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2AFAE" w14:textId="15C14BBC" w:rsidR="00DE1E48" w:rsidRPr="00122F5F" w:rsidRDefault="00DE1E48" w:rsidP="005641BC"/>
    <w:p w14:paraId="54EF0A3B" w14:textId="0EFD20C4" w:rsidR="00DE1E48" w:rsidRPr="00122F5F" w:rsidRDefault="00F3222C" w:rsidP="00EA1ED1">
      <w:pPr>
        <w:jc w:val="both"/>
        <w:rPr>
          <w:rFonts w:ascii="Calibri Light" w:hAnsi="Calibri Light" w:cs="Calibri Light"/>
          <w:sz w:val="24"/>
          <w:szCs w:val="24"/>
        </w:rPr>
      </w:pPr>
      <w:r w:rsidRPr="00F3222C">
        <w:rPr>
          <w:rFonts w:ascii="Calibri Light" w:hAnsi="Calibri Light" w:cs="Calibri Light"/>
          <w:b/>
          <w:bCs/>
          <w:sz w:val="28"/>
          <w:szCs w:val="28"/>
        </w:rPr>
        <w:t xml:space="preserve">Analysis of Stunning Methods in Animal Slaughter: </w:t>
      </w:r>
      <w:commentRangeStart w:id="0"/>
      <w:r w:rsidRPr="00F3222C">
        <w:rPr>
          <w:rFonts w:ascii="Calibri Light" w:hAnsi="Calibri Light" w:cs="Calibri Light"/>
          <w:b/>
          <w:bCs/>
          <w:sz w:val="28"/>
          <w:szCs w:val="28"/>
        </w:rPr>
        <w:t>A Comparative Study Between Countries</w:t>
      </w:r>
      <w:commentRangeEnd w:id="0"/>
      <w:r w:rsidR="00F05803">
        <w:rPr>
          <w:rStyle w:val="CommentReference"/>
        </w:rPr>
        <w:commentReference w:id="0"/>
      </w:r>
    </w:p>
    <w:p w14:paraId="58CA4630" w14:textId="77777777" w:rsidR="008A6903" w:rsidRDefault="008A6903" w:rsidP="00122F5F">
      <w:pPr>
        <w:rPr>
          <w:rFonts w:ascii="Calibri Light" w:hAnsi="Calibri Light" w:cs="Calibri Light"/>
          <w:b/>
          <w:bCs/>
          <w:sz w:val="24"/>
          <w:szCs w:val="24"/>
        </w:rPr>
      </w:pPr>
    </w:p>
    <w:p w14:paraId="124CA8A3" w14:textId="77777777" w:rsidR="009978E7" w:rsidRDefault="009978E7" w:rsidP="00863A78">
      <w:pPr>
        <w:ind w:right="737"/>
        <w:rPr>
          <w:rFonts w:ascii="Calibri Light" w:hAnsi="Calibri Light" w:cs="Calibri Light"/>
        </w:rPr>
      </w:pPr>
    </w:p>
    <w:p w14:paraId="46DFEF12" w14:textId="73BF70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xml:space="preserve">.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13"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70D7EA34" w:rsidR="008A6903" w:rsidRDefault="00A27B34" w:rsidP="008A690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 xml:space="preserve">ABSTRACT: </w:t>
      </w:r>
      <w:r w:rsidR="008A6903" w:rsidRPr="008A6903">
        <w:rPr>
          <w:rFonts w:ascii="Calibri Light" w:hAnsi="Calibri Light" w:cs="Calibri Light"/>
          <w:i/>
          <w:iCs/>
          <w:noProof/>
          <w:color w:val="000000"/>
          <w:sz w:val="24"/>
          <w:szCs w:val="24"/>
        </w:rPr>
        <w:t>This study analyses the differences in regulation and application of stunning methods in halal slaughter between Muslim-majority and Muslim-minority countries, a</w:t>
      </w:r>
      <w:r w:rsidR="00173EAC">
        <w:rPr>
          <w:rFonts w:ascii="Calibri Light" w:hAnsi="Calibri Light" w:cs="Calibri Light"/>
          <w:i/>
          <w:iCs/>
          <w:noProof/>
          <w:color w:val="000000"/>
          <w:sz w:val="24"/>
          <w:szCs w:val="24"/>
        </w:rPr>
        <w:t>s well as</w:t>
      </w:r>
      <w:r w:rsidR="008A6903" w:rsidRPr="008A6903">
        <w:rPr>
          <w:rFonts w:ascii="Calibri Light" w:hAnsi="Calibri Light" w:cs="Calibri Light"/>
          <w:i/>
          <w:iCs/>
          <w:noProof/>
          <w:color w:val="000000"/>
          <w:sz w:val="24"/>
          <w:szCs w:val="24"/>
        </w:rPr>
        <w:t xml:space="preserve"> the implications for meat halalness and animal welfare. In Muslim-majority countries such as Indonesia, Malaysia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Saudi Arabia, stunning is accepted under strict conditions, such as it must be reversible and not cause death before slaughter, to ensure compliance with the principles of Islamic law. In contrast, in Muslim minority countries such as the UK, USA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Australia, stunning is required to fulfi</w:t>
      </w:r>
      <w:r w:rsidR="00173EAC">
        <w:rPr>
          <w:rFonts w:ascii="Calibri Light" w:hAnsi="Calibri Light" w:cs="Calibri Light"/>
          <w:i/>
          <w:iCs/>
          <w:noProof/>
          <w:color w:val="000000"/>
          <w:sz w:val="24"/>
          <w:szCs w:val="24"/>
        </w:rPr>
        <w:t>l</w:t>
      </w:r>
      <w:r w:rsidR="008A6903" w:rsidRPr="008A6903">
        <w:rPr>
          <w:rFonts w:ascii="Calibri Light" w:hAnsi="Calibri Light" w:cs="Calibri Light"/>
          <w:i/>
          <w:iCs/>
          <w:noProof/>
          <w:color w:val="000000"/>
          <w:sz w:val="24"/>
          <w:szCs w:val="24"/>
        </w:rPr>
        <w:t xml:space="preserve">l animal welfare standards, although exceptions are made for ritual slaughter. This study uses </w:t>
      </w:r>
      <w:commentRangeStart w:id="1"/>
      <w:r w:rsidR="008A6903" w:rsidRPr="008A6903">
        <w:rPr>
          <w:rFonts w:ascii="Calibri Light" w:hAnsi="Calibri Light" w:cs="Calibri Light"/>
          <w:i/>
          <w:iCs/>
          <w:noProof/>
          <w:color w:val="000000"/>
          <w:sz w:val="24"/>
          <w:szCs w:val="24"/>
        </w:rPr>
        <w:t xml:space="preserve">normative juridical </w:t>
      </w:r>
      <w:commentRangeEnd w:id="1"/>
      <w:r w:rsidR="00683745">
        <w:rPr>
          <w:rStyle w:val="CommentReference"/>
        </w:rPr>
        <w:commentReference w:id="1"/>
      </w:r>
      <w:r w:rsidR="008A6903" w:rsidRPr="008A6903">
        <w:rPr>
          <w:rFonts w:ascii="Calibri Light" w:hAnsi="Calibri Light" w:cs="Calibri Light"/>
          <w:i/>
          <w:iCs/>
          <w:noProof/>
          <w:color w:val="000000"/>
          <w:sz w:val="24"/>
          <w:szCs w:val="24"/>
        </w:rPr>
        <w:t xml:space="preserve">research with a Systematic Literature Review (SLR) approach to identify the regulation and application of stunning in various countries. The results show that stunning can improve animal welfare if done correctly, but </w:t>
      </w:r>
      <w:r w:rsidR="00173EAC">
        <w:rPr>
          <w:rFonts w:ascii="Calibri Light" w:hAnsi="Calibri Light" w:cs="Calibri Light"/>
          <w:i/>
          <w:iCs/>
          <w:noProof/>
          <w:color w:val="000000"/>
          <w:sz w:val="24"/>
          <w:szCs w:val="24"/>
        </w:rPr>
        <w:t>its compatibility with Islamic law remains contentious</w:t>
      </w:r>
      <w:r w:rsidR="008A6903" w:rsidRPr="008A6903">
        <w:rPr>
          <w:rFonts w:ascii="Calibri Light" w:hAnsi="Calibri Light" w:cs="Calibri Light"/>
          <w:i/>
          <w:iCs/>
          <w:noProof/>
          <w:color w:val="000000"/>
          <w:sz w:val="24"/>
          <w:szCs w:val="24"/>
        </w:rPr>
        <w:t xml:space="preserve">. This research provides important insights for policymakers to align religious principles with modern industry standards through more intensive cross-cultural and religious dialogue.  </w:t>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7B676222" w14:textId="3C240A68" w:rsidR="00002708" w:rsidRDefault="009978E7" w:rsidP="00002708">
      <w:pPr>
        <w:ind w:right="-1"/>
        <w:jc w:val="both"/>
        <w:rPr>
          <w:rFonts w:ascii="Calibri Light" w:hAnsi="Calibri Light" w:cs="Calibri Light"/>
          <w:i/>
          <w:iCs/>
          <w:noProof/>
          <w:color w:val="000000"/>
          <w:sz w:val="24"/>
          <w:szCs w:val="24"/>
        </w:rPr>
      </w:pPr>
      <w:r>
        <w:rPr>
          <w:rFonts w:ascii="Calibri Light" w:hAnsi="Calibri Light" w:cs="Calibri Light"/>
          <w:b/>
          <w:bCs/>
          <w:noProof/>
          <w:color w:val="000000"/>
          <w:sz w:val="24"/>
          <w:szCs w:val="24"/>
        </w:rPr>
        <w:t>ABSTR</w:t>
      </w:r>
      <w:r w:rsidR="00002708">
        <w:rPr>
          <w:rFonts w:ascii="Calibri Light" w:hAnsi="Calibri Light" w:cs="Calibri Light"/>
          <w:b/>
          <w:bCs/>
          <w:noProof/>
          <w:color w:val="000000"/>
          <w:sz w:val="24"/>
          <w:szCs w:val="24"/>
        </w:rPr>
        <w:t>AK</w:t>
      </w:r>
      <w:r>
        <w:rPr>
          <w:rFonts w:ascii="Calibri Light" w:hAnsi="Calibri Light" w:cs="Calibri Light"/>
          <w:b/>
          <w:bCs/>
          <w:noProof/>
          <w:color w:val="000000"/>
          <w:sz w:val="24"/>
          <w:szCs w:val="24"/>
        </w:rPr>
        <w:t xml:space="preserve">: </w:t>
      </w:r>
      <w:r w:rsidR="00002708" w:rsidRPr="00002708">
        <w:rPr>
          <w:rFonts w:ascii="Calibri Light" w:hAnsi="Calibri Light" w:cs="Calibri Light"/>
          <w:i/>
          <w:iCs/>
          <w:noProof/>
          <w:color w:val="000000"/>
          <w:sz w:val="24"/>
          <w:szCs w:val="24"/>
        </w:rPr>
        <w:t xml:space="preserve">Penelitian ini menganalisis perbedaan regulasi dan penerapan metode stunning dalam penyembelihan halal antara negara mayoritas Muslim dan minoritas Muslim, serta implikasinya terhadap kehalalan daging dan kesejahteraan hewan. </w:t>
      </w:r>
      <w:commentRangeStart w:id="2"/>
      <w:r w:rsidR="00002708" w:rsidRPr="00002708">
        <w:rPr>
          <w:rFonts w:ascii="Calibri Light" w:hAnsi="Calibri Light" w:cs="Calibri Light"/>
          <w:i/>
          <w:iCs/>
          <w:noProof/>
          <w:color w:val="000000"/>
          <w:sz w:val="24"/>
          <w:szCs w:val="24"/>
        </w:rPr>
        <w:t>Di negara mayoritas Muslim seperti Indonesia, Malaysia, dan Arab Saudi, stunning diterima dengan syarat ketat, seperti harus bersifat reversibel dan tidak menyebabkan kematian sebelum penyembelihan, untuk memastikan kepatuhan terhadap prinsip syariat Islam. Sebaliknya, di negara minoritas Muslim seperti Inggris, Amerika Serikat, dan Australia, stunning diwajibkan untuk memenuhi standar kesejahteraan hewan, meskipun pengecualian diberikan kepada penyembelihan ritual</w:t>
      </w:r>
      <w:commentRangeEnd w:id="2"/>
      <w:r w:rsidR="005641BC">
        <w:rPr>
          <w:rStyle w:val="CommentReference"/>
        </w:rPr>
        <w:commentReference w:id="2"/>
      </w:r>
      <w:r w:rsidR="00002708" w:rsidRPr="00002708">
        <w:rPr>
          <w:rFonts w:ascii="Calibri Light" w:hAnsi="Calibri Light" w:cs="Calibri Light"/>
          <w:i/>
          <w:iCs/>
          <w:noProof/>
          <w:color w:val="000000"/>
          <w:sz w:val="24"/>
          <w:szCs w:val="24"/>
        </w:rPr>
        <w:t xml:space="preserve">. Studi ini menggunakan jenis penelitian yuridis normatif dengan pendekatan Systematic Literature Review (SLR) untuk mengidentifikasi regulasi dan penerapan stunning di berbagai negara. Hasil penelitian menunjukkan bahwa stunning dapat meningkatkan kesejahteraan hewan jika dilakukan dengan benar, tetapi tetap menimbulkan perdebatan terkait kesesuaiannya dengan syariat Islam. Penelitian ini memberikan wawasan penting bagi pembuat kebijakan untuk </w:t>
      </w:r>
      <w:r w:rsidR="00002708" w:rsidRPr="00002708">
        <w:rPr>
          <w:rFonts w:ascii="Calibri Light" w:hAnsi="Calibri Light" w:cs="Calibri Light"/>
          <w:i/>
          <w:iCs/>
          <w:noProof/>
          <w:color w:val="000000"/>
          <w:sz w:val="24"/>
          <w:szCs w:val="24"/>
        </w:rPr>
        <w:lastRenderedPageBreak/>
        <w:t xml:space="preserve">menyelaraskan prinsip agama dengan standar industri modern melalui dialog lintas budaya dan agama yang lebih intensif.  </w:t>
      </w:r>
    </w:p>
    <w:p w14:paraId="771B1420" w14:textId="77777777" w:rsidR="00002708" w:rsidRDefault="00002708" w:rsidP="00002708">
      <w:pPr>
        <w:ind w:right="-1"/>
        <w:jc w:val="both"/>
        <w:rPr>
          <w:rFonts w:ascii="Calibri Light" w:hAnsi="Calibri Light" w:cs="Calibri Light"/>
          <w:i/>
          <w:iCs/>
          <w:noProof/>
          <w:color w:val="000000"/>
          <w:sz w:val="24"/>
          <w:szCs w:val="24"/>
        </w:rPr>
      </w:pPr>
    </w:p>
    <w:p w14:paraId="0009F7FD" w14:textId="482CBB52" w:rsidR="00F1027C" w:rsidRPr="00122F5F" w:rsidRDefault="0095288D" w:rsidP="00002708">
      <w:pPr>
        <w:ind w:right="-1"/>
        <w:jc w:val="both"/>
        <w:rPr>
          <w:rFonts w:ascii="Calibri Light" w:hAnsi="Calibri Light" w:cs="Calibri Light"/>
          <w:i/>
          <w:iCs/>
          <w:lang w:val="id-ID"/>
        </w:rPr>
      </w:pPr>
      <w:r w:rsidRPr="00122F5F">
        <w:rPr>
          <w:rFonts w:ascii="Calibri Light" w:hAnsi="Calibri Light" w:cs="Calibri Light"/>
          <w:b/>
          <w:bCs/>
          <w:sz w:val="24"/>
          <w:szCs w:val="24"/>
        </w:rPr>
        <w:t xml:space="preserve">Keywords: </w:t>
      </w:r>
      <w:r w:rsidR="008A6903" w:rsidRPr="008A6903">
        <w:rPr>
          <w:rStyle w:val="shorttext"/>
          <w:rFonts w:ascii="Calibri Light" w:hAnsi="Calibri Light" w:cs="Calibri Light"/>
          <w:i/>
          <w:iCs/>
          <w:sz w:val="24"/>
          <w:szCs w:val="24"/>
        </w:rPr>
        <w:t>Stunning, Halal Slaughter, Intercountry Regulation</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9978E7"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commentRangeStart w:id="3"/>
      <w:commentRangeStart w:id="4"/>
      <w:r w:rsidRPr="00122F5F">
        <w:rPr>
          <w:rFonts w:ascii="Calibri Light" w:hAnsi="Calibri Light" w:cs="Calibri Light"/>
          <w:b/>
          <w:sz w:val="24"/>
          <w:szCs w:val="24"/>
        </w:rPr>
        <w:t>INTRODUCTION</w:t>
      </w:r>
      <w:commentRangeEnd w:id="3"/>
      <w:r w:rsidR="000045CD">
        <w:rPr>
          <w:rStyle w:val="CommentReference"/>
        </w:rPr>
        <w:commentReference w:id="3"/>
      </w:r>
      <w:commentRangeEnd w:id="4"/>
      <w:r w:rsidR="00BD6E32">
        <w:rPr>
          <w:rStyle w:val="CommentReference"/>
        </w:rPr>
        <w:commentReference w:id="4"/>
      </w:r>
    </w:p>
    <w:p w14:paraId="0C42A5D3" w14:textId="777A8528" w:rsidR="00180398" w:rsidRPr="00180398" w:rsidRDefault="00180398" w:rsidP="00180398">
      <w:pPr>
        <w:spacing w:before="120" w:after="120"/>
        <w:ind w:left="425"/>
        <w:jc w:val="both"/>
        <w:rPr>
          <w:rFonts w:ascii="Calibri Light" w:hAnsi="Calibri Light" w:cs="Calibri Light"/>
          <w:sz w:val="24"/>
          <w:szCs w:val="24"/>
          <w:lang w:val="en-ID" w:eastAsia="en-US"/>
        </w:rPr>
      </w:pPr>
      <w:bookmarkStart w:id="5" w:name="_Hlk186578765"/>
      <w:r w:rsidRPr="00180398">
        <w:rPr>
          <w:rFonts w:ascii="Calibri Light" w:hAnsi="Calibri Light" w:cs="Calibri Light"/>
          <w:sz w:val="24"/>
          <w:szCs w:val="24"/>
        </w:rPr>
        <w:t>The global halal industry has grown rapidly, with a market value estimated to reach USD 3.2 trillion in 2022</w:t>
      </w:r>
      <w:r w:rsidR="00173EAC">
        <w:rPr>
          <w:rFonts w:ascii="Calibri Light" w:hAnsi="Calibri Light" w:cs="Calibri Light"/>
          <w:sz w:val="24"/>
          <w:szCs w:val="24"/>
        </w:rPr>
        <w:t>. It</w:t>
      </w:r>
      <w:r w:rsidRPr="00180398">
        <w:rPr>
          <w:rFonts w:ascii="Calibri Light" w:hAnsi="Calibri Light" w:cs="Calibri Light"/>
          <w:sz w:val="24"/>
          <w:szCs w:val="24"/>
        </w:rPr>
        <w:t xml:space="preserve"> includes key sectors such as food, Islamic finance, cosmetics, pharmaceuticals, and halal tourism, with an annual growth rate of 8%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Halal","id":"ITEM-1","issue":"2","issued":{"date-parts":[["2023","10","27"]]},"page":"56-64","title":"INDUSTRI HALAL DARI PERSPEKTIF POTENSI DAN PERKEMBANGANNYA DI INDONESIA","type":"article-journal","volume":"6"},"uris":["http://www.mendeley.com/documents/?uuid=de702c06-be07-4dcb-9de5-147995e77966"]},{"id":"ITEM-2","itemData":{"DOI":"10.46306/jbbe.v15i1.119","ISSN":"2721-7213","abstract":"This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Ekonomika","id":"ITEM-2","issue":"1","issued":{"date-parts":[["2022","2","22"]]},"page":"87-98","title":"INDUSTRI HALAL BERKONTRIBUSI TERHADAP PERTUMBUHAN EKONOMI DI ERA PANDEMI COVID-19: PELUANG DAN TANTANGAN","type":"article-journal","volume":"15"},"uris":["http://www.mendeley.com/documents/?uuid=9940d857-f9ca-4085-9ad7-58238d8d7e70"]}],"mendeley":{"formattedCitation":"(Herianti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(Herianti et al., 2023; Utari et al.,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development is driven by the global Muslim population of 1.8 billion people and the increasing interest of non-Muslim consumers in halal products because they are considered more hygienic and safe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Sciences","id":"ITEM-1","issue":"9","issued":{"date-parts":[["2024","9","7"]]},"title":"Relationship between Non-Muslim consumer intention to purchase Halal Products with Halal Awareness, Halal Certification, Halal Marketing and Halal Knowledge: Systematic Review","type":"article-journal","volume":"14"},"uris":["http://www.mendeley.com/documents/?uuid=a6de9104-6058-4a2e-a60a-4a4bb32d8511"]}],"mendeley":{"formattedCitation":"(Saleh &amp; Rajandran, 2024)","plainTextFormattedCitation":"(Saleh &amp; Rajandran, 2024)","previouslyFormattedCitation":"(Saleh &amp; Rajandran,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(Saleh &amp; Rajandran, 2024)</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3E03A35" w14:textId="268A2D88"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Indonesia, as a country with the largest Muslim population, has a</w:t>
      </w:r>
      <w:r w:rsidR="00173EAC">
        <w:rPr>
          <w:rFonts w:ascii="Calibri Light" w:hAnsi="Calibri Light" w:cs="Calibri Light"/>
          <w:sz w:val="24"/>
          <w:szCs w:val="24"/>
        </w:rPr>
        <w:t>n excellen</w:t>
      </w:r>
      <w:r w:rsidRPr="00180398">
        <w:rPr>
          <w:rFonts w:ascii="Calibri Light" w:hAnsi="Calibri Light" w:cs="Calibri Light"/>
          <w:sz w:val="24"/>
          <w:szCs w:val="24"/>
        </w:rPr>
        <w:t xml:space="preserve">t opportunity to become the center of the world's halal industry through the halal certification target for 10 million products by 2024 as part of a strategy to strengthen the national halal ecosystem </w:t>
      </w:r>
      <w:r w:rsidRPr="00180398">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{"citationItems":[{"id":"ITEM-1","itemData":{"abstract":"… produk industri halal dalam kerangka pertumbuhan ekonomi … industri halal berkontribusi terhadap pertumbuhan ekonomi … Industri halal kini menjadi sorotan dunia terkait pengaruh …","author":[{"dropping-particle":"","family":"Aida","given":"Farchati Umu","non-dropping-particle":"","parse-names":false,"suffix":""},{"dropping-particle":"","family":"Imroatul","given":"Salsabila","non-dropping-particle":"","parse-names":false,"suffix":""},{"dropping-particle":"","family":"Khafsoh","given":"Saniatul","non-dropping-particle":"","parse-names":false,"suffix":""}],"container-title":"Journal of Economic Welfare, Philantropy, zakat and waqf","id":"ITEM-1","issue":"01","issued":{"date-parts":[["2024"]]},"page":"49-71","title":"Inovasi dan Strategi Pemasaran Produk Halal di Era Digital","type":"article-journal","volume":"03"},"uris":["http://www.mendeley.com/documents/?uuid=5c139742-3178-4489-9c61-e875aaae40a2"]}],"mendeley":{"formattedCitation":"(Aida et al., 2024)","plainTextFormattedCitation":"(Aida et al., 2024)","previouslyFormattedCitation":"(Aida et al.,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(Aida et al., 2024)</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w:t>
      </w:r>
      <w:r w:rsidR="00173EAC">
        <w:rPr>
          <w:rFonts w:ascii="Calibri Light" w:hAnsi="Calibri Light" w:cs="Calibri Light"/>
          <w:sz w:val="24"/>
          <w:szCs w:val="24"/>
        </w:rPr>
        <w:t>This sector is projected to contribute significantly to future economic growth with collaboration between the government, business actors, and the community</w:t>
      </w:r>
      <w:r w:rsidRPr="00180398">
        <w:rPr>
          <w:rFonts w:ascii="Calibri Light" w:hAnsi="Calibri Light" w:cs="Calibri Light"/>
          <w:sz w:val="24"/>
          <w:szCs w:val="24"/>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{"citationItems":[{"id":"ITEM-1","itemData":{"abstract":"Penelitian ini bertujuan untuk mengetahui dampak dari pandemi Covid-19 terhadap UMKM berbasis ekonomi kreatif sub-sektor kuliner di Provinsi Sulawesi Tenggara. Hal ini guna mengetahui langkah apa saja yang dapat diambil oleh pemerintah dalam permasalahan terkait pandemi Covid-19. Metode pengumpulan data pada penelitian ini adalah dengan metode kuantitatif dan metode pustaka. Data yang disajikan dalam penelitian ini adalah data yang diperoleh dari kuesioner, penelusuran pustaka dari buku, website resmi pemerintah, report resmi dari organisasi internasional, website berita resmi, dan data yang diproses dari sumber relevan lainnya. Rentang waktu penelitian ini adalah bulan Maret 2020 (awal pandemi di Indonesia) hingga pertengahan bulan Juni 2020. Data yang dihasilkan adalah data berbentuk grafik dengan narasi deskriptif. Hasil dari penelitian ini adalah dapat diketahuinya dua elemen yang menjadi permsalahan terkait pandemi Covid-19 terhadap pelaku UMKM sub-sektor kuliner yaitu Sumber Daya Manusia dan Produk Barang/Jasa. Pemerintah dapat melakukan skema atau mengambil langkah-langkah untuk mengatasi permasalahan tersebut seperti memberi potongan tagihan listrik, penangguhan pembayaran pinjaman, menjaga tersedianya bahan baku di pasaran hingga mendampingi pelaku UMKM yang menutup usahanya karena tidak dapat bertahan akibat pandemi untuk bertransformasi atau memuat usaha baru","author":[{"dropping-particle":"","family":"Jufra","given":"Arlita Aristianingsih","non-dropping-particle":"","parse-names":false,"suffix":""}],"id":"ITEM-1","issue":"June","issued":{"date-parts":[["2020"]]},"page":"116-131","title":"Studi Pemulihan Dan Pengembangan Ekonomi Kreatif Sub-Sektor Kuliner Pasca Pandemi (Covid-19) Dalam Menunjang Pertumbuhan Ekonomi Di Provinsi Sulawesi Tenggara","type":"article-journal","volume":"9"},"uris":["http://www.mendeley.com/documents/?uuid=825228d1-3b48-49f3-a823-a0d78f4eeac3"]}],"mendeley":{"formattedCitation":"(Jufra, 2020)","plainTextFormattedCitation":"(Jufra, 2020)","previouslyFormattedCitation":"(Jufra, 2020)"},"properties":{"noteIndex":0},"schema":"https://github.com/citation-style-language/schema/raw/master/csl-citation.json"}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(Jufra, 2020)</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r w:rsidR="00B65093">
        <w:rPr>
          <w:rFonts w:ascii="Calibri Light" w:hAnsi="Calibri Light" w:cs="Calibri Light"/>
          <w:sz w:val="24"/>
          <w:szCs w:val="24"/>
        </w:rPr>
        <w:t xml:space="preserve"> Muslim consumer</w:t>
      </w:r>
      <w:r w:rsidR="00173EAC">
        <w:rPr>
          <w:rFonts w:ascii="Calibri Light" w:hAnsi="Calibri Light" w:cs="Calibri Light"/>
          <w:sz w:val="24"/>
          <w:szCs w:val="24"/>
        </w:rPr>
        <w:t>'</w:t>
      </w:r>
      <w:r w:rsidR="00B65093">
        <w:rPr>
          <w:rFonts w:ascii="Calibri Light" w:hAnsi="Calibri Light" w:cs="Calibri Light"/>
          <w:sz w:val="24"/>
          <w:szCs w:val="24"/>
        </w:rPr>
        <w:t>s purchase decision</w:t>
      </w:r>
      <w:r w:rsidR="00173EAC">
        <w:rPr>
          <w:rFonts w:ascii="Calibri Light" w:hAnsi="Calibri Light" w:cs="Calibri Light"/>
          <w:sz w:val="24"/>
          <w:szCs w:val="24"/>
        </w:rPr>
        <w:t>s</w:t>
      </w:r>
      <w:r w:rsidR="00B65093">
        <w:rPr>
          <w:rFonts w:ascii="Calibri Light" w:hAnsi="Calibri Light" w:cs="Calibri Light"/>
          <w:sz w:val="24"/>
          <w:szCs w:val="24"/>
        </w:rPr>
        <w:t xml:space="preserve"> have been influenced by halal certification and label </w:t>
      </w:r>
      <w:r w:rsidR="00B65093">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Laws","id":"ITEM-1","issue":"1","issued":{"date-parts":[["2022"]]},"page":"159-176","title":"The Impact of Halal Label in Halal Food Buying Decisions","type":"article-journal","volume":"5"},"uris":["http://www.mendeley.com/documents/?uuid=87b2a4ae-e1df-4b75-9d7b-595be2924ba2"]},{"id":"ITEM-2","itemData":{"DOI":"10.23917/jiti.v18i2.7242","ISSN":"1412-6869","abstract":"The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Industri","id":"ITEM-2","issue":"2","issued":{"date-parts":[["2019"]]},"page":"116-123","title":"Impact of Halal Certification on The Performance of Food Small Medium Enterprises","type":"article-journal","volume":"18"},"uris":["http://www.mendeley.com/documents/?uuid=ff139151-edab-4f9b-a2c2-861cf70cf7b5","http://www.mendeley.com/documents/?uuid=5b9f893b-67b8-4468-ae30-21b921a52ba2"]},{"id":"ITEM-3","itemData":{"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products.","author":[{"dropping-particle":"","family":"Muhammad Hamka Habibie","given":"Haq","non-dropping-particle":"","parse-names":false,"suffix":""},{"dropping-particle":"","family":"Roesmara Donna BENEFIT Jurnal Manajemen dan Bisnis","given":"Duddy","non-dropping-particle":"","parse-names":false,"suffix":""},{"dropping-particle":"","family":"Roesmara Donna","given":"Duddy","non-dropping-particle":"","parse-names":false,"suffix":""}],"container-title":"BENEFIT Jurnal Manajemen dan Bisnis","id":"ITEM-3","issue":"1","issued":{"date-parts":[["2020"]]},"page":"83-955","title":"Factors That Influence The Intention To Purchase Halal Food Products (Case Study Of Universitas Gadjah Mada Students","type":"article-journal","volume":"5"},"uris":["http://www.mendeley.com/documents/?uuid=80555cf2-82fd-4652-bbb0-d2ef178f217c","http://www.mendeley.com/documents/?uuid=97a904f2-4232-40ac-952e-f3f88e8d33c3"]},{"id":"ITEM-4","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Laws","id":"ITEM-4","issue":"1","issued":{"date-parts":[["2018"]]},"page":"1-30","title":"Halal Label On Food Products By Mui (Indonesian Ulama Council) And Students Purchasing Decision Of Faculty Of Business And Economic Universitas Muhammadiyah Surakarta","type":"article-journal","volume":"1"},"uris":["http://www.mendeley.com/documents/?uuid=6974bd9a-9e28-404e-8a56-66aea172f745","http://www.mendeley.com/documents/?uuid=656eb34a-2919-40a0-83d3-7a3a2dfc5ef8"]}],"mendeley":{"formattedCitation":"(Giyanti &amp; Indriastiningsih, 2019; Millatina et al., 2022; Muhammad Hamka Habibie et al., 2020; Siregar &amp; Alam, 2018)","plainTextFormattedCitation":"(Giyanti &amp; Indriastiningsih, 2019; Millatina et al., 2022; Muhammad Hamka Habibie et al., 2020; Siregar &amp; Alam, 2018)","previouslyFormattedCitation":"(Giyanti &amp; Indriastiningsih, 2019; Millatina et al., 2022; Muhammad Hamka Habibie et al., 2020; Siregar &amp; Alam, 2018)"},"properties":{"noteIndex":0},"schema":"https://github.com/citation-style-language/schema/raw/master/csl-citation.json"}</w:instrText>
      </w:r>
      <w:r w:rsidR="00B65093">
        <w:rPr>
          <w:rFonts w:ascii="Calibri Light" w:hAnsi="Calibri Light" w:cs="Calibri Light"/>
          <w:sz w:val="24"/>
          <w:szCs w:val="24"/>
        </w:rPr>
        <w:fldChar w:fldCharType="separate"/>
      </w:r>
      <w:r w:rsidR="00B65093" w:rsidRPr="00B65093">
        <w:rPr>
          <w:rFonts w:ascii="Calibri Light" w:hAnsi="Calibri Light" w:cs="Calibri Light"/>
          <w:noProof/>
          <w:sz w:val="24"/>
          <w:szCs w:val="24"/>
        </w:rPr>
        <w:t>(Giyanti &amp; Indriastiningsih, 2019; Millatina et al., 2022; Muhammad Hamka Habibie et al., 2020; Siregar &amp; Alam, 2018)</w:t>
      </w:r>
      <w:r w:rsidR="00B65093">
        <w:rPr>
          <w:rFonts w:ascii="Calibri Light" w:hAnsi="Calibri Light" w:cs="Calibri Light"/>
          <w:sz w:val="24"/>
          <w:szCs w:val="24"/>
        </w:rPr>
        <w:fldChar w:fldCharType="end"/>
      </w:r>
      <w:r w:rsidR="00B65093">
        <w:rPr>
          <w:rFonts w:ascii="Calibri Light" w:hAnsi="Calibri Light" w:cs="Calibri Light"/>
          <w:sz w:val="24"/>
          <w:szCs w:val="24"/>
        </w:rPr>
        <w:t xml:space="preserve">. </w:t>
      </w:r>
    </w:p>
    <w:p w14:paraId="7C260A0C" w14:textId="1A5F2ED9"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With the increasing global demand for halal meat, dialogue between animal welfare researchers, Islamic scholars, and halal certification bodies is essential to ensure sharia-compliant slaughtering practices while meeting animal welfare standards </w:t>
      </w:r>
      <w:r w:rsidRPr="00180398">
        <w:rPr>
          <w:rFonts w:ascii="Calibri Light" w:hAnsi="Calibri Light" w:cs="Calibri Light"/>
        </w:rPr>
        <w:fldChar w:fldCharType="begin" w:fldLock="1"/>
      </w:r>
      <w:r w:rsidR="003E5659">
        <w:rPr>
          <w:rFonts w:ascii="Calibri Light" w:hAnsi="Calibri Light" w:cs="Calibri Light"/>
          <w:lang w:eastAsia="en-US"/>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180398">
        <w:rPr>
          <w:rFonts w:ascii="Calibri Light" w:hAnsi="Calibri Light" w:cs="Calibri Light"/>
        </w:rPr>
        <w:fldChar w:fldCharType="separate"/>
      </w:r>
      <w:r w:rsidR="00173EAC" w:rsidRPr="00173EAC">
        <w:rPr>
          <w:rFonts w:ascii="Calibri Light" w:hAnsi="Calibri Light" w:cs="Calibri Light"/>
          <w:noProof/>
          <w:lang w:eastAsia="en-US"/>
        </w:rPr>
        <w:t>(Fuseini, Wotton, et al., 2017)</w:t>
      </w:r>
      <w:r w:rsidRPr="00180398">
        <w:rPr>
          <w:rFonts w:ascii="Calibri Light" w:hAnsi="Calibri Light" w:cs="Calibri Light"/>
        </w:rPr>
        <w:fldChar w:fldCharType="end"/>
      </w:r>
      <w:r w:rsidRPr="00180398">
        <w:rPr>
          <w:rFonts w:ascii="Calibri Light" w:hAnsi="Calibri Light" w:cs="Calibri Light"/>
          <w:lang w:eastAsia="en-US"/>
        </w:rPr>
        <w:t xml:space="preserve">. This </w:t>
      </w:r>
      <w:r w:rsidR="00173EAC">
        <w:rPr>
          <w:rFonts w:ascii="Calibri Light" w:hAnsi="Calibri Light" w:cs="Calibri Light"/>
          <w:lang w:eastAsia="en-US"/>
        </w:rPr>
        <w:t xml:space="preserve">phenomenon </w:t>
      </w:r>
      <w:r w:rsidRPr="00180398">
        <w:rPr>
          <w:rFonts w:ascii="Calibri Light" w:hAnsi="Calibri Light" w:cs="Calibri Light"/>
          <w:lang w:eastAsia="en-US"/>
        </w:rPr>
        <w:t xml:space="preserve">shows that the halal industry is </w:t>
      </w:r>
      <w:r w:rsidR="00173EAC">
        <w:rPr>
          <w:rFonts w:ascii="Calibri Light" w:hAnsi="Calibri Light" w:cs="Calibri Light"/>
          <w:lang w:eastAsia="en-US"/>
        </w:rPr>
        <w:t>developing economically and</w:t>
      </w:r>
      <w:r w:rsidRPr="00180398">
        <w:rPr>
          <w:rFonts w:ascii="Calibri Light" w:hAnsi="Calibri Light" w:cs="Calibri Light"/>
          <w:lang w:eastAsia="en-US"/>
        </w:rPr>
        <w:t xml:space="preserve"> continues to adapt to modern challenges in ethical and technological aspects</w:t>
      </w:r>
      <w:r w:rsidR="000E4A4D">
        <w:rPr>
          <w:rFonts w:ascii="Calibri Light" w:hAnsi="Calibri Light" w:cs="Calibri Light"/>
          <w:lang w:eastAsia="en-US"/>
        </w:rPr>
        <w:t xml:space="preserve"> </w:t>
      </w:r>
      <w:r w:rsidR="000E4A4D">
        <w:rPr>
          <w:rFonts w:ascii="Calibri Light" w:hAnsi="Calibri Light" w:cs="Calibri Light"/>
          <w:lang w:eastAsia="en-US"/>
        </w:rPr>
        <w:fldChar w:fldCharType="begin" w:fldLock="1"/>
      </w:r>
      <w:r w:rsidR="00173EAC">
        <w:rPr>
          <w:rFonts w:ascii="Calibri Light" w:hAnsi="Calibri Light" w:cs="Calibri Light"/>
          <w:lang w:eastAsia="en-US"/>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Ecclesiastica","id":"ITEM-1","issue":"2","issued":{"date-parts":[["2017"]]},"language":"Italian","note":"Export Date: 22 August 2023\n\nCorrespondence Address: Bottoni, R.; Facoltà di Scienze Politiche e Sociali, Italy; email: rossella.bottoni@unicatt.it\n\nReferences: Angelini, F., Benvenuti, M., Il federalismo belga alla luce della sesta riforma dello Stato. (2013) Istituzioni del Federalismo. Rivista di Studi Giuridici e Politici, 1, pp. 181-227;\nBottoni, R., La disciplina giuridica della macellazione rituale nell'Unione europea e nei paesi membri (2015) Cibo, Religione e Diritto. Nutrimento per Il Corpo e per l'Anima, pp. 479-516. , a cura di Antonio G. Chizzoniti, Tricase: Libellula Edizioni;\nBrantz, D., Stunning bodies: Animal slaughter, judaism, and the meaning of humanity in imperial Germany (2002) Central European History, 35 (2), pp. 167-194;\nChizzoniti, A.G., (2015) Cibo, Religione e Diritto. Nutrimento per Il Corpo e per l'Anima, , a cura di, Tricase: Libellula Edizioni;\nCohen, J., Kosher slaughter, state regulations of religious organizations, and the european court of human rights. (2009) Intercultural Human Rights Law Review, 4, pp. 368-375;\nColella, L., La diversità linguistica come &amp;quot;elemento strutturale&amp;quot; della forma di Stato multiculturale belga (2016) Diritto Pubblico Comparato Ed Europeo, 4, pp. 1121-1144;\nConte, F., Quartarone, V., Maria Cubeddu, G., Passantino, A., Ritual slaughter: Regulatory responses, consumer choice and labelling strategies (2012) Maso International. Journal of Food Science and Technology, 2, pp. 153-158;\nDelahunty, R.J., Does animal welfare trump religious liberty? The danish ban on kosher and halal butchering (2015) San Diego International Law Journal, 16, pp. 341-379;\nDupont, N., Il federalismo belga al bivio (2015) Diritto Pubblico Comparato Ed Europeo, 2, pp. 381-404;\nFarer, T., Mass migration, cultural conflict, and the fear of terrorism: Dilemmas of the democratic west (2017) Denver Journal of International Law and Policy, 45 (3), pp. 287-301;\nFerrari, S., Bottoni, R., (2010) Report on Legislation on Religious Slaughter in the EU Member, Candidate and Associated Countries, , http://www.dialrel.eu/dialrel-results;\nFitzmaurice, M., (2015) Whaling and International Law, , Cambridge: Cambridge University Press;\nFlauss, J.-F., Abattage rituel et liberté de religion: Le défi de la protection des minorités au sein des communautés religieuses. (2011) Revue Trimestrelle des Droits de l'Homme, 12 (45), pp. 195-207;\nFoblets, M.-C., Velaers, J., In search of the right balance. Recent discussions in Belgium and the netherlands on religious freedom and the slaughter of animals without prior stunning (2014) Recht, Religion, Kultur. Festschrift für Richard Potz zum 70. Geburtstag, pp. 67-85. , a cura di Brigitte Schinkele et al., Wien: Facultas Verlags- und Buchhandels AG;\nFraser, D., A passive collaboration: Bureaucracy, legality, and the jews of brussels, 1940-1944 (2005) Brooklyn Journal of International Law, 30 (2), pp. 365-420;\nFuccillo, A., (2015) Il Cibo degli Dei. Diritto, Religioni, Mercati Alimentari, , Torino: Giappichelli;\nGianfreda, A., La libertà religiosa alimentare nella giurisprudenza della Corte europea dei diritti dell'uomo (2015) Cibo, Religione e Diritto. Nutrimento per Il Corpo e per l'Anima, pp. 453-478. , a cura di Antonio G. Chizzoniti, Tricase: Libellula Edizioni;\nGliszczynska-Grabias, A., Sadurski, W., Freedom of religion versus humane treatment of animals: Polish constitutional tribunal's judgment on permissibility of religious slaughter. Judgment of the constitutional tribunal of Poland of 10 December 2014, K 52/13 (2015) European Constitutional Law Review, 11, pp. 596-608;\nGoossens, J., Cannoot, P., Belgian federalism after the sixth state reform (2015) Perspectives on Federalism, 7 (2), pp. 29-55;\nHaupt, C.E., Free exercise of religion and animal protection: A comparative perspective on ritual slaughter (2007) George Washington International Law Review, 39, pp. 856-872;\nJacobsen, B., Islam and muslims in Denmark (2015) After Integration. Islam, Conviviality and Contentious Politics in Europe, pp. 171-186. , a cura di Marian Burchardt e Ines Michalowski, Wiesbaden: Springer;\nJudd, R., The politics of beef: Animal advocacy and the kosher butchering debates in Germany (2003) Jewish Social Studies, 10 (1), pp. 117-150;\nKelch, T.G., A short history of (Mostly) Western Animal Law. Part II (2013) Animal Law Review, 19 (2), pp. 347-389;\nLangenfeld, C., Germany (2003) International Journal of Constitutional Law, 1 (1), pp. 141-147;\nLavi, S., Animal laws and the politics of life: Slaughterhouse regulation in Germany, 1870-1917 (2007) Theoretical Enquiries in Law, 8 (1), pp. 221-250;\nLeroy, M., (2007) Il Federalismo Belga, , www2.issirfa.cnr.it/download/File/LEROY.Belgio.pdf, 25 giugno;\nMiele, M., Evans, A., When foods become animals: Ruminations on Ethics and Responsibility in Care-full practices of consumption (2010) Ethics, Place and Environment, 13 (2), pp. 171-190;\nMinnerop, P., German constitutional law cases (2004) European Public Law, 10 (2), pp. 221-236;\nParisi, M., Il caso Cha'Are Shalom Ve Tsedek: Un nuovo intervento della Corte Europea dei Diritti dell'Uomo in tema di libertà religiosa. (2001) Il Diritto Ecclesiastico, 3, pp. 176-204;\nPeeters, P., Haljan, D., Belgium's sixth state reform: The state of the nation (s) (2017) European Public Law, 22 (3), pp. 411-438;\nRobbers, G., Religious freedom in Germany (2001) Brigham Young University Law Review, 2, pp. 643-668;\nRohe, M., Application of sharî'a rules in Europe: Scope and limits (2004) Die Welt des Islams, 44 (3), pp. 323-350;\nSalamano, G., Acceptability of electrical stunning and post-cut stunning among muslim communities: A possible dialogue (2013) Society &amp;amp; Animals, 21, pp. 443-458;\nSavorani, G., Il diritto all'informazione del consumatore di alimenti: Un complesso sistema di regole con indice di protezione incerto (2015) Politica del Diritto, 4, pp. 575-598;\nSciumbata, L., Un Modello di Stato Federale: Il Belgio, , http://www.issirfa.cnr.it/letizia-rita-sciumbata-un-modello-di-stato-federale-il-belgio.html, s.d;\nSledzinska-Simon, A., (2017) Ritual Animal Slaughter and Public Morality: A Comment on the Decision of the Polish Constitutional Tribunal, , http://verfassungsblog.de/ritual-animal-slaughter-public-morality-comment-decision-polish-constitutional-tribunal, 29 gennaio;\nSzumigalska, A., Bazan, M., Ritual slaughter issue in Poland: Between religious freedom, legal order and economic-political interests (2014) Religion and Society in Central and Eastern Europe, 7 (1), pp. 53-69;\nTorfs, R., État et Églises en Belgique (2008) État et Églises dans l'Union Européenne, pp. 9-34. , a cura di Gerhard Robbers, Baden-Baden: Nomos Verlagsgesellschaft;\nToussaint, S., Ne dites plus &amp;quot;Communauté française&amp;quot;! (2013) Quoique..., , http://www.crisp.be/crisp/wp-content/uploads/analyses/2013-10-07-S%20Toussaint%20-%20Communaut%C3%A9%20fran%C3%A7aise-F%C3%A9d%C3%A9ration%20W-B.pdf, 7 ottobre;\nVan Der Schyff, G., (2017) Reviewing the Recent Ban on Ritual Slaughter in Flanders, , http://verfassungsblog.de/reviewing-the-recent-ban-onritual-slaughter-in-flanders, 16 agosto;\nVanbellingen, L., Wattier, S., (2017) L'Abattage Rituel en Droit Belge: Développements récents, , http://www.eurel.info/spip.php?article3213&amp;amp;lang=fr","page":"545-580","publisher":"Societa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","type":"article-journal","volume":"20"},"uris":["http://www.mendeley.com/documents/?uuid=f83225f7-2063-4689-b94e-b409e9beeeb8"]},{"id":"ITEM-2","itemData":{"DOI":"10.23917/jiti.v20i1.13028","abstract":"Increasing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Industri","id":"ITEM-2","issue":"1","issued":{"date-parts":[["2021"]]},"page":"45-60","title":"Value Co-Creation Model of Halal Logistics Services","type":"article-journal","volume":"20"},"uris":["http://www.mendeley.com/documents/?uuid=afe881f0-dde4-4c5d-8b4d-f8b699cfa562"]},{"id":"ITEM-3","itemData":{"DOI":"10.23917/jtl.v2i1.10934","ISSN":"2714-9676","abstract":"Objective: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Law","id":"ITEM-3","issue":"1","issued":{"date-parts":[["2020"]]},"page":"28-44","title":"Policy Regarding Increased Control of Circulation or Trade of Dog Meat in Karanganyar Regency (Reviewed through the concept of Animal Welfare and The Rule of Adz-Dzariah Fiqh)","type":"article-journal","volume":"2"},"uris":["http://www.mendeley.com/documents/?uuid=c1635782-a8e9-40c6-bbc9-9f5166a97235","http://www.mendeley.com/documents/?uuid=f34bb5dd-8058-4088-88d8-d4587ba2f39f"]}],"mendeley":{"formattedCitation":"(Bottoni,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sidR="000E4A4D">
        <w:rPr>
          <w:rFonts w:ascii="Calibri Light" w:hAnsi="Calibri Light" w:cs="Calibri Light"/>
          <w:lang w:eastAsia="en-US"/>
        </w:rPr>
        <w:fldChar w:fldCharType="separate"/>
      </w:r>
      <w:r w:rsidR="000E4A4D" w:rsidRPr="000E4A4D">
        <w:rPr>
          <w:rFonts w:ascii="Calibri Light" w:hAnsi="Calibri Light" w:cs="Calibri Light"/>
          <w:noProof/>
          <w:lang w:eastAsia="en-US"/>
        </w:rPr>
        <w:t>(Bottoni, 2017; Enggarani &amp; Nugroho, 2020; Okdinawati et al., 2021)</w:t>
      </w:r>
      <w:r w:rsidR="000E4A4D">
        <w:rPr>
          <w:rFonts w:ascii="Calibri Light" w:hAnsi="Calibri Light" w:cs="Calibri Light"/>
          <w:lang w:eastAsia="en-US"/>
        </w:rPr>
        <w:fldChar w:fldCharType="end"/>
      </w:r>
      <w:r w:rsidR="000E4A4D">
        <w:rPr>
          <w:rFonts w:ascii="Calibri Light" w:hAnsi="Calibri Light" w:cs="Calibri Light"/>
          <w:lang w:eastAsia="en-US"/>
        </w:rPr>
        <w:t>.</w:t>
      </w:r>
    </w:p>
    <w:p w14:paraId="5A5C65DE" w14:textId="5CD97BF4"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Halal slaughter plays an important role in this industry as it ensures the </w:t>
      </w:r>
      <w:proofErr w:type="spellStart"/>
      <w:r w:rsidRPr="00180398">
        <w:rPr>
          <w:rFonts w:ascii="Calibri Light" w:hAnsi="Calibri Light" w:cs="Calibri Light"/>
          <w:lang w:eastAsia="en-US"/>
        </w:rPr>
        <w:t>halalness</w:t>
      </w:r>
      <w:proofErr w:type="spellEnd"/>
      <w:r w:rsidRPr="00180398">
        <w:rPr>
          <w:rFonts w:ascii="Calibri Light" w:hAnsi="Calibri Light" w:cs="Calibri Light"/>
          <w:lang w:eastAsia="en-US"/>
        </w:rPr>
        <w:t xml:space="preserve"> of the meat consumed by Muslims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East","id":"ITEM-1","issued":{"date-parts":[["2013"]]},"page":"1-4","title":"Proper Application of Halal Slaughter","type":"article-journal"},"uris":["http://www.mendeley.com/documents/?uuid=ac3ccc9f-a1af-4c46-b5ab-a8af7edf6ab0"]}],"mendeley":{"formattedCitation":"(Aidaros, 2013)","plainTextFormattedCitation":"(Aidaros, 2013)","previouslyFormattedCitation":"(Aidaros,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(Aidaros, 2013)</w:t>
      </w:r>
      <w:r w:rsidRPr="00180398">
        <w:rPr>
          <w:rFonts w:ascii="Calibri Light" w:hAnsi="Calibri Light" w:cs="Calibri Light"/>
        </w:rPr>
        <w:fldChar w:fldCharType="end"/>
      </w:r>
      <w:r w:rsidRPr="00180398">
        <w:rPr>
          <w:rFonts w:ascii="Calibri Light" w:hAnsi="Calibri Light" w:cs="Calibri Light"/>
          <w:lang w:eastAsia="en-US"/>
        </w:rPr>
        <w:t>. The halal slaughter method</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following</w:t>
      </w:r>
      <w:r w:rsidRPr="00180398">
        <w:rPr>
          <w:rFonts w:ascii="Calibri Light" w:hAnsi="Calibri Light" w:cs="Calibri Light"/>
          <w:lang w:eastAsia="en-US"/>
        </w:rPr>
        <w:t xml:space="preserve"> Islamic law</w:t>
      </w:r>
      <w:r w:rsidR="00173EAC">
        <w:rPr>
          <w:rFonts w:ascii="Calibri Light" w:hAnsi="Calibri Light" w:cs="Calibri Light"/>
          <w:lang w:eastAsia="en-US"/>
        </w:rPr>
        <w:t>,</w:t>
      </w:r>
      <w:r w:rsidRPr="00180398">
        <w:rPr>
          <w:rFonts w:ascii="Calibri Light" w:hAnsi="Calibri Light" w:cs="Calibri Light"/>
          <w:lang w:eastAsia="en-US"/>
        </w:rPr>
        <w:t xml:space="preserve"> involves cutting the trachea, esophagus, and carotid arteries while saying the name of Allah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2024)","plainTextFormattedCitation":"(Roselia &amp; Hafiz, 2024)","previouslyFormattedCitation":"(Roselia &amp; Hafiz, 2024)"},"properties":{"noteIndex":0},"schema":"https://github.com/citation-style-language/schema/raw/master/csl-citation.json"}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(Roselia &amp; Hafiz, 2024)</w:t>
      </w:r>
      <w:r w:rsidRPr="00180398">
        <w:rPr>
          <w:rFonts w:ascii="Calibri Light" w:hAnsi="Calibri Light" w:cs="Calibri Light"/>
        </w:rPr>
        <w:fldChar w:fldCharType="end"/>
      </w:r>
      <w:r w:rsidRPr="00180398">
        <w:rPr>
          <w:rFonts w:ascii="Calibri Light" w:hAnsi="Calibri Light" w:cs="Calibri Light"/>
        </w:rPr>
        <w:t xml:space="preserve">. This practice </w:t>
      </w:r>
      <w:r w:rsidR="00173EAC">
        <w:rPr>
          <w:rFonts w:ascii="Calibri Light" w:hAnsi="Calibri Light" w:cs="Calibri Light"/>
        </w:rPr>
        <w:t xml:space="preserve">fulfills the religious aspect, </w:t>
      </w:r>
      <w:r w:rsidRPr="00180398">
        <w:rPr>
          <w:rFonts w:ascii="Calibri Light" w:hAnsi="Calibri Light" w:cs="Calibri Light"/>
        </w:rPr>
        <w:t>considers animal welfare</w:t>
      </w:r>
      <w:r w:rsidR="00173EAC">
        <w:rPr>
          <w:rFonts w:ascii="Calibri Light" w:hAnsi="Calibri Light" w:cs="Calibri Light"/>
        </w:rPr>
        <w:t>,</w:t>
      </w:r>
      <w:r w:rsidR="00EB6292">
        <w:rPr>
          <w:rFonts w:ascii="Calibri Light" w:hAnsi="Calibri Light" w:cs="Calibri Light"/>
        </w:rPr>
        <w:t xml:space="preserve"> and become</w:t>
      </w:r>
      <w:r w:rsidR="00173EAC">
        <w:rPr>
          <w:rFonts w:ascii="Calibri Light" w:hAnsi="Calibri Light" w:cs="Calibri Light"/>
        </w:rPr>
        <w:t>s</w:t>
      </w:r>
      <w:r w:rsidR="00EB6292">
        <w:rPr>
          <w:rFonts w:ascii="Calibri Light" w:hAnsi="Calibri Light" w:cs="Calibri Light"/>
        </w:rPr>
        <w:t xml:space="preserve"> part of </w:t>
      </w:r>
      <w:r w:rsidR="00173EAC">
        <w:rPr>
          <w:rFonts w:ascii="Calibri Light" w:hAnsi="Calibri Light" w:cs="Calibri Light"/>
        </w:rPr>
        <w:t xml:space="preserve">the </w:t>
      </w:r>
      <w:r w:rsidR="00EB6292">
        <w:rPr>
          <w:rFonts w:ascii="Calibri Light" w:hAnsi="Calibri Light" w:cs="Calibri Light"/>
        </w:rPr>
        <w:t>halal food supply</w:t>
      </w:r>
      <w:r w:rsidR="00B65093">
        <w:rPr>
          <w:rFonts w:ascii="Calibri Light" w:hAnsi="Calibri Light" w:cs="Calibri Light"/>
        </w:rPr>
        <w:t xml:space="preserve"> chain </w:t>
      </w:r>
      <w:r w:rsidR="00B65093">
        <w:rPr>
          <w:rFonts w:ascii="Calibri Light" w:hAnsi="Calibri Light" w:cs="Calibri Light"/>
        </w:rPr>
        <w:fldChar w:fldCharType="begin" w:fldLock="1"/>
      </w:r>
      <w:r w:rsidR="00B65093">
        <w:rPr>
          <w:rFonts w:ascii="Calibri Light" w:hAnsi="Calibri Light" w:cs="Calibri Light"/>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Pandemic","type":"article-journal","volume":"20"},"uris":["http://www.mendeley.com/documents/?uuid=c0074b19-ce41-46c6-b38d-00943bff1d4e"]}],"mendeley":{"formattedCitation":"(Wahyuni et al., 2021)","plainTextFormattedCitation":"(Wahyuni et al., 2021)","previouslyFormattedCitation":"(Wahyuni et al., 2021)"},"properties":{"noteIndex":0},"schema":"https://github.com/citation-style-language/schema/raw/master/csl-citation.json"}</w:instrText>
      </w:r>
      <w:r w:rsidR="00B65093">
        <w:rPr>
          <w:rFonts w:ascii="Calibri Light" w:hAnsi="Calibri Light" w:cs="Calibri Light"/>
        </w:rPr>
        <w:fldChar w:fldCharType="separate"/>
      </w:r>
      <w:r w:rsidR="00B65093" w:rsidRPr="00B65093">
        <w:rPr>
          <w:rFonts w:ascii="Calibri Light" w:hAnsi="Calibri Light" w:cs="Calibri Light"/>
          <w:noProof/>
        </w:rPr>
        <w:t>(Wahyuni et al., 2021)</w:t>
      </w:r>
      <w:r w:rsidR="00B65093">
        <w:rPr>
          <w:rFonts w:ascii="Calibri Light" w:hAnsi="Calibri Light" w:cs="Calibri Light"/>
        </w:rPr>
        <w:fldChar w:fldCharType="end"/>
      </w:r>
      <w:r w:rsidRPr="00180398">
        <w:rPr>
          <w:rFonts w:ascii="Calibri Light" w:hAnsi="Calibri Light" w:cs="Calibri Light"/>
        </w:rPr>
        <w:t xml:space="preserve">. Animal welfare is one of the main things in producing halal meat. </w:t>
      </w:r>
      <w:r w:rsidR="00173EAC">
        <w:rPr>
          <w:rFonts w:ascii="Calibri Light" w:hAnsi="Calibri Light" w:cs="Calibri Light"/>
        </w:rPr>
        <w:t>T</w:t>
      </w:r>
      <w:r w:rsidRPr="00180398">
        <w:rPr>
          <w:rFonts w:ascii="Calibri Light" w:hAnsi="Calibri Light" w:cs="Calibri Light"/>
        </w:rPr>
        <w:t xml:space="preserve">he issue of animal welfare violations is a sensitive situation for the world community because it has an impact on the results of the slaughter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{"citationItems":[{"id":"ITEM-1","itemData":{"author":[{"dropping-particle":"","family":"Noor","given":"Faisal Ramadhani","non-dropping-particle":"","parse-names":false,"suffix":""},{"dropping-particle":"","family":"Riyadhi","given":"Muhammad","non-dropping-particle":"","parse-names":false,"suffix":""},{"dropping-particle":"","family":"Rizal","given":"Muhammad","non-dropping-particle":"","parse-names":false,"suffix":""},{"dropping-particle":"","family":"Syahdan","given":"Roshif","non-dropping-particle":"","parse-names":false,"suffix":""}],"container-title":"Pro Sejahtera (Prosiding Seminar Nasional Pengabdian kepada Masyarakat)","id":"ITEM-1","issued":{"date-parts":[["2023"]]},"page":"96-101","title":"Sosialisasi Penyembelihan dan Penanganan Hewan Kurban","type":"article-journal","volume":"5"},"uris":["http://www.mendeley.com/documents/?uuid=7db25d34-a067-40ac-a0d9-7858daa807ec"]}],"mendeley":{"formattedCitation":"(Noor et al., 2023)","plainTextFormattedCitation":"(Noor et al., 2023)","previouslyFormattedCitation":"(Noor et al., 2023)"},"properties":{"noteIndex":0},"schema":"https://github.com/citation-style-language/schema/raw/master/csl-citation.json"}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(Noor et al., 2023)</w:t>
      </w:r>
      <w:r w:rsidRPr="00180398">
        <w:rPr>
          <w:rFonts w:ascii="Calibri Light" w:hAnsi="Calibri Light" w:cs="Calibri Light"/>
        </w:rPr>
        <w:fldChar w:fldCharType="end"/>
      </w:r>
      <w:r w:rsidRPr="00180398">
        <w:rPr>
          <w:rFonts w:ascii="Calibri Light" w:hAnsi="Calibri Light" w:cs="Calibri Light"/>
          <w:lang w:eastAsia="en-US"/>
        </w:rPr>
        <w:t>.</w:t>
      </w:r>
    </w:p>
    <w:p w14:paraId="25BCEB10" w14:textId="15B73628"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In some </w:t>
      </w:r>
      <w:r w:rsidR="00173EAC">
        <w:rPr>
          <w:rFonts w:ascii="Calibri Light" w:hAnsi="Calibri Light" w:cs="Calibri Light"/>
          <w:lang w:eastAsia="en-US"/>
        </w:rPr>
        <w:t>W</w:t>
      </w:r>
      <w:r w:rsidRPr="00180398">
        <w:rPr>
          <w:rFonts w:ascii="Calibri Light" w:hAnsi="Calibri Light" w:cs="Calibri Light"/>
          <w:lang w:eastAsia="en-US"/>
        </w:rPr>
        <w:t>estern countries</w:t>
      </w:r>
      <w:r w:rsidR="00173EAC">
        <w:rPr>
          <w:rFonts w:ascii="Calibri Light" w:hAnsi="Calibri Light" w:cs="Calibri Light"/>
          <w:lang w:eastAsia="en-US"/>
        </w:rPr>
        <w:t>,</w:t>
      </w:r>
      <w:r w:rsidRPr="00180398">
        <w:rPr>
          <w:rFonts w:ascii="Calibri Light" w:hAnsi="Calibri Light" w:cs="Calibri Light"/>
          <w:lang w:eastAsia="en-US"/>
        </w:rPr>
        <w:t xml:space="preserve"> slaughter has required animals to be stunned before slaughter to prevent their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Research","id":"ITEM-1","issue":"4","issued":{"date-parts":[["2015"]]},"language":"English","page":"110-127","publisher":"GESIS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slaughter","type":"article-journal","volume":"40"},"uris":["http://www.mendeley.com/documents/?uuid=15df3bf3-bbdf-43a9-8b50-6376b964289b","http://www.mendeley.com/documents/?uuid=02cbcc3a-608a-4928-a619-521c51fc8cc9"]}],"mendeley":{"formattedCitation":"(Zuolo, 2015)","plainTextFormattedCitation":"(Zuolo, 2015)","previouslyFormattedCitation":"(Zuolo, 2015)"},"properties":{"noteIndex":0},"schema":"https://github.com/citation-style-language/schema/raw/master/csl-citation.json"}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(Zuolo, 2015)</w:t>
      </w:r>
      <w:r w:rsidRPr="00180398">
        <w:rPr>
          <w:rFonts w:ascii="Calibri Light" w:hAnsi="Calibri Light" w:cs="Calibri Light"/>
        </w:rPr>
        <w:fldChar w:fldCharType="end"/>
      </w:r>
      <w:r w:rsidRPr="00180398">
        <w:rPr>
          <w:rFonts w:ascii="Calibri Light" w:hAnsi="Calibri Light" w:cs="Calibri Light"/>
          <w:lang w:eastAsia="en-US"/>
        </w:rPr>
        <w:t>. A simple stun results in the animal being temporarily unconscious and insensitive to pain, pressure, fear</w:t>
      </w:r>
      <w:r w:rsidR="00173EAC">
        <w:rPr>
          <w:rFonts w:ascii="Calibri Light" w:hAnsi="Calibri Light" w:cs="Calibri Light"/>
          <w:lang w:eastAsia="en-US"/>
        </w:rPr>
        <w:t>,</w:t>
      </w:r>
      <w:r w:rsidRPr="00180398">
        <w:rPr>
          <w:rFonts w:ascii="Calibri Light" w:hAnsi="Calibri Light" w:cs="Calibri Light"/>
          <w:lang w:eastAsia="en-US"/>
        </w:rPr>
        <w:t xml:space="preserve"> and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Record","id":"ITEM-1","issue":"6","issued":{"date-parts":[["2022"]]},"language":"English","note":"Export Date: 22 August 2023\n\nCODEN: VETRA\n\nCorrespondence Address: Tetlow, S.A.J.; School of Veterinary Medicine and Science, United Kingdom; email: sky.tetlow@hotmail.co.uk\n\nFunding details: University of Nottingham\n\nFunding text 1: This research was supported by the University of Nottingham.\n\nReferences: (2014) The chambers dictionary, , https://chambers.co.uk/search/?query=slaughter&amp;amp;title=21st, 13th ed., Chambers Harrap Publishers Ltd, Accessed November 27, 2021;\n(2015) The Welfare of Animals at the Time of Killing (England) Regulations 2015, , https://www.legislation.gov.uk/uksi/2015/1782/schedule/3/made, Legislation.gov.uk, p. (SI 2015/1782). Accessed October 10, 2020;\n(2009) Council Regulations (EC) No 1099/2009 of 24 September 2009 on the protection of animals at the time of killing, pp. 303/9-303/11. , Official Journal of the European Union;\n(2020) BVA policy position on non-stun slaughter, , https://www.bva.co.uk/media/1174/bva-policy-position-on-non-stun-slaughter-24519.pdf, British Veterinary Association, Accessed October 5, 2020;\nDaly, C.C., Kallweit, E., Ellendorf, F., Cortical function in cattle during slaughter: conventional captive bolt stunning followed by exsanguination compared with shechita slaughter (1988) Vet Rec, 122 (14), pp. 325-329;\n(2019) Results of the 2018 FSA Survey into Slaughter Methods in England and Wales, , www.nationalarchives.gov.uk/doc/open-government-licence/version/3/oremailPSI@nationalarchives.gsi.gov.ukwww.gov.uk/defra, Department for Environment Food &amp;amp; Rural Affairs, Accessed April 14, 2020;\nVelarde, A., Rodriguez, P., Dalmau, A., Fuentes, C., Llonch, P., von Holleben, K.V., Religious slaughter: evaluation of current practices in selected countries (2014) Meat Sci, 96 (1), pp. 278-287;\n(2009) A guide to shechita, , https://www.shechitauk.org/wp-content/uploads/2016/02/A_Guide_to_Shechita_2009__01.pdf, Shechita UK, Accessed October 18, 2020;\nFuseini, A., Wotton, S., Hadley, P.J., Knowles, T., The compatibility of modern slaughter techniques with halal slaughter: a review of the aspects of “modern” slaughter methods that divide scholarly opinion within the Muslim community (2017) Anim Welf., 26 (3), pp. 301-310;\nFuseini, A., Hadley, P.J., Knowles, T.G., Halal food marketing: an evaluation of UK halal standards (2020) J Islam Mark, , http://doi.org/10.1108/JIMA-02-2020-0037;\n(2020) United Kingdom Slaughter Statistics - November 2020, , https://assets.publishing.service.gov.uk/government/uploads/system/uploads/attachment_data/file/952131/slaughter-statsnotice-10dec20.pdf, Accessed July 8, 2021;\nRegenstein, J.M., Chaudry, M.M., Regenstein, C.E., The Kosher and Halal Food Laws (2003) Compr Rev Food Sci Food Saf., 2 (3), pp. 111-127;\nFuseini, A., Knowles, T.G., The ethics of Halal meat consumption: preferences of consumers in England according to the method of slaughter (2020) Vet Rec., 186 (19), p. 644;\nFuseini, A., Wotton, S.B., Hadley, P.J., Knowles, T.G., The perception and acceptability of pre-slaughter and post-slaughter stunning for Halal production: the views of UK Islamic scholars and Halal consumers (2017) Meat Sci., 123, pp. 143-150;\nRosen, S.D., Physiological insights into Shechita (2004) Vet Rec., 154 (24), pp. 759-765;\nLevinger, I.M., Medical aspects of Shechita: physiological and general medical aspects of Shechita (1976) Verlag nicht ermittelbar;\nSchulze, W., Schultze-Petzold, H., Hazem, A.S., Gross, R., Experiments on the objective assessment of pain and consciousness in slaughtering sheep and calves by the conventional method (humane killer stunning) and by ritual slaughtering laws (shechita) (1978) Dtsch Tierärztl Wochenschr, 85, pp. 62-66;\nGibson, T.J., Johnson, C.B., Murrell, J.C., Hulls, C.M., Mitchinson, S.L., Stafford, K.J., Electroencephalographic responses of halothane-anaesthetised calves to slaughter by ventral-neck incision without prior stunning (2009) N Z Vet J, 57 (2), pp. 77-83;\nBager, F., Braggins, T.J., Devine, C.E., Graafhuis, A.E., Onset of insensibility at slaughter in calves: effects of electroplectic seizure and exsanguination on spontaneous electrocortical activity and indices of cerebral metabolism (1992) Res Vet Sci, 52, pp. 162-173;\nGregory, N.G., Fielding, H.R., von Wenzlawowicz, M., von Holleben, K., Time to collapse following slaughter without stunning in cattle (2010) Meat Sci., 85 (1), pp. 66-69;\nGregory, N.G., von Wenzlawowicz, M., Alam, R.M., Anil, H.M., Yeşildere, T., Silva-Fletcher, A., False aneurysms in carotid arteries of cattle and water buffalo during shechita and halal slaughter (2008) Meat Sci, 79 (2), pp. 285-288;\nDunn, C.S., Stress reactions of cattle undergoing ritual slaughter using two methods of restraint (1990) Vet Rec, 126 (21), pp. 522-525;\nBristow, D.J., Holmes, D.S., Cortisol levels and anxiety-related behaviors in cattle (2007) Physiol Behav, 90 (4), pp. 626-628;\nPetty, D.B., Hattingh, J., Ganhao, M.F., Bezuidenhout, L., Factors which affect blood variables of slaughtered cattle (1994) J S Afr Vet Assoc, 65 (2), pp. 41-45;\nRobins, A., Pleiter, H., Latter, M., Phillips, C.J.C., The efficacy of pulsed ultrahigh current for the stunning of cattle prior to slaughter (2014) Meat Sci, 96 (3), pp. 1201-1209;\nSterza, A., Falbo, M.K., Sandini, I.E., Pivatto, D.D., Halal slaughter with and without stunning in sheep: implications on animal welfare and bleeding efficiency (2020) Braz Arch Vet Med Anim Sci., 72 (5), pp. 1839-1844;\nCeci, E., Marchetti, P., Samoilis, G., Sportelli, S., Roma, R., Barrasso, R., Determination of plasmatic cortisol for evaluation of animal welfare during slaughter (2017) Ital J Food Saf, 6 (3), p. 6912;\nBarrasso, R., Tufarelli, V., Ceci, E., Luposella, F., Bozzo, G., Evaluation of the lambs’ state of consciousness signs during halal and traditional slaughtering (2020) Agriculture, 10 (11), p. 557;\nBourguet, C., Deiss, V., Tannugi, C.C., Terlouw, E.M.C., Behavioural and physiological reactions of cattle in a commercial abattoir: relationships with organisational aspects of the abattoir and animal characteristics (2011) Meat Sci, 88 (1), pp. 158-168;\nVerhoeven, M., (2016) Assessing unconsciousness in livestock at slaughter, p. 186. , http://library.wur.nl/WebQuery/wurpubs/fulltext/388582, Thesis;, Accessed October 21, 2020;\nAghwan, Z.A., Bello, A.U., Abubakar, A.A., Imlan, J.C., Sazili, A.Q., Efficient halal bleeding, animal handling, and welfare: a holistic approach for meat quality (2016) Meat Sci, 121, pp. 420-428;\nTricco, A.C., Lillie, E., Zarin, W., O'Brien, K.K., Colquhoun, H., Levac, D., PRISMA extension for scoping reviews (PRISMA-ScR): checklist and explanation (2018) Ann Intern Med, 169 (7), pp. 467-473;\nBrennan, M.L., Arlt, S.P., Belshaw, Z., Buckley, L., Corah, L., Doit, H., Critically appraised topics (CATs) in veterinary medicine: applying evidence in clinical practice (2020) Front Vet Sci, 7, p. 314;\nWhite, S., Raghavendra, P., McAllister, S., Letting the CAT out of the bag: contribution of critically appraised topics to evidence-based practice (2017) Evid-Based Commun Assess Interv., 11 (1-2), pp. 27-37;\nKallweit, E., Ellendorf, F., Daly, C., Smidt, D., Physiologic reactions during the slaughter of cattle and sheep with and without stunning (1989) Dtsch Tierarztl Wochenschr., 96 (3), pp. 89-92;\nSchulze, W., Schultze-Petzold, H., Hazem, A.S., Gross, R., Objectivization of pain and consciousness in the conventional (dart-gun anesthesia) as well as in ritual (kosher incision) slaughter of sheep and calf (1978) Dtsche Tierarztl Wochenschr, 85 (2), pp. 62-66;\nGregory, N.G., von Wenzlawowicz, M., von Holleben, K., Blood in the respiratory tract during slaughter with and without stunning in cattle (2009) Meat Sci, 82 (1), pp. 13-16;\nBozzo, G., Bonerba, E., Barrasso, R., Roma, R., Luposella, F., Zizzo, N., Evaluation of the occurrence of false aneurysms during halal slaughtering and consequences on the animal's state of consciousness (2020) Animals, 10 (7), p. 1183;\nNeves, J.E.G., Paranhos da Costa, M.J.R., Roça, R.O., Faucitano, L., Gregory, N.G., A note comparing the welfare of Zebu cattle following three stunning-slaughter methods (2016) Meat Sci, 117, pp. 41-43;\nPetty, D.B., Hattingh, J., Ganhao, M.F., Concentration of blood variables in cattle after shechita and conventional slaughter (1991) S Afr J Sci, 87 (8), pp. 397-398;\nPearson, A.J., Kilgour, R., Langen, H.D., Payne, E., Hormonal responses of lambs to trucking, handling and electric stunning (1977) Proc NZ Soc Anim Prod, 37, pp. 243-248;\nDevine, C.E., Gilbert, K.V., Graafhuis, A.E., Tavener, A., Reed, H., Leigh, P., The effect of electrical stunning and slaughter on the electroencephalogram of sheep and calves (1986) Meat Sci, 17 (4), pp. 267-281;\nKiran, M., Naveena, B.M., Smrutirekha, M., Baswa Reddy, P., Rituparna, B., Praveen Kumar, Y., Traditional halal slaughter without stunning versus slaughter with electrical stunning of sheep (Ovis aries) (2019) Meat Sci, 148, pp. 127-136;\nCaballero, C.S., Sumano, L.H., Tapia, G., Ocampo, C.L., Vanil-mandelic acid as indicator of acute stress in cows at slaughter (1998) J Appl Anim Res, 14 (2), pp. 187-191;\nBarrasso, R., Bonerba, E., Ceci, E., Roma, R., Alò, A., Mottola, A., Evaluation of the animal welfare during religious slaughtering (2020) Ital J Food Saf, 9 (1), p. 8387;\nFarouk, M.M., Al-Mazeedi, H.M., Sabow, A.B., Bekhit, A.E.D., Adeyemi, K.D., Sazili, A.Q., Halal and kosher slaughter methods and meat quality: a review (2014) Meat Sci., 98 (3), pp. 505-519;\nNakyinsige, K., Sazili, A.Q., Zulkifli, I., Goh, Y.M., Abu Bakar, F., Sabow, A.B., Influence of gas stunning and halal slaughter (no stunning) on rabbits welfare indicators and meat quality (2014) Meat Sci, 98 (4), pp. 701-708;\nBroom, D.M., The scientific assessment of animal welfare (1988) Appl Anim Behav Sci, 20 (1-2), pp. 5-19;\nVillani, M., Cairoli, F., Kindahl, H., Galeati, G., Faustini, M., Carluccio, A., Effects of mating on plasma concentrations of testosterone, cortisol, oestrone sulphate and 15-ketodihydro-PGF2α in stallions (2006) Reprod Domest Anim., 41 (6), pp. 544-548;\nHill, E.E., Zack, E., Battaglini, C., Viru, M., Viru, A., Hackney, A.C., Exercise and circulating cortisol levels: the intensity threshold effect (2008) J Endocrinol Invest., 31 (7), pp. 587-591;\nKindahl, H., Kornmatitsuk, B., Königsson, K., Gustafsson, H., Endocrine changes in late bovine pregnancy with special emphasis on fetal well-being (2002) Domest Anim Endocrinol., 23 (1-2), pp. 321-328;\nAghwan, Z.A., Regenstein, J.M., Slaughter practices of different faiths in different countries (2019) J Anim Sci Technol., 61 (3), p. 111;\nMagalhães Sant'Ana, M., (2014) Scientific assessment, from an animal welfare perspective, of rotating animals during ritual slaughter. Scientific report for the Scientific Advisory Committee on Animal Health and Welfare (SACAWH) from the Department of Agriculture, Food and the Marine, Republic of Ireland Affiliation: University College Dublin, , https://www.researchgate.net/publication/324172020_Scientific_assessment_from_an_animal_welfare_perspective_of_rotating_animals_during_ritual_slaughter, Accessed January 13, 2022;\nGregory, N.G., Schuster, P., Mirabito, L., Kolesar, R., McManus, T., Arrested blood flow during false aneurysm formation in the carotid arteries of cattle slaughtered with and without stunning (2012) Meat Sci, 90 (2), pp. 368-372;\nGrandin, T., (2012) Cattle should be cut in the cervical (C1) position to improve welfare during Kosher and Halal slaughter without stunning, , https://www.grandin.com/ritual/cattle.cut.jawbone.improve.welfare.html, Colorado State University, Accessed April 24, 2020;\nGibson, T.J., Dadios, N., Gregory, N.G., Effect of neck cut position on time to collapse in halal slaughtered cattle without stunning (2015) Meat Sci., 110, pp. 310-314;\nPozzi, P.S., Geraisy, W., Barakeh, S., Azaran, M., Principles of Jewish and Islamic slaughter with respect to OIE (World Organization for Animal Health) recommendations (2015) Isr J Vet Med, 70 (3), pp. 3-16;\nGarvey, M.J., Noyes, R., Woodman, C., Laukes, C., The association of urinary 5-hydroxyindoleacetic acid and vanillylmandelic acid in patients with generalized anxiety (1995) Neuropsychobiology., 31 (1), pp. 6-9;\nSakuma, N., Nagasaka, N., Changes in urinary excretion of catecholamines and their metabolites in pediatric dental patients (1996) ASDC J Dent Child, 63 (2), pp. 118-122;\nYeasmin Mukta, F., Shamima Akhter, Q., Islam, S., Nahar Layla, K., Binte Azad, A., Lutfar Rahman, K., The evaluation of urinary vanillylmandelic acid level in patients with generalized anxiety disorder (2021) Physiol World J Adv Res Rev., 2021 (1), pp. 1-5. , https://doi.org/10.30574/wjarr.2021.12.1.0482;\nRogatto, G.P., Valim-Rogatto, P.C., Gomes, R.J., Leme, J.A.C.A., Luciano, E., (2014) 24-h Urinary vanillylmandelic acid (VMA) is not a sensitive parameter to identify acute or chronic stress generated by high intensity exercise in animal model. Sciknow Publications in Frontiers of Biological and Life Sciences 4-h Urinary vanillylmandelic acid (VMA) is not a sensitive parameter to identify acute or chronic stress generated by high intensity exercise in animal model, 2 (4), p. 90;\nOpinion of the scientific panel on Animal Health and Welfare (AHAW) on a request from the commission related to welfare aspects of the main systems of stunning and killing the main commercial species of animals (2004) EFSA J., 2 (7), p. 45;\nBager, F., Shaw, F.D., Tavener, A., Loeffen, M.P.F., Devine, C.E., Comparison of EEG and ECoG for detecting cerebrocortical activity during slaughter of calves (1990) Meat Sci, 27 (3), pp. 211-225;\nScientific opinion on monitoring procedures at slaughterhouses for sheep and goats (2013) EFSA J, 11 (12), p. 3265;\nVerhoeven, M.T.W., Gerritzen, M.A., Hellebrekers, L.J., Kemp, B., Validation of indicators used to assess unconsciousness in veal calves at slaughter (2016) Animal, 10 (9), pp. 1457-1465;\nTerlouw, C., Bourguet, C., Deiss, V., Consciousness, unconsciousness and death in the context of slaughter. Part II. Evaluation methods (2016) Meat Sci, 118, pp. 147-156;\nKhalid, R., Knowles, T.G., Wotton, S.B., A comparison of blood loss during the halal slaughter of lambs following traditional religious slaughter without stunning, electric head-only stunning and post-cut electric head-only stunning (2015) Meat Sci, 110, pp. 15-23","page":"no-no","publisher":"John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review","type":"article-journal","volume":"191"},"uris":["http://www.mendeley.com/documents/?uuid=b260c522-21a7-45ad-a589-8d70b67b1eb8"]}],"mendeley":{"formattedCitation":"(Tetlow et al., 2022)","plainTextFormattedCitation":"(Tetlow et al., 2022)","previouslyFormattedCitation":"(Tetlow et al., 2022)"},"properties":{"noteIndex":0},"schema":"https://github.com/citation-style-language/schema/raw/master/csl-citation.json"}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(Tetlow et al., 2022)</w:t>
      </w:r>
      <w:r w:rsidRPr="00180398">
        <w:rPr>
          <w:rFonts w:ascii="Calibri Light" w:hAnsi="Calibri Light" w:cs="Calibri Light"/>
        </w:rPr>
        <w:fldChar w:fldCharType="end"/>
      </w:r>
      <w:r w:rsidRPr="00180398">
        <w:rPr>
          <w:rFonts w:ascii="Calibri Light" w:hAnsi="Calibri Light" w:cs="Calibri Light"/>
          <w:lang w:eastAsia="en-US"/>
        </w:rPr>
        <w:t xml:space="preserve">. From the point of view of animal welfare standards, several issues have been raised related to halal slaughter without stunning, especially </w:t>
      </w:r>
      <w:r w:rsidR="00173EAC">
        <w:rPr>
          <w:rFonts w:ascii="Calibri Light" w:hAnsi="Calibri Light" w:cs="Calibri Light"/>
          <w:lang w:eastAsia="en-US"/>
        </w:rPr>
        <w:t>regarding</w:t>
      </w:r>
      <w:r w:rsidRPr="00180398">
        <w:rPr>
          <w:rFonts w:ascii="Calibri Light" w:hAnsi="Calibri Light" w:cs="Calibri Light"/>
          <w:lang w:eastAsia="en-US"/>
        </w:rPr>
        <w:t xml:space="preserve"> stress control methods and animal conditions that arise due to unconsciousness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w:t>
      </w:r>
    </w:p>
    <w:p w14:paraId="5B92907D" w14:textId="79CBFBD6"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The most widely used stunning methods are mechanical stunning, electric stunning, </w:t>
      </w:r>
      <w:r w:rsidR="00173EAC">
        <w:rPr>
          <w:rFonts w:ascii="Calibri Light" w:hAnsi="Calibri Light" w:cs="Calibri Light"/>
          <w:lang w:eastAsia="en-US"/>
        </w:rPr>
        <w:t xml:space="preserve">and </w:t>
      </w:r>
      <w:r w:rsidRPr="00180398">
        <w:rPr>
          <w:rFonts w:ascii="Calibri Light" w:hAnsi="Calibri Light" w:cs="Calibri Light"/>
          <w:lang w:eastAsia="en-US"/>
        </w:rPr>
        <w:t xml:space="preserve">exposure with gas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Practice","id":"ITEM-1","issued":{"date-parts":[["2017"]]},"language":"English","note":"Cited By :4\n\nExport Date: 22 August 2023\n\nReferences: Adams, D.B., Sheridan, A.D., (2008) Specifying the Risk to Animal Welfare Associated With Livestock Slaughter Without Induced Insensibility, p. 81. , http://www.daff.gov.au/__data/assets/pdf_file/0019/1370332/animal-welfare-livestock-slaughter.pdf, Australian Government Department of Agriculture, Fisheries and Forestry, GPO Box 858, Canberra Act 2601, Australia, Available from;\nAnil, M.H., Studies on the return of physical reflexes in pigs following electrical stunning (1991) Meat Sci., 30, pp. 13-21;\nAnil, M.H., McKinstry, J.L., Wotton, S.B., Gregory, N.G., Welfare of calves. 1. Investigation into some aspects of calf slaughter (1995) Meat Sci., 41, pp. 101-112;\nAnil, M.H., McKinstry, J.L., Gregory, N.G., Wotton, S.B., Symonds, H., Welfare of calves. 2. Increase in vertebral artery blood flow following exsanguination by neck sticking and evaluation of chest sticking as an alternative slaughter method (1995) Meat Sci., 41, pp. 113-123;\nBarnett, J.L., Cronin, G.M., Scott, P.C., Behavioural responses of poultry during kosher slaughter and their implications for the birds’ welfare (2007) Vet. Rec., 160, pp. 45-49;\nBlackmore, D.K., Differences in behaviour between sheep and cattle during slaughter (1984) Res. Vet. Sci., 37, pp. 223-226;\nBlackmore, D.K., Delany, M.W., (1988) Slaughter of Stock-A Practical Review and Guide, , Veterinary Continuing Education, Massey University Auckland;\nBlecha, J., Regulating backyard slaughter: Strategies and gaps in municipal livestock ordinances (2015) J. Agric. Food Syst. Commun. Dev., 6, pp. 33-48;\nBlecha, J., Davis, A., Distance, proximity, and freedom: Identifying conflicting priorities regarding urban backyard livestock slaughter (2014) Geoforum, 57, pp. 67-77;\nBoissy, A., Terlouw, C., Le Nendre, P., Presence of cues from stressed conspecifics increases reactivity to aversive events in cattle: Evidence for the existence of alarm substances in urine (2008) Physiol. Behav., 63, pp. 489-495;\nBrooks, J., Tracey, I., From nociception to pain perception: Imaging the spinal and supraspinal pathways (2005) J. Anat., 207, pp. 19-33;\nCroft, P.G., Problem of electrical stunning (1952) Vet. Rec., 64, pp. 255-258;\nDunn, C.S., Stress reactions of cattle undergoing ritual slaughter using two methods of restraint (1990) Vet. Rec., 126, pp. 522-525;\nLaying down specific hygiene rules for on the hygiene of foodstuffs (2004) Offic. J. Eur. Union, pp. L139-L155. , http://eur-lex.europa.eu/LexUriServ/LexUriServ.do?uri=OJ:L:2004:139:0055:0205:en:PDF;\nCouncil Regulation on the protection of animals at the time of killing (2009) Off. J. European Union L303/1, , http://eur-lex.europa.eu/LexUriServ/LexUriServ.do?uri=OJ:L:2009:303:0001:0030:EN:PDF, Available from;\n(2004) Welfare aspects of animal stunning and killing methods, , http://www.efsa.europa.eu/de/scdocs/doc/45.pdf, Scientific Report of the Scientific Panel for Animal Health and Welfare on a Request From the Commission Related to Welfare Aspects of Animal Stunning and Killing Methods. Available from;\nScientific opinion on monitoring procedures at slaughterhouses for bovines (2013) EFSA J., 11, p. 3460. , http://dx.doi.org/10.2903/j.efsa.2013.3460;\nScientific opinion on monitoring procedures at slaughterhouses for sheep and goats (2013) EFSA J., 11, p. 3522. , http://dx.doi.org/10.2903/j.efsa.2013.3522;\nScientific opinion on monitoring procedures at slaughterhouses for poultry (2013) EFSA J., 11, p. 3521. , http://dx.doi.org/10.2903/j.efsa.2013.3521;\nFanatico, A., (2003) Small-scale poultry processing, , https://attra.ncat.org/attra-pub/download.php?id=235, NCAT Agriculture Specialist. Available from;\nFuseini, A., Knowles, T.G., Lines, J.A., Hadley, P.J., Wotton, S.B., The stunning and slaughter of cattle within the EU: A review of the current situation with regard to the halal market (2016) Anim. Welf, 25, pp. 365-376;\nGibson, T.J., Johnson, C.B., Murrel, J.C., Hull, C.M., Mitchinson, S.L., Stafford, K.J., Johnstone, A.C., Mellor, D.J., Electroencephalographic responses of halothane anaesthetized calves to slaughter by ventral-neck incision without prior stunning (2009) N. Z. Vet. J., 57, pp. 77-83;\nGibson, T.J., Johnson, C.B., Murrell, J.C., Chambers, J.P., Stafford, K.J., Mellor, D.J., Components of electroencephalographic responses to slaughter in halothane-anaesthetized calves: Effects of cutting neck tissues compared with major blood vessels (2009) N. Z. Vet. J., 57, pp. 84-89;\nGibson, T.J., Dadios, N., Gregory, N.G., Effect of neck cut position on time to collapse in halal slaughtered cattle without stunning (2015) Meat Sci., 110, pp. 310-314;\nGraham, J.M., Keatinge, W.R., Responses of inner and outer muscle of the sheep carotid artery to injury (1974) J. Physiol., 247, pp. 473-482;\nGrandin, T., New concepts in livestock handling (1988) Proceedings of the 3rd International Symposium Livestock Environment, pp. 25-27. , Toronto;\nGrandin, T., Regenstein, J.M., Religious slaughter and animal welfare: A discussion for meat scientists (1994) Meat Focus Int, pp. 115-123. , http://www.grandin.com/ritual/kosher.slaugh.html, Available from;\nGrandin, T., Restraint methods for holding animals during ritual slaughter (2005) Animal Welfare at Ritual Slaughter, pp. 64-69. , http://www.erna-graffstiftung.de/cms/download/tierschutz_bei_der_rituellen_schlachtung.pdf, J. Luy., et al., DVG Service gmbH;\nGrandin, T., Making slaughterhouses more humane for cattle, pigs, and sheep (2013) Annu. Rev. Anim. Biosci., 1, pp. 491-512;\nGregory, N.G., Stunning and slaughter (1998) Animal Welfare and Meat Science, pp. 223-240. , N.G. Gregory., CAB International Wallingford;\nGregory, N.G., (2004) Physiology and Behaviour of Animal Suffering, p. 227. , Blackwell Science Oxford, ISBN: 0-632-06468-4;\nGregory, N.G., Recent concerns about stunning and slaughter (2005) Meat Sci., 70, pp. 481-491;\nGregory, N.G., Shaw, F.D., Whitford, J.C., Patterson-Kane, J.C., Prevalence of ballooning of the severed carotid arteries at slaughter in cattle, calves and sheep (2006) Meat Sci., 74, pp. 655-657;\nGregory, N.G., Wenzlawowicz, M.V., Alam, R.M., Anil, H., Yesildere, T., Silva-Fletcher, A., False aneurysms in carotid arteries of cattle and water buffalo during shechita and halal slaughter (2008) Meat Sci., 79, pp. 285-288;\nGregory, N.G., Fielding, H.R., Von Wenzlawowicz, M., Von Holleben, K., Time to collapse following slaughter without stunning in cattle (2010) Meat Sci., 85, pp. 66-69;\nGregory, N.G., Schuster, P., Mirabito, L., Kolesar, R., McManus, T., Arrested blood flow during false aneurysm formation in the carotid arteries of cattle slaughtered with and without stunning (2012) Meat Sci., 90, pp. 368-372;\nGregory, N.G., von Wenzlawowicz, M., von Holleben, K., Fielding, H.R., Gibson, T.J., Mirabito, L., Kolesar, R., Complications during shechita and halal slaughter without stunning in cattle (2012) Anim. Welf, 21, pp. 81-86;\nHoenderken, R., (1978) Elektrische Bedwelming van Slachtvarkens (Electrical Stunning of Slaughter Pigs), , Doctoral Dissertation, University of Utrecht, The Netherlands;\nKavaliers, M., Evolutionary aspects of the neuro-modulation of nociceptive behaviors (1989) Am. Zool., 29, pp. 1345-1353;\nKoorts, R., (1991) The development of a restraining system to accommodate the Jewish method of slaughter (shechita), , M. Dip. Tech. Technikon Witwatersrand, Johannesburg;\nLambooij, B., Kijlstra, A., (2008) Ritueel slachten en het welzijn van herkauwers en pluimvee [Ritual slaughter and animal welfare], , Rapport 161, ISSN 1570-8616, Animal Sciences Group van Wageningen UR, Postbus65, 8200 AB Lelystad;\nLevinger, I.M., (1961) Untersuchungen zum Schächtproblem, , DVM Thesis. University of Zürich, Switzerland;\nLevinger, I.M., (1995) Shechita in the Light of the Year 2000. Critical View of the Scientific Aspects of Methods of Slaughter and Shechita, , Maskil L’David Jerusalem;\nLieben, S., Ueber das Verhalten des Blutdruckes in den Hirngefäßen nach Durchschneidung des Halses. Schächtschnitt der Juden (1925) Monatsschr. Tierheilkund, 31, pp. 481-496;\nMead, G.C., (2004) Poultry Meat Processing and Quality, , Woodhead Publishing Cambridge;\nMellor, D.J., Gibson, T.J., Johnson, C.B., A re-evaluation of the need to stun calves prior to slaughter by ventral-neck incision: An introductory review (2009) N. Z. Vet. J., 57, pp. 74-76;\n(2009) Slaughter of Animals, Terrestrial Animal Health Code, , http://www.oie.int/index.php?id=169&amp;amp;L=0&amp;amp;htmfile=chapitre_aw_slaughter.htm, eighteenth ed., World Organization for Animal Health Paris, France;\nPetty, D.B., Hattingh, J., Ganhao, M.F., Concentration of blood variables in cattle after shechita and conventional slaughter (1991) S. Afr. J. Sci., 65, pp. 397-398;\nRosen, S.D., Physiological insights into Shechita (2004) Vet. Rec, 154, pp. 759-765;\nTyler, J., (2012) Dutch compromise on ritual slaughter, , https://www.rnw.org/archive/dutch-compromise-ritual-slaughter, Radio Netherlands Worldwide. Available from;\nVelarde, A., Rodríguez, P., Dalmau, A., Fuentes, C., Llonch, P., von Holleben, K.V., Anil, M.H., Cenci-Coga, B.T., Religious slaughter: Evaluation of current practices in selected countries (2014) Meat Sci., 96, pp. 278-287;\nvon Holleben, K., von Wenzlawowicz, M., Gregory, N., Anil, H., Velarde, A., Rodriguez, P., Cenci Goga, B., Lambooij, B., Report on good and adverse practices-animal welfare concerns in relation to slaughter practices from the viewpoint of veterinary sciences. Dialrel Report (2010) Deliverable, 1, p. 3. , http://www.dialrel.eu/images/veterinary-concerns.pdf;\nWarin-Ramette, A., Mirabito, L., (2010) Use of Rotating Box and Turned-Back Position of Cattle at the Time of Slaughter. 61st Annual Meeting of the European Association for Animal Production 56, , European Federation of Animal Science Heraklion;\nWoolf, C.J., Pain: Moving from symptom control toward mechanism-specific pharmacologic management (2004) Ann. Intern. Med., 140, pp. 441-451;\nWotton, S.B., Gregory, N.G., Pig slaughtering procedures: Time to loss of brain responsiveness after exsanguination or cardiac arrest (1986) Res. Vet. Sci., 40, pp. 148-151","page":"221-240","publisher":"Elsevier","publisher-place":"IRTA, Animal Welfare Subprogram, Monells, Spain","title":"Slaughter without stunning","type":"chapter"},"uris":["http://www.mendeley.com/documents/?uuid=1a86349f-6439-49a6-b554-06f1d1b0490d"]}],"mendeley":{"formattedCitation":"(Velarde &amp; Dalmau, 2017)","plainTextFormattedCitation":"(Velarde &amp; Dalmau, 2017)","previouslyFormattedCitation":"(Velarde &amp; Dalmau, 2017)"},"properties":{"noteIndex":0},"schema":"https://github.com/citation-style-language/schema/raw/master/csl-citation.json"}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(Velarde &amp; Dalmau, 2017)</w:t>
      </w:r>
      <w:r w:rsidRPr="00180398">
        <w:rPr>
          <w:rFonts w:ascii="Calibri Light" w:hAnsi="Calibri Light" w:cs="Calibri Light"/>
        </w:rPr>
        <w:fldChar w:fldCharType="end"/>
      </w:r>
      <w:r w:rsidRPr="00180398">
        <w:rPr>
          <w:rFonts w:ascii="Calibri Light" w:hAnsi="Calibri Light" w:cs="Calibri Light"/>
          <w:lang w:eastAsia="en-US"/>
        </w:rPr>
        <w:t xml:space="preserve">. The method of slaughtering by stunned aims </w:t>
      </w:r>
      <w:r w:rsidRPr="00180398">
        <w:rPr>
          <w:rFonts w:ascii="Calibri Light" w:hAnsi="Calibri Light" w:cs="Calibri Light"/>
          <w:lang w:eastAsia="en-US"/>
        </w:rPr>
        <w:lastRenderedPageBreak/>
        <w:t>to increase the efficiency of the slaughtering process and reduce pain in animals, but it raises debate regarding its suitability with Islamic sharia law (</w:t>
      </w:r>
      <w:proofErr w:type="spellStart"/>
      <w:r w:rsidRPr="00180398">
        <w:rPr>
          <w:rFonts w:ascii="Calibri Light" w:hAnsi="Calibri Light" w:cs="Calibri Light"/>
          <w:lang w:eastAsia="en-US"/>
        </w:rPr>
        <w:t>Nugraha</w:t>
      </w:r>
      <w:proofErr w:type="spellEnd"/>
      <w:r w:rsidRPr="00180398">
        <w:rPr>
          <w:rFonts w:ascii="Calibri Light" w:hAnsi="Calibri Light" w:cs="Calibri Light"/>
          <w:lang w:eastAsia="en-US"/>
        </w:rPr>
        <w:t>, 2024). However, the fainting method is the most effective way to avoid the pain experienced by animals</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affecting their welfare</w:t>
      </w:r>
      <w:r w:rsidRPr="00180398">
        <w:rPr>
          <w:rFonts w:ascii="Calibri Light" w:hAnsi="Calibri Light" w:cs="Calibri Light"/>
          <w:lang w:eastAsia="en-US"/>
        </w:rPr>
        <w:t xml:space="preserve">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 xml:space="preserve">. </w:t>
      </w:r>
    </w:p>
    <w:p w14:paraId="20BDF6C9" w14:textId="77777777"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In Muslim-majority countries, regulations on the </w:t>
      </w:r>
      <w:r w:rsidRPr="00180398">
        <w:rPr>
          <w:rFonts w:ascii="Calibri Light" w:hAnsi="Calibri Light" w:cs="Calibri Light"/>
          <w:i/>
          <w:iCs/>
        </w:rPr>
        <w:t xml:space="preserve">stunning </w:t>
      </w:r>
      <w:r w:rsidRPr="00180398">
        <w:rPr>
          <w:rFonts w:ascii="Calibri Light" w:hAnsi="Calibri Light" w:cs="Calibri Light"/>
        </w:rPr>
        <w:t xml:space="preserve">tend to consider halal aspects based on Islamic sharia while meeting industrial modernization standards. In contrast, in Muslim minority countries, the regulation is often influenced by social and political pressure from non-Muslim groups who fight for animal welfare without fully understanding the principles of halal slaughter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review","type":"article-journal","volume":"5"},"uris":["http://www.mendeley.com/documents/?uuid=8607b774-233d-4109-b586-fbcd05a2d6f6"]}],"mendeley":{"formattedCitation":"(Riaz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(Riaz et al., 2021)</w:t>
      </w:r>
      <w:r w:rsidRPr="00180398">
        <w:rPr>
          <w:rFonts w:ascii="Calibri Light" w:hAnsi="Calibri Light" w:cs="Calibri Light"/>
        </w:rPr>
        <w:fldChar w:fldCharType="end"/>
      </w:r>
      <w:r w:rsidRPr="00180398">
        <w:rPr>
          <w:rFonts w:ascii="Calibri Light" w:hAnsi="Calibri Light" w:cs="Calibri Light"/>
        </w:rPr>
        <w:t>.</w:t>
      </w:r>
    </w:p>
    <w:p w14:paraId="32B13BA9" w14:textId="28318563"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A comparative analysis of laws between countries regarding </w:t>
      </w:r>
      <w:r w:rsidRPr="00180398">
        <w:rPr>
          <w:rFonts w:ascii="Calibri Light" w:hAnsi="Calibri Light" w:cs="Calibri Light"/>
          <w:i/>
          <w:iCs/>
        </w:rPr>
        <w:t>stunning</w:t>
      </w:r>
      <w:r w:rsidRPr="00180398">
        <w:rPr>
          <w:rFonts w:ascii="Calibri Light" w:hAnsi="Calibri Light" w:cs="Calibri Light"/>
        </w:rPr>
        <w:t xml:space="preserve"> methods is important to explore how the application of Islamic law can adapt </w:t>
      </w:r>
      <w:r w:rsidR="00173EAC">
        <w:rPr>
          <w:rFonts w:ascii="Calibri Light" w:hAnsi="Calibri Light" w:cs="Calibri Light"/>
        </w:rPr>
        <w:t>to</w:t>
      </w:r>
      <w:r w:rsidRPr="00180398">
        <w:rPr>
          <w:rFonts w:ascii="Calibri Light" w:hAnsi="Calibri Light" w:cs="Calibri Light"/>
        </w:rPr>
        <w:t xml:space="preserve"> various cultural contexts and diverse political dynamics. It also provides insight into the challenges faced by the global halal industry in bridging the religious needs of Muslims with the demands of modernization and international regulations. </w:t>
      </w:r>
    </w:p>
    <w:p w14:paraId="0FFE59E8" w14:textId="65897B92" w:rsidR="009978E7" w:rsidRPr="00173EAC" w:rsidRDefault="00180398" w:rsidP="00180398">
      <w:pPr>
        <w:spacing w:before="120" w:after="120"/>
        <w:ind w:left="425"/>
        <w:jc w:val="both"/>
        <w:rPr>
          <w:rFonts w:ascii="Calibri Light" w:hAnsi="Calibri Light" w:cs="Calibri Light"/>
          <w:sz w:val="24"/>
          <w:szCs w:val="24"/>
        </w:rPr>
      </w:pPr>
      <w:r w:rsidRPr="00173EAC">
        <w:rPr>
          <w:rFonts w:ascii="Calibri Light" w:hAnsi="Calibri Light" w:cs="Calibri Light"/>
          <w:sz w:val="24"/>
          <w:szCs w:val="24"/>
        </w:rPr>
        <w:t xml:space="preserve">This study aims to conduct a systematic review of stunning regulations in halal slaughter in various Muslim and non-Muslim majority countries. Using the Systematic Literature Review (SLR) approach, this study will identify the regulation and application of the </w:t>
      </w:r>
      <w:commentRangeStart w:id="6"/>
      <w:r w:rsidRPr="00173EAC">
        <w:rPr>
          <w:rFonts w:ascii="Calibri Light" w:hAnsi="Calibri Light" w:cs="Calibri Light"/>
          <w:sz w:val="24"/>
          <w:szCs w:val="24"/>
        </w:rPr>
        <w:t xml:space="preserve">stunning law in halal slaughter to the </w:t>
      </w:r>
      <w:proofErr w:type="spellStart"/>
      <w:r w:rsidRPr="00173EAC">
        <w:rPr>
          <w:rFonts w:ascii="Calibri Light" w:hAnsi="Calibri Light" w:cs="Calibri Light"/>
          <w:sz w:val="24"/>
          <w:szCs w:val="24"/>
        </w:rPr>
        <w:t>halalness</w:t>
      </w:r>
      <w:proofErr w:type="spellEnd"/>
      <w:r w:rsidRPr="00173EAC">
        <w:rPr>
          <w:rFonts w:ascii="Calibri Light" w:hAnsi="Calibri Light" w:cs="Calibri Light"/>
          <w:sz w:val="24"/>
          <w:szCs w:val="24"/>
        </w:rPr>
        <w:t xml:space="preserve"> of meat and animal welfare. The results of this research are expected to provide deeper insights into how Islamic law is applied in a diverse global context.</w:t>
      </w:r>
      <w:bookmarkEnd w:id="5"/>
      <w:commentRangeEnd w:id="6"/>
      <w:r w:rsidR="00607219">
        <w:rPr>
          <w:rStyle w:val="CommentReference"/>
        </w:rPr>
        <w:commentReference w:id="6"/>
      </w:r>
    </w:p>
    <w:p w14:paraId="4A459286" w14:textId="77777777" w:rsidR="00180398" w:rsidRPr="00180398" w:rsidRDefault="00180398" w:rsidP="00180398">
      <w:pPr>
        <w:spacing w:before="120" w:after="120"/>
        <w:ind w:left="425"/>
        <w:jc w:val="both"/>
        <w:rPr>
          <w:rFonts w:ascii="Calibri Light" w:hAnsi="Calibri Light" w:cs="Calibri Light"/>
          <w:sz w:val="24"/>
          <w:szCs w:val="24"/>
        </w:rPr>
      </w:pPr>
    </w:p>
    <w:p w14:paraId="5862F4CA" w14:textId="7A8933A8" w:rsidR="00180398" w:rsidRPr="00180398" w:rsidRDefault="00180398"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7"/>
      <w:r>
        <w:rPr>
          <w:rFonts w:ascii="Calibri Light" w:hAnsi="Calibri Light" w:cs="Calibri Light"/>
          <w:b/>
          <w:sz w:val="24"/>
          <w:szCs w:val="24"/>
        </w:rPr>
        <w:t>LITERATURE REVIEW</w:t>
      </w:r>
    </w:p>
    <w:p w14:paraId="61CF5B93" w14:textId="0AF98E94" w:rsidR="00180398" w:rsidRPr="00180398" w:rsidRDefault="00180398" w:rsidP="00180398">
      <w:pPr>
        <w:spacing w:before="120" w:after="120"/>
        <w:ind w:left="425" w:firstLine="1"/>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Halal slaughter is an integral part of Islamic teachings that regulate the procedure for slaughtering animals according to sharia. In the modern context, </w:t>
      </w:r>
      <w:r w:rsidRPr="00180398">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review","type":"article-journal","volume":"5"},"uris":["http://www.mendeley.com/documents/?uuid=8607b774-233d-4109-b586-fbcd05a2d6f6","http://www.mendeley.com/documents/?uuid=8da38c02-58f4-4c87-a1d5-b08ff5c029e1"]}],"mendeley":{"formattedCitation":"(Riaz et al., 2021)","manualFormatting":"Riaz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 xml:space="preserve">Riaz et al. </w:t>
      </w:r>
      <w:r w:rsidR="00173EAC">
        <w:rPr>
          <w:rFonts w:ascii="Calibri Light" w:hAnsi="Calibri Light" w:cs="Calibri Light"/>
          <w:noProof/>
          <w:sz w:val="24"/>
          <w:szCs w:val="24"/>
        </w:rPr>
        <w:t>(</w:t>
      </w:r>
      <w:r w:rsidRPr="00180398">
        <w:rPr>
          <w:rFonts w:ascii="Calibri Light" w:hAnsi="Calibri Light" w:cs="Calibri Light"/>
          <w:noProof/>
          <w:sz w:val="24"/>
          <w:szCs w:val="24"/>
        </w:rPr>
        <w:t>2021</w:t>
      </w:r>
      <w:r w:rsidRPr="00180398">
        <w:rPr>
          <w:rFonts w:ascii="Calibri Light" w:hAnsi="Calibri Light" w:cs="Calibri Light"/>
          <w:sz w:val="24"/>
          <w:szCs w:val="24"/>
        </w:rPr>
        <w:fldChar w:fldCharType="end"/>
      </w:r>
      <w:r w:rsidR="00173EAC">
        <w:rPr>
          <w:rFonts w:ascii="Calibri Light" w:hAnsi="Calibri Light" w:cs="Calibri Light"/>
          <w:sz w:val="24"/>
          <w:szCs w:val="24"/>
        </w:rPr>
        <w:t>), in their research, said that the stunning</w:t>
      </w:r>
      <w:r w:rsidRPr="00180398">
        <w:rPr>
          <w:rFonts w:ascii="Calibri Light" w:hAnsi="Calibri Light" w:cs="Calibri Light"/>
          <w:sz w:val="24"/>
          <w:szCs w:val="24"/>
        </w:rPr>
        <w:t xml:space="preserve"> is one of the controversial topics because it involves technology that </w:t>
      </w:r>
      <w:commentRangeEnd w:id="7"/>
      <w:r w:rsidR="00372E8B">
        <w:rPr>
          <w:rStyle w:val="CommentReference"/>
        </w:rPr>
        <w:commentReference w:id="7"/>
      </w:r>
      <w:r w:rsidRPr="00180398">
        <w:rPr>
          <w:rFonts w:ascii="Calibri Light" w:hAnsi="Calibri Light" w:cs="Calibri Light"/>
          <w:sz w:val="24"/>
          <w:szCs w:val="24"/>
        </w:rPr>
        <w:t xml:space="preserve">is not explicitly mentioned in the Qur'an and Hadith. </w:t>
      </w:r>
      <w:r w:rsidR="00173EAC">
        <w:rPr>
          <w:rFonts w:ascii="Calibri Light" w:hAnsi="Calibri Light" w:cs="Calibri Light"/>
          <w:sz w:val="24"/>
          <w:szCs w:val="24"/>
        </w:rPr>
        <w:t>T</w:t>
      </w:r>
      <w:r w:rsidRPr="00180398">
        <w:rPr>
          <w:rFonts w:ascii="Calibri Light" w:hAnsi="Calibri Light" w:cs="Calibri Light"/>
          <w:sz w:val="24"/>
          <w:szCs w:val="24"/>
        </w:rPr>
        <w:t>he stunning method is a technique used to make animals immobile or unconscious before or during the slaughter process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quality","type":"article-journal","volume":"98"},"uris":["http://www.mendeley.com/documents/?uuid=0873b439-43f7-42bf-8558-cf916912e931"]}],"mendeley":{"formattedCitation":"(Nakyinsige, Sazili, et al., 2014)","plainTextFormattedCitation":"(Nakyinsige, Sazili, et al., 2014)","previouslyFormattedCitation":"(Nakyinsige, Sazili,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Sazili,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Stunning is done to make animals unconscious before slaughter, </w:t>
      </w:r>
      <w:r w:rsidR="00173EAC">
        <w:rPr>
          <w:rFonts w:ascii="Calibri Light" w:hAnsi="Calibri Light" w:cs="Calibri Light"/>
          <w:sz w:val="24"/>
          <w:szCs w:val="24"/>
        </w:rPr>
        <w:t>to reduce pain and stress in animals, and to improve</w:t>
      </w:r>
      <w:r w:rsidRPr="00180398">
        <w:rPr>
          <w:rFonts w:ascii="Calibri Light" w:hAnsi="Calibri Light" w:cs="Calibri Light"/>
          <w:sz w:val="24"/>
          <w:szCs w:val="24"/>
        </w:rPr>
        <w:t xml:space="preserve"> welfare standards during the slaughter process. However, This </w:t>
      </w:r>
      <w:r w:rsidR="00173EAC">
        <w:rPr>
          <w:rFonts w:ascii="Calibri Light" w:hAnsi="Calibri Light" w:cs="Calibri Light"/>
          <w:sz w:val="24"/>
          <w:szCs w:val="24"/>
        </w:rPr>
        <w:t xml:space="preserve">stunning </w:t>
      </w:r>
      <w:r w:rsidRPr="00180398">
        <w:rPr>
          <w:rFonts w:ascii="Calibri Light" w:hAnsi="Calibri Light" w:cs="Calibri Light"/>
          <w:sz w:val="24"/>
          <w:szCs w:val="24"/>
        </w:rPr>
        <w:t xml:space="preserve">method has given rise to debate among scholars and Muslim communities regarding the </w:t>
      </w:r>
      <w:proofErr w:type="spellStart"/>
      <w:r w:rsidRPr="00180398">
        <w:rPr>
          <w:rFonts w:ascii="Calibri Light" w:hAnsi="Calibri Light" w:cs="Calibri Light"/>
          <w:sz w:val="24"/>
          <w:szCs w:val="24"/>
        </w:rPr>
        <w:t>halalness</w:t>
      </w:r>
      <w:proofErr w:type="spellEnd"/>
      <w:r w:rsidRPr="00180398">
        <w:rPr>
          <w:rFonts w:ascii="Calibri Light" w:hAnsi="Calibri Light" w:cs="Calibri Light"/>
          <w:sz w:val="24"/>
          <w:szCs w:val="24"/>
        </w:rPr>
        <w:t xml:space="preserve"> of the meat produced</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(Fuseini, Wotton,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w:t>
      </w:r>
    </w:p>
    <w:p w14:paraId="6AF908AA" w14:textId="3BE2EF0F"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In the perspective of Islamic law, it is mentioned in QS. Al-</w:t>
      </w:r>
      <w:proofErr w:type="spellStart"/>
      <w:r w:rsidRPr="00180398">
        <w:rPr>
          <w:rFonts w:ascii="Calibri Light" w:hAnsi="Calibri Light" w:cs="Calibri Light"/>
          <w:sz w:val="24"/>
          <w:szCs w:val="24"/>
        </w:rPr>
        <w:t>An'am</w:t>
      </w:r>
      <w:proofErr w:type="spellEnd"/>
      <w:r w:rsidRPr="00180398">
        <w:rPr>
          <w:rFonts w:ascii="Calibri Light" w:hAnsi="Calibri Light" w:cs="Calibri Light"/>
          <w:sz w:val="24"/>
          <w:szCs w:val="24"/>
        </w:rPr>
        <w:t xml:space="preserve"> verse 119 </w:t>
      </w:r>
      <w:r w:rsidR="00173EAC">
        <w:rPr>
          <w:rFonts w:ascii="Calibri Light" w:hAnsi="Calibri Light" w:cs="Calibri Light"/>
          <w:sz w:val="24"/>
          <w:szCs w:val="24"/>
        </w:rPr>
        <w:t xml:space="preserve">says </w:t>
      </w:r>
      <w:r w:rsidRPr="00180398">
        <w:rPr>
          <w:rFonts w:ascii="Calibri Light" w:hAnsi="Calibri Light" w:cs="Calibri Light"/>
          <w:sz w:val="24"/>
          <w:szCs w:val="24"/>
        </w:rPr>
        <w:t xml:space="preserve">that halal slaughter must meet several conditions, such as animals must live when slaughtered, the name of Allah must be mentioned, and blood must come out </w:t>
      </w:r>
      <w:r w:rsidR="00173EAC">
        <w:rPr>
          <w:rFonts w:ascii="Calibri Light" w:hAnsi="Calibri Light" w:cs="Calibri Light"/>
          <w:sz w:val="24"/>
          <w:szCs w:val="24"/>
        </w:rPr>
        <w:t>ultima</w:t>
      </w:r>
      <w:r w:rsidRPr="00180398">
        <w:rPr>
          <w:rFonts w:ascii="Calibri Light" w:hAnsi="Calibri Light" w:cs="Calibri Light"/>
          <w:sz w:val="24"/>
          <w:szCs w:val="24"/>
        </w:rPr>
        <w:t xml:space="preserve">tely. </w:t>
      </w:r>
      <w:r w:rsidR="00173EAC">
        <w:rPr>
          <w:rFonts w:ascii="Calibri Light" w:hAnsi="Calibri Light" w:cs="Calibri Light"/>
          <w:sz w:val="24"/>
          <w:szCs w:val="24"/>
        </w:rPr>
        <w:t>S</w:t>
      </w:r>
      <w:r w:rsidRPr="00180398">
        <w:rPr>
          <w:rFonts w:ascii="Calibri Light" w:hAnsi="Calibri Light" w:cs="Calibri Light"/>
          <w:sz w:val="24"/>
          <w:szCs w:val="24"/>
        </w:rPr>
        <w:t>tunning is considered halal if it is reversible</w:t>
      </w:r>
      <w:r w:rsidR="00173EAC">
        <w:rPr>
          <w:rFonts w:ascii="Calibri Light" w:hAnsi="Calibri Light" w:cs="Calibri Light"/>
          <w:sz w:val="24"/>
          <w:szCs w:val="24"/>
        </w:rPr>
        <w:t>. T</w:t>
      </w:r>
      <w:r w:rsidRPr="00180398">
        <w:rPr>
          <w:rFonts w:ascii="Calibri Light" w:hAnsi="Calibri Light" w:cs="Calibri Light"/>
          <w:sz w:val="24"/>
          <w:szCs w:val="24"/>
        </w:rPr>
        <w:t>hat is, animals can regain consciousness if they are not slaughtered and do not cause death or permanent injury before slaughter</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stun-killing","type":"article-journal","volume":"27"},"uris":["http://www.mendeley.com/documents/?uuid=4fed5bae-c94f-4047-a557-05a9559a4613"]}],"mendeley":{"formattedCitation":"(Nakyinsige, Fatimah, et al., 2014)","plainTextFormattedCitation":"(Nakyinsige, Fatimah, et al., 2014)","previouslyFormattedCitation":"(Nakyinsige, Fatimah,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Fatimah,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w:t>
      </w:r>
    </w:p>
    <w:p w14:paraId="6ECE6208" w14:textId="7E2E397B" w:rsidR="00180398" w:rsidRPr="00173EAC" w:rsidRDefault="00180398" w:rsidP="00173EAC">
      <w:pPr>
        <w:pStyle w:val="IJOPCMBody"/>
        <w:suppressAutoHyphens/>
        <w:ind w:left="425" w:firstLine="1"/>
        <w:rPr>
          <w:rFonts w:ascii="Calibri Light" w:hAnsi="Calibri Light" w:cs="Calibri Light"/>
        </w:rPr>
      </w:pPr>
      <w:r w:rsidRPr="00180398">
        <w:rPr>
          <w:rFonts w:ascii="Calibri Light" w:hAnsi="Calibri Light" w:cs="Calibri Light"/>
        </w:rPr>
        <w:t xml:space="preserve">In Indonesia, the Fatwa of the Indonesian Ulema Council (MUI) Number 12 of 2009 allows the use of the method of </w:t>
      </w:r>
      <w:commentRangeStart w:id="8"/>
      <w:r w:rsidRPr="00180398">
        <w:rPr>
          <w:rFonts w:ascii="Calibri Light" w:hAnsi="Calibri Light" w:cs="Calibri Light"/>
        </w:rPr>
        <w:t>stunning (</w:t>
      </w:r>
      <w:r w:rsidRPr="00173EAC">
        <w:rPr>
          <w:rFonts w:ascii="Calibri Light" w:hAnsi="Calibri Light" w:cs="Calibri Light"/>
        </w:rPr>
        <w:t>stunning</w:t>
      </w:r>
      <w:commentRangeEnd w:id="8"/>
      <w:r w:rsidR="009C1D80">
        <w:rPr>
          <w:rStyle w:val="CommentReference"/>
          <w:rFonts w:eastAsia="Times New Roman"/>
          <w:lang w:eastAsia="en-GB"/>
        </w:rPr>
        <w:commentReference w:id="8"/>
      </w:r>
      <w:r w:rsidRPr="00173EAC">
        <w:rPr>
          <w:rFonts w:ascii="Calibri Light" w:hAnsi="Calibri Light" w:cs="Calibri Light"/>
        </w:rPr>
        <w:t>)</w:t>
      </w:r>
      <w:r w:rsidR="00173EAC" w:rsidRPr="00173EAC">
        <w:rPr>
          <w:rFonts w:ascii="Calibri Light" w:hAnsi="Calibri Light" w:cs="Calibri Light"/>
        </w:rPr>
        <w:t>,</w:t>
      </w:r>
      <w:r w:rsidRPr="00173EAC">
        <w:rPr>
          <w:rFonts w:ascii="Calibri Light" w:hAnsi="Calibri Light" w:cs="Calibri Light"/>
        </w:rPr>
        <w:t xml:space="preserve"> provided that the stun does not cause death or permanent injury to the animal before slaughter </w:t>
      </w:r>
      <w:bookmarkStart w:id="9" w:name="_Hlk186826706"/>
      <w:r w:rsidRPr="00173EAC">
        <w:rPr>
          <w:rFonts w:ascii="Calibri Light" w:hAnsi="Calibri Light" w:cs="Calibri Light"/>
        </w:rPr>
        <w:fldChar w:fldCharType="begin" w:fldLock="1"/>
      </w:r>
      <w:r w:rsidR="00173EAC">
        <w:rPr>
          <w:rFonts w:ascii="Calibri Light" w:hAnsi="Calibri Light" w:cs="Calibri Light"/>
        </w:rPr>
        <w:instrText>ADDIN CSL_CITATION {"citationItems":[{"id":"ITEM-1","itemData":{"author":[{"dropping-particle":"","family":"Majelis Ulama Indonesia","given":"","non-dropping-particle":"","parse-names":false,"suffix":""}],"id":"ITEM-1","issued":{"date-parts":[["2009"]]},"publisher-place":"Jakarta","title":"Fatwa MUI No. 12 Tahun 2009 tentang Standar Sertifikasi Penyembelihan Halal","type":"book"},"uris":["http://www.mendeley.com/documents/?uuid=387cc939-ed81-4198-9eb3-74c05e28c056"]}],"mendeley":{"formattedCitation":"(Majelis Ulama Indonesia, 2009)","plainTextFormattedCitation":"(Majelis Ulama Indonesia, 2009)","previouslyFormattedCitation":"(Majelis Ulama Indonesia, 2009)"},"properties":{"noteIndex":0},"schema":"https://github.com/citation-style-language/schema/raw/master/csl-citation.json"}</w:instrText>
      </w:r>
      <w:r w:rsidRPr="00173EAC">
        <w:rPr>
          <w:rFonts w:ascii="Calibri Light" w:hAnsi="Calibri Light" w:cs="Calibri Light"/>
        </w:rPr>
        <w:fldChar w:fldCharType="separate"/>
      </w:r>
      <w:r w:rsidR="00173EAC" w:rsidRPr="00173EAC">
        <w:rPr>
          <w:rFonts w:ascii="Calibri Light" w:hAnsi="Calibri Light" w:cs="Calibri Light"/>
          <w:noProof/>
        </w:rPr>
        <w:t>(Majelis Ulama Indonesia, 2009)</w:t>
      </w:r>
      <w:r w:rsidRPr="00173EAC">
        <w:rPr>
          <w:rFonts w:ascii="Calibri Light" w:hAnsi="Calibri Light" w:cs="Calibri Light"/>
        </w:rPr>
        <w:fldChar w:fldCharType="end"/>
      </w:r>
      <w:bookmarkEnd w:id="9"/>
      <w:r w:rsidRPr="00173EAC">
        <w:rPr>
          <w:rFonts w:ascii="Calibri Light" w:hAnsi="Calibri Light" w:cs="Calibri Light"/>
        </w:rPr>
        <w:t>. This</w:t>
      </w:r>
      <w:r w:rsidR="00173EAC">
        <w:rPr>
          <w:rFonts w:ascii="Calibri Light" w:hAnsi="Calibri Light" w:cs="Calibri Light"/>
        </w:rPr>
        <w:t xml:space="preserve"> mechanism</w:t>
      </w:r>
      <w:r w:rsidRPr="00173EAC">
        <w:rPr>
          <w:rFonts w:ascii="Calibri Light" w:hAnsi="Calibri Light" w:cs="Calibri Light"/>
        </w:rPr>
        <w:t xml:space="preserve"> </w:t>
      </w:r>
      <w:r w:rsidR="00173EAC">
        <w:rPr>
          <w:rFonts w:ascii="Calibri Light" w:hAnsi="Calibri Light" w:cs="Calibri Light"/>
        </w:rPr>
        <w:t>ensures</w:t>
      </w:r>
      <w:r w:rsidRPr="00173EAC">
        <w:rPr>
          <w:rFonts w:ascii="Calibri Light" w:hAnsi="Calibri Light" w:cs="Calibri Light"/>
        </w:rPr>
        <w:t xml:space="preserve"> that the meat produced remains halal and meets the principles of </w:t>
      </w:r>
      <w:r w:rsidRPr="00173EAC">
        <w:rPr>
          <w:rFonts w:ascii="Calibri Light" w:hAnsi="Calibri Light" w:cs="Calibri Light"/>
        </w:rPr>
        <w:lastRenderedPageBreak/>
        <w:t>Courtesy in Islam</w:t>
      </w:r>
      <w:r w:rsidR="00173EAC">
        <w:rPr>
          <w:rFonts w:ascii="Calibri Light" w:hAnsi="Calibri Light" w:cs="Calibri Light"/>
        </w:rPr>
        <w:t xml:space="preserve"> </w:t>
      </w:r>
      <w:r w:rsidR="00173EAC">
        <w:rPr>
          <w:rFonts w:ascii="Calibri Light" w:hAnsi="Calibri Light" w:cs="Calibri Light"/>
        </w:rPr>
        <w:fldChar w:fldCharType="begin" w:fldLock="1"/>
      </w:r>
      <w:r w:rsidR="00173EAC">
        <w:rPr>
          <w:rFonts w:ascii="Calibri Light" w:hAnsi="Calibri Light" w:cs="Calibri Light"/>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sidR="00173EAC">
        <w:rPr>
          <w:rFonts w:ascii="Calibri Light" w:hAnsi="Calibri Light" w:cs="Calibri Light"/>
        </w:rPr>
        <w:fldChar w:fldCharType="separate"/>
      </w:r>
      <w:r w:rsidR="00173EAC" w:rsidRPr="00173EAC">
        <w:rPr>
          <w:rFonts w:ascii="Calibri Light" w:hAnsi="Calibri Light" w:cs="Calibri Light"/>
          <w:noProof/>
        </w:rPr>
        <w:t>(Husna, 2021; Nakyinsige, Fatimah, et al., 2014)</w:t>
      </w:r>
      <w:r w:rsidR="00173EAC">
        <w:rPr>
          <w:rFonts w:ascii="Calibri Light" w:hAnsi="Calibri Light" w:cs="Calibri Light"/>
        </w:rPr>
        <w:fldChar w:fldCharType="end"/>
      </w:r>
      <w:r w:rsidRPr="00173EAC">
        <w:rPr>
          <w:rFonts w:ascii="Calibri Light" w:hAnsi="Calibri Light" w:cs="Calibri Light"/>
        </w:rPr>
        <w:t xml:space="preserve">. In contrast, the research conducted by </w:t>
      </w:r>
      <w:r w:rsidRPr="00173EAC">
        <w:rPr>
          <w:rFonts w:ascii="Calibri Light" w:hAnsi="Calibri Light" w:cs="Calibri Light"/>
        </w:rPr>
        <w:fldChar w:fldCharType="begin" w:fldLock="1"/>
      </w:r>
      <w:r w:rsidRPr="00173EAC">
        <w:rPr>
          <w:rFonts w:ascii="Calibri Light" w:hAnsi="Calibri Light" w:cs="Calibri Light"/>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2024)","manualFormatting":"Nugraha, 2024","plainTextFormattedCitation":"(Nugraha, 2024)","previouslyFormattedCitation":"(Nugraha, 2024)"},"properties":{"noteIndex":0},"schema":"https://github.com/citation-style-language/schema/raw/master/csl-citation.json"}</w:instrText>
      </w:r>
      <w:r w:rsidRPr="00173EAC">
        <w:rPr>
          <w:rFonts w:ascii="Calibri Light" w:hAnsi="Calibri Light" w:cs="Calibri Light"/>
        </w:rPr>
        <w:fldChar w:fldCharType="separate"/>
      </w:r>
      <w:r w:rsidRPr="00173EAC">
        <w:rPr>
          <w:rFonts w:ascii="Calibri Light" w:hAnsi="Calibri Light" w:cs="Calibri Light"/>
          <w:noProof/>
        </w:rPr>
        <w:t>Nugraha, 2024</w:t>
      </w:r>
      <w:r w:rsidRPr="00173EAC">
        <w:rPr>
          <w:rFonts w:ascii="Calibri Light" w:hAnsi="Calibri Light" w:cs="Calibri Light"/>
        </w:rPr>
        <w:fldChar w:fldCharType="end"/>
      </w:r>
      <w:r w:rsidRPr="00173EAC">
        <w:rPr>
          <w:rFonts w:ascii="Calibri Light" w:hAnsi="Calibri Light" w:cs="Calibri Light"/>
        </w:rPr>
        <w:t xml:space="preserve"> that the Aceh MPU Fatwa No. 6 of 2013 prohibits all forms of stunning, arguing that this method is considered incompatible with Islamic sharia principles because it can increase animal suffering. This difference of views reflects the complexity of </w:t>
      </w:r>
      <w:r w:rsidR="00173EAC">
        <w:rPr>
          <w:rFonts w:ascii="Calibri Light" w:hAnsi="Calibri Light" w:cs="Calibri Light"/>
        </w:rPr>
        <w:t>applying</w:t>
      </w:r>
      <w:r w:rsidRPr="00173EAC">
        <w:rPr>
          <w:rFonts w:ascii="Calibri Light" w:hAnsi="Calibri Light" w:cs="Calibri Light"/>
        </w:rPr>
        <w:t xml:space="preserve"> Islamic law in the modern context.</w:t>
      </w:r>
    </w:p>
    <w:p w14:paraId="7E93CBE8" w14:textId="111039B6" w:rsidR="00180398" w:rsidRPr="00180398" w:rsidRDefault="00180398" w:rsidP="00180398">
      <w:pPr>
        <w:pStyle w:val="IJOPCMBody"/>
        <w:suppressAutoHyphens/>
        <w:ind w:left="425" w:firstLine="1"/>
        <w:rPr>
          <w:rFonts w:ascii="Calibri Light" w:hAnsi="Calibri Light" w:cs="Calibri Light"/>
        </w:rPr>
      </w:pPr>
      <w:r w:rsidRPr="00180398">
        <w:rPr>
          <w:rFonts w:ascii="Calibri Light" w:hAnsi="Calibri Light" w:cs="Calibri Light"/>
        </w:rPr>
        <w:t xml:space="preserve">In Muslim minority </w:t>
      </w:r>
      <w:r w:rsidRPr="003E5659">
        <w:rPr>
          <w:rFonts w:ascii="Calibri Light" w:hAnsi="Calibri Light" w:cs="Calibri Light"/>
        </w:rPr>
        <w:t xml:space="preserve">countries such as the European Union and Australia, halal slaughter regulations include the use of stunning as an animal welfare standard. Based on research </w:t>
      </w:r>
      <w:r w:rsidR="00173EAC" w:rsidRPr="003E5659">
        <w:rPr>
          <w:rFonts w:ascii="Calibri Light" w:hAnsi="Calibri Light" w:cs="Calibri Light"/>
        </w:rPr>
        <w:t>i</w:t>
      </w:r>
      <w:r w:rsidRPr="003E5659">
        <w:rPr>
          <w:rFonts w:ascii="Calibri Light" w:hAnsi="Calibri Light" w:cs="Calibri Light"/>
        </w:rPr>
        <w:t xml:space="preserve">n the UK, although stunning is allowed in </w:t>
      </w:r>
      <w:r w:rsidR="003E5659">
        <w:rPr>
          <w:rFonts w:ascii="Calibri Light" w:hAnsi="Calibri Light" w:cs="Calibri Light"/>
        </w:rPr>
        <w:t>specific</w:t>
      </w:r>
      <w:r w:rsidRPr="003E5659">
        <w:rPr>
          <w:rFonts w:ascii="Calibri Light" w:hAnsi="Calibri Light" w:cs="Calibri Light"/>
        </w:rPr>
        <w:t xml:space="preserve"> contexts, there is political pressure to limit the practice of halal slaughter manually</w:t>
      </w:r>
      <w:r w:rsidR="00173EAC" w:rsidRPr="003E5659">
        <w:rPr>
          <w:rFonts w:ascii="Calibri Light" w:hAnsi="Calibri Light" w:cs="Calibri Light"/>
        </w:rPr>
        <w:t xml:space="preserve"> </w:t>
      </w:r>
      <w:r w:rsidR="00173EAC" w:rsidRPr="003E5659">
        <w:rPr>
          <w:rFonts w:ascii="Calibri Light" w:hAnsi="Calibri Light" w:cs="Calibri Light"/>
        </w:rPr>
        <w:fldChar w:fldCharType="begin" w:fldLock="1"/>
      </w:r>
      <w:r w:rsidR="003E5659">
        <w:rPr>
          <w:rFonts w:ascii="Calibri Light" w:hAnsi="Calibri Light" w:cs="Calibri Light"/>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sidRPr="003E5659">
        <w:rPr>
          <w:rFonts w:ascii="Calibri Light" w:hAnsi="Calibri Light" w:cs="Calibri Light"/>
        </w:rPr>
        <w:fldChar w:fldCharType="separate"/>
      </w:r>
      <w:r w:rsidR="00173EAC" w:rsidRPr="003E5659">
        <w:rPr>
          <w:rFonts w:ascii="Calibri Light" w:hAnsi="Calibri Light" w:cs="Calibri Light"/>
          <w:noProof/>
        </w:rPr>
        <w:t>(Fuseini, Wotton, et al., 2017)</w:t>
      </w:r>
      <w:r w:rsidR="00173EAC" w:rsidRPr="003E5659">
        <w:rPr>
          <w:rFonts w:ascii="Calibri Light" w:hAnsi="Calibri Light" w:cs="Calibri Light"/>
        </w:rPr>
        <w:fldChar w:fldCharType="end"/>
      </w:r>
      <w:r w:rsidRPr="003E5659">
        <w:rPr>
          <w:rFonts w:ascii="Calibri Light" w:hAnsi="Calibri Light" w:cs="Calibri Light"/>
        </w:rPr>
        <w:t xml:space="preserve">. </w:t>
      </w:r>
      <w:r w:rsidRPr="003E5659">
        <w:rPr>
          <w:rFonts w:ascii="Calibri Light" w:hAnsi="Calibri Light" w:cs="Calibri Light"/>
        </w:rPr>
        <w:fldChar w:fldCharType="begin" w:fldLock="1"/>
      </w:r>
      <w:r w:rsidR="00173EAC" w:rsidRPr="003E5659">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2024)","manualFormatting":"Roselia and Hafiz (2024","plainTextFormattedCitation":"(Roselia &amp; Hafiz, 2024)","previouslyFormattedCitation":"(Roselia &amp; Hafiz, 2024)"},"properties":{"noteIndex":0},"schema":"https://github.com/citation-style-language/schema/raw/master/csl-citation.json"}</w:instrText>
      </w:r>
      <w:r w:rsidRPr="003E5659">
        <w:rPr>
          <w:rFonts w:ascii="Calibri Light" w:hAnsi="Calibri Light" w:cs="Calibri Light"/>
        </w:rPr>
        <w:fldChar w:fldCharType="separate"/>
      </w:r>
      <w:r w:rsidRPr="003E5659">
        <w:rPr>
          <w:rFonts w:ascii="Calibri Light" w:hAnsi="Calibri Light" w:cs="Calibri Light"/>
          <w:noProof/>
        </w:rPr>
        <w:t xml:space="preserve">Roselia </w:t>
      </w:r>
      <w:r w:rsidR="00173EAC" w:rsidRPr="003E5659">
        <w:rPr>
          <w:rFonts w:ascii="Calibri Light" w:hAnsi="Calibri Light" w:cs="Calibri Light"/>
          <w:noProof/>
        </w:rPr>
        <w:t>and</w:t>
      </w:r>
      <w:r w:rsidRPr="003E5659">
        <w:rPr>
          <w:rFonts w:ascii="Calibri Light" w:hAnsi="Calibri Light" w:cs="Calibri Light"/>
          <w:noProof/>
        </w:rPr>
        <w:t xml:space="preserve"> Hafiz </w:t>
      </w:r>
      <w:r w:rsidR="00173EAC" w:rsidRPr="003E5659">
        <w:rPr>
          <w:rFonts w:ascii="Calibri Light" w:hAnsi="Calibri Light" w:cs="Calibri Light"/>
          <w:noProof/>
        </w:rPr>
        <w:t>(</w:t>
      </w:r>
      <w:r w:rsidRPr="003E5659">
        <w:rPr>
          <w:rFonts w:ascii="Calibri Light" w:hAnsi="Calibri Light" w:cs="Calibri Light"/>
          <w:noProof/>
        </w:rPr>
        <w:t>2024</w:t>
      </w:r>
      <w:r w:rsidRPr="003E5659">
        <w:rPr>
          <w:rFonts w:ascii="Calibri Light" w:hAnsi="Calibri Light" w:cs="Calibri Light"/>
        </w:rPr>
        <w:fldChar w:fldCharType="end"/>
      </w:r>
      <w:r w:rsidR="00173EAC" w:rsidRPr="003E5659">
        <w:rPr>
          <w:rFonts w:ascii="Calibri Light" w:hAnsi="Calibri Light" w:cs="Calibri Light"/>
        </w:rPr>
        <w:t>)</w:t>
      </w:r>
      <w:r w:rsidRPr="003E5659">
        <w:rPr>
          <w:rFonts w:ascii="Calibri Light" w:hAnsi="Calibri Light" w:cs="Calibri Light"/>
        </w:rPr>
        <w:t xml:space="preserve"> revealed that some countries provide exemptions for Muslim communities to carry out slaughter without stunning</w:t>
      </w:r>
      <w:r w:rsidRPr="00180398">
        <w:rPr>
          <w:rFonts w:ascii="Calibri Light" w:hAnsi="Calibri Light" w:cs="Calibri Light"/>
        </w:rPr>
        <w:t xml:space="preserve"> as long as it is </w:t>
      </w:r>
      <w:r w:rsidR="003E5659">
        <w:rPr>
          <w:rFonts w:ascii="Calibri Light" w:hAnsi="Calibri Light" w:cs="Calibri Light"/>
        </w:rPr>
        <w:t>under</w:t>
      </w:r>
      <w:r w:rsidRPr="00180398">
        <w:rPr>
          <w:rFonts w:ascii="Calibri Light" w:hAnsi="Calibri Light" w:cs="Calibri Light"/>
        </w:rPr>
        <w:t xml:space="preserve"> religious rules. </w:t>
      </w:r>
    </w:p>
    <w:p w14:paraId="07027EFE" w14:textId="5193E246"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In Muslim countries such as Malaysia and Saudi Arabia, stunning is widely accepted </w:t>
      </w:r>
      <w:r w:rsidR="00173EAC">
        <w:rPr>
          <w:rFonts w:ascii="Calibri Light" w:hAnsi="Calibri Light" w:cs="Calibri Light"/>
          <w:sz w:val="24"/>
          <w:szCs w:val="24"/>
        </w:rPr>
        <w:t>because</w:t>
      </w:r>
      <w:r w:rsidRPr="00180398">
        <w:rPr>
          <w:rFonts w:ascii="Calibri Light" w:hAnsi="Calibri Light" w:cs="Calibri Light"/>
          <w:sz w:val="24"/>
          <w:szCs w:val="24"/>
        </w:rPr>
        <w:t xml:space="preserve"> it meets strict halal standards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Welfare","id":"ITEM-1","issue":"3","issued":{"date-parts":[["2016"]]},"page":"365-376","title":"The stunning and slaughter of cattle within the EU: A review of the current situation with regard to the halal market","type":"article-journal","volume":"25"},"uris":["http://www.mendeley.com/documents/?uuid=857a9611-6f80-4e4c-9278-a34e12076892"]},{"id":"ITEM-2","itemData":{"DOI":"10.1079/PAVSNNR201712043","abstract":"Much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Resources","id":"ITEM-2","issued":{"date-parts":[["2017"]]},"language":"English","note":"Cited By :6\n\nExport Date: 22 August 2023\n\nCorrespondence Address: Fuseini, A.; University of Bristol, United Kingdom; email: awalfus@yahoo.com\n\nFunding details: AHDB Beef and Lamb\n\nFunding details: Humane Slaughter Association, HSA\n\nFunding text 1: AF is working on a Halal stunning and slaughter project kindly funded by a Humane Slaughter Association (HSA) Animal Welfare Research Training (PhD) Scholarship from the HSA and the AHDB Beef and Lamb.\n\nReferences: Fuseini, A., Knowles, T.G., Lines, J.A., Hadley, P.J., Wotton, S.B., The stunning and slaughter of cattle within the EU: A review of the current situation with regard to the Halal market (2016) Animal Welfare, 25, pp. 365-376;\nQuran 6:38; Shaykh Munajjid, M.S., Who Takes the Souls Out of Animals and What Is Their Fate?, , https://islamqa.info/en/119652, accessed 9 January 17;\nHaque, N., Masri, B.A., The principles of animal advocacy in Islam: Four integrated ecognitions (2011) Society and Animals, 19, pp. 279-290;\nFoltz, R., This she-camel of God is a sign to you’: Dimensions of animals in Islamic tradition and Muslim culture (2006) A Communion of Subjects, pp. 146-159. , Waldau Patton K, editors. Columbia University Press, New York;\nTaylor, B., Islam, animals, and vegetarianism (2006) Encyclopedia of Religion and Nature, , Chief Ed. Continuum International Publishing Group Ltd., New York, USA;\nAbdul Rahman, S., Aidaros, H., Islam and animal welfare with special reference to cruelty to animals during transport and slaughter (2012) Journal of Commonwealth Veterinary Association, 28, pp. 27-30;\nSunan Daarmi Hadith No. 2061; Quran 95:5; Muhaiyadeen, M.R.B., (1985) Come to the Secret Garden: Sufi Tales of Wisdom, p. 26. , Fellowship Press, Philadelphia;\nSchimel, A., (1975) Mystical Dimensions of Islam, pp. 348-358. , University of North Carolina Press, North Carolina, USA;\nDermenghem, D., (1954) La Culte des Saints Dans l’Islam Maghrebin, pp. 97-101. , Gallimard, Peris;\nSmith, M., (1978) The Way of the Mystics, pp. 154-162. , Oxford University Press, New York;\nIzzi Dien, M., (2000) The Environmental Dimensions of Islam, p. 146. , Lutterworth, Cambridge, England;\nAbd as-Salam, I.D., Qawa’id Al-Ahkam fi Masalih Al-Anam, p. 146. , cited in Izzi Dien;\nQuran 5:1; Comben, N., The versatile cat (1960) Journal of Small Animal Practice, 1, pp. 295-299;\nSahih Muslim, 40 Hadith Nawawi 17; Bukhari, Adab al-Mufrad, (381);\nCouncil Regulation (EC) No 1099/2009 on 24 September 2009 on the Protection of Animals at the Time of Killing, , PATOK;\nKatme, M., Islam and Muslims Oppose Stunning!, , http://www.shariahprogram.ca/eat-halal-foods/Islam-oppose-stunning.shtml, accessed 4 July 2017;\nGrandin, T., Regenstein, J.M., Religious slaughter and animal welfare: A discussion for meat scientists (1994) Meat Focus International, 3, pp. 115-123;\nAidaros, H., Global perspectives – The Middle East: Egypt (2005) Revue Scientifique et Technique (International Office of Epizootics), 24, pp. 589-596;\nWade, R., Animal theology and ethical concerns (2004) Australian Electronic Journal of Theology, 2. , http://aejt.com.au/__data/assets/pdf_file/0012/395679/AEJT_2.15_Wade_Animal_Theology.pdf;\nSzűcs, E., Geers, R., Jezierski, T., Sossidou, E.N., Broom, D.M., Animal welfare in different human cultures, traditions and religious faiths (2012) Asian-Australas Journal of Animal Science, 25, pp. 1499-1506;\nKyokai, B.D., The teaching of Buddha Tokyo, Kosaido (1966) Animal Revolution: Changing Attitudes Towards Speciesism, p. 1989. , Ryder RD, editor. Basil Blackwell, Cambridge, Massachusetts, USA;\nRyder, R.D., (1989) Animal Revolution: Changing Attitudes Towards Speciesism, , Basil Blackwell, Cambridge, Massachusetts, USA;\nSamiullah, M., (1982) The Meat: Lawful and Unlawful in Islam, pp. 75-104. , Islamic Research Institute, International Islamic University, Islamabad;\nMenache, S., Dogs: God’s worst enemies? (1997) Society and Animals, 5, pp. 23-44;\nMenache, S., Dogs and human beings: A story of friendship (1998) Society and Animals, 6, pp. 67-86;\nSahih Bukhari 3053, 3780; El Fadl, K.A., Dogs in the Islamic tradition and nature Encyclopedia of Religion and Nature, , Scholar of the House, New York;\nQuran 5:4; Quran 18:18; Muslim, Hadith 2244; ; Bukhari, 3:322; Bukhari, 3:322; Watt, W.M., (1961) Muhammad: Prophet and Statesman, , Oxford University Press, Oxford, UK;\nAnas, A., Al-Muwatta, 2, p. 969. , Egypt: al-Babi al-Halabi, n.d;\nSahih Muslim, Book 10; Al-Djahiz, (1988) Kitab L-Hayawan, pp. 18-24. , ed HM Harun 2 Volumes; Dar Elfiher, Beirut;\nTaton, R., (1957) Histoire Générale des Sciences: La Science Antique et Médiévale, , Presses Universitaires de France, Paris;\nKamal al-Din al Damiri, (1857) Kitab Hayat Al-Hayawan Al-Kubra, 2. , Cairo;\n(2008) Sniffer Dogs Offend Muslims, , http://www.express.co.uk/news/uk/50071/Sniffer-dogs-offend-Muslims, accessed 4 January 17;\n(2013) The Love and Importance of Cats in Islam, , http://islam.ru/en/content/story/love-and-importance-cats-islam, accessed 5 January 17) cat;\n(2010) The Sunnah and Blessings in Healing Effects of Cats – Abu Hurayrah -The Father of Kittens, , http://www.the-wayfarer.com/index.php?option=com_content&amp;amp;view=article&amp;amp;id=222%3Athe-sunnah-and-blessings-in-healing-effects-of-cats&amp;amp;catid=8%3Aarticles&amp;amp;Itemid=8&amp;amp;limitstart=2, accessed, 5 January 17;\nRegenstein, J.M., Chaudry, M.M., Regenstein, C.E., The Kosher and Halal food laws (2003) Comprehensive Reviews in Food Science and Food Safety, 3, pp. 111-127;\nFuseini, A., Wotton, S.B., Hadley, P.J., Knowles, T.G., The perception and acceptability of pre-slaughter and post-slaughter stunning for Halal production: The views of UK Islamic scholars and Halal consumers (2017) Meat Science, 123, pp. 143-150;\nQuran 5:3; Quran 16:5; Nisai Hakim; Amanullah, M., Animal ethics: An Islamic perspective (2012) International Journal of Quranic Research, 2, pp. 57-66;\nAl-Nisa’, 4: 119; Ruling on Castrating Animals, , https://islamqa.info/en/95329, accessed, 5 January 17;\nUtbah ibn Farqad Abu Abdillah al-Sulami; Awn 7:216–217; Hadith No. 2525; Sahih Muslim, Volume 3 Hadith 2116; Quran 22:34; (1979) Press Statement, , http://webarchive.nationalarchives.gov.uk/20121010012427/http://www.fawc.org.uk/freedoms.htm, accessed 4 July 2017;\nFarouk, M.M., Advances in the industrial production of Halal and Kosher red meat (2013) Meat Science, 95, pp. 805-820;\nNakyinsige, K., Che Man, Y.B., Aghwan, Z.A., Zulkifli, I., Goh, Y.M., Abu Bakar, F., Stunning and animal welfare from Islamic and scientific perspectives (2013) Meat Science, 95, pp. 352-361;\nFarouk, M.M., Al-Mazeedi, H.M., Sabow, A.B., Bekhit, A.E.D., Adeyemi, K.D., Ghani, A., Halal and Kosher slaughter methods and meat quality: A review (2014) Meat Science, 98, pp. 505-519;\n(2012) Guidelines of Halal Assurance System Criteria on Slaughterhouses, , Indonesian Standard MUI HAS 23103. Majelis Ulama Indonesia. LPPOM MUI;\n(2009) Halal Food-Production, Preparation, Handling and Storage-General Guidelines, pp. 1-13. , Malaysian Standard MS1500. Department of Standards Malaysia;\nQuran 22:28, 34, 36; Fuseini, A., Wotton, S.B., Hadley, P.J., Knowles, T.G., The compatibility of modern slaughter techniques with Halal slaughter: A review of the aspects of ‘modern’ slaughter methods that divide scholarly opinion within the Muslim community (2017) Animal Welfare, 26, pp. 301-310;\n(2014) Halal Food Authority (HFA) Halal Standard, pp. 1-50. , Halal Food Authority. London, UK, Revised;\n(2013) 12th Conference of the OIE Regional Commission for the Middle East: Technical Item II, , http://www.oie.int/for-the-media/press-releases/detail/article/12th-conference-of-the-oie-regional-commission-for-the-middle-east/, accessed, 4 July 2017;\nFerson, D.M., Warner, R.D., Have we underestimated the impact of pre-slaughter stress on meat quality in ruminants? (2008) Meat Science, 80, pp. 12-19;\nGrandin, T., Auditing animal welfare at slaughter plants (2010) Meat Science, 86, pp. 56-65;\nGibson, T., Johnson, C.B., Murrell, J.C., Hulls, C.M., Mitchinson, S.L., Stafford, K.J., Electroencephalographic responses of halothane-anaesthesised calves to slaughter by ventral neck incision without prior stunning (2009) New Zealand Veterinary Journal, 57, pp. 77-83;\nMellor, D.J., Gibson, T.J., Johnson, C.B., A re-evaluation of the need to stun calves prior to slaughter by ventral neck incision: An introductory review (2009) New Zealand Veterinary Journal, 57, pp. 74-76;\nWelfare aspects of the main systems of stunning and killing the main commercial species of animals (2004) The EFSA Journal, 45, pp. 1-40. , European Food Safety Authority EFSA;\nBukhari 72: 20–22; Forum on Global Unified Halal Food Standards to Be Held at OIC General Secretariat, , http://www.oic-oci.org//topic/?t_id=10706&amp;amp;t_ref=4215&amp;amp;lan=en, Jeddah. accessed 10 January 17;\nCenci-Goga, B.T., Sechi, P., Cuccurese, A., Poeta, A., De Angelis, G., Marini, P., Religious slaughter: Data from surveys and spot-check visits in Italy and animal welfare issues (2013) Society and Animals, 21, pp. 459-488","page":"1-6","publisher":"CABI International","publisher-place":"University of Bristol, School of Veterinary Science, Langford, Bristol, BS40 5DU, United Kingdom","title":"Food and companion animal welfare: The Islamic perspective","type":"article-journal","volume":"12"},"uris":["http://www.mendeley.com/documents/?uuid=75109495-87eb-49b9-a12c-6c6d4ac4af68"]}],"mendeley":{"formattedCitation":"(Fuseini, Knowles, Lines, et al., 2016; Fuseini, Knowles, et al., 2017)","plainTextFormattedCitation":"(Fuseini, Knowles, Lines, et al., 2016; Fuseini, Knowles, et al., 2017)","previouslyFormattedCitation":"(Fuseini, Knowles, Lines, et al., 2016; Fuseini, Knowles, et al., 2017)"},"properties":{"noteIndex":0},"schema":"https://github.com/citation-style-language/schema/raw/master/csl-citation.json"}</w:instrText>
      </w:r>
      <w:r w:rsidR="00173EAC">
        <w:rPr>
          <w:rFonts w:ascii="Calibri Light" w:hAnsi="Calibri Light" w:cs="Calibri Light"/>
          <w:sz w:val="24"/>
          <w:szCs w:val="24"/>
        </w:rPr>
        <w:fldChar w:fldCharType="separate"/>
      </w:r>
      <w:r w:rsidR="003E5659" w:rsidRPr="003E5659">
        <w:rPr>
          <w:rFonts w:ascii="Calibri Light" w:hAnsi="Calibri Light" w:cs="Calibri Light"/>
          <w:noProof/>
          <w:sz w:val="24"/>
          <w:szCs w:val="24"/>
        </w:rPr>
        <w:t>(Fuseini, Knowles, Lines, et al., 2016; Fuseini, Knowles,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 Comparison between Muslim-majority countries such as Indonesia and Muslim minority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according to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Sciences)","type":"article-journal","volume":"1"},"uris":["http://www.mendeley.com/documents/?uuid=eeac3a85-0464-4651-8fd5-88cb24beee40"]}],"mendeley":{"formattedCitation":"(Tsalitsah, 2022)","manualFormatting":"Tsalitsah, 2022","plainTextFormattedCitation":"(Tsalitsah, 2022)","previouslyFormattedCitation":"(Tsalitsah,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Tsalitsah,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shows that there are differences in approaches </w:t>
      </w:r>
      <w:r w:rsidR="003E5659">
        <w:rPr>
          <w:rFonts w:ascii="Calibri Light" w:hAnsi="Calibri Light" w:cs="Calibri Light"/>
          <w:sz w:val="24"/>
          <w:szCs w:val="24"/>
        </w:rPr>
        <w:t>to</w:t>
      </w:r>
      <w:r w:rsidRPr="00180398">
        <w:rPr>
          <w:rFonts w:ascii="Calibri Light" w:hAnsi="Calibri Light" w:cs="Calibri Light"/>
          <w:sz w:val="24"/>
          <w:szCs w:val="24"/>
        </w:rPr>
        <w:t xml:space="preserve"> accommodating religious needs and modern industry standards.</w:t>
      </w:r>
    </w:p>
    <w:p w14:paraId="05CE858F" w14:textId="696567B3"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Studies show that stunning has advantages in reducing animal suffering and increasing the efficiency of the slaughtering process. However</w:t>
      </w:r>
      <w:r w:rsidR="003E5659">
        <w:rPr>
          <w:rFonts w:ascii="Calibri Light" w:hAnsi="Calibri Light" w:cs="Calibri Light"/>
          <w:sz w:val="24"/>
          <w:szCs w:val="24"/>
        </w:rPr>
        <w:t>,</w:t>
      </w:r>
      <w:r w:rsidRPr="00180398">
        <w:rPr>
          <w:rFonts w:ascii="Calibri Light" w:hAnsi="Calibri Light" w:cs="Calibri Light"/>
          <w:sz w:val="24"/>
          <w:szCs w:val="24"/>
        </w:rPr>
        <w:t xml:space="preserve"> stunning can reduce </w:t>
      </w:r>
      <w:r w:rsidR="003E5659">
        <w:rPr>
          <w:rFonts w:ascii="Calibri Light" w:hAnsi="Calibri Light" w:cs="Calibri Light"/>
          <w:sz w:val="24"/>
          <w:szCs w:val="24"/>
        </w:rPr>
        <w:t xml:space="preserve">blood expenditure efficiency and affect meat quality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Sciences","id":"ITEM-1","issued":{"date-parts":[["2014"]]},"language":"English","note":"Cited By :4\n\nExport Date: 22 August 2023\n\nCorrespondence Address: Anil, M.H.; Cardiff UniversityUnited Kingdom\n\nReferences: Anil, H., (2012) Effects of Slaughter Method on Carcass and Meat Characteristics in the Meat of Cattle and Sheep, , English Beef and Lamb Executive (EBLEX), UK;\n(2009) Religious slaughter, improving knowledge and expertise through dialogue and debate on issues of welfare, legislation and socio-economic as-pects, , http://www.dialrel.eu/dialrel-results, Available at: (accessed 02.05.12);\nGregory, N.G., Meat, meat eating and vegetarianism (1997) Proceedings of the 43rd International Congress of Meat Science and Technology, pp. 68-85. , International Congress of Meat Science and Technology, Auckland, New Zealand, J. Kerry, J. Kerry, D. Ledward (Eds.);\nGregory, N.G., Consumer concerns about food (2000) Outlook on Agriculture, 29, pp. 251-257;\nRichardson, N.J., Shepherd, R., Elliman, N., Current attitudes and future influences on meat consumption in the United Kingdom (1993) Appetite, 21, pp. 41-51;\nSuits, D., (2001) Why death is not bad for the one who died. American Philosophical Quarterly, 38 (1), pp. 69-84;\nYeates, J.W., Death is a welfare issue (2010) Journal of Agricultural and Environmental Ethics, 23, pp. 229-241. , http://link.springer.com/journal/10806, Available at: (accessed 14.10.13)","page":"280-283","publisher":"Elsevier Inc.","publisher-place":"Cardiff University, Cardiff, United Kingdom","title":"Slaughter, ethics, and the law","type":"chapter"},"uris":["http://www.mendeley.com/documents/?uuid=ce602c1d-919d-4c87-ae4c-806ec6271943"]},{"id":"ITEM-2","itemData":{"DOI":"10.1016/j.meatsci.2013.07.018","ISSN":"03091740","author":[{"dropping-particle":"","family":"Franco","given":"Daniel","non-dropping-particle":"","parse-names":false,"suffix":""},{"dropping-particle":"","family":"Lorenzo","given":"José M.","non-dropping-particle":"","parse-names":false,"suffix":""}],"container-title":"Meat Science","id":"ITEM-2","issue":"1","issued":{"date-parts":[["2014","1"]]},"page":"327-334","title":"Effect of muscle and intensity of finishing diet on meat quality of foals slaughtered at 15months","type":"article-journal","volume":"96"},"uris":["http://www.mendeley.com/documents/?uuid=4bb91af8-d346-4e7b-a14f-baca54617cb2"]}],"mendeley":{"formattedCitation":"(Anil &amp; Gregory, 2014; Franco &amp; Lorenzo, 2014)","plainTextFormattedCitation":"(Anil &amp; Gregory, 2014; Franco &amp; Lorenzo, 2014)","previouslyFormattedCitation":"(Anil &amp; Gregory, 2014; Franco &amp; Lorenzo, 2014)"},"properties":{"noteIndex":0},"schema":"https://github.com/citation-style-language/schema/raw/master/csl-citation.json"}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(Anil &amp; Gregory, 2014; Franco &amp; Lorenzo, 2014)</w:t>
      </w:r>
      <w:r w:rsidR="003E5659">
        <w:rPr>
          <w:rFonts w:ascii="Calibri Light" w:hAnsi="Calibri Light" w:cs="Calibri Light"/>
          <w:sz w:val="24"/>
          <w:szCs w:val="24"/>
        </w:rPr>
        <w:fldChar w:fldCharType="end"/>
      </w:r>
      <w:r w:rsidRPr="00180398">
        <w:rPr>
          <w:rFonts w:ascii="Calibri Light" w:hAnsi="Calibri Light" w:cs="Calibri Light"/>
          <w:sz w:val="24"/>
          <w:szCs w:val="24"/>
        </w:rPr>
        <w:t>. In addition, a survey in Europe shows that the majority of Muslims prefer meat to slaughter without stunning for religious reasons</w:t>
      </w:r>
      <w:r w:rsidR="003E5659">
        <w:rPr>
          <w:rFonts w:ascii="Calibri Light" w:hAnsi="Calibri Light" w:cs="Calibri Light"/>
          <w:sz w:val="24"/>
          <w:szCs w:val="24"/>
        </w:rPr>
        <w:t xml:space="preserve">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Knowledge","type":"article-journal","volume":"13"},"uris":["http://www.mendeley.com/documents/?uuid=73f8af83-e203-46d9-b8e9-18fad55b88e2"]}],"mendeley":{"formattedCitation":"(Sazili et al., 2023)","plainTextFormattedCitation":"(Sazili et al., 2023)","previouslyFormattedCitation":"(Sazili et al., 2023)"},"properties":{"noteIndex":0},"schema":"https://github.com/citation-style-language/schema/raw/master/csl-citation.json"}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(Sazili et al., 2023)</w:t>
      </w:r>
      <w:r w:rsidR="003E5659">
        <w:rPr>
          <w:rFonts w:ascii="Calibri Light" w:hAnsi="Calibri Light" w:cs="Calibri Light"/>
          <w:sz w:val="24"/>
          <w:szCs w:val="24"/>
        </w:rPr>
        <w:fldChar w:fldCharType="end"/>
      </w:r>
      <w:r w:rsidRPr="00180398">
        <w:rPr>
          <w:rFonts w:ascii="Calibri Light" w:hAnsi="Calibri Light" w:cs="Calibri Light"/>
          <w:sz w:val="24"/>
          <w:szCs w:val="24"/>
        </w:rPr>
        <w:t>.</w:t>
      </w:r>
    </w:p>
    <w:p w14:paraId="5EE663AA" w14:textId="77777777"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In the global context, the difference in views related to stunning reflects the challenge of aligning Islamic sharia principles with modern animal welfare standards. This study aims to explore the stunning differences in regulations between Muslim majority and minority countries on halal meat and animal welfare. With the Systematic Literature Review approach, this research will provide comprehensive insights into how stunning is applied in various legal and cultural contexts.</w:t>
      </w:r>
    </w:p>
    <w:p w14:paraId="7C8F9E34" w14:textId="77777777" w:rsidR="00180398" w:rsidRPr="00180398" w:rsidRDefault="00180398" w:rsidP="00180398">
      <w:pPr>
        <w:autoSpaceDE/>
        <w:autoSpaceDN/>
        <w:spacing w:before="120" w:after="120"/>
        <w:ind w:left="426"/>
        <w:rPr>
          <w:rFonts w:ascii="Calibri Light" w:hAnsi="Calibri Light" w:cs="Calibri Light"/>
          <w:bCs/>
          <w:sz w:val="24"/>
          <w:szCs w:val="24"/>
          <w:lang w:val="id-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1BADC456" w14:textId="1B5593DA" w:rsidR="00180398" w:rsidRPr="00180398" w:rsidRDefault="00180398" w:rsidP="00180398">
      <w:pPr>
        <w:spacing w:before="120" w:after="120"/>
        <w:ind w:left="425"/>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This study uses a type of normative juridical research with an approach </w:t>
      </w:r>
      <w:r w:rsidRPr="00180398">
        <w:rPr>
          <w:rFonts w:ascii="Calibri Light" w:hAnsi="Calibri Light" w:cs="Calibri Light"/>
          <w:i/>
          <w:iCs/>
          <w:sz w:val="24"/>
          <w:szCs w:val="24"/>
        </w:rPr>
        <w:t xml:space="preserve">Systematic </w:t>
      </w:r>
      <w:commentRangeStart w:id="10"/>
      <w:r w:rsidRPr="00180398">
        <w:rPr>
          <w:rFonts w:ascii="Calibri Light" w:hAnsi="Calibri Light" w:cs="Calibri Light"/>
          <w:i/>
          <w:iCs/>
          <w:sz w:val="24"/>
          <w:szCs w:val="24"/>
        </w:rPr>
        <w:t>Literature Review</w:t>
      </w:r>
      <w:r w:rsidRPr="00180398">
        <w:rPr>
          <w:rFonts w:ascii="Calibri Light" w:hAnsi="Calibri Light" w:cs="Calibri Light"/>
          <w:sz w:val="24"/>
          <w:szCs w:val="24"/>
        </w:rPr>
        <w:t xml:space="preserve"> (SLR) </w:t>
      </w:r>
      <w:commentRangeEnd w:id="10"/>
      <w:r w:rsidR="009C1D80">
        <w:rPr>
          <w:rStyle w:val="CommentReference"/>
        </w:rPr>
        <w:commentReference w:id="10"/>
      </w:r>
      <w:r w:rsidRPr="00180398">
        <w:rPr>
          <w:rFonts w:ascii="Calibri Light" w:hAnsi="Calibri Light" w:cs="Calibri Light"/>
          <w:sz w:val="24"/>
          <w:szCs w:val="24"/>
        </w:rPr>
        <w:t xml:space="preserve">to analyze the regulation and application of stunning laws in halal slaughter in countries with a Muslim majority and a Muslim minority. </w:t>
      </w:r>
      <w:r w:rsidR="003E5659" w:rsidRPr="003E5659">
        <w:rPr>
          <w:rFonts w:ascii="Calibri Light" w:hAnsi="Calibri Light" w:cs="Calibri Light"/>
          <w:sz w:val="24"/>
          <w:szCs w:val="24"/>
        </w:rPr>
        <w:t>A s</w:t>
      </w:r>
      <w:r w:rsidRPr="003E5659">
        <w:rPr>
          <w:rFonts w:ascii="Calibri Light" w:hAnsi="Calibri Light" w:cs="Calibri Light"/>
          <w:sz w:val="24"/>
          <w:szCs w:val="24"/>
        </w:rPr>
        <w:t>ystematic Literature Review</w:t>
      </w:r>
      <w:r w:rsidRPr="00180398">
        <w:rPr>
          <w:rFonts w:ascii="Calibri Light" w:hAnsi="Calibri Light" w:cs="Calibri Light"/>
          <w:i/>
          <w:iCs/>
          <w:sz w:val="24"/>
          <w:szCs w:val="24"/>
        </w:rPr>
        <w:t xml:space="preserve"> </w:t>
      </w:r>
      <w:r w:rsidR="003E5659">
        <w:rPr>
          <w:rFonts w:ascii="Calibri Light" w:hAnsi="Calibri Light" w:cs="Calibri Light"/>
          <w:i/>
          <w:iCs/>
          <w:sz w:val="24"/>
          <w:szCs w:val="24"/>
        </w:rPr>
        <w:t xml:space="preserve">is </w:t>
      </w:r>
      <w:r w:rsidRPr="00180398">
        <w:rPr>
          <w:rFonts w:ascii="Calibri Light" w:hAnsi="Calibri Light" w:cs="Calibri Light"/>
          <w:sz w:val="24"/>
          <w:szCs w:val="24"/>
        </w:rPr>
        <w:t xml:space="preserve">a methodology or analytical tool used to collect and process </w:t>
      </w:r>
      <w:r w:rsidR="003E5659">
        <w:rPr>
          <w:rFonts w:ascii="Calibri Light" w:hAnsi="Calibri Light" w:cs="Calibri Light"/>
          <w:sz w:val="24"/>
          <w:szCs w:val="24"/>
        </w:rPr>
        <w:t>several</w:t>
      </w:r>
      <w:r w:rsidRPr="00180398">
        <w:rPr>
          <w:rFonts w:ascii="Calibri Light" w:hAnsi="Calibri Light" w:cs="Calibri Light"/>
          <w:sz w:val="24"/>
          <w:szCs w:val="24"/>
        </w:rPr>
        <w:t xml:space="preserve"> studies, which are then identified and analyzed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{"citationItems":[{"id":"ITEM-1","itemData":{"DOI":"10.24002/ijis.v1i2.1916","ISSN":"2623-2308","abstract":"Sistem informasi adalah cara-cara yang diorganisasi untuk mengumpulkan, memasukkan, mengolah, dan menyimpan data, serta untuk menyimpan, mengelola, mengendalikan, dan melaporkan informasi sedemikian rupa sehingga sebuah organisasi dapat mencapai tujuan yang telah ditetapkan. Pengembangan sistem informasi memiliki metode-metode yang beragam. Metode yang dapat digunakan untuk pengembangan sistem antara lain metode terstruktur dan berorientasi objek. Berdasarkan metode tersebut, suatu sistem akan dikembangkan untuk dapat dijalankan pada platform berbasis web, mobile, atau desktop. Saat ini belum diketahui berapa banyak sistem informasi yang dikembangkan oleh kedua metode tersebut, demikian juga belum diketahui juga berapa banyak aplikasi yang dijalankan oleh ketiga platform tersebut. Penelitian ini bertujuan untuk mengidentifikasi platform dan metode pengembangan sistem informasi di Indonesia yang datanya diperoleh dari jurnal yang terkait pada tahun 2013–2018. Metode yang digunakan dalam penelitian ini adalah Metode Systematic Literature Review (SLR). Metode SLR digunakan untuk mengidentifikasi, mengkaji, mengevaluasi, dan menafsirkan semua penelitian yang tersedia dengan bidang topik fenomena yang menarik, dengan pertanyaan penelitian tertentu yang relevan. Dengan penggunaan Metode SLR dapat dilakukan review dan identifikasi jurnal secara sistematis, yang pada setiap prosesnya mengikuti langkah-langkah atau protokol yang telah ditetapkan. Hasil penelitian menunjukkan bahwa platform yang dominan digunakan dalam pengembangan sistem informasi adalah berbasis website sedangkan metode dominan digunakan dalam menyelesaikan pengembangan sistem informasi adalah metode terstruktur.","author":[{"dropping-particle":"","family":"Triandini","given":"Evi","non-dropping-particle":"","parse-names":false,"suffix":""},{"dropping-particle":"","family":"Jayanatha","given":"Sadu","non-dropping-particle":"","parse-names":false,"suffix":""},{"dropping-particle":"","family":"Indrawan","given":"Arie","non-dropping-particle":"","parse-names":false,"suffix":""},{"dropping-particle":"","family":"Werla Putra","given":"Ganda","non-dropping-particle":"","parse-names":false,"suffix":""},{"dropping-particle":"","family":"Iswara","given":"Bayu","non-dropping-particle":"","parse-names":false,"suffix":""}],"container-title":"Indonesian Journal of Information Systems","id":"ITEM-1","issue":"2","issued":{"date-parts":[["2019","2","23"]]},"page":"63","title":"Metode Systematic Literature Review untuk Identifikasi Platform dan Metode Pengembangan Sistem Informasi di Indonesia","type":"article-journal","volume":"1"},"uris":["http://www.mendeley.com/documents/?uuid=666ec373-bbec-449c-9728-ee95c048b8b6"]}],"mendeley":{"formattedCitation":"(Triandini et al., 2019)","plainTextFormattedCitation":"(Triandini et al., 2019)","previouslyFormattedCitation":"(Triandini et al., 2019)"},"properties":{"noteIndex":0},"schema":"https://github.com/citation-style-language/schema/raw/master/csl-citation.json"}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(Triandini et al., 2019)</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w:t>
      </w:r>
      <w:r w:rsidR="003E5659">
        <w:rPr>
          <w:rFonts w:ascii="Calibri Light" w:hAnsi="Calibri Light" w:cs="Calibri Light"/>
          <w:sz w:val="24"/>
          <w:szCs w:val="24"/>
        </w:rPr>
        <w:t>process can be carried out through critical analysis, mapping, or evaluation of</w:t>
      </w:r>
      <w:r w:rsidRPr="00180398">
        <w:rPr>
          <w:rFonts w:ascii="Calibri Light" w:hAnsi="Calibri Light" w:cs="Calibri Light"/>
          <w:sz w:val="24"/>
          <w:szCs w:val="24"/>
        </w:rPr>
        <w:t xml:space="preserve"> previous studies on the same topic. Therefore, SLRs </w:t>
      </w:r>
      <w:r w:rsidR="003E5659">
        <w:rPr>
          <w:rFonts w:ascii="Calibri Light" w:hAnsi="Calibri Light" w:cs="Calibri Light"/>
          <w:sz w:val="24"/>
          <w:szCs w:val="24"/>
        </w:rPr>
        <w:t>effectively summarize</w:t>
      </w:r>
      <w:r w:rsidRPr="00180398">
        <w:rPr>
          <w:rFonts w:ascii="Calibri Light" w:hAnsi="Calibri Light" w:cs="Calibri Light"/>
          <w:sz w:val="24"/>
          <w:szCs w:val="24"/>
        </w:rPr>
        <w:t xml:space="preserve"> the literature to help researchers answer predetermined research questions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{"citationItems":[{"id":"ITEM-1","itemData":{"DOI":"10.1108/JIMA-12-2019-0269","ISSN":"1759-0833","author":[{"dropping-particle":"","family":"Hassan","given":"Yusuf","non-dropping-particle":"","parse-names":false,"suffix":""}],"container-title":"Journal of Islamic Marketing","id":"ITEM-1","issue":"6","issued":{"date-parts":[["2022","4","22"]]},"page":"1288-1311","title":"A Decade of Research on Muslim Entrepreneurship","type":"article-journal","volume":"13"},"uris":["http://www.mendeley.com/documents/?uuid=8e9fb42a-f68d-4394-a284-ac406a458a9e"]}],"mendeley":{"formattedCitation":"(Hassan, 2022)","plainTextFormattedCitation":"(Hassan, 2022)","previouslyFormattedCitation":"(Hassan,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(Hassan, 2022)</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451D282" w14:textId="359B59D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SLR method is considered appropriate for this study because it has a systematic structure in the analysis process. </w:t>
      </w:r>
      <w:r w:rsidR="003E5659">
        <w:rPr>
          <w:rFonts w:ascii="Calibri Light" w:hAnsi="Calibri Light" w:cs="Calibri Light"/>
          <w:sz w:val="24"/>
          <w:szCs w:val="24"/>
        </w:rPr>
        <w:t>U</w:t>
      </w:r>
      <w:r w:rsidRPr="00180398">
        <w:rPr>
          <w:rFonts w:ascii="Calibri Light" w:hAnsi="Calibri Light" w:cs="Calibri Light"/>
          <w:sz w:val="24"/>
          <w:szCs w:val="24"/>
        </w:rPr>
        <w:t xml:space="preserve">sing SLR, synthesis from various previous studies can be obtained more easily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IJEBR-10-2016-0356","ISSN":"1355-2554","author":[{"dropping-particle":"","family":"Korber","given":"Stefan","non-dropping-particle":"","parse-names":false,"suffix":""},{"dropping-particle":"","family":"McNaughton","given":"Rod B.","non-dropping-particle":"","parse-names":false,"suffix":""}],"container-title":"International Journal of Entrepreneurial Behavior &amp; Research","id":"ITEM-1","issue":"7","issued":{"date-parts":[["2018","11","5"]]},"page":"1129-1154","title":"Resilience and Entrepreneurship: A Systematic Literature Review","type":"article-journal","volume":"24"},"uris":["http://www.mendeley.com/documents/?uuid=7d05c8a1-1fed-43c1-ab41-51af0635a390"]}],"mendeley":{"formattedCitation":"(Korber &amp; McNaughton, 2018)","plainTextFormattedCitation":"(Korber &amp; McNaughton, 2018)","previouslyFormattedCitation":"(Korber &amp; McNaughton, 2018)"},"properties":{"noteIndex":0},"schema":"https://github.com/citation-style-language/schema/raw/master/csl-citation.json"}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(Korber &amp; McNaughton, 2018)</w:t>
      </w:r>
      <w:r w:rsidRPr="00180398">
        <w:rPr>
          <w:rFonts w:ascii="Calibri Light" w:hAnsi="Calibri Light" w:cs="Calibri Light"/>
          <w:sz w:val="24"/>
          <w:szCs w:val="24"/>
        </w:rPr>
        <w:fldChar w:fldCharType="end"/>
      </w:r>
      <w:r w:rsidRPr="00180398">
        <w:rPr>
          <w:rFonts w:ascii="Calibri Light" w:hAnsi="Calibri Light" w:cs="Calibri Light"/>
          <w:sz w:val="24"/>
          <w:szCs w:val="24"/>
        </w:rPr>
        <w:t>. Therefore, empirical measurements</w:t>
      </w:r>
      <w:r w:rsidR="003E5659">
        <w:rPr>
          <w:rFonts w:ascii="Calibri Light" w:hAnsi="Calibri Light" w:cs="Calibri Light"/>
          <w:sz w:val="24"/>
          <w:szCs w:val="24"/>
        </w:rPr>
        <w:t>,</w:t>
      </w:r>
      <w:r w:rsidRPr="00180398">
        <w:rPr>
          <w:rFonts w:ascii="Calibri Light" w:hAnsi="Calibri Light" w:cs="Calibri Light"/>
          <w:sz w:val="24"/>
          <w:szCs w:val="24"/>
        </w:rPr>
        <w:t xml:space="preserve"> as carried out in other studies</w:t>
      </w:r>
      <w:r w:rsidR="003E5659">
        <w:rPr>
          <w:rFonts w:ascii="Calibri Light" w:hAnsi="Calibri Light" w:cs="Calibri Light"/>
          <w:sz w:val="24"/>
          <w:szCs w:val="24"/>
        </w:rPr>
        <w:t>,</w:t>
      </w:r>
      <w:r w:rsidRPr="00180398">
        <w:rPr>
          <w:rFonts w:ascii="Calibri Light" w:hAnsi="Calibri Light" w:cs="Calibri Light"/>
          <w:sz w:val="24"/>
          <w:szCs w:val="24"/>
        </w:rPr>
        <w:t xml:space="preserve"> are considered less relevant to be used in the context of </w:t>
      </w:r>
      <w:r w:rsidRPr="00180398">
        <w:rPr>
          <w:rFonts w:ascii="Calibri Light" w:hAnsi="Calibri Light" w:cs="Calibri Light"/>
          <w:sz w:val="24"/>
          <w:szCs w:val="24"/>
        </w:rPr>
        <w:lastRenderedPageBreak/>
        <w:t xml:space="preserve">this study. The SLR method was chosen because it allows researchers to systematically identify, evaluate, and synthesize relevant literature to answer research questions comprehensively and evidence-based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review","type":"article-journal","volume":"51"},"uris":["http://www.mendeley.com/documents/?uuid=267b13b4-0f81-49cd-9c67-1bed0138cfdf"]}],"mendeley":{"formattedCitation":"(Kitchenham et al., 2009)","plainTextFormattedCitation":"(Kitchenham et al., 2009)","previouslyFormattedCitation":"(Kitchenham et al., 2009)"},"properties":{"noteIndex":0},"schema":"https://github.com/citation-style-language/schema/raw/master/csl-citation.json"}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(Kitchenham et al., 2009)</w:t>
      </w:r>
      <w:r w:rsidRPr="00180398">
        <w:rPr>
          <w:rFonts w:ascii="Calibri Light" w:hAnsi="Calibri Light" w:cs="Calibri Light"/>
          <w:sz w:val="24"/>
          <w:szCs w:val="24"/>
        </w:rPr>
        <w:fldChar w:fldCharType="end"/>
      </w:r>
      <w:r w:rsidRPr="00180398">
        <w:rPr>
          <w:rFonts w:ascii="Calibri Light" w:hAnsi="Calibri Light" w:cs="Calibri Light"/>
          <w:sz w:val="24"/>
          <w:szCs w:val="24"/>
        </w:rPr>
        <w:t>. This approach aims to provide an in-depth understanding of the differences in regulations, views of Islamic law, and implications for halal meat and animal welfare.</w:t>
      </w:r>
    </w:p>
    <w:p w14:paraId="0205B912" w14:textId="467B441E"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research begins with literature identification </w:t>
      </w:r>
      <w:r w:rsidR="003E5659">
        <w:rPr>
          <w:rFonts w:ascii="Calibri Light" w:hAnsi="Calibri Light" w:cs="Calibri Light"/>
          <w:sz w:val="24"/>
          <w:szCs w:val="24"/>
        </w:rPr>
        <w:t>by searching</w:t>
      </w:r>
      <w:r w:rsidRPr="00180398">
        <w:rPr>
          <w:rFonts w:ascii="Calibri Light" w:hAnsi="Calibri Light" w:cs="Calibri Light"/>
          <w:sz w:val="24"/>
          <w:szCs w:val="24"/>
        </w:rPr>
        <w:t xml:space="preserve"> for </w:t>
      </w:r>
      <w:r w:rsidR="003E5659">
        <w:rPr>
          <w:rFonts w:ascii="Calibri Light" w:hAnsi="Calibri Light" w:cs="Calibri Light"/>
          <w:sz w:val="24"/>
          <w:szCs w:val="24"/>
        </w:rPr>
        <w:t>each country's scientific articles, legal documents, and official reports</w:t>
      </w:r>
      <w:r w:rsidRPr="00180398">
        <w:rPr>
          <w:rFonts w:ascii="Calibri Light" w:hAnsi="Calibri Light" w:cs="Calibri Light"/>
          <w:sz w:val="24"/>
          <w:szCs w:val="24"/>
        </w:rPr>
        <w:t xml:space="preserve">. The </w:t>
      </w:r>
      <w:r w:rsidR="003E5659">
        <w:rPr>
          <w:rFonts w:ascii="Calibri Light" w:hAnsi="Calibri Light" w:cs="Calibri Light"/>
          <w:sz w:val="24"/>
          <w:szCs w:val="24"/>
        </w:rPr>
        <w:t>primary</w:t>
      </w:r>
      <w:r w:rsidRPr="00180398">
        <w:rPr>
          <w:rFonts w:ascii="Calibri Light" w:hAnsi="Calibri Light" w:cs="Calibri Light"/>
          <w:sz w:val="24"/>
          <w:szCs w:val="24"/>
        </w:rPr>
        <w:t xml:space="preserve"> data sources are obtained from academic databases and official legal documents of each country. Identification criteria include literature that discusses stunning regulations in halal slaughter, Islamic </w:t>
      </w:r>
      <w:r w:rsidR="003E5659">
        <w:rPr>
          <w:rFonts w:ascii="Calibri Light" w:hAnsi="Calibri Light" w:cs="Calibri Light"/>
          <w:sz w:val="24"/>
          <w:szCs w:val="24"/>
        </w:rPr>
        <w:t>S</w:t>
      </w:r>
      <w:r w:rsidRPr="00180398">
        <w:rPr>
          <w:rFonts w:ascii="Calibri Light" w:hAnsi="Calibri Light" w:cs="Calibri Light"/>
          <w:sz w:val="24"/>
          <w:szCs w:val="24"/>
        </w:rPr>
        <w:t>haria perspectives related to stunning, and its implications for animal welfare.</w:t>
      </w:r>
    </w:p>
    <w:p w14:paraId="3099941F" w14:textId="75418DE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collected data was analyzed using a </w:t>
      </w:r>
      <w:commentRangeStart w:id="11"/>
      <w:r w:rsidRPr="00180398">
        <w:rPr>
          <w:rFonts w:ascii="Calibri Light" w:hAnsi="Calibri Light" w:cs="Calibri Light"/>
          <w:sz w:val="24"/>
          <w:szCs w:val="24"/>
        </w:rPr>
        <w:t xml:space="preserve">descriptive-qualitative </w:t>
      </w:r>
      <w:commentRangeEnd w:id="11"/>
      <w:r w:rsidR="00C54680">
        <w:rPr>
          <w:rStyle w:val="CommentReference"/>
        </w:rPr>
        <w:commentReference w:id="11"/>
      </w:r>
      <w:r w:rsidRPr="00180398">
        <w:rPr>
          <w:rFonts w:ascii="Calibri Light" w:hAnsi="Calibri Light" w:cs="Calibri Light"/>
          <w:sz w:val="24"/>
          <w:szCs w:val="24"/>
        </w:rPr>
        <w:t xml:space="preserve">approach, where information from various literatures was categorized based on key themes, such as regulations in Muslim-majority countries (e.g., Indonesia, Malaysia) and Muslim-minority countries (e.g., European Union, Australia). The focus of this research is to analyze the comparison of laws related to stunning methods in animal slaughter on the </w:t>
      </w:r>
      <w:proofErr w:type="spellStart"/>
      <w:r w:rsidRPr="00180398">
        <w:rPr>
          <w:rFonts w:ascii="Calibri Light" w:hAnsi="Calibri Light" w:cs="Calibri Light"/>
          <w:sz w:val="24"/>
          <w:szCs w:val="24"/>
        </w:rPr>
        <w:t>halalness</w:t>
      </w:r>
      <w:proofErr w:type="spellEnd"/>
      <w:r w:rsidRPr="00180398">
        <w:rPr>
          <w:rFonts w:ascii="Calibri Light" w:hAnsi="Calibri Light" w:cs="Calibri Light"/>
          <w:sz w:val="24"/>
          <w:szCs w:val="24"/>
        </w:rPr>
        <w:t xml:space="preserve"> of meat and animal welfare in 6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3 Muslim minority countries </w:t>
      </w:r>
      <w:r w:rsidR="003E5659">
        <w:rPr>
          <w:rFonts w:ascii="Calibri Light" w:hAnsi="Calibri Light" w:cs="Calibri Light"/>
          <w:sz w:val="24"/>
          <w:szCs w:val="24"/>
        </w:rPr>
        <w:t>and three</w:t>
      </w:r>
      <w:r w:rsidRPr="00180398">
        <w:rPr>
          <w:rFonts w:ascii="Calibri Light" w:hAnsi="Calibri Light" w:cs="Calibri Light"/>
          <w:sz w:val="24"/>
          <w:szCs w:val="24"/>
        </w:rPr>
        <w:t xml:space="preserve"> others are Muslim majority. </w:t>
      </w:r>
      <w:r w:rsidR="003E5659">
        <w:rPr>
          <w:rFonts w:ascii="Calibri Light" w:hAnsi="Calibri Light" w:cs="Calibri Light"/>
          <w:sz w:val="24"/>
          <w:szCs w:val="24"/>
        </w:rPr>
        <w:t>Seven</w:t>
      </w:r>
      <w:r w:rsidRPr="00180398">
        <w:rPr>
          <w:rFonts w:ascii="Calibri Light" w:hAnsi="Calibri Light" w:cs="Calibri Light"/>
          <w:sz w:val="24"/>
          <w:szCs w:val="24"/>
        </w:rPr>
        <w:t xml:space="preserve"> sources of legal documents from these </w:t>
      </w:r>
      <w:r w:rsidR="003E5659">
        <w:rPr>
          <w:rFonts w:ascii="Calibri Light" w:hAnsi="Calibri Light" w:cs="Calibri Light"/>
          <w:sz w:val="24"/>
          <w:szCs w:val="24"/>
        </w:rPr>
        <w:t>six</w:t>
      </w:r>
      <w:r w:rsidRPr="00180398">
        <w:rPr>
          <w:rFonts w:ascii="Calibri Light" w:hAnsi="Calibri Light" w:cs="Calibri Light"/>
          <w:sz w:val="24"/>
          <w:szCs w:val="24"/>
        </w:rPr>
        <w:t xml:space="preserve"> countries were obtained.</w:t>
      </w:r>
    </w:p>
    <w:p w14:paraId="0ED44607" w14:textId="77777777" w:rsidR="00180398" w:rsidRPr="00180398" w:rsidRDefault="00180398" w:rsidP="00180398">
      <w:pPr>
        <w:spacing w:before="120" w:after="120"/>
        <w:ind w:left="425"/>
        <w:jc w:val="both"/>
        <w:rPr>
          <w:rFonts w:ascii="Calibri Light" w:hAnsi="Calibri Light" w:cs="Calibri Light"/>
          <w:sz w:val="24"/>
          <w:szCs w:val="24"/>
        </w:rPr>
      </w:pPr>
    </w:p>
    <w:p w14:paraId="008F4015" w14:textId="77777777" w:rsidR="00180398" w:rsidRPr="00180398" w:rsidRDefault="00180398" w:rsidP="00002708">
      <w:pPr>
        <w:spacing w:before="120" w:after="120"/>
        <w:ind w:left="426"/>
        <w:jc w:val="center"/>
        <w:rPr>
          <w:rFonts w:ascii="Calibri Light" w:hAnsi="Calibri Light" w:cs="Calibri Light"/>
          <w:sz w:val="24"/>
          <w:szCs w:val="24"/>
        </w:rPr>
      </w:pPr>
      <w:commentRangeStart w:id="12"/>
      <w:r w:rsidRPr="00180398">
        <w:rPr>
          <w:rFonts w:ascii="Calibri Light" w:hAnsi="Calibri Light" w:cs="Calibri Light"/>
          <w:b/>
          <w:bCs/>
          <w:sz w:val="24"/>
          <w:szCs w:val="24"/>
        </w:rPr>
        <w:t>Table 1. Country Name and Number of Documents</w:t>
      </w:r>
    </w:p>
    <w:tbl>
      <w:tblPr>
        <w:tblStyle w:val="TableGrid"/>
        <w:tblW w:w="8597" w:type="dxa"/>
        <w:tblInd w:w="534" w:type="dxa"/>
        <w:tblBorders>
          <w:left w:val="none" w:sz="0" w:space="0" w:color="auto"/>
          <w:right w:val="none" w:sz="0" w:space="0" w:color="auto"/>
        </w:tblBorders>
        <w:tblLook w:val="04A0" w:firstRow="1" w:lastRow="0" w:firstColumn="1" w:lastColumn="0" w:noHBand="0" w:noVBand="1"/>
      </w:tblPr>
      <w:tblGrid>
        <w:gridCol w:w="1745"/>
        <w:gridCol w:w="1813"/>
        <w:gridCol w:w="1152"/>
        <w:gridCol w:w="3887"/>
      </w:tblGrid>
      <w:tr w:rsidR="00180398" w:rsidRPr="00180398" w14:paraId="5B9A263D" w14:textId="77777777" w:rsidTr="004625CA">
        <w:tc>
          <w:tcPr>
            <w:tcW w:w="1750" w:type="dxa"/>
            <w:tcBorders>
              <w:right w:val="nil"/>
            </w:tcBorders>
            <w:shd w:val="clear" w:color="auto" w:fill="D9D9D9" w:themeFill="background1" w:themeFillShade="D9"/>
            <w:vAlign w:val="center"/>
            <w:hideMark/>
          </w:tcPr>
          <w:p w14:paraId="129A0853" w14:textId="77777777" w:rsidR="00180398" w:rsidRPr="00180398" w:rsidRDefault="00180398" w:rsidP="004625CA">
            <w:pPr>
              <w:spacing w:before="120" w:after="120"/>
              <w:ind w:left="27"/>
              <w:jc w:val="center"/>
              <w:rPr>
                <w:rFonts w:ascii="Calibri Light" w:hAnsi="Calibri Light" w:cs="Calibri Light"/>
                <w:b/>
                <w:bCs/>
                <w:sz w:val="24"/>
                <w:szCs w:val="24"/>
              </w:rPr>
            </w:pPr>
            <w:r w:rsidRPr="00180398">
              <w:rPr>
                <w:rFonts w:ascii="Calibri Light" w:hAnsi="Calibri Light" w:cs="Calibri Light"/>
                <w:b/>
                <w:bCs/>
                <w:sz w:val="24"/>
                <w:szCs w:val="24"/>
              </w:rPr>
              <w:t>Information</w:t>
            </w:r>
          </w:p>
        </w:tc>
        <w:tc>
          <w:tcPr>
            <w:tcW w:w="1820" w:type="dxa"/>
            <w:tcBorders>
              <w:left w:val="nil"/>
              <w:right w:val="nil"/>
            </w:tcBorders>
            <w:shd w:val="clear" w:color="auto" w:fill="D9D9D9" w:themeFill="background1" w:themeFillShade="D9"/>
            <w:vAlign w:val="center"/>
            <w:hideMark/>
          </w:tcPr>
          <w:p w14:paraId="3A3E0F74"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Number of Documents</w:t>
            </w:r>
          </w:p>
        </w:tc>
        <w:tc>
          <w:tcPr>
            <w:tcW w:w="1107" w:type="dxa"/>
            <w:tcBorders>
              <w:left w:val="nil"/>
              <w:right w:val="nil"/>
            </w:tcBorders>
            <w:shd w:val="clear" w:color="auto" w:fill="D9D9D9" w:themeFill="background1" w:themeFillShade="D9"/>
            <w:vAlign w:val="center"/>
            <w:hideMark/>
          </w:tcPr>
          <w:p w14:paraId="79E39610"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Country Name</w:t>
            </w:r>
          </w:p>
        </w:tc>
        <w:tc>
          <w:tcPr>
            <w:tcW w:w="3920" w:type="dxa"/>
            <w:tcBorders>
              <w:left w:val="nil"/>
            </w:tcBorders>
            <w:shd w:val="clear" w:color="auto" w:fill="D9D9D9" w:themeFill="background1" w:themeFillShade="D9"/>
            <w:vAlign w:val="center"/>
            <w:hideMark/>
          </w:tcPr>
          <w:p w14:paraId="2B00DFE5" w14:textId="77777777" w:rsidR="00180398" w:rsidRPr="00180398" w:rsidRDefault="00180398" w:rsidP="004625CA">
            <w:pPr>
              <w:spacing w:before="120" w:after="120"/>
              <w:ind w:left="152"/>
              <w:jc w:val="center"/>
              <w:rPr>
                <w:rFonts w:ascii="Calibri Light" w:hAnsi="Calibri Light" w:cs="Calibri Light"/>
                <w:b/>
                <w:bCs/>
                <w:sz w:val="24"/>
                <w:szCs w:val="24"/>
              </w:rPr>
            </w:pPr>
            <w:r w:rsidRPr="00180398">
              <w:rPr>
                <w:rFonts w:ascii="Calibri Light" w:hAnsi="Calibri Light" w:cs="Calibri Light"/>
                <w:b/>
                <w:bCs/>
                <w:sz w:val="24"/>
                <w:szCs w:val="24"/>
              </w:rPr>
              <w:t>Document Name</w:t>
            </w:r>
          </w:p>
        </w:tc>
      </w:tr>
      <w:tr w:rsidR="00180398" w:rsidRPr="00180398" w14:paraId="4CCB4424" w14:textId="77777777" w:rsidTr="00180398">
        <w:tc>
          <w:tcPr>
            <w:tcW w:w="1750" w:type="dxa"/>
            <w:vMerge w:val="restart"/>
            <w:tcBorders>
              <w:right w:val="nil"/>
            </w:tcBorders>
            <w:vAlign w:val="center"/>
            <w:hideMark/>
          </w:tcPr>
          <w:p w14:paraId="43B9C807"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Minority</w:t>
            </w:r>
          </w:p>
        </w:tc>
        <w:tc>
          <w:tcPr>
            <w:tcW w:w="1820" w:type="dxa"/>
            <w:vMerge w:val="restart"/>
            <w:tcBorders>
              <w:left w:val="nil"/>
              <w:right w:val="nil"/>
            </w:tcBorders>
            <w:vAlign w:val="center"/>
            <w:hideMark/>
          </w:tcPr>
          <w:p w14:paraId="493B9487"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3 Documents</w:t>
            </w:r>
          </w:p>
        </w:tc>
        <w:tc>
          <w:tcPr>
            <w:tcW w:w="1107" w:type="dxa"/>
            <w:tcBorders>
              <w:left w:val="nil"/>
              <w:right w:val="nil"/>
            </w:tcBorders>
            <w:vAlign w:val="center"/>
            <w:hideMark/>
          </w:tcPr>
          <w:p w14:paraId="0DBDCCAC"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English</w:t>
            </w:r>
          </w:p>
        </w:tc>
        <w:tc>
          <w:tcPr>
            <w:tcW w:w="3920" w:type="dxa"/>
            <w:tcBorders>
              <w:left w:val="nil"/>
            </w:tcBorders>
            <w:hideMark/>
          </w:tcPr>
          <w:p w14:paraId="45619CD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Welfare of Animals at the Time of Killing (England) Regulations 2015</w:t>
            </w:r>
          </w:p>
        </w:tc>
      </w:tr>
      <w:commentRangeEnd w:id="12"/>
      <w:tr w:rsidR="00180398" w:rsidRPr="00180398" w14:paraId="68759B7A" w14:textId="77777777" w:rsidTr="00180398">
        <w:tc>
          <w:tcPr>
            <w:tcW w:w="1750" w:type="dxa"/>
            <w:vMerge/>
            <w:tcBorders>
              <w:right w:val="nil"/>
            </w:tcBorders>
            <w:vAlign w:val="center"/>
            <w:hideMark/>
          </w:tcPr>
          <w:p w14:paraId="2D01F6F7" w14:textId="77777777" w:rsidR="00180398" w:rsidRPr="00180398" w:rsidRDefault="00683745" w:rsidP="004625CA">
            <w:pPr>
              <w:spacing w:before="120" w:after="120"/>
              <w:ind w:left="27"/>
              <w:jc w:val="center"/>
              <w:rPr>
                <w:rFonts w:ascii="Calibri Light" w:hAnsi="Calibri Light" w:cs="Calibri Light"/>
                <w:sz w:val="24"/>
                <w:szCs w:val="24"/>
                <w:lang w:eastAsia="en-US"/>
              </w:rPr>
            </w:pPr>
            <w:r>
              <w:rPr>
                <w:rStyle w:val="CommentReference"/>
              </w:rPr>
              <w:commentReference w:id="12"/>
            </w:r>
          </w:p>
        </w:tc>
        <w:tc>
          <w:tcPr>
            <w:tcW w:w="1820" w:type="dxa"/>
            <w:vMerge/>
            <w:tcBorders>
              <w:left w:val="nil"/>
              <w:right w:val="nil"/>
            </w:tcBorders>
            <w:vAlign w:val="center"/>
            <w:hideMark/>
          </w:tcPr>
          <w:p w14:paraId="3F6C2C0F"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33E31C7B"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America</w:t>
            </w:r>
          </w:p>
        </w:tc>
        <w:tc>
          <w:tcPr>
            <w:tcW w:w="3920" w:type="dxa"/>
            <w:tcBorders>
              <w:left w:val="nil"/>
            </w:tcBorders>
            <w:hideMark/>
          </w:tcPr>
          <w:p w14:paraId="2AC87D24"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Humane Methods of Slaughter Act</w:t>
            </w:r>
          </w:p>
        </w:tc>
      </w:tr>
      <w:tr w:rsidR="00180398" w:rsidRPr="00180398" w14:paraId="57761364" w14:textId="77777777" w:rsidTr="00180398">
        <w:tc>
          <w:tcPr>
            <w:tcW w:w="1750" w:type="dxa"/>
            <w:vMerge/>
            <w:tcBorders>
              <w:right w:val="nil"/>
            </w:tcBorders>
            <w:vAlign w:val="center"/>
            <w:hideMark/>
          </w:tcPr>
          <w:p w14:paraId="02DA8984"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4DA398A"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12DE1989"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Australia</w:t>
            </w:r>
          </w:p>
        </w:tc>
        <w:tc>
          <w:tcPr>
            <w:tcW w:w="3920" w:type="dxa"/>
            <w:tcBorders>
              <w:left w:val="nil"/>
            </w:tcBorders>
            <w:hideMark/>
          </w:tcPr>
          <w:p w14:paraId="6D86624D"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Australian Animal Welfare Standards and Guidelines</w:t>
            </w:r>
          </w:p>
        </w:tc>
      </w:tr>
      <w:tr w:rsidR="00180398" w:rsidRPr="00180398" w14:paraId="716040F2" w14:textId="77777777" w:rsidTr="00180398">
        <w:tc>
          <w:tcPr>
            <w:tcW w:w="1750" w:type="dxa"/>
            <w:vMerge w:val="restart"/>
            <w:tcBorders>
              <w:right w:val="nil"/>
            </w:tcBorders>
            <w:vAlign w:val="center"/>
            <w:hideMark/>
          </w:tcPr>
          <w:p w14:paraId="67D2C110"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Majority</w:t>
            </w:r>
          </w:p>
        </w:tc>
        <w:tc>
          <w:tcPr>
            <w:tcW w:w="1820" w:type="dxa"/>
            <w:vMerge w:val="restart"/>
            <w:tcBorders>
              <w:left w:val="nil"/>
              <w:right w:val="nil"/>
            </w:tcBorders>
            <w:vAlign w:val="center"/>
            <w:hideMark/>
          </w:tcPr>
          <w:p w14:paraId="1B45659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4 Documents</w:t>
            </w:r>
          </w:p>
        </w:tc>
        <w:tc>
          <w:tcPr>
            <w:tcW w:w="1107" w:type="dxa"/>
            <w:tcBorders>
              <w:left w:val="nil"/>
              <w:right w:val="nil"/>
            </w:tcBorders>
            <w:vAlign w:val="center"/>
            <w:hideMark/>
          </w:tcPr>
          <w:p w14:paraId="505654F3"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Indonesia</w:t>
            </w:r>
          </w:p>
        </w:tc>
        <w:tc>
          <w:tcPr>
            <w:tcW w:w="3920" w:type="dxa"/>
            <w:tcBorders>
              <w:left w:val="nil"/>
            </w:tcBorders>
            <w:hideMark/>
          </w:tcPr>
          <w:p w14:paraId="1B05CFFD"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MUI Fatwa No. 12 of 2009</w:t>
            </w:r>
          </w:p>
          <w:p w14:paraId="4908CAFE"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Aceh MPU Fatwa No. 06 of 2013</w:t>
            </w:r>
          </w:p>
        </w:tc>
      </w:tr>
      <w:tr w:rsidR="00180398" w:rsidRPr="00180398" w14:paraId="03E51713" w14:textId="77777777" w:rsidTr="00180398">
        <w:tc>
          <w:tcPr>
            <w:tcW w:w="1750" w:type="dxa"/>
            <w:vMerge/>
            <w:tcBorders>
              <w:right w:val="nil"/>
            </w:tcBorders>
            <w:vAlign w:val="center"/>
            <w:hideMark/>
          </w:tcPr>
          <w:p w14:paraId="14A8797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E491703"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750491D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Malaysia</w:t>
            </w:r>
          </w:p>
        </w:tc>
        <w:tc>
          <w:tcPr>
            <w:tcW w:w="3920" w:type="dxa"/>
            <w:tcBorders>
              <w:left w:val="nil"/>
            </w:tcBorders>
            <w:hideMark/>
          </w:tcPr>
          <w:p w14:paraId="4B5B2D49"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MS 1500:2009</w:t>
            </w:r>
          </w:p>
        </w:tc>
      </w:tr>
      <w:tr w:rsidR="00180398" w:rsidRPr="00180398" w14:paraId="417A6485" w14:textId="77777777" w:rsidTr="00180398">
        <w:tc>
          <w:tcPr>
            <w:tcW w:w="1750" w:type="dxa"/>
            <w:vMerge/>
            <w:tcBorders>
              <w:right w:val="nil"/>
            </w:tcBorders>
            <w:vAlign w:val="center"/>
            <w:hideMark/>
          </w:tcPr>
          <w:p w14:paraId="06B2E74F"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860660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45376B25"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Saudi Arabia</w:t>
            </w:r>
          </w:p>
        </w:tc>
        <w:tc>
          <w:tcPr>
            <w:tcW w:w="3920" w:type="dxa"/>
            <w:tcBorders>
              <w:left w:val="nil"/>
            </w:tcBorders>
            <w:hideMark/>
          </w:tcPr>
          <w:p w14:paraId="7A16384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GSO 993/1998</w:t>
            </w:r>
          </w:p>
        </w:tc>
      </w:tr>
    </w:tbl>
    <w:p w14:paraId="0F6F230D" w14:textId="77777777" w:rsidR="00180398" w:rsidRPr="00180398" w:rsidRDefault="00180398" w:rsidP="00180398">
      <w:pPr>
        <w:spacing w:before="120" w:after="120"/>
        <w:ind w:left="425"/>
        <w:jc w:val="both"/>
        <w:rPr>
          <w:rFonts w:ascii="Calibri Light" w:hAnsi="Calibri Light" w:cs="Calibri Light"/>
          <w:sz w:val="24"/>
          <w:szCs w:val="24"/>
          <w:lang w:eastAsia="en-US"/>
        </w:rPr>
      </w:pPr>
    </w:p>
    <w:p w14:paraId="35A0704E" w14:textId="6EEE3035"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The results of this method are expected to provide a comprehensive picture of how stunning laws are applied in different countries with different political, cultural</w:t>
      </w:r>
      <w:r w:rsidR="003E5659">
        <w:rPr>
          <w:rFonts w:ascii="Calibri Light" w:hAnsi="Calibri Light" w:cs="Calibri Light"/>
          <w:sz w:val="24"/>
          <w:szCs w:val="24"/>
        </w:rPr>
        <w:t>,</w:t>
      </w:r>
      <w:r w:rsidRPr="00180398">
        <w:rPr>
          <w:rFonts w:ascii="Calibri Light" w:hAnsi="Calibri Light" w:cs="Calibri Light"/>
          <w:sz w:val="24"/>
          <w:szCs w:val="24"/>
        </w:rPr>
        <w:t xml:space="preserve"> and legal backgrounds. This study highlights the importance of an evidence-based approach in </w:t>
      </w:r>
      <w:r w:rsidRPr="00180398">
        <w:rPr>
          <w:rFonts w:ascii="Calibri Light" w:hAnsi="Calibri Light" w:cs="Calibri Light"/>
          <w:sz w:val="24"/>
          <w:szCs w:val="24"/>
        </w:rPr>
        <w:lastRenderedPageBreak/>
        <w:t>evaluating the regulation and application of stunning. This study provides important insights for policymakers in formulating harmonized global regulations by understanding the differences in perspectives between countries and their implications for halal meat and animal welfare. In addition, this study also aims to identify gaps in previous studies and offer practical recommendations to align Islamic sharia principles with modern halal industry standards.</w:t>
      </w:r>
    </w:p>
    <w:p w14:paraId="1190FF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ED5869" w14:textId="7FB9028C" w:rsidR="004625CA" w:rsidRDefault="00334792" w:rsidP="004625CA">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14:paraId="3EB1B198" w14:textId="4E8F2749"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analyzes the differences in regulations and the application of stunning laws in halal slaughter between Muslim majority and minority countries. The results show that although the stunning method aims to improve animal welfare, the acceptance of this method varies greatly depending on the legal context, culture, and interpretation of Islamic sharia in each country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Knowledge","type":"article-journal","volume":"13"},"uris":["http://www.mendeley.com/documents/?uuid=e47b9cf1-edd5-47b1-a8b9-93eadd3216a5"]}],"mendeley":{"formattedCitation":"(Sazili et al., 2023)","plainTextFormattedCitation":"(Sazili et al., 2023)","previouslyFormattedCitation":"(Sazili et al., 2023)"},"properties":{"noteIndex":0},"schema":"https://github.com/citation-style-language/schema/raw/master/csl-citation.json"}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(Sazili et al., 2023)</w:t>
      </w:r>
      <w:r w:rsidRPr="004625CA">
        <w:rPr>
          <w:rFonts w:ascii="Calibri Light" w:hAnsi="Calibri Light" w:cs="Calibri Light"/>
          <w:sz w:val="24"/>
          <w:szCs w:val="24"/>
        </w:rPr>
        <w:fldChar w:fldCharType="end"/>
      </w:r>
      <w:r w:rsidRPr="004625CA">
        <w:rPr>
          <w:rFonts w:ascii="Calibri Light" w:hAnsi="Calibri Light" w:cs="Calibri Light"/>
          <w:sz w:val="24"/>
          <w:szCs w:val="24"/>
        </w:rPr>
        <w:t>. In contrast, in Muslim minority countries such as the United Kingdom, the United States, and Australia, stunning is required by law to ensure animal welfare</w:t>
      </w:r>
      <w:r w:rsidR="003E5659">
        <w:rPr>
          <w:rFonts w:ascii="Calibri Light" w:hAnsi="Calibri Light" w:cs="Calibri Light"/>
          <w:sz w:val="24"/>
          <w:szCs w:val="24"/>
        </w:rPr>
        <w:t>. However,</w:t>
      </w:r>
      <w:r w:rsidRPr="004625CA">
        <w:rPr>
          <w:rFonts w:ascii="Calibri Light" w:hAnsi="Calibri Light" w:cs="Calibri Light"/>
          <w:sz w:val="24"/>
          <w:szCs w:val="24"/>
        </w:rPr>
        <w:t xml:space="preserve"> there are limited exceptions for ritual slaughter.</w:t>
      </w:r>
    </w:p>
    <w:p w14:paraId="41F6F3D4" w14:textId="15D9F0A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stunning method of slaughtering animals is a controversial topic because it involves differences of opinion between Muslim majority and minority countries. In Muslim-majority countries such as Indonesia, Malaysia, and Saudi Arabia, stunning is allowed with certain strict conditions according to Islamic sharia principles. MUI Fatwa No. 12 of 2009 states that stunning can be used as long as it does not cause death or permanent injury to animals before slaughter and aims to simplify the slaughter process according to Islamic sharia rules. This fatwa emphasizes that stunning must be done in a manner that is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principles of animal welfare in Islam.</w:t>
      </w:r>
    </w:p>
    <w:p w14:paraId="39F4DD2A" w14:textId="67143DEC" w:rsidR="004625CA" w:rsidRPr="004625CA" w:rsidRDefault="004625CA" w:rsidP="004625CA">
      <w:pPr>
        <w:spacing w:before="120" w:after="120"/>
        <w:ind w:left="425" w:firstLine="1"/>
        <w:jc w:val="both"/>
        <w:rPr>
          <w:rFonts w:ascii="Calibri Light" w:hAnsi="Calibri Light" w:cs="Calibri Light"/>
          <w:sz w:val="24"/>
          <w:szCs w:val="24"/>
        </w:rPr>
      </w:pPr>
      <w:commentRangeStart w:id="13"/>
      <w:r w:rsidRPr="004625CA">
        <w:rPr>
          <w:rFonts w:ascii="Calibri Light" w:hAnsi="Calibri Light" w:cs="Calibri Light"/>
          <w:sz w:val="24"/>
          <w:szCs w:val="24"/>
        </w:rPr>
        <w:t xml:space="preserve">However, the Aceh MPU Fatwa No. 06 of 2013 expressly prohibits </w:t>
      </w:r>
      <w:commentRangeEnd w:id="13"/>
      <w:r w:rsidR="00B446CE">
        <w:rPr>
          <w:rStyle w:val="CommentReference"/>
        </w:rPr>
        <w:commentReference w:id="13"/>
      </w:r>
      <w:r w:rsidRPr="004625CA">
        <w:rPr>
          <w:rFonts w:ascii="Calibri Light" w:hAnsi="Calibri Light" w:cs="Calibri Light"/>
          <w:sz w:val="24"/>
          <w:szCs w:val="24"/>
        </w:rPr>
        <w:t xml:space="preserve">the use of the stunning method in slaughtering animals. This fatwa was issued after an in-depth study by Acehnese scholars involved discussions with animal health experts and anesthesiologists. In the fatwa, stunning is considered contrary to the principles of Islamic sharia because it is considered to add suffering to animals and is not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concept of </w:t>
      </w:r>
      <w:r w:rsidR="003E5659">
        <w:rPr>
          <w:rFonts w:ascii="Calibri Light" w:hAnsi="Calibri Light" w:cs="Calibri Light"/>
          <w:i/>
          <w:iCs/>
          <w:sz w:val="24"/>
          <w:szCs w:val="24"/>
        </w:rPr>
        <w:t>I</w:t>
      </w:r>
      <w:r w:rsidRPr="004625CA">
        <w:rPr>
          <w:rFonts w:ascii="Calibri Light" w:hAnsi="Calibri Light" w:cs="Calibri Light"/>
          <w:i/>
          <w:iCs/>
          <w:sz w:val="24"/>
          <w:szCs w:val="24"/>
        </w:rPr>
        <w:t>hsan</w:t>
      </w:r>
      <w:r w:rsidRPr="004625CA">
        <w:rPr>
          <w:rFonts w:ascii="Calibri Light" w:hAnsi="Calibri Light" w:cs="Calibri Light"/>
          <w:sz w:val="24"/>
          <w:szCs w:val="24"/>
        </w:rPr>
        <w:t xml:space="preserve"> (kindness) towards animals as taught in Islam. In addition, stunning is also considered to affect the quality of meat because blood does not </w:t>
      </w:r>
      <w:r w:rsidR="003E5659">
        <w:rPr>
          <w:rFonts w:ascii="Calibri Light" w:hAnsi="Calibri Light" w:cs="Calibri Light"/>
          <w:sz w:val="24"/>
          <w:szCs w:val="24"/>
        </w:rPr>
        <w:t>entir</w:t>
      </w:r>
      <w:r w:rsidRPr="004625CA">
        <w:rPr>
          <w:rFonts w:ascii="Calibri Light" w:hAnsi="Calibri Light" w:cs="Calibri Light"/>
          <w:sz w:val="24"/>
          <w:szCs w:val="24"/>
        </w:rPr>
        <w:t>ely exit the animal's body, which has the potential to reduce nutritional value and increase the risk of disease.</w:t>
      </w:r>
    </w:p>
    <w:p w14:paraId="01D5633D" w14:textId="1C1BEC0F"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This fatwa includes eight main points that govern the law related to stunning and other </w:t>
      </w:r>
      <w:r w:rsidR="003E5659">
        <w:rPr>
          <w:rFonts w:ascii="Calibri Light" w:hAnsi="Calibri Light" w:cs="Calibri Light"/>
          <w:sz w:val="24"/>
          <w:szCs w:val="24"/>
        </w:rPr>
        <w:t>animal slaughter method</w:t>
      </w:r>
      <w:r w:rsidRPr="004625CA">
        <w:rPr>
          <w:rFonts w:ascii="Calibri Light" w:hAnsi="Calibri Light" w:cs="Calibri Light"/>
          <w:sz w:val="24"/>
          <w:szCs w:val="24"/>
        </w:rPr>
        <w:t>s. Some of them are the stunning of animals declared haram</w:t>
      </w:r>
      <w:r w:rsidR="003E5659">
        <w:rPr>
          <w:rFonts w:ascii="Calibri Light" w:hAnsi="Calibri Light" w:cs="Calibri Light"/>
          <w:sz w:val="24"/>
          <w:szCs w:val="24"/>
        </w:rPr>
        <w:t xml:space="preserve"> and</w:t>
      </w:r>
      <w:r w:rsidRPr="004625CA">
        <w:rPr>
          <w:rFonts w:ascii="Calibri Light" w:hAnsi="Calibri Light" w:cs="Calibri Light"/>
          <w:sz w:val="24"/>
          <w:szCs w:val="24"/>
        </w:rPr>
        <w:t xml:space="preserve"> the consumption of meat from slaughter using the stunning method. In addition, poisoning or shooting animals with firearms before slaughter is also haram. Not only that, the sale of food, cosmetics, and drugs containing harmful substances such as formalin or borax is also declared haram in this fatwa. </w:t>
      </w:r>
    </w:p>
    <w:p w14:paraId="724CB981" w14:textId="763BC79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Malaysia also regulates stunning through the MS1500:2009 standard, which requires that stunning must be reversible (temporary loss of consciousness without causing permanent death or injury) and does not violate halal principles. The stunning procedure must be performed by trained professionals, with supervision from halal inspectors</w:t>
      </w:r>
      <w:r w:rsidR="003E5659">
        <w:rPr>
          <w:rFonts w:ascii="Calibri Light" w:hAnsi="Calibri Light" w:cs="Calibri Light"/>
          <w:sz w:val="24"/>
          <w:szCs w:val="24"/>
        </w:rPr>
        <w:t>,</w:t>
      </w:r>
      <w:r w:rsidRPr="004625CA">
        <w:rPr>
          <w:rFonts w:ascii="Calibri Light" w:hAnsi="Calibri Light" w:cs="Calibri Light"/>
          <w:sz w:val="24"/>
          <w:szCs w:val="24"/>
        </w:rPr>
        <w:t xml:space="preserve"> to ensure compliance with the standards. If an animal is known to have died due to the stunning </w:t>
      </w:r>
      <w:r w:rsidRPr="004625CA">
        <w:rPr>
          <w:rFonts w:ascii="Calibri Light" w:hAnsi="Calibri Light" w:cs="Calibri Light"/>
          <w:sz w:val="24"/>
          <w:szCs w:val="24"/>
        </w:rPr>
        <w:lastRenderedPageBreak/>
        <w:t>process, then the animal cannot be considered halal and must be removed from the halal system.</w:t>
      </w:r>
    </w:p>
    <w:p w14:paraId="0475795D" w14:textId="4C6DC0E2"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Saudi Arabia has </w:t>
      </w:r>
      <w:r w:rsidR="003E5659">
        <w:rPr>
          <w:rFonts w:ascii="Calibri Light" w:hAnsi="Calibri Light" w:cs="Calibri Light"/>
          <w:sz w:val="24"/>
          <w:szCs w:val="24"/>
        </w:rPr>
        <w:t>stringen</w:t>
      </w:r>
      <w:r w:rsidRPr="004625CA">
        <w:rPr>
          <w:rFonts w:ascii="Calibri Light" w:hAnsi="Calibri Light" w:cs="Calibri Light"/>
          <w:sz w:val="24"/>
          <w:szCs w:val="24"/>
        </w:rPr>
        <w:t>t regulations regarding stunning methods in animal slaughter based on GSO 993/1998, a standard approved by the Gulf Cooperation Council (GCC). This fatwa prohibits the use of stunning electricity on poultry because it is considered to cause death before slaughter, which is contrary to Islamic sharia principles.</w:t>
      </w:r>
    </w:p>
    <w:p w14:paraId="29BD93C4" w14:textId="2FACABE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Furthermore, GSO 993/1998 emphasizes that </w:t>
      </w:r>
      <w:r w:rsidR="003E5659">
        <w:rPr>
          <w:rFonts w:ascii="Calibri Light" w:hAnsi="Calibri Light" w:cs="Calibri Light"/>
          <w:sz w:val="24"/>
          <w:szCs w:val="24"/>
        </w:rPr>
        <w:t>the method must be reversible if stunning is used in animals other than poultry</w:t>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law </w:t>
      </w:r>
      <w:r w:rsidRPr="004625CA">
        <w:rPr>
          <w:rFonts w:ascii="Calibri Light" w:hAnsi="Calibri Light" w:cs="Calibri Light"/>
          <w:sz w:val="24"/>
          <w:szCs w:val="24"/>
        </w:rPr>
        <w:t>means that the animal must remain alive and be able to regain consciousness if it is not slaughtered immediately. Stunning is only allowed if it aims to make the slaughter process easier without causing permanent injury or death to the animal before slaughter is carried out. In addition, the stunning tools used should not cause excessive pain or torture the animal.</w:t>
      </w:r>
    </w:p>
    <w:p w14:paraId="68DA9BC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contrast, in Muslim minority countries such as the UK and Australia, stunning is required by regulations to ensure animal welfare. Regulation in countries with a Muslim minority places more emphasis on animal welfare according to international standards than adherence to religious principles.</w:t>
      </w:r>
    </w:p>
    <w:p w14:paraId="2596BF0B" w14:textId="57940C17" w:rsidR="004625CA" w:rsidRPr="003E5659"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 </w:t>
      </w:r>
      <w:r w:rsidRPr="003E5659">
        <w:rPr>
          <w:rFonts w:ascii="Calibri Light" w:hAnsi="Calibri Light" w:cs="Calibri Light"/>
          <w:sz w:val="24"/>
          <w:szCs w:val="24"/>
        </w:rPr>
        <w:t>In the UK, The Welfare of Animals at the Time of Killing (England) Regulations 2015 (WATOK) regulates the use of stunning in animal slaughter to ensure animal welfare. This regulation requires stunning before slaughter, except for ritual slaughter</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such as halal and kosher, </w:t>
      </w:r>
      <w:r w:rsidR="003E5659" w:rsidRPr="003E5659">
        <w:rPr>
          <w:rFonts w:ascii="Calibri Light" w:hAnsi="Calibri Light" w:cs="Calibri Light"/>
          <w:sz w:val="24"/>
          <w:szCs w:val="24"/>
        </w:rPr>
        <w:t xml:space="preserve">which are </w:t>
      </w:r>
      <w:r w:rsidRPr="003E5659">
        <w:rPr>
          <w:rFonts w:ascii="Calibri Light" w:hAnsi="Calibri Light" w:cs="Calibri Light"/>
          <w:sz w:val="24"/>
          <w:szCs w:val="24"/>
        </w:rPr>
        <w:t>exempted with certain conditions. In this context, Muslim and Jewish communities can perform slaughter without stunning as long as they comply with rules aimed at minimizing animal suffering. The stunning must be quick and effective, performed by a certified individual with a Certificate of Competence, and supported by a backup tool to ensure the procedure runs correctly.</w:t>
      </w:r>
    </w:p>
    <w:p w14:paraId="232BC0BF" w14:textId="78D9999D" w:rsidR="004625CA" w:rsidRPr="003E5659" w:rsidRDefault="004625CA" w:rsidP="004625CA">
      <w:pPr>
        <w:spacing w:before="120" w:after="120"/>
        <w:ind w:left="425" w:firstLine="1"/>
        <w:jc w:val="both"/>
        <w:rPr>
          <w:rFonts w:ascii="Calibri Light" w:hAnsi="Calibri Light" w:cs="Calibri Light"/>
          <w:sz w:val="24"/>
          <w:szCs w:val="24"/>
        </w:rPr>
      </w:pPr>
      <w:r w:rsidRPr="003E5659">
        <w:rPr>
          <w:rFonts w:ascii="Calibri Light" w:hAnsi="Calibri Light" w:cs="Calibri Light"/>
          <w:sz w:val="24"/>
          <w:szCs w:val="24"/>
        </w:rPr>
        <w:t>The federal law in the United States, The Humane Methods of Slaughter Act (HMSA)</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which regulates the humane method of slaughtering animals</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requires that farm animals, such as cows, goats, sheep, and pigs, must be made pain-free before being slaughtered. This process can be done through stunning </w:t>
      </w:r>
      <w:r w:rsidR="003E5659">
        <w:rPr>
          <w:rFonts w:ascii="Calibri Light" w:hAnsi="Calibri Light" w:cs="Calibri Light"/>
          <w:sz w:val="24"/>
          <w:szCs w:val="24"/>
        </w:rPr>
        <w:t>methods such as shooting</w:t>
      </w:r>
      <w:r w:rsidRPr="003E5659">
        <w:rPr>
          <w:rFonts w:ascii="Calibri Light" w:hAnsi="Calibri Light" w:cs="Calibri Light"/>
          <w:sz w:val="24"/>
          <w:szCs w:val="24"/>
        </w:rPr>
        <w:t xml:space="preserve"> with captive bolts, electric current, or carbon dioxide gas. Stunning should be done quickly and effectively to ensure the animal becomes unconscious before being cut, lifted, or further processed. However, the HMSA provides an exception for the slaughter of religious rituals, such as halal and kosher, which are considered to meet the standard of "humane slaughter" because the animal loses consciousness due to brain anemia caused by the simultaneous cutting of the carotid artery using a sharp tool. </w:t>
      </w:r>
    </w:p>
    <w:p w14:paraId="608E1841" w14:textId="4B12061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Australia, th</w:t>
      </w:r>
      <w:r w:rsidR="003E5659">
        <w:rPr>
          <w:rFonts w:ascii="Calibri Light" w:hAnsi="Calibri Light" w:cs="Calibri Light"/>
          <w:sz w:val="24"/>
          <w:szCs w:val="24"/>
        </w:rPr>
        <w:t>e Australian Animal Welfare Standards and Guidelines stipulate that stunning is a mandatory part of the slaughter procedure for</w:t>
      </w:r>
      <w:r w:rsidRPr="004625CA">
        <w:rPr>
          <w:rFonts w:ascii="Calibri Light" w:hAnsi="Calibri Light" w:cs="Calibri Light"/>
          <w:sz w:val="24"/>
          <w:szCs w:val="24"/>
        </w:rPr>
        <w:t xml:space="preserve"> all animals to ensure animal welfare. </w:t>
      </w:r>
      <w:r w:rsidRPr="004625CA">
        <w:rPr>
          <w:rFonts w:ascii="Calibri Light" w:hAnsi="Calibri Light" w:cs="Calibri Light"/>
          <w:i/>
          <w:iCs/>
          <w:sz w:val="24"/>
          <w:szCs w:val="24"/>
        </w:rPr>
        <w:t xml:space="preserve">Stunning </w:t>
      </w:r>
      <w:r w:rsidRPr="004625CA">
        <w:rPr>
          <w:rFonts w:ascii="Calibri Light" w:hAnsi="Calibri Light" w:cs="Calibri Light"/>
          <w:sz w:val="24"/>
          <w:szCs w:val="24"/>
        </w:rPr>
        <w:t xml:space="preserve">is done to make the animal lose consciousness before being slaughtered </w:t>
      </w:r>
      <w:r w:rsidR="003E5659">
        <w:rPr>
          <w:rFonts w:ascii="Calibri Light" w:hAnsi="Calibri Light" w:cs="Calibri Light"/>
          <w:sz w:val="24"/>
          <w:szCs w:val="24"/>
        </w:rPr>
        <w:t>to reduce</w:t>
      </w:r>
      <w:r w:rsidRPr="004625CA">
        <w:rPr>
          <w:rFonts w:ascii="Calibri Light" w:hAnsi="Calibri Light" w:cs="Calibri Light"/>
          <w:sz w:val="24"/>
          <w:szCs w:val="24"/>
        </w:rPr>
        <w:t xml:space="preserve"> pain and stress during the process. The stunning method applied includes </w:t>
      </w:r>
      <w:r w:rsidR="003E5659">
        <w:rPr>
          <w:rFonts w:ascii="Calibri Light" w:hAnsi="Calibri Light" w:cs="Calibri Light"/>
          <w:sz w:val="24"/>
          <w:szCs w:val="24"/>
        </w:rPr>
        <w:t>using electricity, mechanical (non-penetrative), or carbon dioxide gas, depending on the</w:t>
      </w:r>
      <w:r w:rsidRPr="004625CA">
        <w:rPr>
          <w:rFonts w:ascii="Calibri Light" w:hAnsi="Calibri Light" w:cs="Calibri Light"/>
          <w:sz w:val="24"/>
          <w:szCs w:val="24"/>
        </w:rPr>
        <w:t xml:space="preserve"> animal being slaughtered. This process must be carried out by trained personnel using appropriate equipment in order to be effective and not cause permanent injury or death before </w:t>
      </w:r>
      <w:r w:rsidRPr="004625CA">
        <w:rPr>
          <w:rFonts w:ascii="Calibri Light" w:hAnsi="Calibri Light" w:cs="Calibri Light"/>
          <w:sz w:val="24"/>
          <w:szCs w:val="24"/>
        </w:rPr>
        <w:lastRenderedPageBreak/>
        <w:t>slaughter. Nonetheless, ritual slaughter without stunning is allowed under certain conditions as an exception to the general rule.</w:t>
      </w:r>
    </w:p>
    <w:p w14:paraId="464570A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This difference reflects social, political, and cultural dynamics in the application of Islamic law related to halal slaughter. In Muslim-majority countries, regulations focus more on compliance with Islamic law by ensuring that stunning methods do not interfere with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In contrast, in Muslim minority countries, regulations are more influenced by socio-political pressure from non-Muslim groups who fight for animal welfare without fully understanding the principles of halal slaughter. This research shows that dialogue between clerics, animal welfare researchers, and halal certification bodies is essential to bridge the religious needs of Muslims with the demands of global industrial modernization.</w:t>
      </w:r>
    </w:p>
    <w:p w14:paraId="70FF4D85" w14:textId="0D8126F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difference of views between Muslim-majority and non-Muslim countries reflects the challenge of aligning Islamic sharia principles with modern animal welfare standards. On the one hand, Muslim-majority countries tend to be more cautious in implementing stunning methods to ensure compliance with Islamic law. On the other hand, non-Muslim countries place more emphasis on animal welfare aspects based on international standards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Therefore, more intensive dialogue between religious and scientific stakeholders is needed to find solutions that meet both aspects.</w:t>
      </w:r>
    </w:p>
    <w:p w14:paraId="0D4DD085" w14:textId="77777777" w:rsidR="004625CA" w:rsidRPr="004625CA" w:rsidRDefault="004625CA" w:rsidP="00002708">
      <w:pPr>
        <w:spacing w:before="120" w:after="120"/>
        <w:ind w:left="426" w:firstLine="1"/>
        <w:jc w:val="center"/>
        <w:rPr>
          <w:rFonts w:ascii="Calibri Light" w:hAnsi="Calibri Light" w:cs="Calibri Light"/>
          <w:b/>
          <w:bCs/>
          <w:sz w:val="24"/>
          <w:szCs w:val="24"/>
        </w:rPr>
      </w:pPr>
      <w:r w:rsidRPr="004625CA">
        <w:rPr>
          <w:rFonts w:ascii="Calibri Light" w:hAnsi="Calibri Light" w:cs="Calibri Light"/>
          <w:b/>
          <w:bCs/>
          <w:sz w:val="24"/>
          <w:szCs w:val="24"/>
        </w:rPr>
        <w:t>Table 2. Summary of Results from the Legal Source Documents Studied</w:t>
      </w:r>
    </w:p>
    <w:tbl>
      <w:tblPr>
        <w:tblStyle w:val="TableGrid"/>
        <w:tblW w:w="8646" w:type="dxa"/>
        <w:tblInd w:w="426" w:type="dxa"/>
        <w:tblBorders>
          <w:left w:val="none" w:sz="0" w:space="0" w:color="auto"/>
          <w:right w:val="none" w:sz="0" w:space="0" w:color="auto"/>
        </w:tblBorders>
        <w:tblLook w:val="04A0" w:firstRow="1" w:lastRow="0" w:firstColumn="1" w:lastColumn="0" w:noHBand="0" w:noVBand="1"/>
      </w:tblPr>
      <w:tblGrid>
        <w:gridCol w:w="1701"/>
        <w:gridCol w:w="3603"/>
        <w:gridCol w:w="3342"/>
      </w:tblGrid>
      <w:tr w:rsidR="004625CA" w:rsidRPr="004625CA" w14:paraId="0D584EBE" w14:textId="77777777" w:rsidTr="00002708">
        <w:tc>
          <w:tcPr>
            <w:tcW w:w="1701" w:type="dxa"/>
            <w:tcBorders>
              <w:right w:val="nil"/>
            </w:tcBorders>
            <w:shd w:val="clear" w:color="auto" w:fill="D9D9D9" w:themeFill="background1" w:themeFillShade="D9"/>
            <w:vAlign w:val="center"/>
            <w:hideMark/>
          </w:tcPr>
          <w:p w14:paraId="7D4532B0" w14:textId="77777777" w:rsidR="004625CA" w:rsidRPr="004625CA" w:rsidRDefault="004625CA" w:rsidP="004625CA">
            <w:pPr>
              <w:spacing w:before="120" w:after="120"/>
              <w:ind w:left="27" w:firstLine="1"/>
              <w:jc w:val="center"/>
              <w:rPr>
                <w:rFonts w:ascii="Calibri Light" w:hAnsi="Calibri Light" w:cs="Calibri Light"/>
                <w:b/>
                <w:bCs/>
                <w:sz w:val="24"/>
                <w:szCs w:val="24"/>
              </w:rPr>
            </w:pPr>
            <w:r w:rsidRPr="004625CA">
              <w:rPr>
                <w:rFonts w:ascii="Calibri Light" w:hAnsi="Calibri Light" w:cs="Calibri Light"/>
                <w:b/>
                <w:bCs/>
                <w:sz w:val="24"/>
                <w:szCs w:val="24"/>
              </w:rPr>
              <w:t>Legal Aspects Studied</w:t>
            </w:r>
          </w:p>
        </w:tc>
        <w:tc>
          <w:tcPr>
            <w:tcW w:w="3603" w:type="dxa"/>
            <w:tcBorders>
              <w:left w:val="nil"/>
              <w:right w:val="nil"/>
            </w:tcBorders>
            <w:shd w:val="clear" w:color="auto" w:fill="D9D9D9" w:themeFill="background1" w:themeFillShade="D9"/>
            <w:vAlign w:val="center"/>
            <w:hideMark/>
          </w:tcPr>
          <w:p w14:paraId="62B688DD" w14:textId="77777777" w:rsidR="004625CA" w:rsidRPr="004625CA" w:rsidRDefault="004625CA" w:rsidP="004625CA">
            <w:pPr>
              <w:spacing w:before="120" w:after="120"/>
              <w:ind w:firstLine="1"/>
              <w:jc w:val="center"/>
              <w:rPr>
                <w:rFonts w:ascii="Calibri Light" w:hAnsi="Calibri Light" w:cs="Calibri Light"/>
                <w:b/>
                <w:bCs/>
                <w:sz w:val="24"/>
                <w:szCs w:val="24"/>
              </w:rPr>
            </w:pPr>
            <w:commentRangeStart w:id="14"/>
            <w:r w:rsidRPr="004625CA">
              <w:rPr>
                <w:rFonts w:ascii="Calibri Light" w:hAnsi="Calibri Light" w:cs="Calibri Light"/>
                <w:b/>
                <w:bCs/>
                <w:sz w:val="24"/>
                <w:szCs w:val="24"/>
              </w:rPr>
              <w:t>Muslim-Majority Countries (Indonesia, Malaysia, Saudi Arabia)</w:t>
            </w:r>
          </w:p>
        </w:tc>
        <w:tc>
          <w:tcPr>
            <w:tcW w:w="3342" w:type="dxa"/>
            <w:tcBorders>
              <w:left w:val="nil"/>
            </w:tcBorders>
            <w:shd w:val="clear" w:color="auto" w:fill="D9D9D9" w:themeFill="background1" w:themeFillShade="D9"/>
            <w:vAlign w:val="center"/>
            <w:hideMark/>
          </w:tcPr>
          <w:p w14:paraId="0FAD7B1A" w14:textId="77777777" w:rsidR="004625CA" w:rsidRPr="004625CA" w:rsidRDefault="004625CA" w:rsidP="004625CA">
            <w:pPr>
              <w:spacing w:before="120" w:after="120"/>
              <w:ind w:firstLine="1"/>
              <w:rPr>
                <w:rFonts w:ascii="Calibri Light" w:hAnsi="Calibri Light" w:cs="Calibri Light"/>
                <w:b/>
                <w:bCs/>
                <w:sz w:val="24"/>
                <w:szCs w:val="24"/>
              </w:rPr>
            </w:pPr>
            <w:r w:rsidRPr="004625CA">
              <w:rPr>
                <w:rFonts w:ascii="Calibri Light" w:hAnsi="Calibri Light" w:cs="Calibri Light"/>
                <w:b/>
                <w:bCs/>
                <w:sz w:val="24"/>
                <w:szCs w:val="24"/>
              </w:rPr>
              <w:t>Muslim Minority Countries (UK, USA, and Australia</w:t>
            </w:r>
            <w:commentRangeEnd w:id="14"/>
            <w:r w:rsidR="00347A1E">
              <w:rPr>
                <w:rStyle w:val="CommentReference"/>
              </w:rPr>
              <w:commentReference w:id="14"/>
            </w:r>
          </w:p>
        </w:tc>
      </w:tr>
      <w:tr w:rsidR="004625CA" w:rsidRPr="004625CA" w14:paraId="79038905" w14:textId="77777777" w:rsidTr="00002708">
        <w:tc>
          <w:tcPr>
            <w:tcW w:w="1701" w:type="dxa"/>
            <w:tcBorders>
              <w:right w:val="nil"/>
            </w:tcBorders>
            <w:vAlign w:val="center"/>
            <w:hideMark/>
          </w:tcPr>
          <w:p w14:paraId="0FD18EA4"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Application of the Stunning Method</w:t>
            </w:r>
          </w:p>
        </w:tc>
        <w:tc>
          <w:tcPr>
            <w:tcW w:w="3603" w:type="dxa"/>
            <w:tcBorders>
              <w:left w:val="nil"/>
              <w:right w:val="nil"/>
            </w:tcBorders>
            <w:vAlign w:val="center"/>
            <w:hideMark/>
          </w:tcPr>
          <w:p w14:paraId="7559E538"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Allowed with strict conditions, such as being reversible and not causing death before slaughter</w:t>
            </w:r>
          </w:p>
        </w:tc>
        <w:tc>
          <w:tcPr>
            <w:tcW w:w="3342" w:type="dxa"/>
            <w:tcBorders>
              <w:left w:val="nil"/>
            </w:tcBorders>
            <w:vAlign w:val="center"/>
            <w:hideMark/>
          </w:tcPr>
          <w:p w14:paraId="14BB85AA" w14:textId="2EC1379D"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Required by using stunning by law to ensure animal welfare, although there are exceptions for ritual/religious slaughter</w:t>
            </w:r>
          </w:p>
        </w:tc>
      </w:tr>
      <w:tr w:rsidR="004625CA" w:rsidRPr="004625CA" w14:paraId="707E7A99" w14:textId="77777777" w:rsidTr="00002708">
        <w:tc>
          <w:tcPr>
            <w:tcW w:w="1701" w:type="dxa"/>
            <w:tcBorders>
              <w:right w:val="nil"/>
            </w:tcBorders>
            <w:vAlign w:val="center"/>
            <w:hideMark/>
          </w:tcPr>
          <w:p w14:paraId="17AC82D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Halal Meat</w:t>
            </w:r>
          </w:p>
        </w:tc>
        <w:tc>
          <w:tcPr>
            <w:tcW w:w="3603" w:type="dxa"/>
            <w:tcBorders>
              <w:left w:val="nil"/>
              <w:right w:val="nil"/>
            </w:tcBorders>
            <w:vAlign w:val="center"/>
            <w:hideMark/>
          </w:tcPr>
          <w:p w14:paraId="50248663" w14:textId="3DC72228"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Focus more on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law, ensuring that animals remain alive (</w:t>
            </w:r>
            <w:proofErr w:type="spellStart"/>
            <w:r w:rsidRPr="004625CA">
              <w:rPr>
                <w:rFonts w:ascii="Calibri Light" w:hAnsi="Calibri Light" w:cs="Calibri Light"/>
                <w:i/>
                <w:iCs/>
                <w:sz w:val="24"/>
                <w:szCs w:val="24"/>
              </w:rPr>
              <w:t>hayat</w:t>
            </w:r>
            <w:proofErr w:type="spellEnd"/>
            <w:r w:rsidRPr="004625CA">
              <w:rPr>
                <w:rFonts w:ascii="Calibri Light" w:hAnsi="Calibri Light" w:cs="Calibri Light"/>
                <w:i/>
                <w:iCs/>
                <w:sz w:val="24"/>
                <w:szCs w:val="24"/>
              </w:rPr>
              <w:t xml:space="preserve"> </w:t>
            </w:r>
            <w:proofErr w:type="spellStart"/>
            <w:r w:rsidRPr="004625CA">
              <w:rPr>
                <w:rFonts w:ascii="Calibri Light" w:hAnsi="Calibri Light" w:cs="Calibri Light"/>
                <w:i/>
                <w:iCs/>
                <w:sz w:val="24"/>
                <w:szCs w:val="24"/>
              </w:rPr>
              <w:t>mustaqirrah</w:t>
            </w:r>
            <w:proofErr w:type="spellEnd"/>
            <w:r w:rsidRPr="004625CA">
              <w:rPr>
                <w:rFonts w:ascii="Calibri Light" w:hAnsi="Calibri Light" w:cs="Calibri Light"/>
                <w:sz w:val="24"/>
                <w:szCs w:val="24"/>
              </w:rPr>
              <w:t>) before being slaughtered.</w:t>
            </w:r>
          </w:p>
        </w:tc>
        <w:tc>
          <w:tcPr>
            <w:tcW w:w="3342" w:type="dxa"/>
            <w:tcBorders>
              <w:left w:val="nil"/>
            </w:tcBorders>
            <w:vAlign w:val="center"/>
            <w:hideMark/>
          </w:tcPr>
          <w:p w14:paraId="24446FB7"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Emphasizing animal welfare based on international standards without always understanding halal principles</w:t>
            </w:r>
          </w:p>
        </w:tc>
      </w:tr>
      <w:tr w:rsidR="004625CA" w:rsidRPr="004625CA" w14:paraId="4D068B5B" w14:textId="77777777" w:rsidTr="00002708">
        <w:tc>
          <w:tcPr>
            <w:tcW w:w="1701" w:type="dxa"/>
            <w:tcBorders>
              <w:right w:val="nil"/>
            </w:tcBorders>
            <w:vAlign w:val="center"/>
            <w:hideMark/>
          </w:tcPr>
          <w:p w14:paraId="3F32257C"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Supervision and Certification</w:t>
            </w:r>
          </w:p>
        </w:tc>
        <w:tc>
          <w:tcPr>
            <w:tcW w:w="3603" w:type="dxa"/>
            <w:tcBorders>
              <w:left w:val="nil"/>
              <w:right w:val="nil"/>
            </w:tcBorders>
            <w:vAlign w:val="center"/>
            <w:hideMark/>
          </w:tcPr>
          <w:p w14:paraId="01D4E117" w14:textId="202C7B8C"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Supervision is carried out by a halal certification body that ensures stunning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sharia (Indonesia)</w:t>
            </w:r>
          </w:p>
        </w:tc>
        <w:tc>
          <w:tcPr>
            <w:tcW w:w="3342" w:type="dxa"/>
            <w:tcBorders>
              <w:left w:val="nil"/>
            </w:tcBorders>
            <w:vAlign w:val="center"/>
            <w:hideMark/>
          </w:tcPr>
          <w:p w14:paraId="5ECBD711" w14:textId="77777777" w:rsidR="004625CA" w:rsidRPr="003E5659" w:rsidRDefault="004625CA" w:rsidP="004625CA">
            <w:pPr>
              <w:spacing w:before="120" w:after="120"/>
              <w:ind w:firstLine="1"/>
              <w:rPr>
                <w:rFonts w:ascii="Calibri Light" w:hAnsi="Calibri Light" w:cs="Calibri Light"/>
                <w:sz w:val="24"/>
                <w:szCs w:val="24"/>
              </w:rPr>
            </w:pPr>
            <w:r w:rsidRPr="003E5659">
              <w:rPr>
                <w:rFonts w:ascii="Calibri Light" w:hAnsi="Calibri Light" w:cs="Calibri Light"/>
                <w:sz w:val="24"/>
                <w:szCs w:val="24"/>
              </w:rPr>
              <w:t>Supervision is more focused on animal welfare with certified operators (Certificate of Competence) and strict SOPs (UK and US)</w:t>
            </w:r>
          </w:p>
        </w:tc>
      </w:tr>
      <w:tr w:rsidR="004625CA" w:rsidRPr="004625CA" w14:paraId="2A448623" w14:textId="77777777" w:rsidTr="00002708">
        <w:tc>
          <w:tcPr>
            <w:tcW w:w="1701" w:type="dxa"/>
            <w:tcBorders>
              <w:right w:val="nil"/>
            </w:tcBorders>
            <w:vAlign w:val="center"/>
            <w:hideMark/>
          </w:tcPr>
          <w:p w14:paraId="0F1D0D4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Freedom of Religion</w:t>
            </w:r>
          </w:p>
        </w:tc>
        <w:tc>
          <w:tcPr>
            <w:tcW w:w="3603" w:type="dxa"/>
            <w:tcBorders>
              <w:left w:val="nil"/>
              <w:right w:val="nil"/>
            </w:tcBorders>
            <w:vAlign w:val="center"/>
            <w:hideMark/>
          </w:tcPr>
          <w:p w14:paraId="68935A39"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Prioritizing religious principles in slaughter regulations.</w:t>
            </w:r>
          </w:p>
        </w:tc>
        <w:tc>
          <w:tcPr>
            <w:tcW w:w="3342" w:type="dxa"/>
            <w:tcBorders>
              <w:left w:val="nil"/>
            </w:tcBorders>
            <w:vAlign w:val="center"/>
            <w:hideMark/>
          </w:tcPr>
          <w:p w14:paraId="77F91917" w14:textId="658C7B4E"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Exceptions are granted to halal slaughter as a form of protection for religious freedom, but it often faces </w:t>
            </w:r>
            <w:r w:rsidRPr="004625CA">
              <w:rPr>
                <w:rFonts w:ascii="Calibri Light" w:hAnsi="Calibri Light" w:cs="Calibri Light"/>
                <w:sz w:val="24"/>
                <w:szCs w:val="24"/>
              </w:rPr>
              <w:lastRenderedPageBreak/>
              <w:t>socio-political pressure from non-Muslim groups</w:t>
            </w:r>
            <w:r w:rsidR="003E5659">
              <w:rPr>
                <w:rFonts w:ascii="Calibri Light" w:hAnsi="Calibri Light" w:cs="Calibri Light"/>
                <w:sz w:val="24"/>
                <w:szCs w:val="24"/>
              </w:rPr>
              <w:t>.</w:t>
            </w:r>
          </w:p>
        </w:tc>
      </w:tr>
    </w:tbl>
    <w:p w14:paraId="21DAAD15" w14:textId="77777777" w:rsidR="004625CA" w:rsidRPr="004625CA" w:rsidRDefault="004625CA" w:rsidP="004625CA">
      <w:pPr>
        <w:spacing w:before="120" w:after="120"/>
        <w:ind w:left="425" w:firstLine="1"/>
        <w:jc w:val="both"/>
        <w:rPr>
          <w:rFonts w:ascii="Calibri Light" w:hAnsi="Calibri Light" w:cs="Calibri Light"/>
          <w:sz w:val="24"/>
          <w:szCs w:val="24"/>
          <w:lang w:eastAsia="en-US"/>
        </w:rPr>
      </w:pPr>
    </w:p>
    <w:p w14:paraId="1F3C61C5" w14:textId="494DAFEF" w:rsidR="006B0510" w:rsidRDefault="00334792" w:rsidP="00EA1ED1">
      <w:pPr>
        <w:numPr>
          <w:ilvl w:val="0"/>
          <w:numId w:val="15"/>
        </w:numPr>
        <w:spacing w:before="120" w:after="120"/>
        <w:ind w:left="426" w:hanging="426"/>
        <w:rPr>
          <w:rFonts w:ascii="Calibri Light" w:hAnsi="Calibri Light" w:cs="Calibri Light"/>
          <w:b/>
          <w:sz w:val="24"/>
          <w:szCs w:val="24"/>
          <w:lang w:val="id-ID"/>
        </w:rPr>
      </w:pPr>
      <w:commentRangeStart w:id="15"/>
      <w:r w:rsidRPr="00122F5F">
        <w:rPr>
          <w:rFonts w:ascii="Calibri Light" w:hAnsi="Calibri Light" w:cs="Calibri Light"/>
          <w:b/>
          <w:sz w:val="24"/>
          <w:szCs w:val="24"/>
        </w:rPr>
        <w:t>DISCUSSION</w:t>
      </w:r>
      <w:commentRangeEnd w:id="15"/>
      <w:r w:rsidR="00605030">
        <w:rPr>
          <w:rStyle w:val="CommentReference"/>
        </w:rPr>
        <w:commentReference w:id="15"/>
      </w:r>
    </w:p>
    <w:p w14:paraId="0365A13A" w14:textId="65194791" w:rsidR="004625CA" w:rsidRPr="004625CA" w:rsidRDefault="004625CA" w:rsidP="004625CA">
      <w:pPr>
        <w:spacing w:before="120" w:after="120"/>
        <w:ind w:left="425"/>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The application of the stunning method in halal slaughter continues to be a significant debate among scholars, scientists, and practitioners of the meat industry. One of the main reasons for this controversy is the difference in interpretation of Islamic law regarding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from animals slaughtered after stunning. In Islam, one of the main conditions of halal slaughter is that the animal must be alive while being slaughtered, and the blood must flow </w:t>
      </w:r>
      <w:r w:rsidR="003E5659">
        <w:rPr>
          <w:rFonts w:ascii="Calibri Light" w:hAnsi="Calibri Light" w:cs="Calibri Light"/>
          <w:sz w:val="24"/>
          <w:szCs w:val="24"/>
        </w:rPr>
        <w:t>ultima</w:t>
      </w:r>
      <w:r w:rsidRPr="004625CA">
        <w:rPr>
          <w:rFonts w:ascii="Calibri Light" w:hAnsi="Calibri Light" w:cs="Calibri Light"/>
          <w:sz w:val="24"/>
          <w:szCs w:val="24"/>
        </w:rPr>
        <w:t>tely to avoid the consumption of forbidden blood</w:t>
      </w:r>
      <w:r w:rsidR="003E5659">
        <w:rPr>
          <w:rFonts w:ascii="Calibri Light" w:hAnsi="Calibri Light" w:cs="Calibri Light"/>
          <w:sz w:val="24"/>
          <w:szCs w:val="24"/>
        </w:rPr>
        <w:t>. T</w:t>
      </w:r>
      <w:r w:rsidRPr="004625CA">
        <w:rPr>
          <w:rFonts w:ascii="Calibri Light" w:hAnsi="Calibri Light" w:cs="Calibri Light"/>
          <w:sz w:val="24"/>
          <w:szCs w:val="24"/>
        </w:rPr>
        <w:t xml:space="preserve">he slaughter must be carried out by cutting the trachea, esophagus, and </w:t>
      </w:r>
      <w:r w:rsidR="003E5659">
        <w:rPr>
          <w:rFonts w:ascii="Calibri Light" w:hAnsi="Calibri Light" w:cs="Calibri Light"/>
          <w:sz w:val="24"/>
          <w:szCs w:val="24"/>
        </w:rPr>
        <w:t>prominent</w:t>
      </w:r>
      <w:r w:rsidRPr="004625CA">
        <w:rPr>
          <w:rFonts w:ascii="Calibri Light" w:hAnsi="Calibri Light" w:cs="Calibri Light"/>
          <w:sz w:val="24"/>
          <w:szCs w:val="24"/>
        </w:rPr>
        <w:t xml:space="preserve"> blood vessels of the animal</w:t>
      </w:r>
      <w:r w:rsidR="003E5659">
        <w:rPr>
          <w:rFonts w:ascii="Calibri Light" w:hAnsi="Calibri Light" w:cs="Calibri Light"/>
          <w:sz w:val="24"/>
          <w:szCs w:val="24"/>
        </w:rPr>
        <w:t>. In contrast,</w:t>
      </w:r>
      <w:r w:rsidRPr="004625CA">
        <w:rPr>
          <w:rFonts w:ascii="Calibri Light" w:hAnsi="Calibri Light" w:cs="Calibri Light"/>
          <w:sz w:val="24"/>
          <w:szCs w:val="24"/>
        </w:rPr>
        <w:t xml:space="preserve"> the animal is still alive (</w:t>
      </w:r>
      <w:r w:rsidRPr="004625CA">
        <w:rPr>
          <w:rFonts w:ascii="Calibri Light" w:hAnsi="Calibri Light" w:cs="Calibri Light"/>
          <w:i/>
          <w:iCs/>
          <w:sz w:val="24"/>
          <w:szCs w:val="24"/>
        </w:rPr>
        <w:t>Al-Hayah Al-</w:t>
      </w:r>
      <w:proofErr w:type="spellStart"/>
      <w:r w:rsidRPr="004625CA">
        <w:rPr>
          <w:rFonts w:ascii="Calibri Light" w:hAnsi="Calibri Light" w:cs="Calibri Light"/>
          <w:i/>
          <w:iCs/>
          <w:sz w:val="24"/>
          <w:szCs w:val="24"/>
        </w:rPr>
        <w:t>Mustaqirrah</w:t>
      </w:r>
      <w:proofErr w:type="spellEnd"/>
      <w:r w:rsidRPr="004625CA">
        <w:rPr>
          <w:rFonts w:ascii="Calibri Light" w:hAnsi="Calibri Light" w:cs="Calibri Light"/>
          <w:sz w:val="24"/>
          <w:szCs w:val="24"/>
        </w:rPr>
        <w:t xml:space="preserve">), and stunning should not interfere with this process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However, stunning methods are often seen as disruptive to this process, especially if not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and can raise the risk of technical errors that could potentially lead to the animal's death before slaughter </w:t>
      </w:r>
      <w:r w:rsidRPr="004625CA">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animals","type":"article-journal","volume":"119"},"uris":["http://www.mendeley.com/documents/?uuid=98370f2b-ce14-4797-a30b-d7e6dbd24376"]},{"id":"ITEM-2","itemData":{"DOI":"10.1016/j.meatsci.2014.05.017","abstract":"This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Science","id":"ITEM-2","issue":"4","issued":{"date-parts":[["2014"]]},"language":"English","note":"From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quality","type":"article-journal","volume":"98"},"uris":["http://www.mendeley.com/documents/?uuid=0873b439-43f7-42bf-8558-cf916912e931"]}],"mendeley":{"formattedCitation":"(Fuseini, Knowles, Hadley, et al., 2016; Nakyinsige, Sazili, et al., 2014)","manualFormatting":"(Fuseini, Knowles, Hadley, et al., 2016; Nakyinsige, Sazili, et al., 2014)","plainTextFormattedCitation":"(Fuseini, Knowles, Hadley, et al., 2016; Nakyinsige, Sazili, et al., 2014)","previouslyFormattedCitation":"(Fuseini, Knowles, Hadley, et al., 2016; Nakyinsige, Sazili,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 Nakyinsige, Sazili, et al., 2014)</w:t>
      </w:r>
      <w:r w:rsidRPr="004625CA">
        <w:rPr>
          <w:rFonts w:ascii="Calibri Light" w:hAnsi="Calibri Light" w:cs="Calibri Light"/>
          <w:sz w:val="24"/>
          <w:szCs w:val="24"/>
        </w:rPr>
        <w:fldChar w:fldCharType="end"/>
      </w:r>
    </w:p>
    <w:p w14:paraId="6CE6F121" w14:textId="77777777"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Fatwa in Saudi Arabia also stipulates that slaughter must be carried out by a Muslim or a scholar of the book (Jewish or Christian) who understands the rules of Islamic law. The name of God must be mentioned during the slaughter process, and the tools used must be sharp and clean to ensure that the slaughter is carried out quickly and efficiently. If an animal dies as a result of stunning before being slaughtered, the meat is considered non-halal and must be removed from the halal system.</w:t>
      </w:r>
    </w:p>
    <w:p w14:paraId="72BD6EA1" w14:textId="4C8481EA" w:rsidR="004625CA" w:rsidRPr="003E5659"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regulations in the UK</w:t>
      </w:r>
      <w:r w:rsidR="003E5659">
        <w:rPr>
          <w:rFonts w:ascii="Calibri Light" w:hAnsi="Calibri Light" w:cs="Calibri Light"/>
          <w:sz w:val="24"/>
          <w:szCs w:val="24"/>
        </w:rPr>
        <w:t>,</w:t>
      </w:r>
      <w:r w:rsidRPr="004625CA">
        <w:rPr>
          <w:rFonts w:ascii="Calibri Light" w:hAnsi="Calibri Light" w:cs="Calibri Light"/>
          <w:sz w:val="24"/>
          <w:szCs w:val="24"/>
        </w:rPr>
        <w:t xml:space="preserve"> in WATOK, also stipulate that the slaughter must include both the carotid artery </w:t>
      </w:r>
      <w:r w:rsidR="003E5659">
        <w:rPr>
          <w:rFonts w:ascii="Calibri Light" w:hAnsi="Calibri Light" w:cs="Calibri Light"/>
          <w:sz w:val="24"/>
          <w:szCs w:val="24"/>
        </w:rPr>
        <w:t>and</w:t>
      </w:r>
      <w:r w:rsidRPr="004625CA">
        <w:rPr>
          <w:rFonts w:ascii="Calibri Light" w:hAnsi="Calibri Light" w:cs="Calibri Light"/>
          <w:sz w:val="24"/>
          <w:szCs w:val="24"/>
        </w:rPr>
        <w:t xml:space="preserve"> the main blood vessel to ensure the rapid death of the animal. Business </w:t>
      </w:r>
      <w:r w:rsidRPr="003E5659">
        <w:rPr>
          <w:rFonts w:ascii="Calibri Light" w:hAnsi="Calibri Light" w:cs="Calibri Light"/>
          <w:sz w:val="24"/>
          <w:szCs w:val="24"/>
        </w:rPr>
        <w:t xml:space="preserve">operators </w:t>
      </w:r>
      <w:r w:rsidR="003E5659" w:rsidRPr="003E5659">
        <w:rPr>
          <w:rFonts w:ascii="Calibri Light" w:hAnsi="Calibri Light" w:cs="Calibri Light"/>
          <w:sz w:val="24"/>
          <w:szCs w:val="24"/>
        </w:rPr>
        <w:t>must</w:t>
      </w:r>
      <w:r w:rsidRPr="003E5659">
        <w:rPr>
          <w:rFonts w:ascii="Calibri Light" w:hAnsi="Calibri Light" w:cs="Calibri Light"/>
          <w:sz w:val="24"/>
          <w:szCs w:val="24"/>
        </w:rPr>
        <w:t xml:space="preserve"> have Standard Operating Procedures (SOPs) </w:t>
      </w:r>
      <w:r w:rsidR="003E5659" w:rsidRPr="003E5659">
        <w:rPr>
          <w:rFonts w:ascii="Calibri Light" w:hAnsi="Calibri Light" w:cs="Calibri Light"/>
          <w:sz w:val="24"/>
          <w:szCs w:val="24"/>
        </w:rPr>
        <w:t>covering the entire handling, stunning, and slaughtering process</w:t>
      </w:r>
      <w:r w:rsidRPr="003E5659">
        <w:rPr>
          <w:rFonts w:ascii="Calibri Light" w:hAnsi="Calibri Light" w:cs="Calibri Light"/>
          <w:sz w:val="24"/>
          <w:szCs w:val="24"/>
        </w:rPr>
        <w:t xml:space="preserve">. The regulation reflects Britain's efforts to </w:t>
      </w:r>
      <w:r w:rsidR="003E5659" w:rsidRPr="003E5659">
        <w:rPr>
          <w:rFonts w:ascii="Calibri Light" w:hAnsi="Calibri Light" w:cs="Calibri Light"/>
          <w:sz w:val="24"/>
          <w:szCs w:val="24"/>
        </w:rPr>
        <w:t>balance</w:t>
      </w:r>
      <w:r w:rsidRPr="003E5659">
        <w:rPr>
          <w:rFonts w:ascii="Calibri Light" w:hAnsi="Calibri Light" w:cs="Calibri Light"/>
          <w:sz w:val="24"/>
          <w:szCs w:val="24"/>
        </w:rPr>
        <w:t xml:space="preserve"> animal welfare and religious freedom, although some have criticized it as adding more administrative burden than </w:t>
      </w:r>
      <w:r w:rsidR="003E5659">
        <w:rPr>
          <w:rFonts w:ascii="Calibri Light" w:hAnsi="Calibri Light" w:cs="Calibri Light"/>
          <w:sz w:val="24"/>
          <w:szCs w:val="24"/>
        </w:rPr>
        <w:t>significantly impacting</w:t>
      </w:r>
      <w:r w:rsidRPr="003E5659">
        <w:rPr>
          <w:rFonts w:ascii="Calibri Light" w:hAnsi="Calibri Light" w:cs="Calibri Light"/>
          <w:sz w:val="24"/>
          <w:szCs w:val="24"/>
        </w:rPr>
        <w:t xml:space="preserve"> animal welfare.</w:t>
      </w:r>
    </w:p>
    <w:p w14:paraId="684A0934" w14:textId="6C6209AD"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 </w:t>
      </w:r>
      <w:r w:rsidR="00173EAC">
        <w:rPr>
          <w:rFonts w:ascii="Calibri Light" w:hAnsi="Calibri Light" w:cs="Calibri Light"/>
          <w:sz w:val="24"/>
          <w:szCs w:val="24"/>
        </w:rPr>
        <w:t>l</w:t>
      </w:r>
      <w:r w:rsidRPr="004625CA">
        <w:rPr>
          <w:rFonts w:ascii="Calibri Light" w:hAnsi="Calibri Light" w:cs="Calibri Light"/>
          <w:sz w:val="24"/>
          <w:szCs w:val="24"/>
        </w:rPr>
        <w:t>aw in the United States</w:t>
      </w:r>
      <w:r w:rsidR="003E5659">
        <w:rPr>
          <w:rFonts w:ascii="Calibri Light" w:hAnsi="Calibri Light" w:cs="Calibri Light"/>
          <w:sz w:val="24"/>
          <w:szCs w:val="24"/>
        </w:rPr>
        <w:t>, HMSA,</w:t>
      </w:r>
      <w:r w:rsidRPr="004625CA">
        <w:rPr>
          <w:rFonts w:ascii="Calibri Light" w:hAnsi="Calibri Light" w:cs="Calibri Light"/>
          <w:sz w:val="24"/>
          <w:szCs w:val="24"/>
        </w:rPr>
        <w:t xml:space="preserve"> also regulates the handling of animals before slaughter to ensure their welfare. Animals should be handled in a manner that does not cause pain or injury, including the design of the cage and safe transport routes. Although the HMSA sets high standards for animal welfare, the law does not cover poultry and is often criticized for its weak enforcement. USDA inspectors have the authority to stop operations at slaughterhouses in the event of a serious violation of HMSA. However, in the context of ritual slaughter, including halal and kosher, exceptions are granted to protect religious freedom </w:t>
      </w:r>
      <w:r w:rsidR="003E5659">
        <w:rPr>
          <w:rFonts w:ascii="Calibri Light" w:hAnsi="Calibri Light" w:cs="Calibri Light"/>
          <w:sz w:val="24"/>
          <w:szCs w:val="24"/>
        </w:rPr>
        <w:t>per</w:t>
      </w:r>
      <w:r w:rsidRPr="004625CA">
        <w:rPr>
          <w:rFonts w:ascii="Calibri Light" w:hAnsi="Calibri Light" w:cs="Calibri Light"/>
          <w:sz w:val="24"/>
          <w:szCs w:val="24"/>
        </w:rPr>
        <w:t xml:space="preserve"> the First Amendment to the U.S. Constitution.</w:t>
      </w:r>
    </w:p>
    <w:p w14:paraId="7B4FED53" w14:textId="2213ED51"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the context of halal slaughter, Australia accommodates the needs of the halal market by </w:t>
      </w:r>
      <w:r w:rsidRPr="003E5659">
        <w:rPr>
          <w:rFonts w:ascii="Calibri Light" w:hAnsi="Calibri Light" w:cs="Calibri Light"/>
          <w:sz w:val="24"/>
          <w:szCs w:val="24"/>
        </w:rPr>
        <w:t>using reversible stunning methods, such as non-penetrative mechanical stunning (percussive stunning).</w:t>
      </w:r>
      <w:r w:rsidRPr="004625CA">
        <w:rPr>
          <w:rFonts w:ascii="Calibri Light" w:hAnsi="Calibri Light" w:cs="Calibri Light"/>
          <w:sz w:val="24"/>
          <w:szCs w:val="24"/>
        </w:rPr>
        <w:t xml:space="preserve"> Th</w:t>
      </w:r>
      <w:r w:rsidR="003E5659">
        <w:rPr>
          <w:rFonts w:ascii="Calibri Light" w:hAnsi="Calibri Light" w:cs="Calibri Light"/>
          <w:sz w:val="24"/>
          <w:szCs w:val="24"/>
        </w:rPr>
        <w:t>e halal authorities approve this method</w:t>
      </w:r>
      <w:r w:rsidRPr="004625CA">
        <w:rPr>
          <w:rFonts w:ascii="Calibri Light" w:hAnsi="Calibri Light" w:cs="Calibri Light"/>
          <w:sz w:val="24"/>
          <w:szCs w:val="24"/>
        </w:rPr>
        <w:t xml:space="preserve"> because the animal remains alive (</w:t>
      </w:r>
      <w:proofErr w:type="spellStart"/>
      <w:r w:rsidRPr="004625CA">
        <w:rPr>
          <w:rFonts w:ascii="Calibri Light" w:hAnsi="Calibri Light" w:cs="Calibri Light"/>
          <w:i/>
          <w:iCs/>
          <w:sz w:val="24"/>
          <w:szCs w:val="24"/>
        </w:rPr>
        <w:t>hayat</w:t>
      </w:r>
      <w:proofErr w:type="spellEnd"/>
      <w:r w:rsidRPr="004625CA">
        <w:rPr>
          <w:rFonts w:ascii="Calibri Light" w:hAnsi="Calibri Light" w:cs="Calibri Light"/>
          <w:i/>
          <w:iCs/>
          <w:sz w:val="24"/>
          <w:szCs w:val="24"/>
        </w:rPr>
        <w:t xml:space="preserve"> </w:t>
      </w:r>
      <w:proofErr w:type="spellStart"/>
      <w:r w:rsidRPr="004625CA">
        <w:rPr>
          <w:rFonts w:ascii="Calibri Light" w:hAnsi="Calibri Light" w:cs="Calibri Light"/>
          <w:i/>
          <w:iCs/>
          <w:sz w:val="24"/>
          <w:szCs w:val="24"/>
        </w:rPr>
        <w:t>mustaqirrah</w:t>
      </w:r>
      <w:proofErr w:type="spellEnd"/>
      <w:r w:rsidRPr="004625CA">
        <w:rPr>
          <w:rFonts w:ascii="Calibri Light" w:hAnsi="Calibri Light" w:cs="Calibri Light"/>
          <w:sz w:val="24"/>
          <w:szCs w:val="24"/>
        </w:rPr>
        <w:t xml:space="preserve">) before being slaughtered. This procedure is closely monitored to ensure compliance with halal standards while meeting animal welfare regulations. The standard is designed to </w:t>
      </w:r>
      <w:r w:rsidR="003E5659">
        <w:rPr>
          <w:rFonts w:ascii="Calibri Light" w:hAnsi="Calibri Light" w:cs="Calibri Light"/>
          <w:sz w:val="24"/>
          <w:szCs w:val="24"/>
        </w:rPr>
        <w:t>balance</w:t>
      </w:r>
      <w:r w:rsidRPr="004625CA">
        <w:rPr>
          <w:rFonts w:ascii="Calibri Light" w:hAnsi="Calibri Light" w:cs="Calibri Light"/>
          <w:sz w:val="24"/>
          <w:szCs w:val="24"/>
        </w:rPr>
        <w:t xml:space="preserve"> religious demands and international </w:t>
      </w:r>
      <w:r w:rsidRPr="004625CA">
        <w:rPr>
          <w:rFonts w:ascii="Calibri Light" w:hAnsi="Calibri Light" w:cs="Calibri Light"/>
          <w:sz w:val="24"/>
          <w:szCs w:val="24"/>
        </w:rPr>
        <w:lastRenderedPageBreak/>
        <w:t xml:space="preserve">animal welfare standards, making Australia one of </w:t>
      </w:r>
      <w:r w:rsidR="003E5659">
        <w:rPr>
          <w:rFonts w:ascii="Calibri Light" w:hAnsi="Calibri Light" w:cs="Calibri Light"/>
          <w:sz w:val="24"/>
          <w:szCs w:val="24"/>
        </w:rPr>
        <w:t>many countries' leading halal meat exporter</w:t>
      </w:r>
      <w:r w:rsidRPr="004625CA">
        <w:rPr>
          <w:rFonts w:ascii="Calibri Light" w:hAnsi="Calibri Light" w:cs="Calibri Light"/>
          <w:sz w:val="24"/>
          <w:szCs w:val="24"/>
        </w:rPr>
        <w:t>s.</w:t>
      </w:r>
    </w:p>
    <w:p w14:paraId="44507666" w14:textId="0E0F4D87" w:rsidR="004625CA" w:rsidRPr="004625CA" w:rsidRDefault="004625CA" w:rsidP="004625CA">
      <w:pPr>
        <w:spacing w:before="120" w:after="120"/>
        <w:ind w:left="425"/>
        <w:jc w:val="both"/>
        <w:rPr>
          <w:rFonts w:ascii="Calibri Light" w:hAnsi="Calibri Light" w:cs="Calibri Light"/>
          <w:sz w:val="24"/>
          <w:szCs w:val="24"/>
        </w:rPr>
      </w:pPr>
      <w:r w:rsidRPr="003E5659">
        <w:rPr>
          <w:rFonts w:ascii="Calibri Light" w:hAnsi="Calibri Light" w:cs="Calibri Light"/>
          <w:sz w:val="24"/>
          <w:szCs w:val="24"/>
        </w:rPr>
        <w:t>Regulations regarding stunning in Indonesia aim to ensure that meat remains halal while meeting animal welfare standards. In practice, stunning is often used in modern slaughterhouses (RPH) to simplify</w:t>
      </w:r>
      <w:r w:rsidRPr="004625CA">
        <w:rPr>
          <w:rFonts w:ascii="Calibri Light" w:hAnsi="Calibri Light" w:cs="Calibri Light"/>
          <w:sz w:val="24"/>
          <w:szCs w:val="24"/>
        </w:rPr>
        <w:t xml:space="preserve"> </w:t>
      </w:r>
      <w:r w:rsidR="003E5659">
        <w:rPr>
          <w:rFonts w:ascii="Calibri Light" w:hAnsi="Calibri Light" w:cs="Calibri Light"/>
          <w:sz w:val="24"/>
          <w:szCs w:val="24"/>
        </w:rPr>
        <w:t>slaughtering and reduce animal stres</w:t>
      </w:r>
      <w:r w:rsidRPr="004625CA">
        <w:rPr>
          <w:rFonts w:ascii="Calibri Light" w:hAnsi="Calibri Light" w:cs="Calibri Light"/>
          <w:sz w:val="24"/>
          <w:szCs w:val="24"/>
        </w:rPr>
        <w:t xml:space="preserve">s. However, some scholars in Indonesia still question the suitability of this method with Islamic sharia principles because of the potential risk of permanent injury or death before slaughter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Perspective","type":"article-journal","volume":"4"},"uris":["http://www.mendeley.com/documents/?uuid=44fa29c0-3ba2-4cc9-a272-c61c9b62d608"]}],"mendeley":{"formattedCitation":"(Husna, 2021)","plainTextFormattedCitation":"(Husna, 2021)","previouslyFormattedCitation":"(Husna, 2021)"},"properties":{"noteIndex":0},"schema":"https://github.com/citation-style-language/schema/raw/master/csl-citation.json"}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(Husna, 2021)</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5DDAFA99" w14:textId="72E4058C"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From a scientific perspective, research shows that the stunning method</w:t>
      </w:r>
      <w:r w:rsidR="003E5659">
        <w:rPr>
          <w:rFonts w:ascii="Calibri Light" w:hAnsi="Calibri Light" w:cs="Calibri Light"/>
          <w:sz w:val="24"/>
          <w:szCs w:val="24"/>
        </w:rPr>
        <w:t>,</w:t>
      </w:r>
      <w:r w:rsidRPr="004625CA">
        <w:rPr>
          <w:rFonts w:ascii="Calibri Light" w:hAnsi="Calibri Light" w:cs="Calibri Light"/>
          <w:sz w:val="24"/>
          <w:szCs w:val="24"/>
        </w:rPr>
        <w:t xml:space="preserve">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can improve animal </w:t>
      </w:r>
      <w:r w:rsidRPr="003E5659">
        <w:rPr>
          <w:rFonts w:ascii="Calibri Light" w:hAnsi="Calibri Light" w:cs="Calibri Light"/>
          <w:sz w:val="24"/>
          <w:szCs w:val="24"/>
        </w:rPr>
        <w:t>welfare without reducing the efficiency of blood expenditure during slaughter. For example, the head-only stunning is considered halal because it is reversible and allows animals to stay alive until slaughter</w:t>
      </w:r>
      <w:r w:rsidRPr="004625CA">
        <w:rPr>
          <w:rFonts w:ascii="Calibri Light" w:hAnsi="Calibri Light" w:cs="Calibri Light"/>
          <w:sz w:val="24"/>
          <w:szCs w:val="24"/>
        </w:rPr>
        <w:t xml:space="preserve"> is carried out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risks such as misapplication or the use of too high a voltage can lead to death before slaughter, thus making meat haram according to Islamic law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34CCADBA" w14:textId="57CEC816"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there are differences of opinion among Muslim consumers regarding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meat from animals slaughtered using the stunning method. A survey in Europe showed that the majority of Muslim consumers prefer meat to slaughter without stunning, although this method is often more </w:t>
      </w:r>
      <w:r w:rsidR="003E5659">
        <w:rPr>
          <w:rFonts w:ascii="Calibri Light" w:hAnsi="Calibri Light" w:cs="Calibri Light"/>
          <w:sz w:val="24"/>
          <w:szCs w:val="24"/>
        </w:rPr>
        <w:t>challenging</w:t>
      </w:r>
      <w:r w:rsidRPr="004625CA">
        <w:rPr>
          <w:rFonts w:ascii="Calibri Light" w:hAnsi="Calibri Light" w:cs="Calibri Light"/>
          <w:sz w:val="24"/>
          <w:szCs w:val="24"/>
        </w:rPr>
        <w:t xml:space="preserve"> to implement in modern slaughterhouses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situation </w:t>
      </w:r>
      <w:r w:rsidRPr="004625CA">
        <w:rPr>
          <w:rFonts w:ascii="Calibri Light" w:hAnsi="Calibri Light" w:cs="Calibri Light"/>
          <w:sz w:val="24"/>
          <w:szCs w:val="24"/>
        </w:rPr>
        <w:t xml:space="preserve">shows the need to educate the public about stunning technology </w:t>
      </w:r>
      <w:r w:rsidR="003E5659">
        <w:rPr>
          <w:rFonts w:ascii="Calibri Light" w:hAnsi="Calibri Light" w:cs="Calibri Light"/>
          <w:sz w:val="24"/>
          <w:szCs w:val="24"/>
        </w:rPr>
        <w:t>by</w:t>
      </w:r>
      <w:r w:rsidRPr="004625CA">
        <w:rPr>
          <w:rFonts w:ascii="Calibri Light" w:hAnsi="Calibri Light" w:cs="Calibri Light"/>
          <w:sz w:val="24"/>
          <w:szCs w:val="24"/>
        </w:rPr>
        <w:t xml:space="preserve"> sharia and </w:t>
      </w:r>
      <w:r w:rsidR="003E5659">
        <w:rPr>
          <w:rFonts w:ascii="Calibri Light" w:hAnsi="Calibri Light" w:cs="Calibri Light"/>
          <w:sz w:val="24"/>
          <w:szCs w:val="24"/>
        </w:rPr>
        <w:t>to supervise its implementation in the field strictly</w:t>
      </w:r>
      <w:r w:rsidRPr="004625CA">
        <w:rPr>
          <w:rFonts w:ascii="Calibri Light" w:hAnsi="Calibri Light" w:cs="Calibri Light"/>
          <w:sz w:val="24"/>
          <w:szCs w:val="24"/>
        </w:rPr>
        <w:t>.</w:t>
      </w:r>
    </w:p>
    <w:p w14:paraId="2B3192DC" w14:textId="60D30174"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Furthermore, some scholars argue that as long as the animal remains alive when slaughtered and the blood </w:t>
      </w:r>
      <w:r w:rsidR="003E5659">
        <w:rPr>
          <w:rFonts w:ascii="Calibri Light" w:hAnsi="Calibri Light" w:cs="Calibri Light"/>
          <w:sz w:val="24"/>
          <w:szCs w:val="24"/>
        </w:rPr>
        <w:t>ultimately comes out</w:t>
      </w:r>
      <w:r w:rsidRPr="004625CA">
        <w:rPr>
          <w:rFonts w:ascii="Calibri Light" w:hAnsi="Calibri Light" w:cs="Calibri Light"/>
          <w:sz w:val="24"/>
          <w:szCs w:val="24"/>
        </w:rPr>
        <w:t xml:space="preserve">, the use of stunning is acceptable as part of the principle of </w:t>
      </w:r>
      <w:r w:rsidR="003E5659" w:rsidRPr="003E5659">
        <w:rPr>
          <w:rFonts w:ascii="Calibri Light" w:hAnsi="Calibri Light" w:cs="Calibri Light"/>
          <w:i/>
          <w:iCs/>
          <w:sz w:val="24"/>
          <w:szCs w:val="24"/>
        </w:rPr>
        <w:t>I</w:t>
      </w:r>
      <w:r w:rsidRPr="003E5659">
        <w:rPr>
          <w:rFonts w:ascii="Calibri Light" w:hAnsi="Calibri Light" w:cs="Calibri Light"/>
          <w:i/>
          <w:iCs/>
          <w:sz w:val="24"/>
          <w:szCs w:val="24"/>
        </w:rPr>
        <w:t>hsan</w:t>
      </w:r>
      <w:r w:rsidRPr="004625CA">
        <w:rPr>
          <w:rFonts w:ascii="Calibri Light" w:hAnsi="Calibri Light" w:cs="Calibri Light"/>
          <w:sz w:val="24"/>
          <w:szCs w:val="24"/>
        </w:rPr>
        <w:t xml:space="preserve"> in Islam. This principle emphasizes the importance of treating animals well during </w:t>
      </w:r>
      <w:r w:rsidR="003E5659">
        <w:rPr>
          <w:rFonts w:ascii="Calibri Light" w:hAnsi="Calibri Light" w:cs="Calibri Light"/>
          <w:sz w:val="24"/>
          <w:szCs w:val="24"/>
        </w:rPr>
        <w:t>slaughter</w:t>
      </w:r>
      <w:r w:rsidRPr="004625CA">
        <w:rPr>
          <w:rFonts w:ascii="Calibri Light" w:hAnsi="Calibri Light" w:cs="Calibri Light"/>
          <w:sz w:val="24"/>
          <w:szCs w:val="24"/>
        </w:rPr>
        <w:t xml:space="preserve">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(Nakyinsige et al., 2013)</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other scholars reject this method because it </w:t>
      </w:r>
      <w:r w:rsidR="003E5659">
        <w:rPr>
          <w:rFonts w:ascii="Calibri Light" w:hAnsi="Calibri Light" w:cs="Calibri Light"/>
          <w:sz w:val="24"/>
          <w:szCs w:val="24"/>
        </w:rPr>
        <w:t>deviates</w:t>
      </w:r>
      <w:r w:rsidRPr="004625CA">
        <w:rPr>
          <w:rFonts w:ascii="Calibri Light" w:hAnsi="Calibri Light" w:cs="Calibri Light"/>
          <w:sz w:val="24"/>
          <w:szCs w:val="24"/>
        </w:rPr>
        <w:t xml:space="preserve"> from the tradition of manual slaughter taught by the Prophet Muhammad PBUH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27DBD70B" w14:textId="2B5FE5AB" w:rsidR="004625CA" w:rsidRPr="004625CA" w:rsidRDefault="004625CA" w:rsidP="004625CA">
      <w:pPr>
        <w:spacing w:before="120" w:after="120"/>
        <w:ind w:left="425"/>
        <w:jc w:val="both"/>
        <w:rPr>
          <w:rFonts w:ascii="Calibri Light" w:hAnsi="Calibri Light" w:cs="Calibri Light"/>
          <w:sz w:val="24"/>
          <w:szCs w:val="24"/>
        </w:rPr>
      </w:pPr>
      <w:commentRangeStart w:id="16"/>
      <w:r w:rsidRPr="004625CA">
        <w:rPr>
          <w:rFonts w:ascii="Calibri Light" w:hAnsi="Calibri Light" w:cs="Calibri Light"/>
          <w:sz w:val="24"/>
          <w:szCs w:val="24"/>
        </w:rPr>
        <w:t xml:space="preserve">The discussion on the application </w:t>
      </w:r>
      <w:commentRangeEnd w:id="16"/>
      <w:r w:rsidR="00605030">
        <w:rPr>
          <w:rStyle w:val="CommentReference"/>
        </w:rPr>
        <w:commentReference w:id="16"/>
      </w:r>
      <w:r w:rsidRPr="004625CA">
        <w:rPr>
          <w:rFonts w:ascii="Calibri Light" w:hAnsi="Calibri Light" w:cs="Calibri Light"/>
          <w:sz w:val="24"/>
          <w:szCs w:val="24"/>
        </w:rPr>
        <w:t>of stunning in halal slaughter reflects the complexity of integrating Islamic sharia principles with the needs of modern industry. This research emphasizes the importance of dialogue between scholars, scientists, and other stakeholders to find solutions t</w:t>
      </w:r>
      <w:r w:rsidR="003E5659">
        <w:rPr>
          <w:rFonts w:ascii="Calibri Light" w:hAnsi="Calibri Light" w:cs="Calibri Light"/>
          <w:sz w:val="24"/>
          <w:szCs w:val="24"/>
        </w:rPr>
        <w:t>o meet</w:t>
      </w:r>
      <w:r w:rsidRPr="004625CA">
        <w:rPr>
          <w:rFonts w:ascii="Calibri Light" w:hAnsi="Calibri Light" w:cs="Calibri Light"/>
          <w:sz w:val="24"/>
          <w:szCs w:val="24"/>
        </w:rPr>
        <w:t xml:space="preserve"> halal a</w:t>
      </w:r>
      <w:r w:rsidR="003E5659">
        <w:rPr>
          <w:rFonts w:ascii="Calibri Light" w:hAnsi="Calibri Light" w:cs="Calibri Light"/>
          <w:sz w:val="24"/>
          <w:szCs w:val="24"/>
        </w:rPr>
        <w:t>nd</w:t>
      </w:r>
      <w:r w:rsidRPr="004625CA">
        <w:rPr>
          <w:rFonts w:ascii="Calibri Light" w:hAnsi="Calibri Light" w:cs="Calibri Light"/>
          <w:sz w:val="24"/>
          <w:szCs w:val="24"/>
        </w:rPr>
        <w:t xml:space="preserve"> animal welfare. With an evidence-based approach and strict supervision of the implementation of halal regulations, it is hoped that controversies related to stunning can be minimized in the future.</w:t>
      </w:r>
    </w:p>
    <w:p w14:paraId="44634070" w14:textId="77777777" w:rsidR="004625CA" w:rsidRPr="004625CA" w:rsidRDefault="004625CA" w:rsidP="004625CA">
      <w:pPr>
        <w:spacing w:before="120" w:after="120"/>
        <w:ind w:left="360"/>
        <w:rPr>
          <w:rFonts w:ascii="Calibri Light" w:hAnsi="Calibri Light" w:cs="Calibri Light"/>
          <w:bCs/>
          <w:sz w:val="24"/>
          <w:szCs w:val="24"/>
        </w:rPr>
      </w:pPr>
    </w:p>
    <w:p w14:paraId="6A7F839A" w14:textId="72A703CA" w:rsidR="00741058" w:rsidRPr="00540F02" w:rsidRDefault="00741058" w:rsidP="00EA1ED1">
      <w:pPr>
        <w:numPr>
          <w:ilvl w:val="0"/>
          <w:numId w:val="15"/>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6697B034" w14:textId="61A32660"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examines the differences in regulations and the application of stunning methods in halal slaughter between Muslim-majority and non-Muslim countries, as well as their impact on halal meat and animal welfare. In Muslim-majority countries such as Indonesia, Malaysia, and Saudi Arabia, stunning is accepted with strict conditions, such as being reversible and not causing death before slaughter, to ensure compliance with halal principles. In contrast, in non-Muslim countries such as the European Union and Australia, </w:t>
      </w:r>
      <w:r w:rsidRPr="004625CA">
        <w:rPr>
          <w:rFonts w:ascii="Calibri Light" w:hAnsi="Calibri Light" w:cs="Calibri Light"/>
          <w:sz w:val="24"/>
          <w:szCs w:val="24"/>
        </w:rPr>
        <w:lastRenderedPageBreak/>
        <w:t>stunning is required to meet animal welfare standards</w:t>
      </w:r>
      <w:r w:rsidR="003E5659">
        <w:rPr>
          <w:rFonts w:ascii="Calibri Light" w:hAnsi="Calibri Light" w:cs="Calibri Light"/>
          <w:sz w:val="24"/>
          <w:szCs w:val="24"/>
        </w:rPr>
        <w:t>. However,</w:t>
      </w:r>
      <w:r w:rsidRPr="004625CA">
        <w:rPr>
          <w:rFonts w:ascii="Calibri Light" w:hAnsi="Calibri Light" w:cs="Calibri Light"/>
          <w:sz w:val="24"/>
          <w:szCs w:val="24"/>
        </w:rPr>
        <w:t xml:space="preserve"> exceptions are granted to Muslim communities to carry out slaughter without stunning. These differences reflect the influence of the legal context, culture, and interpretation of Islamic sharia in each country.</w:t>
      </w:r>
    </w:p>
    <w:p w14:paraId="644FB8B1" w14:textId="0A1D4205"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From a scientific perspective, </w:t>
      </w:r>
      <w:r w:rsidR="003E5659">
        <w:rPr>
          <w:rFonts w:ascii="Calibri Light" w:hAnsi="Calibri Light" w:cs="Calibri Light"/>
          <w:sz w:val="24"/>
          <w:szCs w:val="24"/>
        </w:rPr>
        <w:t>be</w:t>
      </w:r>
      <w:r w:rsidRPr="004625CA">
        <w:rPr>
          <w:rFonts w:ascii="Calibri Light" w:hAnsi="Calibri Light" w:cs="Calibri Light"/>
          <w:sz w:val="24"/>
          <w:szCs w:val="24"/>
        </w:rPr>
        <w:t xml:space="preserve">ing done correctly can improve animal welfare without reducing the efficiency of blood expenditure during slaughter. However, the risk of technical errors can lead to a violation of halal principles if the animal dies before slaughter, raising concerns among Muslim consumers who prefer meat to animals slaughtered without stunning. In addition, differences of opinion among scholars regarding the </w:t>
      </w:r>
      <w:proofErr w:type="spellStart"/>
      <w:r w:rsidRPr="004625CA">
        <w:rPr>
          <w:rFonts w:ascii="Calibri Light" w:hAnsi="Calibri Light" w:cs="Calibri Light"/>
          <w:sz w:val="24"/>
          <w:szCs w:val="24"/>
        </w:rPr>
        <w:t>halalness</w:t>
      </w:r>
      <w:proofErr w:type="spellEnd"/>
      <w:r w:rsidRPr="004625CA">
        <w:rPr>
          <w:rFonts w:ascii="Calibri Light" w:hAnsi="Calibri Light" w:cs="Calibri Light"/>
          <w:sz w:val="24"/>
          <w:szCs w:val="24"/>
        </w:rPr>
        <w:t xml:space="preserve"> of this method show the challenge </w:t>
      </w:r>
      <w:r w:rsidR="003E5659">
        <w:rPr>
          <w:rFonts w:ascii="Calibri Light" w:hAnsi="Calibri Light" w:cs="Calibri Light"/>
          <w:sz w:val="24"/>
          <w:szCs w:val="24"/>
        </w:rPr>
        <w:t>of</w:t>
      </w:r>
      <w:r w:rsidRPr="004625CA">
        <w:rPr>
          <w:rFonts w:ascii="Calibri Light" w:hAnsi="Calibri Light" w:cs="Calibri Light"/>
          <w:sz w:val="24"/>
          <w:szCs w:val="24"/>
        </w:rPr>
        <w:t xml:space="preserve"> harmonizing Islamic sharia principles with the needs of modern industry. Therefore, </w:t>
      </w:r>
      <w:r w:rsidR="003E5659">
        <w:rPr>
          <w:rFonts w:ascii="Calibri Light" w:hAnsi="Calibri Light" w:cs="Calibri Light"/>
          <w:sz w:val="24"/>
          <w:szCs w:val="24"/>
        </w:rPr>
        <w:t>transparent</w:t>
      </w:r>
      <w:r w:rsidRPr="004625CA">
        <w:rPr>
          <w:rFonts w:ascii="Calibri Light" w:hAnsi="Calibri Light" w:cs="Calibri Light"/>
          <w:sz w:val="24"/>
          <w:szCs w:val="24"/>
        </w:rPr>
        <w:t xml:space="preserve"> regulations, strict supervision, and education to the public are key to ensuring that the stunning method can be applied without violating religious principles. The study also emphasizes the importance of dialogue between scholars, scientists, and other stakeholders to </w:t>
      </w:r>
      <w:r w:rsidR="003E5659">
        <w:rPr>
          <w:rFonts w:ascii="Calibri Light" w:hAnsi="Calibri Light" w:cs="Calibri Light"/>
          <w:sz w:val="24"/>
          <w:szCs w:val="24"/>
        </w:rPr>
        <w:t>harmonize</w:t>
      </w:r>
      <w:r w:rsidRPr="004625CA">
        <w:rPr>
          <w:rFonts w:ascii="Calibri Light" w:hAnsi="Calibri Light" w:cs="Calibri Light"/>
          <w:sz w:val="24"/>
          <w:szCs w:val="24"/>
        </w:rPr>
        <w:t xml:space="preserve"> </w:t>
      </w:r>
      <w:r w:rsidR="003E5659">
        <w:rPr>
          <w:rFonts w:ascii="Calibri Light" w:hAnsi="Calibri Light" w:cs="Calibri Light"/>
          <w:sz w:val="24"/>
          <w:szCs w:val="24"/>
        </w:rPr>
        <w:t>global religious principles and modern industry standards</w:t>
      </w:r>
      <w:r w:rsidRPr="004625CA">
        <w:rPr>
          <w:rFonts w:ascii="Calibri Light" w:hAnsi="Calibri Light" w:cs="Calibri Light"/>
          <w:sz w:val="24"/>
          <w:szCs w:val="24"/>
        </w:rPr>
        <w:t>.</w:t>
      </w:r>
    </w:p>
    <w:p w14:paraId="46D39F41" w14:textId="78F36453" w:rsidR="00741058" w:rsidRDefault="00741058" w:rsidP="004625CA">
      <w:pPr>
        <w:pStyle w:val="ListParagraph"/>
        <w:spacing w:before="120" w:after="120" w:line="240" w:lineRule="auto"/>
        <w:ind w:left="0" w:right="-1"/>
        <w:contextualSpacing w:val="0"/>
        <w:jc w:val="both"/>
        <w:rPr>
          <w:rFonts w:ascii="Calibri Light" w:hAnsi="Calibri Light" w:cs="Calibri Light"/>
          <w:color w:val="FF0000"/>
          <w:sz w:val="23"/>
        </w:rPr>
      </w:pPr>
    </w:p>
    <w:p w14:paraId="4D357624" w14:textId="1F7A65BA" w:rsidR="00EA1ED1" w:rsidRDefault="00F369EC" w:rsidP="00EA1ED1">
      <w:pPr>
        <w:numPr>
          <w:ilvl w:val="0"/>
          <w:numId w:val="15"/>
        </w:numPr>
        <w:spacing w:line="240" w:lineRule="atLeast"/>
        <w:ind w:left="426" w:hanging="426"/>
        <w:jc w:val="both"/>
        <w:rPr>
          <w:rFonts w:ascii="Calibri Light" w:hAnsi="Calibri Light" w:cs="Calibri Light"/>
          <w:b/>
          <w:sz w:val="24"/>
          <w:szCs w:val="24"/>
        </w:rPr>
      </w:pPr>
      <w:commentRangeStart w:id="17"/>
      <w:r w:rsidRPr="00122F5F">
        <w:rPr>
          <w:rFonts w:ascii="Calibri Light" w:hAnsi="Calibri Light" w:cs="Calibri Light"/>
          <w:b/>
          <w:sz w:val="24"/>
          <w:szCs w:val="24"/>
        </w:rPr>
        <w:t>REFERENCES</w:t>
      </w:r>
      <w:commentRangeEnd w:id="17"/>
      <w:r w:rsidR="006728DD">
        <w:rPr>
          <w:rStyle w:val="CommentReference"/>
        </w:rPr>
        <w:commentReference w:id="17"/>
      </w:r>
    </w:p>
    <w:p w14:paraId="52D36387" w14:textId="0CFF3D01" w:rsidR="003E5659" w:rsidRPr="003E5659" w:rsidRDefault="00EA1ED1"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Pr>
          <w:rFonts w:ascii="Calibri Light" w:hAnsi="Calibri Light" w:cs="Calibri Light"/>
          <w:b/>
          <w:sz w:val="24"/>
          <w:szCs w:val="24"/>
        </w:rPr>
        <w:fldChar w:fldCharType="begin" w:fldLock="1"/>
      </w:r>
      <w:r w:rsidRPr="003E5659">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3E5659" w:rsidRPr="003E5659">
        <w:rPr>
          <w:rFonts w:ascii="Calibri Light" w:hAnsi="Calibri Light" w:cs="Calibri Light"/>
          <w:sz w:val="24"/>
          <w:szCs w:val="24"/>
        </w:rPr>
        <w:t xml:space="preserve">Aida, F. U., Imroatul, S., &amp; Khafsoh, S. (2024). Inovasi dan Strategi Pemasaran Produk Halal di Era Digital. </w:t>
      </w:r>
      <w:r w:rsidR="003E5659" w:rsidRPr="003E5659">
        <w:rPr>
          <w:rFonts w:ascii="Calibri Light" w:hAnsi="Calibri Light" w:cs="Calibri Light"/>
          <w:i/>
          <w:iCs/>
          <w:sz w:val="24"/>
          <w:szCs w:val="24"/>
        </w:rPr>
        <w:t>Journal of Economic Welfare, Philantropy, Zakat and Waqf</w:t>
      </w:r>
      <w:r w:rsidR="003E5659" w:rsidRPr="003E5659">
        <w:rPr>
          <w:rFonts w:ascii="Calibri Light" w:hAnsi="Calibri Light" w:cs="Calibri Light"/>
          <w:sz w:val="24"/>
          <w:szCs w:val="24"/>
        </w:rPr>
        <w:t xml:space="preserve">, </w:t>
      </w:r>
      <w:r w:rsidR="003E5659" w:rsidRPr="003E5659">
        <w:rPr>
          <w:rFonts w:ascii="Calibri Light" w:hAnsi="Calibri Light" w:cs="Calibri Light"/>
          <w:i/>
          <w:iCs/>
          <w:sz w:val="24"/>
          <w:szCs w:val="24"/>
        </w:rPr>
        <w:t>03</w:t>
      </w:r>
      <w:r w:rsidR="003E5659" w:rsidRPr="003E5659">
        <w:rPr>
          <w:rFonts w:ascii="Calibri Light" w:hAnsi="Calibri Light" w:cs="Calibri Light"/>
          <w:sz w:val="24"/>
          <w:szCs w:val="24"/>
        </w:rPr>
        <w:t>(01), 49–71. https://journal.iainlangsa.ac.id/index.php/asnaf/article/view/8586%0Ahttps://journal.iainlangsa.ac.id/index.php/asnaf/article/download/8586/3123</w:t>
      </w:r>
    </w:p>
    <w:p w14:paraId="129E00B9"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Aidaros, H. (2013). Proper Application of Halal Slaughter. </w:t>
      </w:r>
      <w:r w:rsidRPr="003E5659">
        <w:rPr>
          <w:rFonts w:ascii="Calibri Light" w:hAnsi="Calibri Light" w:cs="Calibri Light"/>
          <w:i/>
          <w:iCs/>
          <w:sz w:val="24"/>
          <w:szCs w:val="24"/>
        </w:rPr>
        <w:t>12th Conference of the OIE Regional Commission for the Middle East</w:t>
      </w:r>
      <w:r w:rsidRPr="003E5659">
        <w:rPr>
          <w:rFonts w:ascii="Calibri Light" w:hAnsi="Calibri Light" w:cs="Calibri Light"/>
          <w:sz w:val="24"/>
          <w:szCs w:val="24"/>
        </w:rPr>
        <w:t>, 1–4.</w:t>
      </w:r>
    </w:p>
    <w:p w14:paraId="528E62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Anil, M. H., &amp; Gregory, N. G. (2014). Slaughter, ethics, and the law. In </w:t>
      </w:r>
      <w:r w:rsidRPr="003E5659">
        <w:rPr>
          <w:rFonts w:ascii="Calibri Light" w:hAnsi="Calibri Light" w:cs="Calibri Light"/>
          <w:i/>
          <w:iCs/>
          <w:sz w:val="24"/>
          <w:szCs w:val="24"/>
        </w:rPr>
        <w:t>Encyclopedia of Meat Sciences</w:t>
      </w:r>
      <w:r w:rsidRPr="003E5659">
        <w:rPr>
          <w:rFonts w:ascii="Calibri Light" w:hAnsi="Calibri Light" w:cs="Calibri Light"/>
          <w:sz w:val="24"/>
          <w:szCs w:val="24"/>
        </w:rPr>
        <w:t xml:space="preserve"> (pp. 280–283). Elsevier Inc. https://doi.org/10.1016/B978-0-12-384731-7.00242-7</w:t>
      </w:r>
    </w:p>
    <w:p w14:paraId="3B54199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Bottoni, R. (2017). The recent decrees of the Walloon and Flemish regions on religious slaughter in the context of the related Belgian and European debate . </w:t>
      </w:r>
      <w:r w:rsidRPr="003E5659">
        <w:rPr>
          <w:rFonts w:ascii="Calibri Light" w:hAnsi="Calibri Light" w:cs="Calibri Light"/>
          <w:i/>
          <w:iCs/>
          <w:sz w:val="24"/>
          <w:szCs w:val="24"/>
        </w:rPr>
        <w:t>Quaderni di Diritto e Politica Ecclesiastica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(2), 545–580. https://doi.org/10.1440/88273</w:t>
      </w:r>
    </w:p>
    <w:p w14:paraId="246758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Enggarani, N. S., &amp; Nugroho, W. T. (2020). Policy Regarding Increased Control of Circulation or Trade of Dog Meat in Karanganyar Regency (Reviewed through the concept of Animal Welfare and The Rule of Adz-Dzariah Fiqh). </w:t>
      </w:r>
      <w:r w:rsidRPr="003E5659">
        <w:rPr>
          <w:rFonts w:ascii="Calibri Light" w:hAnsi="Calibri Light" w:cs="Calibri Light"/>
          <w:i/>
          <w:iCs/>
          <w:sz w:val="24"/>
          <w:szCs w:val="24"/>
        </w:rPr>
        <w:t>Journal of Transcendental Law</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w:t>
      </w:r>
      <w:r w:rsidRPr="003E5659">
        <w:rPr>
          <w:rFonts w:ascii="Calibri Light" w:hAnsi="Calibri Light" w:cs="Calibri Light"/>
          <w:sz w:val="24"/>
          <w:szCs w:val="24"/>
        </w:rPr>
        <w:t>(1), 28–44. https://doi.org/10.23917/jtl.v2i1.10934</w:t>
      </w:r>
    </w:p>
    <w:p w14:paraId="2BC6963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Farouk, M. M., Al-Mazeedi, H. M., Sabow, A. B., Bekhit, A. E. D., Adeyemi, K. D., Sazili, A. Q., &amp; Ghani, A. (2014). Halal and kosher slaughter methods and meat quality: A review.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(3), 505–519. https://doi.org/10.1016/j.meatsci.2014.05.021</w:t>
      </w:r>
    </w:p>
    <w:p w14:paraId="7C7DFC2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Franco, D., &amp; Lorenzo, J. M. (2014). Effect of muscle and intensity of finishing diet on meat quality of foals slaughtered at 15months.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96</w:t>
      </w:r>
      <w:r w:rsidRPr="003E5659">
        <w:rPr>
          <w:rFonts w:ascii="Calibri Light" w:hAnsi="Calibri Light" w:cs="Calibri Light"/>
          <w:sz w:val="24"/>
          <w:szCs w:val="24"/>
        </w:rPr>
        <w:t>(1), 327–334. https://doi.org/10.1016/j.meatsci.2013.07.018</w:t>
      </w:r>
    </w:p>
    <w:p w14:paraId="083FFA4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lastRenderedPageBreak/>
        <w:t xml:space="preserve">Fuseini, A., Knowles, T. G., Hadley, P. J., &amp; Wotton, S. B. (2016). Halal stunning and slaughter: Criteria for the assessment of dead animals.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119</w:t>
      </w:r>
      <w:r w:rsidRPr="003E5659">
        <w:rPr>
          <w:rFonts w:ascii="Calibri Light" w:hAnsi="Calibri Light" w:cs="Calibri Light"/>
          <w:sz w:val="24"/>
          <w:szCs w:val="24"/>
        </w:rPr>
        <w:t>, 132–137. https://doi.org/10.1016/j.meatsci.2016.04.033</w:t>
      </w:r>
    </w:p>
    <w:p w14:paraId="19723F6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Hadley, P. J., &amp; Wotton, S. B. (2017). Food and companion animal welfare: The Islamic perspective. </w:t>
      </w:r>
      <w:r w:rsidRPr="003E5659">
        <w:rPr>
          <w:rFonts w:ascii="Calibri Light" w:hAnsi="Calibri Light" w:cs="Calibri Light"/>
          <w:i/>
          <w:iCs/>
          <w:sz w:val="24"/>
          <w:szCs w:val="24"/>
        </w:rPr>
        <w:t>CAB Reviews: Perspectives in Agriculture, Veterinary Science, Nutrition and Natural Resources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w:t>
      </w:r>
      <w:r w:rsidRPr="003E5659">
        <w:rPr>
          <w:rFonts w:ascii="Calibri Light" w:hAnsi="Calibri Light" w:cs="Calibri Light"/>
          <w:sz w:val="24"/>
          <w:szCs w:val="24"/>
        </w:rPr>
        <w:t>, 1–6. https://doi.org/10.1079/PAVSNNR201712043</w:t>
      </w:r>
    </w:p>
    <w:p w14:paraId="4EF72DA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Lines, J. A., Hadley, P. J., &amp; Wotton, S. B. (2016). The stunning and slaughter of cattle within the EU: A review of the current situation with regard to the halal market. </w:t>
      </w:r>
      <w:r w:rsidRPr="003E5659">
        <w:rPr>
          <w:rFonts w:ascii="Calibri Light" w:hAnsi="Calibri Light" w:cs="Calibri Light"/>
          <w:i/>
          <w:iCs/>
          <w:sz w:val="24"/>
          <w:szCs w:val="24"/>
        </w:rPr>
        <w:t>Animal Welfare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25</w:t>
      </w:r>
      <w:r w:rsidRPr="003E5659">
        <w:rPr>
          <w:rFonts w:ascii="Calibri Light" w:hAnsi="Calibri Light" w:cs="Calibri Light"/>
          <w:sz w:val="24"/>
          <w:szCs w:val="24"/>
        </w:rPr>
        <w:t>(3), 365–376. https://doi.org/10.7120/09627286.25.3.365</w:t>
      </w:r>
    </w:p>
    <w:p w14:paraId="7BA04F3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Wotton, S. B., Hadley, P. J., &amp; Knowles, T. G. (2017). The perception and acceptability of pre-slaughter and post-slaughter stunning for Halal production: The views of UK Islamic scholars and Halal consumers.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123</w:t>
      </w:r>
      <w:r w:rsidRPr="003E5659">
        <w:rPr>
          <w:rFonts w:ascii="Calibri Light" w:hAnsi="Calibri Light" w:cs="Calibri Light"/>
          <w:sz w:val="24"/>
          <w:szCs w:val="24"/>
        </w:rPr>
        <w:t>, 143–150. https://doi.org/10.1016/j.meatsci.2016.09.013</w:t>
      </w:r>
    </w:p>
    <w:p w14:paraId="500AE29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Giyanti, I., &amp; Indriastiningsih, E. (2019). Impact of Halal Certification on The Performance of Food Small Medium Enterprises.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18</w:t>
      </w:r>
      <w:r w:rsidRPr="003E5659">
        <w:rPr>
          <w:rFonts w:ascii="Calibri Light" w:hAnsi="Calibri Light" w:cs="Calibri Light"/>
          <w:sz w:val="24"/>
          <w:szCs w:val="24"/>
        </w:rPr>
        <w:t>(2), 116–123. https://doi.org/10.23917/jiti.v18i2.7242</w:t>
      </w:r>
    </w:p>
    <w:p w14:paraId="4CA49CB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Hassan, Y. (2022). A Decade of Research on Muslim Entrepreneurship. </w:t>
      </w:r>
      <w:r w:rsidRPr="003E5659">
        <w:rPr>
          <w:rFonts w:ascii="Calibri Light" w:hAnsi="Calibri Light" w:cs="Calibri Light"/>
          <w:i/>
          <w:iCs/>
          <w:sz w:val="24"/>
          <w:szCs w:val="24"/>
        </w:rPr>
        <w:t>Journal of Islamic Marketing</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(6), 1288–1311. https://doi.org/10.1108/JIMA-12-2019-0269</w:t>
      </w:r>
    </w:p>
    <w:p w14:paraId="621DFA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Herianti, H., Siradjuddin, S., &amp; Efendi, A. (2023). INDUSTRI HALAL DARI PERSPEKTIF POTENSI DAN PERKEMBANGANNYA DI INDONESIA. </w:t>
      </w:r>
      <w:r w:rsidRPr="003E5659">
        <w:rPr>
          <w:rFonts w:ascii="Calibri Light" w:hAnsi="Calibri Light" w:cs="Calibri Light"/>
          <w:i/>
          <w:iCs/>
          <w:sz w:val="24"/>
          <w:szCs w:val="24"/>
        </w:rPr>
        <w:t>Indonesia Journal of Halal</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6</w:t>
      </w:r>
      <w:r w:rsidRPr="003E5659">
        <w:rPr>
          <w:rFonts w:ascii="Calibri Light" w:hAnsi="Calibri Light" w:cs="Calibri Light"/>
          <w:sz w:val="24"/>
          <w:szCs w:val="24"/>
        </w:rPr>
        <w:t>(2), 56–64. https://doi.org/10.14710/halal.v6i2.19249</w:t>
      </w:r>
    </w:p>
    <w:p w14:paraId="33235D5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Husna, F. (2021). Stunning From Sains and Islamic Perspective. </w:t>
      </w:r>
      <w:r w:rsidRPr="003E5659">
        <w:rPr>
          <w:rFonts w:ascii="Calibri Light" w:hAnsi="Calibri Light" w:cs="Calibri Light"/>
          <w:i/>
          <w:iCs/>
          <w:sz w:val="24"/>
          <w:szCs w:val="24"/>
        </w:rPr>
        <w:t>Journal of Halal Product and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w:t>
      </w:r>
      <w:r w:rsidRPr="003E5659">
        <w:rPr>
          <w:rFonts w:ascii="Calibri Light" w:hAnsi="Calibri Light" w:cs="Calibri Light"/>
          <w:sz w:val="24"/>
          <w:szCs w:val="24"/>
        </w:rPr>
        <w:t>(1), 8. https://doi.org/10.20473/jhpr.vol.4-issue.1.8-13</w:t>
      </w:r>
    </w:p>
    <w:p w14:paraId="6EC03D9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Jufra, A. A. (2020). </w:t>
      </w:r>
      <w:r w:rsidRPr="003E5659">
        <w:rPr>
          <w:rFonts w:ascii="Calibri Light" w:hAnsi="Calibri Light" w:cs="Calibri Light"/>
          <w:i/>
          <w:iCs/>
          <w:sz w:val="24"/>
          <w:szCs w:val="24"/>
        </w:rPr>
        <w:t>Studi Pemulihan Dan Pengembangan Ekonomi Kreatif Sub-Sektor Kuliner Pasca Pandemi (Covid-19) Dalam Menunjang Pertumbuhan Ekonomi Di Provinsi Sulawesi Tenggara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w:t>
      </w:r>
      <w:r w:rsidRPr="003E5659">
        <w:rPr>
          <w:rFonts w:ascii="Calibri Light" w:hAnsi="Calibri Light" w:cs="Calibri Light"/>
          <w:sz w:val="24"/>
          <w:szCs w:val="24"/>
        </w:rPr>
        <w:t>(June), 116–131.</w:t>
      </w:r>
    </w:p>
    <w:p w14:paraId="6009025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Kitchenham, B., Pearl Brereton, O., Budgen, D., Turner, M., Bailey, J., &amp; Linkman, S. (2009). Systematic literature reviews in software engineering – A systematic literature review. </w:t>
      </w:r>
      <w:r w:rsidRPr="003E5659">
        <w:rPr>
          <w:rFonts w:ascii="Calibri Light" w:hAnsi="Calibri Light" w:cs="Calibri Light"/>
          <w:i/>
          <w:iCs/>
          <w:sz w:val="24"/>
          <w:szCs w:val="24"/>
        </w:rPr>
        <w:t>Information and Software Technology</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51</w:t>
      </w:r>
      <w:r w:rsidRPr="003E5659">
        <w:rPr>
          <w:rFonts w:ascii="Calibri Light" w:hAnsi="Calibri Light" w:cs="Calibri Light"/>
          <w:sz w:val="24"/>
          <w:szCs w:val="24"/>
        </w:rPr>
        <w:t>(1), 7–15. https://doi.org/10.1016/j.infsof.2008.09.009</w:t>
      </w:r>
    </w:p>
    <w:p w14:paraId="54AC582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Korber, S., &amp; McNaughton, R. B. (2018). Resilience and Entrepreneurship: A Systematic Literature Review. </w:t>
      </w:r>
      <w:r w:rsidRPr="003E5659">
        <w:rPr>
          <w:rFonts w:ascii="Calibri Light" w:hAnsi="Calibri Light" w:cs="Calibri Light"/>
          <w:i/>
          <w:iCs/>
          <w:sz w:val="24"/>
          <w:szCs w:val="24"/>
        </w:rPr>
        <w:t>International Journal of Entrepreneurial Behavior &amp;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24</w:t>
      </w:r>
      <w:r w:rsidRPr="003E5659">
        <w:rPr>
          <w:rFonts w:ascii="Calibri Light" w:hAnsi="Calibri Light" w:cs="Calibri Light"/>
          <w:sz w:val="24"/>
          <w:szCs w:val="24"/>
        </w:rPr>
        <w:t>(7), 1129–1154. https://doi.org/10.1108/IJEBR-10-2016-0356</w:t>
      </w:r>
    </w:p>
    <w:p w14:paraId="72BF2D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Majelis Ulama Indonesia. (2009). </w:t>
      </w:r>
      <w:r w:rsidRPr="003E5659">
        <w:rPr>
          <w:rFonts w:ascii="Calibri Light" w:hAnsi="Calibri Light" w:cs="Calibri Light"/>
          <w:i/>
          <w:iCs/>
          <w:sz w:val="24"/>
          <w:szCs w:val="24"/>
        </w:rPr>
        <w:t>Fatwa MUI No. 12 Tahun 2009 tentang Standar Sertifikasi Penyembelihan Halal</w:t>
      </w:r>
      <w:r w:rsidRPr="003E5659">
        <w:rPr>
          <w:rFonts w:ascii="Calibri Light" w:hAnsi="Calibri Light" w:cs="Calibri Light"/>
          <w:sz w:val="24"/>
          <w:szCs w:val="24"/>
        </w:rPr>
        <w:t>.</w:t>
      </w:r>
    </w:p>
    <w:p w14:paraId="2B4D1CE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Millatina, A. N., Hakimi, F., Budiantoro, R. A., &amp; Arifandi, M. R. (2022). The Impact of Halal Label in Halal Food Buying Decisions.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xml:space="preserve">(1), </w:t>
      </w:r>
      <w:r w:rsidRPr="003E5659">
        <w:rPr>
          <w:rFonts w:ascii="Calibri Light" w:hAnsi="Calibri Light" w:cs="Calibri Light"/>
          <w:sz w:val="24"/>
          <w:szCs w:val="24"/>
        </w:rPr>
        <w:lastRenderedPageBreak/>
        <w:t>159–176. https://doi.org/10.23917/jisel.v5i1.17139</w:t>
      </w:r>
    </w:p>
    <w:p w14:paraId="485B1832"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Muhammad Hamka Habibie, H., Roesmara Donna BENEFIT Jurnal Manajemen dan Bisnis, D., &amp; Roesmara Donna, D. (2020). Factors That Influence The Intention To Purchase Halal Food Products (Case Study Of Universitas Gadjah Mada Students. </w:t>
      </w:r>
      <w:r w:rsidRPr="003E5659">
        <w:rPr>
          <w:rFonts w:ascii="Calibri Light" w:hAnsi="Calibri Light" w:cs="Calibri Light"/>
          <w:i/>
          <w:iCs/>
          <w:sz w:val="24"/>
          <w:szCs w:val="24"/>
        </w:rPr>
        <w:t>BENEFIT Jurnal Manajemen Dan Bisnis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(1), 83–955.</w:t>
      </w:r>
    </w:p>
    <w:p w14:paraId="69BC122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Che Man, Y. B., Aghwan, Z. A., Zulkifli, I., Goh, Y. M., Abu Bakar, F., Al-Kahtani, H. A., &amp; Sazili, A. Q. (2013). Stunning and animal welfare from Islamic and scientific perspectives.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95</w:t>
      </w:r>
      <w:r w:rsidRPr="003E5659">
        <w:rPr>
          <w:rFonts w:ascii="Calibri Light" w:hAnsi="Calibri Light" w:cs="Calibri Light"/>
          <w:sz w:val="24"/>
          <w:szCs w:val="24"/>
        </w:rPr>
        <w:t>(2), 352–361. https://doi.org/10.1016/j.meatsci.2013.04.006</w:t>
      </w:r>
    </w:p>
    <w:p w14:paraId="6F12244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Fatimah, A. B., Aghwan, Z. A., Zulkifli, I., Goh, Y. M., &amp; Sazili, A. Q. (2014). Bleeding efficiency and meat oxidative stability and microbiological quality of New Zealand white rabbits subjected to halal slaughter without stunning and gas stun-killing. </w:t>
      </w:r>
      <w:r w:rsidRPr="003E5659">
        <w:rPr>
          <w:rFonts w:ascii="Calibri Light" w:hAnsi="Calibri Light" w:cs="Calibri Light"/>
          <w:i/>
          <w:iCs/>
          <w:sz w:val="24"/>
          <w:szCs w:val="24"/>
        </w:rPr>
        <w:t>Asian-Australasian Journal of Animal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27</w:t>
      </w:r>
      <w:r w:rsidRPr="003E5659">
        <w:rPr>
          <w:rFonts w:ascii="Calibri Light" w:hAnsi="Calibri Light" w:cs="Calibri Light"/>
          <w:sz w:val="24"/>
          <w:szCs w:val="24"/>
        </w:rPr>
        <w:t>(3), 406–413. https://doi.org/10.5713/ajas.2013.13437</w:t>
      </w:r>
    </w:p>
    <w:p w14:paraId="2606D97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Sazili, A. Q., Zulkifli, I., Goh, Y. M., Abu Bakar, F., &amp; Sabow, A. B. (2014). Influence of gas stunning and halal slaughter (no stunning) on rabbits welfare indicators and meat quality.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(4), 701–708. https://doi.org/10.1016/j.meatsci.2014.05.017</w:t>
      </w:r>
    </w:p>
    <w:p w14:paraId="6FD269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Noor, F. R., Riyadhi, M., Rizal, M., &amp; Syahdan, R. (2023). Sosialisasi Penyembelihan dan Penanganan Hewan Kurban. </w:t>
      </w:r>
      <w:r w:rsidRPr="003E5659">
        <w:rPr>
          <w:rFonts w:ascii="Calibri Light" w:hAnsi="Calibri Light" w:cs="Calibri Light"/>
          <w:i/>
          <w:iCs/>
          <w:sz w:val="24"/>
          <w:szCs w:val="24"/>
        </w:rPr>
        <w:t>Pro Sejahtera (Prosiding Seminar Nasional Pengabdian Kepada Masyarakat)</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96–101. https://snllb.ulm.ac.id/prosiding/index.php/snllb-abdimas/article/view/801/808</w:t>
      </w:r>
    </w:p>
    <w:p w14:paraId="762BEBF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Nugraha, S. W. (2024). </w:t>
      </w:r>
      <w:r w:rsidRPr="003E5659">
        <w:rPr>
          <w:rFonts w:ascii="Calibri Light" w:hAnsi="Calibri Light" w:cs="Calibri Light"/>
          <w:i/>
          <w:iCs/>
          <w:sz w:val="24"/>
          <w:szCs w:val="24"/>
        </w:rPr>
        <w:t>Hukum Penyembelihan Hewan Menggunakan Metode Stunning Menurut Fatwa Majelis Ulama Indonesia No. 12 Tahun 2009 dengan Fatwa Majelis Permusyawaratan Ulama Aceh No. 6 Tahun 2013</w:t>
      </w:r>
      <w:r w:rsidRPr="003E5659">
        <w:rPr>
          <w:rFonts w:ascii="Calibri Light" w:hAnsi="Calibri Light" w:cs="Calibri Light"/>
          <w:sz w:val="24"/>
          <w:szCs w:val="24"/>
        </w:rPr>
        <w:t xml:space="preserve"> [Universitas Islam Negeri Sunan Gunung Djati Bandung]. https://digilib.uinsgd.ac.id/85742</w:t>
      </w:r>
    </w:p>
    <w:p w14:paraId="0E07EA2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Okdinawati, L., Simatupang, T. M., Imran, A., &amp; Lestari, Y. D. (2021). Value Co-Creation Model of Halal Logistics Services.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45–60. https://doi.org/10.23917/jiti.v20i1.13028</w:t>
      </w:r>
    </w:p>
    <w:p w14:paraId="60AE8D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Riaz, M. N., Irshad, F., Riaz, N. M., &amp; Regenstein, J. M. (2021). Pros and cons of different stunning methods from a Halal perspective: a review. </w:t>
      </w:r>
      <w:r w:rsidRPr="003E5659">
        <w:rPr>
          <w:rFonts w:ascii="Calibri Light" w:hAnsi="Calibri Light" w:cs="Calibri Light"/>
          <w:i/>
          <w:iCs/>
          <w:sz w:val="24"/>
          <w:szCs w:val="24"/>
        </w:rPr>
        <w:t>Translational Animal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(4). https://doi.org/10.1093/tas/txab154</w:t>
      </w:r>
    </w:p>
    <w:p w14:paraId="2365C5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Roselia, D. P., &amp; Hafiz, M. (2024). Sejarah Perkembangan Regulasi Penyembelihan Halal Indonesia. </w:t>
      </w:r>
      <w:r w:rsidRPr="003E5659">
        <w:rPr>
          <w:rFonts w:ascii="Calibri Light" w:hAnsi="Calibri Light" w:cs="Calibri Light"/>
          <w:i/>
          <w:iCs/>
          <w:sz w:val="24"/>
          <w:szCs w:val="24"/>
        </w:rPr>
        <w:t>Wahana Islamika: Jurnal Studi Keislaman</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10</w:t>
      </w:r>
      <w:r w:rsidRPr="003E5659">
        <w:rPr>
          <w:rFonts w:ascii="Calibri Light" w:hAnsi="Calibri Light" w:cs="Calibri Light"/>
          <w:sz w:val="24"/>
          <w:szCs w:val="24"/>
        </w:rPr>
        <w:t>(2), 48–69.</w:t>
      </w:r>
    </w:p>
    <w:p w14:paraId="125C454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Saleh, H., &amp; Rajandran, T. (2024). Relationship between Non-Muslim consumer intention to purchase Halal Products with Halal Awareness, Halal Certification, Halal Marketing and Halal Knowledge: Systematic Review. </w:t>
      </w:r>
      <w:r w:rsidRPr="003E5659">
        <w:rPr>
          <w:rFonts w:ascii="Calibri Light" w:hAnsi="Calibri Light" w:cs="Calibri Light"/>
          <w:i/>
          <w:iCs/>
          <w:sz w:val="24"/>
          <w:szCs w:val="24"/>
        </w:rPr>
        <w:t>International Journal of Academic Research in Business and Social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14</w:t>
      </w:r>
      <w:r w:rsidRPr="003E5659">
        <w:rPr>
          <w:rFonts w:ascii="Calibri Light" w:hAnsi="Calibri Light" w:cs="Calibri Light"/>
          <w:sz w:val="24"/>
          <w:szCs w:val="24"/>
        </w:rPr>
        <w:t>(9). https://doi.org/10.6007/IJARBSS/v14-i9/22495</w:t>
      </w:r>
    </w:p>
    <w:p w14:paraId="78DB6633"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lastRenderedPageBreak/>
        <w:t xml:space="preserve">Sazili, A. Q., Kumar, P., &amp; Hayat, M. N. (2023). Stunning Compliance in Halal Slaughter: A Review of Current Scientific Knowledge. </w:t>
      </w:r>
      <w:r w:rsidRPr="003E5659">
        <w:rPr>
          <w:rFonts w:ascii="Calibri Light" w:hAnsi="Calibri Light" w:cs="Calibri Light"/>
          <w:i/>
          <w:iCs/>
          <w:sz w:val="24"/>
          <w:szCs w:val="24"/>
        </w:rPr>
        <w:t>Animals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(19), 3061. https://doi.org/10.3390/ani13193061</w:t>
      </w:r>
    </w:p>
    <w:p w14:paraId="13EC9A7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Siregar, R., &amp; Alam, A. (2018). Halal Label On Food Products By Mui (Indonesian Ulama Council) And Students Purchasing Decision Of Faculty Of Business And Economic Universitas Muhammadiyah Surakarta.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1–30. https://doi.org/10.23917/jisel.v1i1.6163</w:t>
      </w:r>
    </w:p>
    <w:p w14:paraId="76EE2B9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Tetlow, S. A. J., Brennan, M. L., &amp; Garcia-Ara, A. (2022). Welfare indicators for stunning versus non-stunning slaughter in sheep and cattle: A scoping review. </w:t>
      </w:r>
      <w:r w:rsidRPr="003E5659">
        <w:rPr>
          <w:rFonts w:ascii="Calibri Light" w:hAnsi="Calibri Light" w:cs="Calibri Light"/>
          <w:i/>
          <w:iCs/>
          <w:sz w:val="24"/>
          <w:szCs w:val="24"/>
        </w:rPr>
        <w:t>Veterinary Record</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191</w:t>
      </w:r>
      <w:r w:rsidRPr="003E5659">
        <w:rPr>
          <w:rFonts w:ascii="Calibri Light" w:hAnsi="Calibri Light" w:cs="Calibri Light"/>
          <w:sz w:val="24"/>
          <w:szCs w:val="24"/>
        </w:rPr>
        <w:t>(6), no-no. https://doi.org/10.1002/vetr.1739</w:t>
      </w:r>
    </w:p>
    <w:p w14:paraId="2A0ACBF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Triandini, E., Jayanatha, S., Indrawan, A., Werla Putra, G., &amp; Iswara, B. (2019). Metode Systematic Literature Review untuk Identifikasi Platform dan Metode Pengembangan Sistem Informasi di Indonesia. </w:t>
      </w:r>
      <w:r w:rsidRPr="003E5659">
        <w:rPr>
          <w:rFonts w:ascii="Calibri Light" w:hAnsi="Calibri Light" w:cs="Calibri Light"/>
          <w:i/>
          <w:iCs/>
          <w:sz w:val="24"/>
          <w:szCs w:val="24"/>
        </w:rPr>
        <w:t>Indonesian Journal of Information Systems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(2), 63. https://doi.org/10.24002/ijis.v1i2.1916</w:t>
      </w:r>
    </w:p>
    <w:p w14:paraId="7B40B99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Tsalitsah, I. M. (2022). Stunning Method on Slaughter in Islamic and Health Perspectives (Research on Al-Islam and Kemuhammadiyahan-4 Material on Health Sciences). </w:t>
      </w:r>
      <w:r w:rsidRPr="003E5659">
        <w:rPr>
          <w:rFonts w:ascii="Calibri Light" w:hAnsi="Calibri Light" w:cs="Calibri Light"/>
          <w:i/>
          <w:iCs/>
          <w:sz w:val="24"/>
          <w:szCs w:val="24"/>
        </w:rPr>
        <w:t>Mas Mansyur</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16–23. https://journal.um-surabaya.ac.id/MasMansyur/article/view/13148/4878</w:t>
      </w:r>
    </w:p>
    <w:p w14:paraId="7D1CF2C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Utari, D., Fasa, M. I., &amp; Suharto, S. (2022). INDUSTRI HALAL BERKONTRIBUSI TERHADAP PERTUMBUHAN EKONOMI DI ERA PANDEMI COVID-19: PELUANG DAN TANTANGAN. </w:t>
      </w:r>
      <w:r w:rsidRPr="003E5659">
        <w:rPr>
          <w:rFonts w:ascii="Calibri Light" w:hAnsi="Calibri Light" w:cs="Calibri Light"/>
          <w:i/>
          <w:iCs/>
          <w:sz w:val="24"/>
          <w:szCs w:val="24"/>
        </w:rPr>
        <w:t>Jurnal Bina Bangsa Ekonomika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15</w:t>
      </w:r>
      <w:r w:rsidRPr="003E5659">
        <w:rPr>
          <w:rFonts w:ascii="Calibri Light" w:hAnsi="Calibri Light" w:cs="Calibri Light"/>
          <w:sz w:val="24"/>
          <w:szCs w:val="24"/>
        </w:rPr>
        <w:t>(1), 87–98. https://doi.org/10.46306/jbbe.v15i1.119</w:t>
      </w:r>
    </w:p>
    <w:p w14:paraId="5A99BDB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Velarde, A., &amp; Dalmau, A. (2017). Slaughter without stunning. In </w:t>
      </w:r>
      <w:r w:rsidRPr="003E5659">
        <w:rPr>
          <w:rFonts w:ascii="Calibri Light" w:hAnsi="Calibri Light" w:cs="Calibri Light"/>
          <w:i/>
          <w:iCs/>
          <w:sz w:val="24"/>
          <w:szCs w:val="24"/>
        </w:rPr>
        <w:t>Advances in Agricultural Animal Welfare: Science and Practice</w:t>
      </w:r>
      <w:r w:rsidRPr="003E5659">
        <w:rPr>
          <w:rFonts w:ascii="Calibri Light" w:hAnsi="Calibri Light" w:cs="Calibri Light"/>
          <w:sz w:val="24"/>
          <w:szCs w:val="24"/>
        </w:rPr>
        <w:t xml:space="preserve"> (pp. 221–240). Elsevier. https://doi.org/10.1016/B978-0-08-101215-4.00012-2</w:t>
      </w:r>
    </w:p>
    <w:p w14:paraId="5710DD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Wahyuni, H. C., Putra, B. I., Handayani, P., &amp; Maulidah, W. U. (2021). Risk Assessment and Mitigation Strategy in The Halal Food Supply Chain in The Covid-19 Pandemic.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1–8. https://doi.org/10.23917/jiti.v20i1.12973</w:t>
      </w:r>
    </w:p>
    <w:p w14:paraId="3D11D33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rPr>
      </w:pPr>
      <w:r w:rsidRPr="003E5659">
        <w:rPr>
          <w:rFonts w:ascii="Calibri Light" w:hAnsi="Calibri Light" w:cs="Calibri Light"/>
          <w:sz w:val="24"/>
          <w:szCs w:val="24"/>
        </w:rPr>
        <w:t xml:space="preserve">Zuolo, F. (2015). Equality among animals and religious slaughter. </w:t>
      </w:r>
      <w:r w:rsidRPr="003E5659">
        <w:rPr>
          <w:rFonts w:ascii="Calibri Light" w:hAnsi="Calibri Light" w:cs="Calibri Light"/>
          <w:i/>
          <w:iCs/>
          <w:sz w:val="24"/>
          <w:szCs w:val="24"/>
        </w:rPr>
        <w:t>Historical Social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40</w:t>
      </w:r>
      <w:r w:rsidRPr="003E5659">
        <w:rPr>
          <w:rFonts w:ascii="Calibri Light" w:hAnsi="Calibri Light" w:cs="Calibri Light"/>
          <w:sz w:val="24"/>
          <w:szCs w:val="24"/>
        </w:rPr>
        <w:t>(4), 110–127. https://doi.org/10.12759/hsr.40.2015.4.110-127</w:t>
      </w:r>
    </w:p>
    <w:p w14:paraId="24E56DF0" w14:textId="459C3C47" w:rsidR="006538D6" w:rsidRPr="00EA1ED1" w:rsidRDefault="00EA1ED1" w:rsidP="003E5659">
      <w:pPr>
        <w:spacing w:before="120" w:after="120"/>
        <w:ind w:hanging="436"/>
        <w:jc w:val="both"/>
        <w:rPr>
          <w:rFonts w:ascii="Calibri Light" w:hAnsi="Calibri Light" w:cs="Calibri Light"/>
          <w:b/>
          <w:sz w:val="24"/>
          <w:szCs w:val="24"/>
        </w:rPr>
      </w:pPr>
      <w:r>
        <w:rPr>
          <w:rFonts w:ascii="Calibri Light" w:hAnsi="Calibri Light" w:cs="Calibri Light"/>
          <w:b/>
          <w:sz w:val="24"/>
          <w:szCs w:val="24"/>
        </w:rPr>
        <w:fldChar w:fldCharType="end"/>
      </w:r>
    </w:p>
    <w:sectPr w:rsidR="006538D6" w:rsidRPr="00EA1ED1"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 w:date="2025-03-20T10:59:00Z" w:initials="M">
    <w:p w14:paraId="32FE4307" w14:textId="2698D040" w:rsidR="00F05803" w:rsidRDefault="00F05803">
      <w:pPr>
        <w:pStyle w:val="CommentText"/>
      </w:pPr>
      <w:r>
        <w:rPr>
          <w:rStyle w:val="CommentReference"/>
        </w:rPr>
        <w:annotationRef/>
      </w:r>
      <w:r w:rsidRPr="00F05803">
        <w:t>What is the purpose of your theme? The law of animal slaughter in various countries or what comparison???</w:t>
      </w:r>
    </w:p>
  </w:comment>
  <w:comment w:id="1" w:author="M" w:date="2025-03-20T15:34:00Z" w:initials="M">
    <w:p w14:paraId="0E6F8FAB" w14:textId="07163666" w:rsidR="00683745" w:rsidRDefault="00683745">
      <w:pPr>
        <w:pStyle w:val="CommentText"/>
      </w:pPr>
      <w:r>
        <w:rPr>
          <w:rStyle w:val="CommentReference"/>
        </w:rPr>
        <w:annotationRef/>
      </w:r>
      <w:r w:rsidRPr="00683745">
        <w:t xml:space="preserve">Looking at your discussion, there is no normative legal study, </w:t>
      </w:r>
      <w:proofErr w:type="gramStart"/>
      <w:r w:rsidRPr="00683745">
        <w:t>overall</w:t>
      </w:r>
      <w:proofErr w:type="gramEnd"/>
      <w:r w:rsidRPr="00683745">
        <w:t xml:space="preserve"> you only apply qualitative studies like others. Normative studies should provide discussions about laws or regulations or legal bases of Islam (Qur'an Hadith)</w:t>
      </w:r>
    </w:p>
  </w:comment>
  <w:comment w:id="2" w:author="M" w:date="2025-03-20T15:33:00Z" w:initials="M">
    <w:p w14:paraId="0AAB1232" w14:textId="2C154021" w:rsidR="005641BC" w:rsidRDefault="005641BC">
      <w:pPr>
        <w:pStyle w:val="CommentText"/>
      </w:pPr>
      <w:r>
        <w:rPr>
          <w:rStyle w:val="CommentReference"/>
        </w:rPr>
        <w:annotationRef/>
      </w:r>
      <w:r w:rsidRPr="005641BC">
        <w:t xml:space="preserve">This description, in our opinion, includes the results. </w:t>
      </w:r>
      <w:proofErr w:type="gramStart"/>
      <w:r w:rsidRPr="005641BC">
        <w:t>So</w:t>
      </w:r>
      <w:proofErr w:type="gramEnd"/>
      <w:r w:rsidRPr="005641BC">
        <w:t xml:space="preserve"> if you want to express the background here, then the research background, namely the reason you are conducting research with this focus.</w:t>
      </w:r>
    </w:p>
  </w:comment>
  <w:comment w:id="3" w:author="M" w:date="2025-03-20T15:51:00Z" w:initials="M">
    <w:p w14:paraId="1A3F9BDD" w14:textId="31CDB847" w:rsidR="000045CD" w:rsidRDefault="000045CD">
      <w:pPr>
        <w:pStyle w:val="CommentText"/>
      </w:pPr>
      <w:r>
        <w:rPr>
          <w:rStyle w:val="CommentReference"/>
        </w:rPr>
        <w:annotationRef/>
      </w:r>
      <w:r w:rsidRPr="000045CD">
        <w:t>Make sure your introduction contains background, theory and previous studies</w:t>
      </w:r>
    </w:p>
  </w:comment>
  <w:comment w:id="4" w:author="M" w:date="2025-03-21T07:24:00Z" w:initials="M">
    <w:p w14:paraId="360E5D05" w14:textId="5CAD92C1" w:rsidR="00BD6E32" w:rsidRDefault="00BD6E32">
      <w:pPr>
        <w:pStyle w:val="CommentText"/>
      </w:pPr>
      <w:r>
        <w:rPr>
          <w:rStyle w:val="CommentReference"/>
        </w:rPr>
        <w:annotationRef/>
      </w:r>
      <w:r w:rsidRPr="00BD6E32">
        <w:t>There is no more explicit theoretical basis description. For example, how the theory of Islamic law in halal slaughter is related to the concept of animal welfare. The theory of Muslim consumer compliance with the halal label and how this affects the global market can also be strengthened.</w:t>
      </w:r>
    </w:p>
  </w:comment>
  <w:comment w:id="6" w:author="M" w:date="2025-03-21T07:23:00Z" w:initials="M">
    <w:p w14:paraId="03FE8D5E" w14:textId="2AC0E779" w:rsidR="00607219" w:rsidRDefault="00607219">
      <w:pPr>
        <w:pStyle w:val="CommentText"/>
      </w:pPr>
      <w:r>
        <w:rPr>
          <w:rStyle w:val="CommentReference"/>
        </w:rPr>
        <w:annotationRef/>
      </w:r>
      <w:r w:rsidRPr="00607219">
        <w:t>It is necessary to add the problems that are the basis of this research, for example the existence of different regulations regarding stunning in halal slaughter which has sparked debate in various countries.</w:t>
      </w:r>
    </w:p>
  </w:comment>
  <w:comment w:id="7" w:author="M" w:date="2025-03-22T07:47:00Z" w:initials="M">
    <w:p w14:paraId="524AD444" w14:textId="1300F414" w:rsidR="00372E8B" w:rsidRDefault="00372E8B">
      <w:pPr>
        <w:pStyle w:val="CommentText"/>
      </w:pPr>
      <w:r>
        <w:rPr>
          <w:rStyle w:val="CommentReference"/>
        </w:rPr>
        <w:annotationRef/>
      </w:r>
      <w:r w:rsidRPr="00372E8B">
        <w:t>There is no literature review, follow the journal guidelines with IMRAD format, theory review is included in the introduction</w:t>
      </w:r>
    </w:p>
  </w:comment>
  <w:comment w:id="8" w:author="M" w:date="2025-03-21T07:28:00Z" w:initials="M">
    <w:p w14:paraId="01D521DE" w14:textId="473CC67B" w:rsidR="009C1D80" w:rsidRDefault="009C1D80">
      <w:pPr>
        <w:pStyle w:val="CommentText"/>
      </w:pPr>
      <w:r>
        <w:rPr>
          <w:rStyle w:val="CommentReference"/>
        </w:rPr>
        <w:annotationRef/>
      </w:r>
      <w:r>
        <w:t>???</w:t>
      </w:r>
    </w:p>
  </w:comment>
  <w:comment w:id="10" w:author="M" w:date="2025-03-21T07:32:00Z" w:initials="M">
    <w:p w14:paraId="469FC130" w14:textId="77777777" w:rsidR="009C1D80" w:rsidRDefault="009C1D80" w:rsidP="009C1D80">
      <w:pPr>
        <w:pStyle w:val="CommentText"/>
      </w:pPr>
      <w:r>
        <w:rPr>
          <w:rStyle w:val="CommentReference"/>
        </w:rPr>
        <w:annotationRef/>
      </w:r>
      <w:r>
        <w:t>The framework used in the SLR – for example, did the study follow PRISMA (Preferred Reporting Items for Systematic Reviews and Meta-Analyses) or another specific method? There are obviously many models of SLR, which one do you choose?</w:t>
      </w:r>
    </w:p>
    <w:p w14:paraId="79C32666" w14:textId="77777777" w:rsidR="009C1D80" w:rsidRDefault="009C1D80" w:rsidP="009C1D80">
      <w:pPr>
        <w:pStyle w:val="CommentText"/>
      </w:pPr>
    </w:p>
    <w:p w14:paraId="5FF76CE1" w14:textId="4EA520B3" w:rsidR="009C1D80" w:rsidRDefault="009C1D80" w:rsidP="009C1D80">
      <w:pPr>
        <w:pStyle w:val="CommentText"/>
      </w:pPr>
      <w:r>
        <w:t>Literature search strategy – for example, using specific keywords such as “halal slaughter regulation,” “stunning in halal meat,” or “Islamic law on stunning” in a particular database that is not yet in your method</w:t>
      </w:r>
    </w:p>
  </w:comment>
  <w:comment w:id="11" w:author="M" w:date="2025-03-21T07:35:00Z" w:initials="M">
    <w:p w14:paraId="0544E4BE" w14:textId="6D52290C" w:rsidR="00C54680" w:rsidRDefault="00C54680">
      <w:pPr>
        <w:pStyle w:val="CommentText"/>
      </w:pPr>
      <w:r>
        <w:rPr>
          <w:rStyle w:val="CommentReference"/>
        </w:rPr>
        <w:annotationRef/>
      </w:r>
      <w:r w:rsidRPr="00C54680">
        <w:t>Details data analysis techniques, including coding stages and comparative approaches.</w:t>
      </w:r>
    </w:p>
  </w:comment>
  <w:comment w:id="12" w:author="M" w:date="2025-03-20T15:37:00Z" w:initials="M">
    <w:p w14:paraId="7A319CED" w14:textId="0E94E253" w:rsidR="00683745" w:rsidRDefault="00683745">
      <w:pPr>
        <w:pStyle w:val="CommentText"/>
      </w:pPr>
      <w:r>
        <w:rPr>
          <w:rStyle w:val="CommentReference"/>
        </w:rPr>
        <w:annotationRef/>
      </w:r>
      <w:r w:rsidRPr="00683745">
        <w:t xml:space="preserve">We need an </w:t>
      </w:r>
      <w:proofErr w:type="gramStart"/>
      <w:r w:rsidRPr="00683745">
        <w:t>explanation,</w:t>
      </w:r>
      <w:proofErr w:type="gramEnd"/>
      <w:r w:rsidRPr="00683745">
        <w:t xml:space="preserve"> you describe one by one the countries used as research subjects. The table is only an auxiliary instrument, do not use it as the main material or source. Where you only rely on this table which has minimal information, does not provide complete data</w:t>
      </w:r>
    </w:p>
  </w:comment>
  <w:comment w:id="13" w:author="M" w:date="2025-03-21T07:49:00Z" w:initials="M">
    <w:p w14:paraId="7DE7BE04" w14:textId="66DBC33A" w:rsidR="00B446CE" w:rsidRDefault="00B446CE">
      <w:pPr>
        <w:pStyle w:val="CommentText"/>
      </w:pPr>
      <w:r>
        <w:rPr>
          <w:rStyle w:val="CommentReference"/>
        </w:rPr>
        <w:annotationRef/>
      </w:r>
      <w:r w:rsidRPr="00B446CE">
        <w:t>Compliance with Methods (SLR and Qualitative Analysis). The analysis is still descriptive and does not show how data from various sources are analyzed systematically.</w:t>
      </w:r>
    </w:p>
  </w:comment>
  <w:comment w:id="14" w:author="M" w:date="2025-03-21T07:51:00Z" w:initials="M">
    <w:p w14:paraId="2656D041" w14:textId="0D271474" w:rsidR="00347A1E" w:rsidRDefault="00347A1E">
      <w:pPr>
        <w:pStyle w:val="CommentText"/>
      </w:pPr>
      <w:r>
        <w:rPr>
          <w:rStyle w:val="CommentReference"/>
        </w:rPr>
        <w:annotationRef/>
      </w:r>
      <w:r w:rsidRPr="00347A1E">
        <w:t>All that you present is not credible and cannot be proven, please describe it again in narrative form and also include proper references. When you take the subject in Arab countries then the references are also from there or at least discuss about the country</w:t>
      </w:r>
    </w:p>
  </w:comment>
  <w:comment w:id="15" w:author="M" w:date="2025-03-21T07:57:00Z" w:initials="M">
    <w:p w14:paraId="4DF7D575" w14:textId="77777777" w:rsidR="00605030" w:rsidRDefault="00605030" w:rsidP="00605030">
      <w:pPr>
        <w:pStyle w:val="CommentText"/>
      </w:pPr>
      <w:r>
        <w:rPr>
          <w:rStyle w:val="CommentReference"/>
        </w:rPr>
        <w:annotationRef/>
      </w:r>
      <w:r>
        <w:t>The discussion structure is still a jumble of regulations, fatwas, scientific perspectives, and consumer opinions. Group the discussion into sub-themes to make it more systematic:</w:t>
      </w:r>
    </w:p>
    <w:p w14:paraId="37C4DA59" w14:textId="6D28BB04" w:rsidR="00605030" w:rsidRDefault="00605030" w:rsidP="00605030">
      <w:pPr>
        <w:pStyle w:val="CommentText"/>
        <w:numPr>
          <w:ilvl w:val="0"/>
          <w:numId w:val="36"/>
        </w:numPr>
      </w:pPr>
      <w:r>
        <w:t>Islamic law and fatwa perspectives (e.g. differences between fatwas in Saudi, Aceh, and Malaysia)</w:t>
      </w:r>
    </w:p>
    <w:p w14:paraId="15F950F1" w14:textId="29E7CE8D" w:rsidR="00605030" w:rsidRDefault="00605030" w:rsidP="00605030">
      <w:pPr>
        <w:pStyle w:val="CommentText"/>
        <w:numPr>
          <w:ilvl w:val="0"/>
          <w:numId w:val="36"/>
        </w:numPr>
      </w:pPr>
      <w:r>
        <w:t>Regulation of Muslim majority vs. minority countries (e.g. comparison of regulations in the UK, US, Australia, and Indonesia)</w:t>
      </w:r>
    </w:p>
    <w:p w14:paraId="18A2E167" w14:textId="53E3B20E" w:rsidR="00605030" w:rsidRDefault="00605030" w:rsidP="00605030">
      <w:pPr>
        <w:pStyle w:val="CommentText"/>
        <w:numPr>
          <w:ilvl w:val="0"/>
          <w:numId w:val="36"/>
        </w:numPr>
      </w:pPr>
      <w:r>
        <w:t>Scientific approaches to stunning (e.g. research on animal welfare and its impact on halal meat)</w:t>
      </w:r>
    </w:p>
    <w:p w14:paraId="229B9EB1" w14:textId="51D0DDA1" w:rsidR="00605030" w:rsidRDefault="00605030" w:rsidP="00605030">
      <w:pPr>
        <w:pStyle w:val="CommentText"/>
        <w:numPr>
          <w:ilvl w:val="0"/>
          <w:numId w:val="36"/>
        </w:numPr>
      </w:pPr>
      <w:r>
        <w:t>Opinions of Muslim communities and their implications for the halal industry</w:t>
      </w:r>
    </w:p>
  </w:comment>
  <w:comment w:id="16" w:author="M" w:date="2025-03-21T07:58:00Z" w:initials="M">
    <w:p w14:paraId="54D35A08" w14:textId="52842A6C" w:rsidR="00605030" w:rsidRDefault="00605030">
      <w:pPr>
        <w:pStyle w:val="CommentText"/>
      </w:pPr>
      <w:r>
        <w:rPr>
          <w:rStyle w:val="CommentReference"/>
        </w:rPr>
        <w:annotationRef/>
      </w:r>
      <w:r w:rsidRPr="00605030">
        <w:t xml:space="preserve">Some points are not discussed in depth or are not connected back to previous research results. In addition, your discussion is not long enough, the comparison between findings and discussion is twice as long, if the findings are 2 </w:t>
      </w:r>
      <w:proofErr w:type="gramStart"/>
      <w:r w:rsidRPr="00605030">
        <w:t>pages</w:t>
      </w:r>
      <w:proofErr w:type="gramEnd"/>
      <w:r w:rsidRPr="00605030">
        <w:t xml:space="preserve"> then the discussion should be 4 pages</w:t>
      </w:r>
    </w:p>
  </w:comment>
  <w:comment w:id="17" w:author="M" w:date="2025-03-21T08:00:00Z" w:initials="M">
    <w:p w14:paraId="50C485B2" w14:textId="11B1E4EC" w:rsidR="006728DD" w:rsidRDefault="006728DD">
      <w:pPr>
        <w:pStyle w:val="CommentText"/>
      </w:pPr>
      <w:r>
        <w:rPr>
          <w:rStyle w:val="CommentReference"/>
        </w:rPr>
        <w:annotationRef/>
      </w:r>
      <w:r w:rsidRPr="006728DD">
        <w:t>Because your research is literature, the minimum number of references is 50, don't go below the minimum limit.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FE4307" w15:done="0"/>
  <w15:commentEx w15:paraId="0E6F8FAB" w15:done="0"/>
  <w15:commentEx w15:paraId="0AAB1232" w15:done="0"/>
  <w15:commentEx w15:paraId="1A3F9BDD" w15:done="0"/>
  <w15:commentEx w15:paraId="360E5D05" w15:done="0"/>
  <w15:commentEx w15:paraId="03FE8D5E" w15:done="0"/>
  <w15:commentEx w15:paraId="524AD444" w15:done="0"/>
  <w15:commentEx w15:paraId="01D521DE" w15:done="0"/>
  <w15:commentEx w15:paraId="5FF76CE1" w15:done="0"/>
  <w15:commentEx w15:paraId="0544E4BE" w15:done="0"/>
  <w15:commentEx w15:paraId="7A319CED" w15:done="0"/>
  <w15:commentEx w15:paraId="7DE7BE04" w15:done="0"/>
  <w15:commentEx w15:paraId="2656D041" w15:done="0"/>
  <w15:commentEx w15:paraId="229B9EB1" w15:done="0"/>
  <w15:commentEx w15:paraId="54D35A08" w15:done="0"/>
  <w15:commentEx w15:paraId="50C485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2BFC756" w16cex:dateUtc="2025-03-20T03:59:00Z"/>
  <w16cex:commentExtensible w16cex:durableId="66879DD8" w16cex:dateUtc="2025-03-20T08:34:00Z"/>
  <w16cex:commentExtensible w16cex:durableId="7D255806" w16cex:dateUtc="2025-03-20T08:33:00Z"/>
  <w16cex:commentExtensible w16cex:durableId="4AEF8851" w16cex:dateUtc="2025-03-20T08:51:00Z"/>
  <w16cex:commentExtensible w16cex:durableId="5B8441D6" w16cex:dateUtc="2025-03-21T00:24:00Z"/>
  <w16cex:commentExtensible w16cex:durableId="650D9CE9" w16cex:dateUtc="2025-03-21T00:23:00Z"/>
  <w16cex:commentExtensible w16cex:durableId="194EB389" w16cex:dateUtc="2025-03-22T00:47:00Z"/>
  <w16cex:commentExtensible w16cex:durableId="718150B8" w16cex:dateUtc="2025-03-21T00:28:00Z"/>
  <w16cex:commentExtensible w16cex:durableId="1943AE39" w16cex:dateUtc="2025-03-21T00:32:00Z"/>
  <w16cex:commentExtensible w16cex:durableId="0234131C" w16cex:dateUtc="2025-03-21T00:35:00Z"/>
  <w16cex:commentExtensible w16cex:durableId="02E5C387" w16cex:dateUtc="2025-03-20T08:37:00Z"/>
  <w16cex:commentExtensible w16cex:durableId="5E0347BC" w16cex:dateUtc="2025-03-21T00:49:00Z"/>
  <w16cex:commentExtensible w16cex:durableId="5FDCD519" w16cex:dateUtc="2025-03-21T00:51:00Z"/>
  <w16cex:commentExtensible w16cex:durableId="708435BE" w16cex:dateUtc="2025-03-21T00:57:00Z"/>
  <w16cex:commentExtensible w16cex:durableId="6D59B38E" w16cex:dateUtc="2025-03-21T00:58:00Z"/>
  <w16cex:commentExtensible w16cex:durableId="1ABEEE9D" w16cex:dateUtc="2025-03-21T0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FE4307" w16cid:durableId="32BFC756"/>
  <w16cid:commentId w16cid:paraId="0E6F8FAB" w16cid:durableId="66879DD8"/>
  <w16cid:commentId w16cid:paraId="0AAB1232" w16cid:durableId="7D255806"/>
  <w16cid:commentId w16cid:paraId="1A3F9BDD" w16cid:durableId="4AEF8851"/>
  <w16cid:commentId w16cid:paraId="360E5D05" w16cid:durableId="5B8441D6"/>
  <w16cid:commentId w16cid:paraId="03FE8D5E" w16cid:durableId="650D9CE9"/>
  <w16cid:commentId w16cid:paraId="524AD444" w16cid:durableId="194EB389"/>
  <w16cid:commentId w16cid:paraId="01D521DE" w16cid:durableId="718150B8"/>
  <w16cid:commentId w16cid:paraId="5FF76CE1" w16cid:durableId="1943AE39"/>
  <w16cid:commentId w16cid:paraId="0544E4BE" w16cid:durableId="0234131C"/>
  <w16cid:commentId w16cid:paraId="7A319CED" w16cid:durableId="02E5C387"/>
  <w16cid:commentId w16cid:paraId="7DE7BE04" w16cid:durableId="5E0347BC"/>
  <w16cid:commentId w16cid:paraId="2656D041" w16cid:durableId="5FDCD519"/>
  <w16cid:commentId w16cid:paraId="229B9EB1" w16cid:durableId="708435BE"/>
  <w16cid:commentId w16cid:paraId="54D35A08" w16cid:durableId="6D59B38E"/>
  <w16cid:commentId w16cid:paraId="50C485B2" w16cid:durableId="1ABEEE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02B0A" w14:textId="77777777" w:rsidR="00603B9B" w:rsidRDefault="00603B9B">
      <w:r>
        <w:separator/>
      </w:r>
    </w:p>
  </w:endnote>
  <w:endnote w:type="continuationSeparator" w:id="0">
    <w:p w14:paraId="4F30B367" w14:textId="77777777" w:rsidR="00603B9B" w:rsidRDefault="0060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64DFA" w14:textId="77777777" w:rsidR="00603B9B" w:rsidRDefault="00603B9B">
      <w:r>
        <w:separator/>
      </w:r>
    </w:p>
  </w:footnote>
  <w:footnote w:type="continuationSeparator" w:id="0">
    <w:p w14:paraId="4F23711B" w14:textId="77777777" w:rsidR="00603B9B" w:rsidRDefault="00603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w:t>
                    </w:r>
                    <w:proofErr w:type="spellStart"/>
                    <w:r>
                      <w:rPr>
                        <w:rFonts w:ascii="Calibri Light" w:hAnsi="Calibri Light" w:cs="Calibri Light"/>
                        <w:sz w:val="18"/>
                      </w:rPr>
                      <w:t>Aljambaky</w:t>
                    </w:r>
                    <w:proofErr w:type="spellEnd"/>
                    <w:r>
                      <w:rPr>
                        <w:rFonts w:ascii="Calibri Light" w:hAnsi="Calibri Light" w:cs="Calibri Light"/>
                        <w:sz w:val="18"/>
                      </w:rPr>
                      <w:t xml:space="preserve">.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5B14E69"/>
    <w:multiLevelType w:val="hybridMultilevel"/>
    <w:tmpl w:val="A8124A46"/>
    <w:lvl w:ilvl="0" w:tplc="A40846C0">
      <w:start w:val="1"/>
      <w:numFmt w:val="decimal"/>
      <w:lvlText w:val="%1."/>
      <w:lvlJc w:val="left"/>
      <w:pPr>
        <w:ind w:left="720" w:hanging="360"/>
      </w:pPr>
      <w:rPr>
        <w:rFonts w:ascii="Segoe UI Emoji" w:hAnsi="Segoe UI Emoji" w:cs="Segoe UI Emoj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2" w15:restartNumberingAfterBreak="0">
    <w:nsid w:val="199A67C8"/>
    <w:multiLevelType w:val="hybridMultilevel"/>
    <w:tmpl w:val="D512B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68AC4EB6"/>
    <w:multiLevelType w:val="hybridMultilevel"/>
    <w:tmpl w:val="836C3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1"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6706E544"/>
    <w:lvl w:ilvl="0" w:tplc="F7AC32E8">
      <w:start w:val="1"/>
      <w:numFmt w:val="upperRoman"/>
      <w:lvlText w:val="%1."/>
      <w:lvlJc w:val="right"/>
      <w:pPr>
        <w:ind w:left="360" w:hanging="360"/>
      </w:pPr>
      <w:rPr>
        <w:rFonts w:cs="Times New Roman"/>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32012722">
    <w:abstractNumId w:val="18"/>
  </w:num>
  <w:num w:numId="2" w16cid:durableId="1906135796">
    <w:abstractNumId w:val="8"/>
  </w:num>
  <w:num w:numId="3" w16cid:durableId="649604205">
    <w:abstractNumId w:val="9"/>
  </w:num>
  <w:num w:numId="4" w16cid:durableId="234364641">
    <w:abstractNumId w:val="27"/>
  </w:num>
  <w:num w:numId="5" w16cid:durableId="1961446848">
    <w:abstractNumId w:val="26"/>
  </w:num>
  <w:num w:numId="6" w16cid:durableId="984550888">
    <w:abstractNumId w:val="25"/>
  </w:num>
  <w:num w:numId="7" w16cid:durableId="401215341">
    <w:abstractNumId w:val="34"/>
  </w:num>
  <w:num w:numId="8" w16cid:durableId="1129975033">
    <w:abstractNumId w:val="19"/>
  </w:num>
  <w:num w:numId="9" w16cid:durableId="1168442564">
    <w:abstractNumId w:val="28"/>
  </w:num>
  <w:num w:numId="10" w16cid:durableId="1164708833">
    <w:abstractNumId w:val="31"/>
  </w:num>
  <w:num w:numId="11" w16cid:durableId="2002924020">
    <w:abstractNumId w:val="14"/>
  </w:num>
  <w:num w:numId="12" w16cid:durableId="2075540243">
    <w:abstractNumId w:val="23"/>
  </w:num>
  <w:num w:numId="13" w16cid:durableId="2108765204">
    <w:abstractNumId w:val="7"/>
  </w:num>
  <w:num w:numId="14" w16cid:durableId="1101729663">
    <w:abstractNumId w:val="0"/>
  </w:num>
  <w:num w:numId="15" w16cid:durableId="1957639219">
    <w:abstractNumId w:val="35"/>
  </w:num>
  <w:num w:numId="16" w16cid:durableId="1519736780">
    <w:abstractNumId w:val="24"/>
  </w:num>
  <w:num w:numId="17" w16cid:durableId="1354575998">
    <w:abstractNumId w:val="33"/>
  </w:num>
  <w:num w:numId="18" w16cid:durableId="1908152938">
    <w:abstractNumId w:val="32"/>
  </w:num>
  <w:num w:numId="19" w16cid:durableId="1320307160">
    <w:abstractNumId w:val="22"/>
  </w:num>
  <w:num w:numId="20" w16cid:durableId="203838055">
    <w:abstractNumId w:val="5"/>
  </w:num>
  <w:num w:numId="21" w16cid:durableId="1698045623">
    <w:abstractNumId w:val="1"/>
  </w:num>
  <w:num w:numId="22" w16cid:durableId="1742866297">
    <w:abstractNumId w:val="15"/>
  </w:num>
  <w:num w:numId="23" w16cid:durableId="1961641875">
    <w:abstractNumId w:val="2"/>
  </w:num>
  <w:num w:numId="24" w16cid:durableId="1451166880">
    <w:abstractNumId w:val="3"/>
  </w:num>
  <w:num w:numId="25" w16cid:durableId="1225409385">
    <w:abstractNumId w:val="4"/>
  </w:num>
  <w:num w:numId="26" w16cid:durableId="1279334792">
    <w:abstractNumId w:val="13"/>
  </w:num>
  <w:num w:numId="27" w16cid:durableId="1961572239">
    <w:abstractNumId w:val="16"/>
  </w:num>
  <w:num w:numId="28" w16cid:durableId="674773417">
    <w:abstractNumId w:val="6"/>
  </w:num>
  <w:num w:numId="29" w16cid:durableId="1953437929">
    <w:abstractNumId w:val="20"/>
  </w:num>
  <w:num w:numId="30" w16cid:durableId="302194190">
    <w:abstractNumId w:val="11"/>
  </w:num>
  <w:num w:numId="31" w16cid:durableId="475604450">
    <w:abstractNumId w:val="11"/>
  </w:num>
  <w:num w:numId="32" w16cid:durableId="227765551">
    <w:abstractNumId w:val="30"/>
  </w:num>
  <w:num w:numId="33" w16cid:durableId="508444081">
    <w:abstractNumId w:val="21"/>
  </w:num>
  <w:num w:numId="34" w16cid:durableId="789009330">
    <w:abstractNumId w:val="17"/>
  </w:num>
  <w:num w:numId="35" w16cid:durableId="1068919302">
    <w:abstractNumId w:val="29"/>
  </w:num>
  <w:num w:numId="36" w16cid:durableId="295188342">
    <w:abstractNumId w:val="12"/>
  </w:num>
  <w:num w:numId="37" w16cid:durableId="576793611">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gUA5dhLsiwAAAA="/>
  </w:docVars>
  <w:rsids>
    <w:rsidRoot w:val="002D2DAC"/>
    <w:rsid w:val="00002708"/>
    <w:rsid w:val="00003189"/>
    <w:rsid w:val="000045CD"/>
    <w:rsid w:val="00005ED9"/>
    <w:rsid w:val="0000693A"/>
    <w:rsid w:val="00010DEE"/>
    <w:rsid w:val="000243A3"/>
    <w:rsid w:val="00024881"/>
    <w:rsid w:val="0002569B"/>
    <w:rsid w:val="000417D3"/>
    <w:rsid w:val="000475BE"/>
    <w:rsid w:val="00055FC4"/>
    <w:rsid w:val="0006191D"/>
    <w:rsid w:val="00066AC1"/>
    <w:rsid w:val="00076F8C"/>
    <w:rsid w:val="0008220C"/>
    <w:rsid w:val="000877EE"/>
    <w:rsid w:val="00090B06"/>
    <w:rsid w:val="000A0B41"/>
    <w:rsid w:val="000A2548"/>
    <w:rsid w:val="000B0038"/>
    <w:rsid w:val="000B0CE5"/>
    <w:rsid w:val="000B59CD"/>
    <w:rsid w:val="000C3688"/>
    <w:rsid w:val="000E1F30"/>
    <w:rsid w:val="000E31DC"/>
    <w:rsid w:val="000E4A4D"/>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3EAC"/>
    <w:rsid w:val="00180398"/>
    <w:rsid w:val="0018288D"/>
    <w:rsid w:val="001853AE"/>
    <w:rsid w:val="00187357"/>
    <w:rsid w:val="001A07A8"/>
    <w:rsid w:val="001A2949"/>
    <w:rsid w:val="001A371E"/>
    <w:rsid w:val="001B1151"/>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DEA"/>
    <w:rsid w:val="002E0452"/>
    <w:rsid w:val="002E3161"/>
    <w:rsid w:val="002E695D"/>
    <w:rsid w:val="002F4D18"/>
    <w:rsid w:val="00301FEB"/>
    <w:rsid w:val="00303D42"/>
    <w:rsid w:val="0030640D"/>
    <w:rsid w:val="00312D76"/>
    <w:rsid w:val="00334520"/>
    <w:rsid w:val="00334792"/>
    <w:rsid w:val="003363F0"/>
    <w:rsid w:val="00336A9A"/>
    <w:rsid w:val="0034128C"/>
    <w:rsid w:val="00347A1E"/>
    <w:rsid w:val="00362CBC"/>
    <w:rsid w:val="0036654D"/>
    <w:rsid w:val="00372E8B"/>
    <w:rsid w:val="003772C8"/>
    <w:rsid w:val="00381B26"/>
    <w:rsid w:val="00382478"/>
    <w:rsid w:val="00386F26"/>
    <w:rsid w:val="00387148"/>
    <w:rsid w:val="00387C94"/>
    <w:rsid w:val="003948B0"/>
    <w:rsid w:val="00395535"/>
    <w:rsid w:val="003B28D6"/>
    <w:rsid w:val="003C40CE"/>
    <w:rsid w:val="003C482F"/>
    <w:rsid w:val="003C5369"/>
    <w:rsid w:val="003E1185"/>
    <w:rsid w:val="003E5659"/>
    <w:rsid w:val="003F2F3E"/>
    <w:rsid w:val="00400BB8"/>
    <w:rsid w:val="00406D0E"/>
    <w:rsid w:val="00411F5E"/>
    <w:rsid w:val="00413EEB"/>
    <w:rsid w:val="00415562"/>
    <w:rsid w:val="004174DD"/>
    <w:rsid w:val="00423FBA"/>
    <w:rsid w:val="00425716"/>
    <w:rsid w:val="00425E5D"/>
    <w:rsid w:val="0043544C"/>
    <w:rsid w:val="00442759"/>
    <w:rsid w:val="00442F6C"/>
    <w:rsid w:val="00451D00"/>
    <w:rsid w:val="00453027"/>
    <w:rsid w:val="004535C9"/>
    <w:rsid w:val="004538A9"/>
    <w:rsid w:val="00461A20"/>
    <w:rsid w:val="004625CA"/>
    <w:rsid w:val="0046275F"/>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41BC"/>
    <w:rsid w:val="00571CFE"/>
    <w:rsid w:val="00590D1A"/>
    <w:rsid w:val="00591DE5"/>
    <w:rsid w:val="0059236C"/>
    <w:rsid w:val="005A4F69"/>
    <w:rsid w:val="005C14AA"/>
    <w:rsid w:val="005C643D"/>
    <w:rsid w:val="005D4A0D"/>
    <w:rsid w:val="005D57FF"/>
    <w:rsid w:val="005E7673"/>
    <w:rsid w:val="006035FA"/>
    <w:rsid w:val="00603B9B"/>
    <w:rsid w:val="00605030"/>
    <w:rsid w:val="006052AE"/>
    <w:rsid w:val="00607219"/>
    <w:rsid w:val="0061613E"/>
    <w:rsid w:val="0062129F"/>
    <w:rsid w:val="00622926"/>
    <w:rsid w:val="00622B95"/>
    <w:rsid w:val="0062388D"/>
    <w:rsid w:val="006352D0"/>
    <w:rsid w:val="006419D1"/>
    <w:rsid w:val="006538D6"/>
    <w:rsid w:val="00654B07"/>
    <w:rsid w:val="006728DD"/>
    <w:rsid w:val="00674CB5"/>
    <w:rsid w:val="00680536"/>
    <w:rsid w:val="00680BDF"/>
    <w:rsid w:val="00683745"/>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1058"/>
    <w:rsid w:val="00755AB4"/>
    <w:rsid w:val="007606EE"/>
    <w:rsid w:val="00761E7C"/>
    <w:rsid w:val="007636FC"/>
    <w:rsid w:val="007816FC"/>
    <w:rsid w:val="00781D8B"/>
    <w:rsid w:val="0079311F"/>
    <w:rsid w:val="007933FE"/>
    <w:rsid w:val="00796577"/>
    <w:rsid w:val="00796A75"/>
    <w:rsid w:val="007A2AA8"/>
    <w:rsid w:val="007A5A78"/>
    <w:rsid w:val="007A62B7"/>
    <w:rsid w:val="007A65BF"/>
    <w:rsid w:val="007B27E9"/>
    <w:rsid w:val="007B6823"/>
    <w:rsid w:val="007D5BA1"/>
    <w:rsid w:val="007E508F"/>
    <w:rsid w:val="007F02FB"/>
    <w:rsid w:val="007F37D6"/>
    <w:rsid w:val="007F422E"/>
    <w:rsid w:val="00802718"/>
    <w:rsid w:val="00802990"/>
    <w:rsid w:val="00802A96"/>
    <w:rsid w:val="00810811"/>
    <w:rsid w:val="008157AA"/>
    <w:rsid w:val="00815993"/>
    <w:rsid w:val="0082272E"/>
    <w:rsid w:val="008379B9"/>
    <w:rsid w:val="00852EC7"/>
    <w:rsid w:val="0085484D"/>
    <w:rsid w:val="00862178"/>
    <w:rsid w:val="00862DDA"/>
    <w:rsid w:val="00863A78"/>
    <w:rsid w:val="00874EB7"/>
    <w:rsid w:val="008765A5"/>
    <w:rsid w:val="00882CAF"/>
    <w:rsid w:val="0088746C"/>
    <w:rsid w:val="008940D8"/>
    <w:rsid w:val="008941CF"/>
    <w:rsid w:val="008A6903"/>
    <w:rsid w:val="008B23F8"/>
    <w:rsid w:val="008B4BA9"/>
    <w:rsid w:val="008B7A0F"/>
    <w:rsid w:val="008C302B"/>
    <w:rsid w:val="008C3DC2"/>
    <w:rsid w:val="008C45DE"/>
    <w:rsid w:val="008D0F02"/>
    <w:rsid w:val="008D3A90"/>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78E7"/>
    <w:rsid w:val="009A1281"/>
    <w:rsid w:val="009B6344"/>
    <w:rsid w:val="009B764B"/>
    <w:rsid w:val="009C1D80"/>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34A"/>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3CD7"/>
    <w:rsid w:val="00AC6628"/>
    <w:rsid w:val="00AD2E20"/>
    <w:rsid w:val="00AD3EFD"/>
    <w:rsid w:val="00AD559D"/>
    <w:rsid w:val="00AF35CC"/>
    <w:rsid w:val="00AF73DF"/>
    <w:rsid w:val="00B02CE0"/>
    <w:rsid w:val="00B17324"/>
    <w:rsid w:val="00B25EDF"/>
    <w:rsid w:val="00B35DC8"/>
    <w:rsid w:val="00B4389C"/>
    <w:rsid w:val="00B446CE"/>
    <w:rsid w:val="00B47B2C"/>
    <w:rsid w:val="00B56B54"/>
    <w:rsid w:val="00B65093"/>
    <w:rsid w:val="00B70E6B"/>
    <w:rsid w:val="00B80A1A"/>
    <w:rsid w:val="00B82309"/>
    <w:rsid w:val="00B86BF7"/>
    <w:rsid w:val="00B905EC"/>
    <w:rsid w:val="00B91F74"/>
    <w:rsid w:val="00B9472D"/>
    <w:rsid w:val="00BA6FF3"/>
    <w:rsid w:val="00BB2B6F"/>
    <w:rsid w:val="00BB6938"/>
    <w:rsid w:val="00BC51D8"/>
    <w:rsid w:val="00BD5D62"/>
    <w:rsid w:val="00BD6E32"/>
    <w:rsid w:val="00BD79A0"/>
    <w:rsid w:val="00BE144D"/>
    <w:rsid w:val="00BE17FD"/>
    <w:rsid w:val="00BE30EB"/>
    <w:rsid w:val="00C02E08"/>
    <w:rsid w:val="00C03879"/>
    <w:rsid w:val="00C10C09"/>
    <w:rsid w:val="00C11C42"/>
    <w:rsid w:val="00C152F9"/>
    <w:rsid w:val="00C1756D"/>
    <w:rsid w:val="00C21420"/>
    <w:rsid w:val="00C26170"/>
    <w:rsid w:val="00C31F2E"/>
    <w:rsid w:val="00C420B8"/>
    <w:rsid w:val="00C50A65"/>
    <w:rsid w:val="00C54680"/>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4D8B"/>
    <w:rsid w:val="00ED2F7D"/>
    <w:rsid w:val="00F01DBC"/>
    <w:rsid w:val="00F05803"/>
    <w:rsid w:val="00F06CD1"/>
    <w:rsid w:val="00F06FB4"/>
    <w:rsid w:val="00F1027C"/>
    <w:rsid w:val="00F11887"/>
    <w:rsid w:val="00F1612A"/>
    <w:rsid w:val="00F23791"/>
    <w:rsid w:val="00F3222C"/>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0"/>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character" w:styleId="CommentReference">
    <w:name w:val="annotation reference"/>
    <w:basedOn w:val="DefaultParagraphFont"/>
    <w:uiPriority w:val="99"/>
    <w:rsid w:val="00F05803"/>
    <w:rPr>
      <w:sz w:val="16"/>
      <w:szCs w:val="16"/>
    </w:rPr>
  </w:style>
  <w:style w:type="paragraph" w:styleId="CommentText">
    <w:name w:val="annotation text"/>
    <w:basedOn w:val="Normal"/>
    <w:link w:val="CommentTextChar"/>
    <w:uiPriority w:val="99"/>
    <w:rsid w:val="00F05803"/>
  </w:style>
  <w:style w:type="character" w:customStyle="1" w:styleId="CommentTextChar">
    <w:name w:val="Comment Text Char"/>
    <w:basedOn w:val="DefaultParagraphFont"/>
    <w:link w:val="CommentText"/>
    <w:uiPriority w:val="99"/>
    <w:rsid w:val="00F05803"/>
    <w:rPr>
      <w:lang w:val="en-US" w:eastAsia="en-GB"/>
    </w:rPr>
  </w:style>
  <w:style w:type="paragraph" w:styleId="CommentSubject">
    <w:name w:val="annotation subject"/>
    <w:basedOn w:val="CommentText"/>
    <w:next w:val="CommentText"/>
    <w:link w:val="CommentSubjectChar"/>
    <w:uiPriority w:val="99"/>
    <w:rsid w:val="00F05803"/>
    <w:rPr>
      <w:b/>
      <w:bCs/>
    </w:rPr>
  </w:style>
  <w:style w:type="character" w:customStyle="1" w:styleId="CommentSubjectChar">
    <w:name w:val="Comment Subject Char"/>
    <w:basedOn w:val="CommentTextChar"/>
    <w:link w:val="CommentSubject"/>
    <w:uiPriority w:val="99"/>
    <w:rsid w:val="00F0580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3D5-C489-4A1F-8A6C-F238E822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1419</TotalTime>
  <Pages>14</Pages>
  <Words>48166</Words>
  <Characters>274550</Characters>
  <Application>Microsoft Office Word</Application>
  <DocSecurity>0</DocSecurity>
  <Lines>2287</Lines>
  <Paragraphs>644</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322072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M</cp:lastModifiedBy>
  <cp:revision>30</cp:revision>
  <cp:lastPrinted>2008-11-01T04:52:00Z</cp:lastPrinted>
  <dcterms:created xsi:type="dcterms:W3CDTF">2024-12-31T16:48:00Z</dcterms:created>
  <dcterms:modified xsi:type="dcterms:W3CDTF">2025-03-22T00:48:00Z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f16d3689-8776-3e66-91c4-2a0db8c0feb5</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http://www.zotero.org/styles/brazilian-journal-of-botany</vt:lpwstr>
  </property>
  <property fmtid="{D5CDD505-2E9C-101B-9397-08002B2CF9AE}" pid="8" name="Mendeley Recent Style Name 1_1">
    <vt:lpwstr>Brazilian Journal of Botany</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12th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http://csl.mendeley.com/styles/720170441/ieee</vt:lpwstr>
  </property>
  <property fmtid="{D5CDD505-2E9C-101B-9397-08002B2CF9AE}" pid="14" name="Mendeley Recent Style Name 4_1">
    <vt:lpwstr>IEEE - Putri qurrota</vt:lpwstr>
  </property>
  <property fmtid="{D5CDD505-2E9C-101B-9397-08002B2CF9AE}" pid="15" name="Mendeley Recent Style Id 5_1">
    <vt:lpwstr>http://www.zotero.org/styles/international-journal-of-veterinary-science-and-medicine</vt:lpwstr>
  </property>
  <property fmtid="{D5CDD505-2E9C-101B-9397-08002B2CF9AE}" pid="16" name="Mendeley Recent Style Name 5_1">
    <vt:lpwstr>International Journal of Veterinary Science and Medicine</vt:lpwstr>
  </property>
  <property fmtid="{D5CDD505-2E9C-101B-9397-08002B2CF9AE}" pid="17" name="Mendeley Recent Style Id 6_1">
    <vt:lpwstr>http://www.zotero.org/styles/international-pig-veterinary-society-congress-proceedings</vt:lpwstr>
  </property>
  <property fmtid="{D5CDD505-2E9C-101B-9397-08002B2CF9AE}" pid="18" name="Mendeley Recent Style Name 6_1">
    <vt:lpwstr>International Pig Veterinary Society Congress Proceedings</vt:lpwstr>
  </property>
  <property fmtid="{D5CDD505-2E9C-101B-9397-08002B2CF9AE}" pid="19" name="Mendeley Recent Style Id 7_1">
    <vt:lpwstr>http://www.zotero.org/styles/irish-veterinary-journal</vt:lpwstr>
  </property>
  <property fmtid="{D5CDD505-2E9C-101B-9397-08002B2CF9AE}" pid="20" name="Mendeley Recent Style Name 7_1">
    <vt:lpwstr>Irish Veterinary Journal</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ies>
</file>