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94697" w14:textId="52F1E39E" w:rsidR="00CB0641" w:rsidRDefault="00CB0641" w:rsidP="00CB0641">
      <w:pPr>
        <w:jc w:val="center"/>
        <w:rPr>
          <w:b/>
          <w:sz w:val="28"/>
          <w:szCs w:val="28"/>
        </w:rPr>
      </w:pPr>
      <w:r w:rsidRPr="00CB0641">
        <w:rPr>
          <w:b/>
          <w:sz w:val="28"/>
          <w:szCs w:val="28"/>
        </w:rPr>
        <w:t>Fossil Fuel Transition and the Principle of Intergenerational Justice in Ecological Jurisprudence</w:t>
      </w:r>
      <w:r>
        <w:rPr>
          <w:b/>
          <w:sz w:val="28"/>
          <w:szCs w:val="28"/>
        </w:rPr>
        <w:t>: The Uruguay Example</w:t>
      </w:r>
    </w:p>
    <w:p w14:paraId="4BE5D729" w14:textId="77777777" w:rsidR="00CB0641" w:rsidRPr="00CB0641" w:rsidRDefault="00CB0641" w:rsidP="00CB0641">
      <w:pPr>
        <w:jc w:val="both"/>
        <w:rPr>
          <w:b/>
          <w:sz w:val="28"/>
          <w:szCs w:val="28"/>
        </w:rPr>
      </w:pPr>
    </w:p>
    <w:p w14:paraId="4B7C2499" w14:textId="77777777" w:rsidR="00CB0641" w:rsidRPr="00CB0641" w:rsidRDefault="00CB0641" w:rsidP="00CB0641">
      <w:pPr>
        <w:jc w:val="both"/>
        <w:rPr>
          <w:b/>
          <w:sz w:val="28"/>
          <w:szCs w:val="28"/>
        </w:rPr>
      </w:pPr>
      <w:r w:rsidRPr="00CB0641">
        <w:rPr>
          <w:b/>
          <w:sz w:val="28"/>
          <w:szCs w:val="28"/>
        </w:rPr>
        <w:t>Abstract </w:t>
      </w:r>
    </w:p>
    <w:p w14:paraId="7494E037" w14:textId="0DD86FEC" w:rsidR="00CB0641" w:rsidRPr="00CB0641" w:rsidRDefault="00CB0641" w:rsidP="00CB0641">
      <w:pPr>
        <w:jc w:val="both"/>
        <w:rPr>
          <w:sz w:val="28"/>
          <w:szCs w:val="28"/>
        </w:rPr>
      </w:pPr>
      <w:r>
        <w:rPr>
          <w:sz w:val="28"/>
          <w:szCs w:val="28"/>
        </w:rPr>
        <w:t>This paper argues that while the debate continues to rage on the challenges and opportunities associated with the transition from the consumption of fossil</w:t>
      </w:r>
      <w:r w:rsidR="001246CE">
        <w:rPr>
          <w:sz w:val="28"/>
          <w:szCs w:val="28"/>
        </w:rPr>
        <w:t>-</w:t>
      </w:r>
      <w:r>
        <w:rPr>
          <w:sz w:val="28"/>
          <w:szCs w:val="28"/>
        </w:rPr>
        <w:t>fuel-based energy</w:t>
      </w:r>
      <w:r w:rsidR="001246CE">
        <w:rPr>
          <w:sz w:val="28"/>
          <w:szCs w:val="28"/>
        </w:rPr>
        <w:t xml:space="preserve"> sources</w:t>
      </w:r>
      <w:r>
        <w:rPr>
          <w:sz w:val="28"/>
          <w:szCs w:val="28"/>
        </w:rPr>
        <w:t xml:space="preserve"> to renewable energy</w:t>
      </w:r>
      <w:r w:rsidR="001246CE">
        <w:rPr>
          <w:sz w:val="28"/>
          <w:szCs w:val="28"/>
        </w:rPr>
        <w:t xml:space="preserve"> sources</w:t>
      </w:r>
      <w:r>
        <w:rPr>
          <w:sz w:val="28"/>
          <w:szCs w:val="28"/>
        </w:rPr>
        <w:t xml:space="preserve">, the possibility of the said transition has been exemplified in Uruguay. The campaign for a transition from the unsustainable use and reliance on </w:t>
      </w:r>
      <w:r w:rsidR="00927E6A">
        <w:rPr>
          <w:sz w:val="28"/>
          <w:szCs w:val="28"/>
        </w:rPr>
        <w:t>fossil fuel energy sources has moved from the realm of speculative possibility to reality.</w:t>
      </w:r>
      <w:r>
        <w:rPr>
          <w:sz w:val="28"/>
          <w:szCs w:val="28"/>
        </w:rPr>
        <w:t xml:space="preserve"> </w:t>
      </w:r>
      <w:r w:rsidR="00927E6A">
        <w:rPr>
          <w:sz w:val="28"/>
          <w:szCs w:val="28"/>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Pr="00CB0641">
        <w:rPr>
          <w:sz w:val="28"/>
          <w:szCs w:val="28"/>
        </w:rPr>
        <w:t xml:space="preserve"> calls for actions that protect the rights and well-being of future generations, </w:t>
      </w:r>
      <w:r w:rsidR="00927E6A">
        <w:rPr>
          <w:sz w:val="28"/>
          <w:szCs w:val="28"/>
        </w:rPr>
        <w:t xml:space="preserve">while </w:t>
      </w:r>
      <w:r w:rsidRPr="00CB0641">
        <w:rPr>
          <w:sz w:val="28"/>
          <w:szCs w:val="28"/>
        </w:rPr>
        <w:t xml:space="preserve">emphasizing the need for sustainable practices in energy transition. </w:t>
      </w:r>
      <w:r w:rsidR="001246CE">
        <w:rPr>
          <w:sz w:val="28"/>
          <w:szCs w:val="28"/>
        </w:rPr>
        <w:t xml:space="preserve">The requirement </w:t>
      </w:r>
      <w:r w:rsidR="005F23D6">
        <w:rPr>
          <w:sz w:val="28"/>
          <w:szCs w:val="28"/>
        </w:rPr>
        <w:t>of</w:t>
      </w:r>
      <w:r w:rsidR="001246CE">
        <w:rPr>
          <w:sz w:val="28"/>
          <w:szCs w:val="28"/>
        </w:rPr>
        <w:t xml:space="preserve"> the sustainable and responsible </w:t>
      </w:r>
      <w:r w:rsidR="005F23D6">
        <w:rPr>
          <w:sz w:val="28"/>
          <w:szCs w:val="28"/>
        </w:rPr>
        <w:t>engagement of the environment by current generations in expectation of guaranteeing the ecological rights of generations yet</w:t>
      </w:r>
      <w:r w:rsidR="001F1243">
        <w:rPr>
          <w:sz w:val="28"/>
          <w:szCs w:val="28"/>
        </w:rPr>
        <w:t>-</w:t>
      </w:r>
      <w:r w:rsidR="005F23D6">
        <w:rPr>
          <w:sz w:val="28"/>
          <w:szCs w:val="28"/>
        </w:rPr>
        <w:t xml:space="preserve">unborn is a responsibility and a duty imposed on the current generation by nature. </w:t>
      </w:r>
      <w:r w:rsidRPr="00CB0641">
        <w:rPr>
          <w:sz w:val="28"/>
          <w:szCs w:val="28"/>
        </w:rPr>
        <w:t xml:space="preserve">Through an analysis of local and global frameworks, this paper advocates for stronger regulatory enforcement, the </w:t>
      </w:r>
      <w:r w:rsidR="00927E6A">
        <w:rPr>
          <w:sz w:val="28"/>
          <w:szCs w:val="28"/>
        </w:rPr>
        <w:t xml:space="preserve">conscientious </w:t>
      </w:r>
      <w:r w:rsidRPr="00CB0641">
        <w:rPr>
          <w:sz w:val="28"/>
          <w:szCs w:val="28"/>
        </w:rPr>
        <w:t xml:space="preserve">transition to renewable and green energy sources, and </w:t>
      </w:r>
      <w:r w:rsidR="001246CE">
        <w:rPr>
          <w:sz w:val="28"/>
          <w:szCs w:val="28"/>
        </w:rPr>
        <w:t>the intensification of collaborative engagements</w:t>
      </w:r>
      <w:r w:rsidRPr="00CB0641">
        <w:rPr>
          <w:sz w:val="28"/>
          <w:szCs w:val="28"/>
        </w:rPr>
        <w:t>.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current and future generations are safeguarded. This research was conducted using the doctrinal research method.</w:t>
      </w:r>
    </w:p>
    <w:p w14:paraId="0E6A87A2" w14:textId="77777777" w:rsidR="00CB0641" w:rsidRPr="00CB0641" w:rsidRDefault="00CB0641" w:rsidP="00CB0641">
      <w:pPr>
        <w:jc w:val="both"/>
        <w:rPr>
          <w:b/>
          <w:bCs/>
          <w:sz w:val="28"/>
          <w:szCs w:val="28"/>
        </w:rPr>
      </w:pPr>
    </w:p>
    <w:p w14:paraId="27E209D3" w14:textId="37499EDF" w:rsidR="00CB0641" w:rsidRDefault="00CB0641" w:rsidP="00CB0641">
      <w:pPr>
        <w:jc w:val="both"/>
        <w:rPr>
          <w:sz w:val="28"/>
          <w:szCs w:val="28"/>
        </w:rPr>
      </w:pPr>
      <w:r w:rsidRPr="00CB0641">
        <w:rPr>
          <w:b/>
          <w:bCs/>
          <w:sz w:val="28"/>
          <w:szCs w:val="28"/>
        </w:rPr>
        <w:t>Keywords:</w:t>
      </w:r>
      <w:r w:rsidRPr="00CB0641">
        <w:rPr>
          <w:sz w:val="28"/>
          <w:szCs w:val="28"/>
        </w:rPr>
        <w:t xml:space="preserve"> Fossil fuel transition, intergenerational justice, environmental jurisprudence, sustainable energy, renewable energy,</w:t>
      </w:r>
      <w:r w:rsidR="001246CE">
        <w:rPr>
          <w:sz w:val="28"/>
          <w:szCs w:val="28"/>
        </w:rPr>
        <w:t xml:space="preserve"> green energy,</w:t>
      </w:r>
      <w:r w:rsidRPr="00CB0641">
        <w:rPr>
          <w:sz w:val="28"/>
          <w:szCs w:val="28"/>
        </w:rPr>
        <w:t xml:space="preserve"> ecological justice</w:t>
      </w:r>
      <w:r w:rsidR="00F3503E">
        <w:rPr>
          <w:sz w:val="28"/>
          <w:szCs w:val="28"/>
        </w:rPr>
        <w:t>, ecological debt, public trust doctrine.</w:t>
      </w:r>
    </w:p>
    <w:p w14:paraId="179D012C" w14:textId="77777777" w:rsidR="001F1243" w:rsidRPr="00CB0641" w:rsidRDefault="001F1243" w:rsidP="00CB0641">
      <w:pPr>
        <w:jc w:val="both"/>
        <w:rPr>
          <w:sz w:val="28"/>
          <w:szCs w:val="28"/>
        </w:rPr>
      </w:pPr>
    </w:p>
    <w:p w14:paraId="6231EE6A" w14:textId="77777777" w:rsidR="00CB0641" w:rsidRPr="00CB0641" w:rsidRDefault="00CB0641" w:rsidP="00CB0641">
      <w:pPr>
        <w:jc w:val="both"/>
        <w:rPr>
          <w:b/>
          <w:sz w:val="28"/>
          <w:szCs w:val="28"/>
        </w:rPr>
      </w:pPr>
      <w:r w:rsidRPr="00CB0641">
        <w:rPr>
          <w:b/>
          <w:sz w:val="28"/>
          <w:szCs w:val="28"/>
        </w:rPr>
        <w:t xml:space="preserve">1.0 </w:t>
      </w:r>
      <w:r w:rsidRPr="00CB0641">
        <w:rPr>
          <w:rFonts w:ascii="Segoe UI Symbol" w:hAnsi="Segoe UI Symbol" w:cs="Segoe UI Symbol"/>
          <w:b/>
          <w:sz w:val="28"/>
          <w:szCs w:val="28"/>
        </w:rPr>
        <w:t>⁠</w:t>
      </w:r>
      <w:r w:rsidRPr="00CB0641">
        <w:rPr>
          <w:b/>
          <w:sz w:val="28"/>
          <w:szCs w:val="28"/>
        </w:rPr>
        <w:t>Introduction</w:t>
      </w:r>
      <w:r w:rsidRPr="00CB0641">
        <w:rPr>
          <w:rFonts w:ascii="Calibri" w:hAnsi="Calibri" w:cs="Calibri"/>
          <w:b/>
          <w:sz w:val="28"/>
          <w:szCs w:val="28"/>
        </w:rPr>
        <w:t> </w:t>
      </w:r>
    </w:p>
    <w:p w14:paraId="30944228" w14:textId="77777777" w:rsidR="00CB0641" w:rsidRPr="00CB0641" w:rsidRDefault="00CB0641" w:rsidP="00CB0641">
      <w:pPr>
        <w:jc w:val="both"/>
        <w:rPr>
          <w:sz w:val="28"/>
          <w:szCs w:val="28"/>
        </w:rPr>
      </w:pPr>
      <w:r w:rsidRPr="00CB0641">
        <w:rPr>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CB0641">
        <w:rPr>
          <w:sz w:val="28"/>
          <w:szCs w:val="28"/>
          <w:vertAlign w:val="superscript"/>
        </w:rPr>
        <w:footnoteReference w:id="1"/>
      </w:r>
      <w:r w:rsidRPr="00CB0641">
        <w:rPr>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CB0641">
        <w:rPr>
          <w:sz w:val="28"/>
          <w:szCs w:val="28"/>
          <w:vertAlign w:val="superscript"/>
        </w:rPr>
        <w:footnoteReference w:id="2"/>
      </w:r>
      <w:r w:rsidRPr="00CB0641">
        <w:rPr>
          <w:sz w:val="28"/>
          <w:szCs w:val="28"/>
        </w:rPr>
        <w:t>.</w:t>
      </w:r>
    </w:p>
    <w:p w14:paraId="42BAD6B7" w14:textId="544A53BE" w:rsidR="00CB0641" w:rsidRDefault="00CB0641" w:rsidP="00CB0641">
      <w:pPr>
        <w:jc w:val="both"/>
        <w:rPr>
          <w:sz w:val="28"/>
          <w:szCs w:val="28"/>
        </w:rPr>
      </w:pPr>
      <w:r w:rsidRPr="00CB0641">
        <w:rPr>
          <w:sz w:val="28"/>
          <w:szCs w:val="28"/>
        </w:rPr>
        <w:t>Given the accelerating</w:t>
      </w:r>
      <w:r w:rsidR="004D1775">
        <w:rPr>
          <w:sz w:val="28"/>
          <w:szCs w:val="28"/>
        </w:rPr>
        <w:t xml:space="preserve"> and </w:t>
      </w:r>
      <w:r w:rsidR="00F3503E">
        <w:rPr>
          <w:sz w:val="28"/>
          <w:szCs w:val="28"/>
        </w:rPr>
        <w:t xml:space="preserve">exacerbated </w:t>
      </w:r>
      <w:r w:rsidR="00F3503E" w:rsidRPr="00CB0641">
        <w:rPr>
          <w:sz w:val="28"/>
          <w:szCs w:val="28"/>
        </w:rPr>
        <w:t>effects</w:t>
      </w:r>
      <w:r w:rsidRPr="00CB0641">
        <w:rPr>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CB0641">
        <w:rPr>
          <w:sz w:val="28"/>
          <w:szCs w:val="28"/>
          <w:vertAlign w:val="superscript"/>
        </w:rPr>
        <w:footnoteReference w:id="3"/>
      </w:r>
      <w:r w:rsidRPr="00CB0641">
        <w:rPr>
          <w:sz w:val="28"/>
          <w:szCs w:val="28"/>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14:paraId="1DAE5E89" w14:textId="77777777" w:rsidR="004D1775" w:rsidRPr="00CB0641" w:rsidRDefault="004D1775" w:rsidP="00CB0641">
      <w:pPr>
        <w:jc w:val="both"/>
        <w:rPr>
          <w:sz w:val="28"/>
          <w:szCs w:val="28"/>
        </w:rPr>
      </w:pPr>
    </w:p>
    <w:p w14:paraId="14CC10B0" w14:textId="77777777" w:rsidR="00CB0641" w:rsidRPr="00CB0641" w:rsidRDefault="00CB0641" w:rsidP="00CB0641">
      <w:pPr>
        <w:jc w:val="both"/>
        <w:rPr>
          <w:sz w:val="28"/>
          <w:szCs w:val="28"/>
        </w:rPr>
      </w:pPr>
      <w:r w:rsidRPr="00CB0641">
        <w:rPr>
          <w:b/>
          <w:bCs/>
          <w:sz w:val="28"/>
          <w:szCs w:val="28"/>
        </w:rPr>
        <w:t>2.0 Fossil Fuels and the Ecological Debt</w:t>
      </w:r>
    </w:p>
    <w:p w14:paraId="73A8DA1F" w14:textId="329B6978" w:rsidR="00CB0641" w:rsidRPr="00CB0641" w:rsidRDefault="00CB0641" w:rsidP="00CB0641">
      <w:pPr>
        <w:jc w:val="both"/>
        <w:rPr>
          <w:sz w:val="28"/>
          <w:szCs w:val="28"/>
        </w:rPr>
      </w:pPr>
      <w:r w:rsidRPr="00CB0641">
        <w:rPr>
          <w:sz w:val="28"/>
          <w:szCs w:val="28"/>
        </w:rPr>
        <w:t>Fossil fuel consumption has historically driven economic growth but has also accumulated what some scholars call an "ecological debt," which places a burden on future generations</w:t>
      </w:r>
      <w:r w:rsidRPr="00CB0641">
        <w:rPr>
          <w:sz w:val="28"/>
          <w:szCs w:val="28"/>
          <w:vertAlign w:val="superscript"/>
        </w:rPr>
        <w:footnoteReference w:id="4"/>
      </w:r>
      <w:r w:rsidRPr="00CB0641">
        <w:rPr>
          <w:sz w:val="28"/>
          <w:szCs w:val="28"/>
        </w:rPr>
        <w:t xml:space="preserve">. This ecological debt </w:t>
      </w:r>
      <w:r w:rsidR="00217D9C">
        <w:rPr>
          <w:sz w:val="28"/>
          <w:szCs w:val="28"/>
        </w:rPr>
        <w:t xml:space="preserve">is occasioned by the phenomena of </w:t>
      </w:r>
      <w:r w:rsidRPr="00CB0641">
        <w:rPr>
          <w:sz w:val="28"/>
          <w:szCs w:val="28"/>
        </w:rPr>
        <w:t>greenhouse gas emissions, environmental pollution, loss of biodiversity</w:t>
      </w:r>
      <w:r w:rsidR="00217D9C">
        <w:rPr>
          <w:sz w:val="28"/>
          <w:szCs w:val="28"/>
        </w:rPr>
        <w:t>, and climate change,</w:t>
      </w:r>
      <w:r w:rsidRPr="00CB0641">
        <w:rPr>
          <w:sz w:val="28"/>
          <w:szCs w:val="28"/>
        </w:rPr>
        <w:t xml:space="preserve"> </w:t>
      </w:r>
      <w:r w:rsidR="00217D9C">
        <w:rPr>
          <w:sz w:val="28"/>
          <w:szCs w:val="28"/>
        </w:rPr>
        <w:t xml:space="preserve">and </w:t>
      </w:r>
      <w:r w:rsidRPr="00CB0641">
        <w:rPr>
          <w:sz w:val="28"/>
          <w:szCs w:val="28"/>
        </w:rPr>
        <w:t xml:space="preserve">all </w:t>
      </w:r>
      <w:r w:rsidR="00217D9C">
        <w:rPr>
          <w:sz w:val="28"/>
          <w:szCs w:val="28"/>
        </w:rPr>
        <w:t>these</w:t>
      </w:r>
      <w:r w:rsidRPr="00CB0641">
        <w:rPr>
          <w:sz w:val="28"/>
          <w:szCs w:val="28"/>
        </w:rPr>
        <w:t xml:space="preserve"> have long-lasting impacts</w:t>
      </w:r>
      <w:r w:rsidR="00217D9C">
        <w:rPr>
          <w:sz w:val="28"/>
          <w:szCs w:val="28"/>
        </w:rPr>
        <w:t xml:space="preserve"> on the environment</w:t>
      </w:r>
      <w:r w:rsidRPr="00CB0641">
        <w:rPr>
          <w:sz w:val="28"/>
          <w:szCs w:val="28"/>
        </w:rPr>
        <w:t xml:space="preserve">. </w:t>
      </w:r>
      <w:r w:rsidRPr="00CB0641">
        <w:rPr>
          <w:sz w:val="28"/>
          <w:szCs w:val="28"/>
        </w:rPr>
        <w:lastRenderedPageBreak/>
        <w:t xml:space="preserve">According to Klaus Bosselmann, the principle of intergenerational equity demands that contemporary societies </w:t>
      </w:r>
      <w:r w:rsidRPr="00217D9C">
        <w:rPr>
          <w:i/>
          <w:iCs/>
          <w:sz w:val="28"/>
          <w:szCs w:val="28"/>
        </w:rPr>
        <w:t>acknowledge</w:t>
      </w:r>
      <w:r w:rsidRPr="00CB0641">
        <w:rPr>
          <w:sz w:val="28"/>
          <w:szCs w:val="28"/>
        </w:rPr>
        <w:t xml:space="preserve"> and </w:t>
      </w:r>
      <w:r w:rsidRPr="00217D9C">
        <w:rPr>
          <w:i/>
          <w:iCs/>
          <w:sz w:val="28"/>
          <w:szCs w:val="28"/>
        </w:rPr>
        <w:t>mitigate</w:t>
      </w:r>
      <w:r w:rsidRPr="00CB0641">
        <w:rPr>
          <w:sz w:val="28"/>
          <w:szCs w:val="28"/>
        </w:rPr>
        <w:t xml:space="preserve"> this </w:t>
      </w:r>
      <w:r w:rsidRPr="00217D9C">
        <w:rPr>
          <w:sz w:val="28"/>
          <w:szCs w:val="28"/>
        </w:rPr>
        <w:t>debt</w:t>
      </w:r>
      <w:r w:rsidRPr="00CB0641">
        <w:rPr>
          <w:sz w:val="28"/>
          <w:szCs w:val="28"/>
        </w:rPr>
        <w:t>, particularly through policies that reduce dependency on non-renewable resources</w:t>
      </w:r>
      <w:r w:rsidRPr="00CB0641">
        <w:rPr>
          <w:sz w:val="28"/>
          <w:szCs w:val="28"/>
          <w:vertAlign w:val="superscript"/>
        </w:rPr>
        <w:footnoteReference w:id="5"/>
      </w:r>
      <w:r w:rsidRPr="00CB0641">
        <w:rPr>
          <w:sz w:val="28"/>
          <w:szCs w:val="28"/>
        </w:rPr>
        <w:t>. As Bosselmann argues, failing to address the ecological debt perpetuates a form of ecological injustice where future generations are deprived of their right to a safe and healthy environment,</w:t>
      </w:r>
      <w:r w:rsidR="00217D9C">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14:paraId="2FC4BB38" w14:textId="0F29FF9C" w:rsidR="00CB0641" w:rsidRPr="00CB0641" w:rsidRDefault="00CB0641" w:rsidP="00CB0641">
      <w:pPr>
        <w:jc w:val="both"/>
        <w:rPr>
          <w:sz w:val="28"/>
          <w:szCs w:val="28"/>
        </w:rPr>
      </w:pPr>
      <w:r w:rsidRPr="00CB0641">
        <w:rPr>
          <w:sz w:val="28"/>
          <w:szCs w:val="28"/>
        </w:rPr>
        <w:t>Ecological debt also raises legal questions about whether governments and corporations should be held accountable for all forms of environmental injustices meted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proofErr w:type="spellStart"/>
      <w:r w:rsidRPr="00CB0641">
        <w:rPr>
          <w:sz w:val="28"/>
          <w:szCs w:val="28"/>
        </w:rPr>
        <w:t>ould</w:t>
      </w:r>
      <w:proofErr w:type="spellEnd"/>
      <w:r w:rsidRPr="00CB0641">
        <w:rPr>
          <w:sz w:val="28"/>
          <w:szCs w:val="28"/>
        </w:rPr>
        <w:t xml:space="preserve">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14:paraId="294F12CF" w14:textId="77777777" w:rsidR="00CB0641" w:rsidRPr="00CB0641" w:rsidRDefault="00CB0641" w:rsidP="00CB0641">
      <w:pPr>
        <w:jc w:val="both"/>
        <w:rPr>
          <w:sz w:val="28"/>
          <w:szCs w:val="28"/>
        </w:rPr>
      </w:pPr>
      <w:r w:rsidRPr="00CB0641">
        <w:rPr>
          <w:b/>
          <w:bCs/>
          <w:sz w:val="28"/>
          <w:szCs w:val="28"/>
        </w:rPr>
        <w:t>3.0 Legal Frameworks for Sustainable Energy Transition</w:t>
      </w:r>
    </w:p>
    <w:p w14:paraId="2F187F24" w14:textId="2CF1D9FB" w:rsidR="008D6EF3" w:rsidRDefault="00CB0641" w:rsidP="00CB0641">
      <w:pPr>
        <w:jc w:val="both"/>
        <w:rPr>
          <w:sz w:val="28"/>
          <w:szCs w:val="28"/>
        </w:rPr>
      </w:pPr>
      <w:r w:rsidRPr="00CB0641">
        <w:rPr>
          <w:sz w:val="28"/>
          <w:szCs w:val="28"/>
        </w:rPr>
        <w:t>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3, and 4 of the Paris Agreement on climate change are very specific on the need to reduce greenhouse gas emissions (GHGs), and transition to sustainable and renewable energy sources</w:t>
      </w:r>
      <w:r w:rsidRPr="00CB0641">
        <w:rPr>
          <w:sz w:val="28"/>
          <w:szCs w:val="28"/>
          <w:vertAlign w:val="superscript"/>
        </w:rPr>
        <w:footnoteReference w:id="10"/>
      </w:r>
      <w:r w:rsidRPr="00CB0641">
        <w:rPr>
          <w:sz w:val="28"/>
          <w:szCs w:val="28"/>
        </w:rPr>
        <w:t>. Lavanya Rajamani, an expert in international environmental law, emphasizes that while these agreements are significant, they lack binding 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xml:space="preserve">. In the absence of enforceable </w:t>
      </w:r>
      <w:r w:rsidRPr="00CB0641">
        <w:rPr>
          <w:sz w:val="28"/>
          <w:szCs w:val="28"/>
        </w:rPr>
        <w:lastRenderedPageBreak/>
        <w:t>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laying of crude oil and gas delivery lines, flowlines, pipelines, dredging activities, etc. A necessary and important component of an Environmental Risk Register is the </w:t>
      </w:r>
      <w:r w:rsidR="008D6EF3" w:rsidRPr="008D6EF3">
        <w:rPr>
          <w:i/>
          <w:iCs/>
          <w:sz w:val="28"/>
          <w:szCs w:val="28"/>
        </w:rPr>
        <w:t>Environmental 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14:paraId="356AD347" w14:textId="25727488" w:rsidR="008D6EF3" w:rsidRDefault="008D6EF3" w:rsidP="00F908E2">
      <w:pPr>
        <w:ind w:left="1440"/>
        <w:jc w:val="both"/>
        <w:rPr>
          <w:sz w:val="28"/>
          <w:szCs w:val="28"/>
        </w:rPr>
      </w:pPr>
      <w:r>
        <w:rPr>
          <w:sz w:val="28"/>
          <w:szCs w:val="28"/>
        </w:rPr>
        <w:t>Final Environmental Risk Register shall be prepared</w:t>
      </w:r>
      <w:r w:rsidR="00F908E2">
        <w:rPr>
          <w:sz w:val="28"/>
          <w:szCs w:val="28"/>
        </w:rPr>
        <w:t>, with a detailed Environmental Management Plan (EMP) and an approval obtained at 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14:paraId="56662458" w14:textId="77777777" w:rsidR="00BE1412" w:rsidRDefault="00F908E2" w:rsidP="00F908E2">
      <w:pPr>
        <w:jc w:val="both"/>
        <w:rPr>
          <w:sz w:val="28"/>
          <w:szCs w:val="28"/>
        </w:rPr>
      </w:pPr>
      <w:r>
        <w:rPr>
          <w:sz w:val="28"/>
          <w:szCs w:val="28"/>
        </w:rPr>
        <w:lastRenderedPageBreak/>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14:paraId="668C28FD" w14:textId="77777777"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 xml:space="preserve">e or lease and prior to the approval of the environmental management plan by the Commission or Authority, a </w:t>
      </w:r>
      <w:proofErr w:type="spellStart"/>
      <w:r>
        <w:rPr>
          <w:sz w:val="28"/>
          <w:szCs w:val="28"/>
        </w:rPr>
        <w:t>lecensee</w:t>
      </w:r>
      <w:proofErr w:type="spellEnd"/>
      <w:r>
        <w:rPr>
          <w:sz w:val="28"/>
          <w:szCs w:val="28"/>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14:paraId="1374C7ED" w14:textId="59ECD8F6"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cooperations (oil MNCs) and/or international oil companies (IOCs) have a deleterious effect on the environment, thereby leading to climate change. </w:t>
      </w:r>
      <w:r w:rsidR="008138C2">
        <w:rPr>
          <w:sz w:val="28"/>
          <w:szCs w:val="28"/>
        </w:rPr>
        <w:t>In order to mitigate this hazardous effects of fossil-fuel-based energy sources, the Nigerian legal regulatory legal framework was put in place. Therefore, there shall be a mandatory monitoring, estimation of volume and reporting of Green House Gases (GHGs) emissions from all oil and gas operations in the Nigerian Upstream 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14:paraId="399A2043" w14:textId="5B0FD8A1" w:rsidR="00CB0641" w:rsidRPr="00CB0641" w:rsidRDefault="008D6EF3" w:rsidP="00CB0641">
      <w:pPr>
        <w:jc w:val="both"/>
        <w:rPr>
          <w:sz w:val="28"/>
          <w:szCs w:val="28"/>
        </w:rPr>
      </w:pPr>
      <w:r>
        <w:rPr>
          <w:sz w:val="28"/>
          <w:szCs w:val="28"/>
        </w:rPr>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w:t>
      </w:r>
      <w:r w:rsidR="00CB0641" w:rsidRPr="00CB0641">
        <w:rPr>
          <w:sz w:val="28"/>
          <w:szCs w:val="28"/>
        </w:rPr>
        <w:lastRenderedPageBreak/>
        <w:t xml:space="preserve">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14:paraId="68D48E24" w14:textId="77777777" w:rsidR="00CB0641" w:rsidRPr="00CB0641" w:rsidRDefault="00CB0641" w:rsidP="00CB0641">
      <w:pPr>
        <w:jc w:val="both"/>
        <w:rPr>
          <w:b/>
          <w:sz w:val="28"/>
          <w:szCs w:val="28"/>
        </w:rPr>
      </w:pPr>
      <w:r w:rsidRPr="00CB0641">
        <w:rPr>
          <w:b/>
          <w:sz w:val="28"/>
          <w:szCs w:val="28"/>
        </w:rPr>
        <w:t>4.0 An Explication of the Principle of Intergenerational Justice </w:t>
      </w:r>
    </w:p>
    <w:p w14:paraId="3D5DF92F" w14:textId="24D3791E"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moral and philosophical framework that argues for the fair treatment of future generations by the current generation. This principle asserts that the actions and decisions made today should not jeopardize the environmental health,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14:paraId="592D4E73" w14:textId="113767FC"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This concept has gained prominence in the context of environmental crises, where the extraction and consumption of non-renewable resources - such as fossil fuels - pose threats to the sustainability of ecosystems. Stephen Gardiner, a philosopher focused on ethics and climate change, argues that ignoring the needs of future generations in policy</w:t>
      </w:r>
      <w:r w:rsidR="00102A48">
        <w:rPr>
          <w:sz w:val="28"/>
          <w:szCs w:val="28"/>
        </w:rPr>
        <w:t>-</w:t>
      </w:r>
      <w:r w:rsidRPr="00CB0641">
        <w:rPr>
          <w:sz w:val="28"/>
          <w:szCs w:val="28"/>
        </w:rPr>
        <w:t>decisions results in a "moral corruption," where short-term interests override the ethical obligation to protect future well-being</w:t>
      </w:r>
      <w:r w:rsidRPr="00CB0641">
        <w:rPr>
          <w:sz w:val="28"/>
          <w:szCs w:val="28"/>
          <w:vertAlign w:val="superscript"/>
        </w:rPr>
        <w:footnoteReference w:id="16"/>
      </w:r>
      <w:r w:rsidRPr="00CB0641">
        <w:rPr>
          <w:sz w:val="28"/>
          <w:szCs w:val="28"/>
        </w:rPr>
        <w:t>.</w:t>
      </w:r>
    </w:p>
    <w:p w14:paraId="3A276B78" w14:textId="08C1039E"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lastRenderedPageBreak/>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14:paraId="15529E55" w14:textId="358F1CD8"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Bosselmann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In sum, the principle of intergenerational justice calls for a shift in both ethical thinking and legal frameworks, encouraging societies to consider the long-term impacts of their current decisions. By aligning policies with this principle, current generations can uphold their moral obligations to future generations, thereby promoting a more sustainable and just future for all.</w:t>
      </w:r>
    </w:p>
    <w:p w14:paraId="1D90DE26" w14:textId="77777777" w:rsidR="00CB0641" w:rsidRPr="00CB0641" w:rsidRDefault="00CB0641" w:rsidP="00CB0641">
      <w:pPr>
        <w:jc w:val="both"/>
        <w:rPr>
          <w:b/>
          <w:sz w:val="28"/>
          <w:szCs w:val="28"/>
        </w:rPr>
      </w:pPr>
      <w:r w:rsidRPr="00CB0641">
        <w:rPr>
          <w:b/>
          <w:sz w:val="28"/>
          <w:szCs w:val="28"/>
        </w:rPr>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14:paraId="59A72548" w14:textId="2675E54D"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w:t>
      </w:r>
      <w:r w:rsidRPr="00CB0641">
        <w:rPr>
          <w:sz w:val="28"/>
          <w:szCs w:val="28"/>
        </w:rPr>
        <w:lastRenderedPageBreak/>
        <w:t xml:space="preserve">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14:paraId="7C4E0DF3" w14:textId="77777777"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14:paraId="597A1877" w14:textId="77777777"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filed by a group of young plaintiffs, argues that the U.S. government has failed to protect the environment and public health by supporting fossil fuel industries. This failure, they claim, violates their constitutional rights to life, liberty, and 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14:paraId="3C096A5E" w14:textId="77777777" w:rsidR="00CB0641" w:rsidRPr="00CB0641" w:rsidRDefault="00CB0641" w:rsidP="00CB0641">
      <w:pPr>
        <w:jc w:val="both"/>
        <w:rPr>
          <w:sz w:val="28"/>
          <w:szCs w:val="28"/>
        </w:rPr>
      </w:pPr>
      <w:r w:rsidRPr="00CB0641">
        <w:rPr>
          <w:sz w:val="28"/>
          <w:szCs w:val="28"/>
        </w:rPr>
        <w:lastRenderedPageBreak/>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14:paraId="50426985" w14:textId="31BF3736"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aspirational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s that these agreements lack enforceability, suggesting the need for stronger, binding commitments that ensure a real transition from fossil fuels</w:t>
      </w:r>
      <w:r w:rsidRPr="00CB0641">
        <w:rPr>
          <w:sz w:val="28"/>
          <w:szCs w:val="28"/>
          <w:vertAlign w:val="superscript"/>
        </w:rPr>
        <w:footnoteReference w:id="24"/>
      </w:r>
      <w:r w:rsidRPr="00CB0641">
        <w:rPr>
          <w:sz w:val="28"/>
          <w:szCs w:val="28"/>
        </w:rPr>
        <w:t>. The transition from fossil fuels to sustainable energy sources is a 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14:paraId="50C01671" w14:textId="21904B8D" w:rsidR="00810977" w:rsidRPr="00697605" w:rsidRDefault="001F1243" w:rsidP="00CB0641">
      <w:pPr>
        <w:jc w:val="both"/>
        <w:rPr>
          <w:b/>
          <w:bCs/>
          <w:sz w:val="28"/>
          <w:szCs w:val="28"/>
        </w:rPr>
      </w:pPr>
      <w:r>
        <w:rPr>
          <w:b/>
          <w:bCs/>
          <w:sz w:val="28"/>
          <w:szCs w:val="28"/>
        </w:rPr>
        <w:lastRenderedPageBreak/>
        <w:t xml:space="preserve">6.0 </w:t>
      </w:r>
      <w:r w:rsidR="00697605" w:rsidRPr="00697605">
        <w:rPr>
          <w:b/>
          <w:bCs/>
          <w:sz w:val="28"/>
          <w:szCs w:val="28"/>
        </w:rPr>
        <w:t>The Paris Agreement on Climate Change</w:t>
      </w:r>
    </w:p>
    <w:p w14:paraId="40E650CC" w14:textId="1C44320E"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14:paraId="6E685A88" w14:textId="77777777" w:rsidR="00171C8F" w:rsidRDefault="00E368C8" w:rsidP="00810977">
      <w:pPr>
        <w:jc w:val="both"/>
        <w:rPr>
          <w:sz w:val="28"/>
          <w:szCs w:val="28"/>
        </w:rPr>
      </w:pPr>
      <w:r>
        <w:rPr>
          <w:sz w:val="28"/>
          <w:szCs w:val="28"/>
        </w:rPr>
        <w:t xml:space="preserve">One </w:t>
      </w:r>
      <w:r w:rsidR="004D29EE">
        <w:rPr>
          <w:sz w:val="28"/>
          <w:szCs w:val="28"/>
        </w:rPr>
        <w:t>of the prominent features of the Paris Agreement on Climate Change include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14:paraId="60DF6C3F" w14:textId="77777777" w:rsidR="00481BFB" w:rsidRDefault="00171C8F" w:rsidP="00810977">
      <w:pPr>
        <w:jc w:val="both"/>
        <w:rPr>
          <w:sz w:val="28"/>
          <w:szCs w:val="28"/>
        </w:rPr>
      </w:pPr>
      <w:r>
        <w:rPr>
          <w:sz w:val="28"/>
          <w:szCs w:val="28"/>
        </w:rPr>
        <w:t xml:space="preserve">Since the coming into existence of the Paris Agreement on Climate Change, it has faced a number of challenges ranging from lack of transparency in the handling of climate finances, stringent conditionalities to access climate finances, inadequate acceptance of the philosophy and objectives of the agreement, etc. However, the Paris Agreement has met with increased advocacy on the need to mitigate climate 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14:paraId="66FE9F39" w14:textId="5D41723D" w:rsidR="00C13FA9" w:rsidRDefault="00CD2BF8" w:rsidP="00810977">
      <w:pPr>
        <w:jc w:val="both"/>
        <w:rPr>
          <w:b/>
          <w:bCs/>
          <w:sz w:val="28"/>
          <w:szCs w:val="28"/>
        </w:rPr>
      </w:pPr>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p>
    <w:p w14:paraId="7CBB06F5" w14:textId="235864F3" w:rsidR="0045431C" w:rsidRPr="0045431C" w:rsidRDefault="00481BFB" w:rsidP="0045431C">
      <w:pPr>
        <w:jc w:val="both"/>
        <w:rPr>
          <w:sz w:val="28"/>
          <w:szCs w:val="28"/>
        </w:rPr>
      </w:pPr>
      <w:r>
        <w:rPr>
          <w:sz w:val="28"/>
          <w:szCs w:val="28"/>
        </w:rPr>
        <w:t xml:space="preserve"> </w:t>
      </w:r>
      <w:r w:rsidR="0045431C" w:rsidRPr="0045431C">
        <w:rPr>
          <w:sz w:val="28"/>
          <w:szCs w:val="28"/>
        </w:rPr>
        <w:t xml:space="preserve">Uruguay, officially known as the Oriental Republic of Uruguay, has a rich and diverse history spanning over 4,000 years. The first inhabitants of Uruguay were </w:t>
      </w:r>
      <w:r w:rsidR="0045431C" w:rsidRPr="0045431C">
        <w:rPr>
          <w:sz w:val="28"/>
          <w:szCs w:val="28"/>
        </w:rPr>
        <w:lastRenderedPageBreak/>
        <w:t>the Charrúa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led by José Gervasio Artigas</w:t>
      </w:r>
      <w:r w:rsidR="0045431C">
        <w:rPr>
          <w:sz w:val="28"/>
          <w:szCs w:val="28"/>
        </w:rPr>
        <w:t>.</w:t>
      </w:r>
      <w:r w:rsidR="0045431C" w:rsidRPr="0045431C">
        <w:rPr>
          <w:sz w:val="28"/>
          <w:szCs w:val="28"/>
        </w:rPr>
        <w:t xml:space="preserve"> José Gervasio Artigas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14:paraId="0C772FC3" w14:textId="5A28320F" w:rsidR="0045431C" w:rsidRDefault="0045431C" w:rsidP="0045431C">
      <w:pPr>
        <w:jc w:val="both"/>
        <w:rPr>
          <w:sz w:val="28"/>
          <w:szCs w:val="28"/>
        </w:rPr>
      </w:pPr>
      <w:r w:rsidRPr="0045431C">
        <w:rPr>
          <w:sz w:val="28"/>
          <w:szCs w:val="28"/>
        </w:rPr>
        <w:t>Uruguay experienced a series of civil wars and political instability during the 19th century. The country was divided between the Blancos (Whites) and the Colorados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Uruguay transitioned back to democracy in 1985, with the election of President Julio María Sanguinetti.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Uruguay's history has shaped its unique identity and contributed to its 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14:paraId="75730FFD" w14:textId="77777777" w:rsidR="001F1201" w:rsidRDefault="001F1201" w:rsidP="0045431C">
      <w:pPr>
        <w:jc w:val="both"/>
        <w:rPr>
          <w:sz w:val="28"/>
          <w:szCs w:val="28"/>
        </w:rPr>
      </w:pPr>
    </w:p>
    <w:p w14:paraId="65097B0A" w14:textId="77777777" w:rsidR="001F1201" w:rsidRDefault="001F1201" w:rsidP="0045431C">
      <w:pPr>
        <w:jc w:val="both"/>
        <w:rPr>
          <w:sz w:val="28"/>
          <w:szCs w:val="28"/>
        </w:rPr>
      </w:pPr>
    </w:p>
    <w:p w14:paraId="2D5552E5" w14:textId="3E555285" w:rsidR="001F1201" w:rsidRPr="00810977" w:rsidRDefault="001F1201" w:rsidP="001F1201">
      <w:pPr>
        <w:jc w:val="both"/>
        <w:rPr>
          <w:sz w:val="28"/>
          <w:szCs w:val="28"/>
        </w:rPr>
      </w:pPr>
      <w:r w:rsidRPr="001F1201">
        <w:rPr>
          <w:sz w:val="28"/>
          <w:szCs w:val="28"/>
        </w:rPr>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 xml:space="preserve">physicist Ramón Méndez </w:t>
      </w:r>
      <w:proofErr w:type="spellStart"/>
      <w:r w:rsidRPr="001F1201">
        <w:rPr>
          <w:sz w:val="28"/>
          <w:szCs w:val="28"/>
        </w:rPr>
        <w:t>Galain</w:t>
      </w:r>
      <w:proofErr w:type="spellEnd"/>
      <w:r w:rsidRPr="001F1201">
        <w:rPr>
          <w:sz w:val="28"/>
          <w:szCs w:val="28"/>
        </w:rPr>
        <w:t>, implemented a revolutionary shift in its energy policy.</w:t>
      </w:r>
      <w:r>
        <w:rPr>
          <w:sz w:val="28"/>
          <w:szCs w:val="28"/>
        </w:rPr>
        <w:t xml:space="preserve"> He adopted coordinated strategies. </w:t>
      </w:r>
      <w:r w:rsidRPr="001F1201">
        <w:rPr>
          <w:sz w:val="28"/>
          <w:szCs w:val="28"/>
        </w:rPr>
        <w:t xml:space="preserve">Uruguay invested heavily in renewable energy sources, particularly wind, hydro, and biomass. Today, renewable energies constitute 98% of the country's electricity mix, </w:t>
      </w:r>
      <w:r w:rsidRPr="001F1201">
        <w:rPr>
          <w:sz w:val="28"/>
          <w:szCs w:val="28"/>
        </w:rPr>
        <w:lastRenderedPageBreak/>
        <w:t>with 50% hydropower, 30% wind, 15% biomass, and 3% solar.</w:t>
      </w:r>
      <w:r w:rsidR="001A2D9C">
        <w:rPr>
          <w:sz w:val="28"/>
          <w:szCs w:val="28"/>
        </w:rPr>
        <w:t xml:space="preserve"> Also p</w:t>
      </w:r>
      <w:r w:rsidRPr="001F1201">
        <w:rPr>
          <w:sz w:val="28"/>
          <w:szCs w:val="28"/>
        </w:rPr>
        <w:t>rivate companies played a crucial role in Uruguay's energy transition. For example, Ventus, a</w:t>
      </w:r>
      <w:r w:rsidR="001A2D9C">
        <w:rPr>
          <w:sz w:val="28"/>
          <w:szCs w:val="28"/>
        </w:rPr>
        <w:t>n</w:t>
      </w:r>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he Green Hydrogen Sectoral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14:paraId="1C45C049" w14:textId="6E2678C5"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r w:rsidRPr="00CB0641">
        <w:rPr>
          <w:b/>
          <w:sz w:val="28"/>
          <w:szCs w:val="28"/>
        </w:rPr>
        <w:t>Conclusion</w:t>
      </w:r>
      <w:r w:rsidRPr="00CB0641">
        <w:rPr>
          <w:rFonts w:ascii="Calibri" w:hAnsi="Calibri" w:cs="Calibri"/>
          <w:b/>
          <w:sz w:val="28"/>
          <w:szCs w:val="28"/>
        </w:rPr>
        <w:t> </w:t>
      </w:r>
    </w:p>
    <w:p w14:paraId="663162CC" w14:textId="689ED7AD"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regulatory measures, although they also highlight the difficulties in enforcement and accountability. By prioritizing sustainability, local community engagement, and international cooperation, governments and organizations can address these pervasive environmental challenges, laying the groundwork for a healthier, more equitable world.</w:t>
      </w:r>
    </w:p>
    <w:p w14:paraId="0FA8280B" w14:textId="30C4F997" w:rsidR="00CB0641" w:rsidRPr="00CB0641" w:rsidRDefault="00CB0641" w:rsidP="00CB0641">
      <w:pPr>
        <w:jc w:val="both"/>
        <w:rPr>
          <w:sz w:val="28"/>
          <w:szCs w:val="28"/>
        </w:rPr>
      </w:pPr>
      <w:r w:rsidRPr="00CB0641">
        <w:rPr>
          <w:sz w:val="28"/>
          <w:szCs w:val="28"/>
        </w:rPr>
        <w:t xml:space="preserve">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w:t>
      </w:r>
      <w:r w:rsidRPr="00CB0641">
        <w:rPr>
          <w:sz w:val="28"/>
          <w:szCs w:val="28"/>
        </w:rPr>
        <w:lastRenderedPageBreak/>
        <w:t>guiding framework that upholds the rights of both current and future generations to a safe, sustainable environment.</w:t>
      </w:r>
    </w:p>
    <w:p w14:paraId="784ABE18" w14:textId="72816B60"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Uruguay's experience highlights the importance of policy coherence, institutional capacity, and community engagement in driving a successful energy transition. By prioritizing the well-being of present and future generations, Uruguay has not only reduced its carbon footprint but also created a more sustainable and equitable society.</w:t>
      </w:r>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14:paraId="5B98D3EB" w14:textId="3BD38D71"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14:paraId="35319341" w14:textId="595BAE26"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Governments should develop stricter environmental regulations that address industrial pollution control, and emissions from fossil fuels. Regulatory bodies 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To reduce reliance on fossil fuels and promote intergenerational justice, governments should 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14:paraId="2FBE964D" w14:textId="4E71770F" w:rsidR="00CB0641" w:rsidRPr="00CB0641" w:rsidRDefault="00E97AF6" w:rsidP="001A1BB9">
      <w:pPr>
        <w:jc w:val="both"/>
        <w:rPr>
          <w:sz w:val="28"/>
          <w:szCs w:val="28"/>
        </w:rPr>
      </w:pPr>
      <w:r>
        <w:rPr>
          <w:sz w:val="28"/>
          <w:szCs w:val="28"/>
        </w:rPr>
        <w:lastRenderedPageBreak/>
        <w:t>Furthermore, r</w:t>
      </w:r>
      <w:r w:rsidR="00CB0641" w:rsidRPr="00CB0641">
        <w:rPr>
          <w:sz w:val="28"/>
          <w:szCs w:val="28"/>
        </w:rPr>
        <w:t xml:space="preserve">aising public awareness through environmental education </w:t>
      </w:r>
      <w:proofErr w:type="spellStart"/>
      <w:r w:rsidR="00CB0641" w:rsidRPr="00CB0641">
        <w:rPr>
          <w:sz w:val="28"/>
          <w:szCs w:val="28"/>
        </w:rPr>
        <w:t>program</w:t>
      </w:r>
      <w:r>
        <w:rPr>
          <w:sz w:val="28"/>
          <w:szCs w:val="28"/>
        </w:rPr>
        <w:t>me</w:t>
      </w:r>
      <w:r w:rsidR="00CB0641" w:rsidRPr="00CB0641">
        <w:rPr>
          <w:sz w:val="28"/>
          <w:szCs w:val="28"/>
        </w:rPr>
        <w:t>s</w:t>
      </w:r>
      <w:proofErr w:type="spellEnd"/>
      <w:r w:rsidR="00CB0641" w:rsidRPr="00CB0641">
        <w:rPr>
          <w:sz w:val="28"/>
          <w:szCs w:val="28"/>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nternational cooperation is crucial for addressing the transboundary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14:paraId="583570F3" w14:textId="77777777" w:rsidR="00CB0641" w:rsidRPr="00CB0641" w:rsidRDefault="00CB0641" w:rsidP="00CB0641">
      <w:pPr>
        <w:jc w:val="both"/>
        <w:rPr>
          <w:sz w:val="28"/>
          <w:szCs w:val="28"/>
        </w:rPr>
      </w:pPr>
    </w:p>
    <w:p w14:paraId="153B0906" w14:textId="77777777" w:rsidR="00CB0641" w:rsidRPr="00CB0641" w:rsidRDefault="00CB0641" w:rsidP="00CB0641">
      <w:pPr>
        <w:jc w:val="both"/>
        <w:rPr>
          <w:sz w:val="28"/>
          <w:szCs w:val="28"/>
        </w:rPr>
      </w:pPr>
    </w:p>
    <w:p w14:paraId="14D5F07E" w14:textId="77777777" w:rsidR="00CB0641" w:rsidRPr="00CB0641" w:rsidRDefault="00CB0641" w:rsidP="00CB0641">
      <w:pPr>
        <w:jc w:val="both"/>
        <w:rPr>
          <w:sz w:val="28"/>
          <w:szCs w:val="28"/>
        </w:rPr>
      </w:pPr>
    </w:p>
    <w:p w14:paraId="6E77C5EC" w14:textId="77777777" w:rsidR="00CB0641" w:rsidRPr="00CB0641" w:rsidRDefault="00CB0641" w:rsidP="00CB0641">
      <w:pPr>
        <w:jc w:val="both"/>
        <w:rPr>
          <w:sz w:val="28"/>
          <w:szCs w:val="28"/>
        </w:rPr>
      </w:pPr>
      <w:r w:rsidRPr="00CB0641">
        <w:rPr>
          <w:sz w:val="28"/>
          <w:szCs w:val="28"/>
        </w:rPr>
        <w:br w:type="page"/>
      </w:r>
    </w:p>
    <w:p w14:paraId="03F0D8C3" w14:textId="77777777" w:rsidR="00CB0641" w:rsidRPr="00CB0641" w:rsidRDefault="00CB0641" w:rsidP="00CB0641">
      <w:pPr>
        <w:jc w:val="both"/>
        <w:rPr>
          <w:b/>
          <w:sz w:val="28"/>
          <w:szCs w:val="28"/>
        </w:rPr>
      </w:pPr>
      <w:r w:rsidRPr="00CB0641">
        <w:rPr>
          <w:b/>
          <w:sz w:val="28"/>
          <w:szCs w:val="28"/>
        </w:rPr>
        <w:lastRenderedPageBreak/>
        <w:t>References</w:t>
      </w:r>
    </w:p>
    <w:p w14:paraId="420FC78C" w14:textId="77777777" w:rsidR="00CB0641" w:rsidRPr="00CB0641" w:rsidRDefault="00CB0641" w:rsidP="00CB0641">
      <w:pPr>
        <w:jc w:val="both"/>
        <w:rPr>
          <w:sz w:val="28"/>
          <w:szCs w:val="28"/>
        </w:rPr>
      </w:pPr>
      <w:r w:rsidRPr="00CB0641">
        <w:rPr>
          <w:sz w:val="28"/>
          <w:szCs w:val="28"/>
        </w:rPr>
        <w:t xml:space="preserve">Barry, John, and Robyn Eckersley. </w:t>
      </w:r>
      <w:r w:rsidRPr="00CB0641">
        <w:rPr>
          <w:i/>
          <w:iCs/>
          <w:sz w:val="28"/>
          <w:szCs w:val="28"/>
        </w:rPr>
        <w:t>The State and the Global Ecological Crisis</w:t>
      </w:r>
      <w:r w:rsidRPr="00CB0641">
        <w:rPr>
          <w:sz w:val="28"/>
          <w:szCs w:val="28"/>
        </w:rPr>
        <w:t>. MIT Press, 2005.</w:t>
      </w:r>
    </w:p>
    <w:p w14:paraId="72671428" w14:textId="77777777" w:rsidR="00CB0641" w:rsidRPr="00CB0641" w:rsidRDefault="00CB0641" w:rsidP="00CB0641">
      <w:pPr>
        <w:jc w:val="both"/>
        <w:rPr>
          <w:sz w:val="28"/>
          <w:szCs w:val="28"/>
        </w:rPr>
      </w:pPr>
      <w:r w:rsidRPr="00CB0641">
        <w:rPr>
          <w:sz w:val="28"/>
          <w:szCs w:val="28"/>
        </w:rPr>
        <w:t xml:space="preserve">Bosselmann, Klaus. </w:t>
      </w:r>
      <w:r w:rsidRPr="00CB0641">
        <w:rPr>
          <w:i/>
          <w:iCs/>
          <w:sz w:val="28"/>
          <w:szCs w:val="28"/>
        </w:rPr>
        <w:t>The Principle of Sustainability: Transforming Law and Governance</w:t>
      </w:r>
      <w:r w:rsidRPr="00CB0641">
        <w:rPr>
          <w:sz w:val="28"/>
          <w:szCs w:val="28"/>
        </w:rPr>
        <w:t>. Routledge, 2016.</w:t>
      </w:r>
    </w:p>
    <w:p w14:paraId="777D3B9D" w14:textId="77777777"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14:paraId="1A64E442" w14:textId="77777777" w:rsidR="00CB0641" w:rsidRPr="00CB0641" w:rsidRDefault="00CB0641" w:rsidP="00CB0641">
      <w:pPr>
        <w:jc w:val="both"/>
        <w:rPr>
          <w:sz w:val="28"/>
          <w:szCs w:val="28"/>
        </w:rPr>
      </w:pPr>
      <w:r w:rsidRPr="00CB0641">
        <w:rPr>
          <w:sz w:val="28"/>
          <w:szCs w:val="28"/>
        </w:rPr>
        <w:t xml:space="preserve">Brown Weiss, Edith. </w:t>
      </w:r>
      <w:r w:rsidRPr="00CB0641">
        <w:rPr>
          <w:i/>
          <w:iCs/>
          <w:sz w:val="28"/>
          <w:szCs w:val="28"/>
        </w:rPr>
        <w:t>In Fairness to Future Generations: International Law, Common Patrimony, and Intergenerational Equity</w:t>
      </w:r>
      <w:r w:rsidRPr="00CB0641">
        <w:rPr>
          <w:sz w:val="28"/>
          <w:szCs w:val="28"/>
        </w:rPr>
        <w:t>. United Nations University Press, 1989.</w:t>
      </w:r>
    </w:p>
    <w:p w14:paraId="2B9572F2" w14:textId="77777777"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Cornell University Press, 2001.</w:t>
      </w:r>
    </w:p>
    <w:p w14:paraId="1F6785E2" w14:textId="77777777" w:rsidR="00CB0641" w:rsidRPr="00CB0641" w:rsidRDefault="00CB0641" w:rsidP="00CB0641">
      <w:pPr>
        <w:jc w:val="both"/>
        <w:rPr>
          <w:sz w:val="28"/>
          <w:szCs w:val="28"/>
        </w:rPr>
      </w:pPr>
      <w:r w:rsidRPr="00CB0641">
        <w:rPr>
          <w:sz w:val="28"/>
          <w:szCs w:val="28"/>
        </w:rPr>
        <w:t xml:space="preserve">Delmas, Magali A., and Maria J. Montes-Sancho. "US State Policies for Renewable Energy: Context and Effectiveness." </w:t>
      </w:r>
      <w:r w:rsidRPr="00CB0641">
        <w:rPr>
          <w:i/>
          <w:iCs/>
          <w:sz w:val="28"/>
          <w:szCs w:val="28"/>
        </w:rPr>
        <w:t>Energy Policy</w:t>
      </w:r>
      <w:r w:rsidRPr="00CB0641">
        <w:rPr>
          <w:sz w:val="28"/>
          <w:szCs w:val="28"/>
        </w:rPr>
        <w:t>, vol. 38, no. 2, 2010, pp. 100–113.</w:t>
      </w:r>
    </w:p>
    <w:p w14:paraId="6187EC04" w14:textId="77777777"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Oxford University Press, 2011.</w:t>
      </w:r>
    </w:p>
    <w:p w14:paraId="36764925" w14:textId="77777777" w:rsidR="00CB0641" w:rsidRPr="00CB0641" w:rsidRDefault="00CB0641" w:rsidP="00CB0641">
      <w:pPr>
        <w:jc w:val="both"/>
        <w:rPr>
          <w:sz w:val="28"/>
          <w:szCs w:val="28"/>
        </w:rPr>
      </w:pPr>
      <w:r w:rsidRPr="00CB0641">
        <w:rPr>
          <w:sz w:val="28"/>
          <w:szCs w:val="28"/>
        </w:rPr>
        <w:t xml:space="preserve">Intergovernmental Panel on Climate Change (IPCC). </w:t>
      </w:r>
      <w:r w:rsidRPr="00CB0641">
        <w:rPr>
          <w:i/>
          <w:iCs/>
          <w:sz w:val="28"/>
          <w:szCs w:val="28"/>
        </w:rPr>
        <w:t>Climate Change 2022: Impacts, Adaptation, and Vulnerability</w:t>
      </w:r>
      <w:r w:rsidRPr="00CB0641">
        <w:rPr>
          <w:sz w:val="28"/>
          <w:szCs w:val="28"/>
        </w:rPr>
        <w:t>. Cambridge University Press, 2022.</w:t>
      </w:r>
    </w:p>
    <w:p w14:paraId="72E0D54C" w14:textId="77777777"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University of Chicago Press, 1984.</w:t>
      </w:r>
    </w:p>
    <w:p w14:paraId="3663C20A" w14:textId="77777777" w:rsidR="00CB0641" w:rsidRPr="00CB0641" w:rsidRDefault="00CB0641" w:rsidP="00CB0641">
      <w:pPr>
        <w:jc w:val="both"/>
        <w:rPr>
          <w:sz w:val="28"/>
          <w:szCs w:val="28"/>
        </w:rPr>
      </w:pPr>
      <w:r w:rsidRPr="00CB0641">
        <w:rPr>
          <w:sz w:val="28"/>
          <w:szCs w:val="28"/>
        </w:rPr>
        <w:t xml:space="preserve">Nnorom, Chinwe. </w:t>
      </w:r>
      <w:r w:rsidRPr="00CB0641">
        <w:rPr>
          <w:i/>
          <w:iCs/>
          <w:sz w:val="28"/>
          <w:szCs w:val="28"/>
        </w:rPr>
        <w:t>Community Action for Environmental Justice: A Guide to Grassroots Engagement in Waste Management</w:t>
      </w:r>
      <w:r w:rsidRPr="00CB0641">
        <w:rPr>
          <w:sz w:val="28"/>
          <w:szCs w:val="28"/>
        </w:rPr>
        <w:t>. Green Future Press, 2015.</w:t>
      </w:r>
    </w:p>
    <w:p w14:paraId="2C17D62C" w14:textId="77777777"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University of Chicago Press, 2005.</w:t>
      </w:r>
    </w:p>
    <w:p w14:paraId="3F512C43" w14:textId="77777777" w:rsidR="00CB0641" w:rsidRPr="00CB0641" w:rsidRDefault="00CB0641" w:rsidP="00CB0641">
      <w:pPr>
        <w:jc w:val="both"/>
        <w:rPr>
          <w:sz w:val="28"/>
          <w:szCs w:val="28"/>
        </w:rPr>
      </w:pPr>
      <w:r w:rsidRPr="00CB0641">
        <w:rPr>
          <w:sz w:val="28"/>
          <w:szCs w:val="28"/>
        </w:rPr>
        <w:t xml:space="preserve">Peel, Jacqueline, and Hari M. Osofsky. </w:t>
      </w:r>
      <w:r w:rsidRPr="00CB0641">
        <w:rPr>
          <w:i/>
          <w:iCs/>
          <w:sz w:val="28"/>
          <w:szCs w:val="28"/>
        </w:rPr>
        <w:t>Climate Change Litigation: Regulatory Pathways to Cleaner Energy</w:t>
      </w:r>
      <w:r w:rsidRPr="00CB0641">
        <w:rPr>
          <w:sz w:val="28"/>
          <w:szCs w:val="28"/>
        </w:rPr>
        <w:t>. Cambridge University Press, 2015.</w:t>
      </w:r>
    </w:p>
    <w:p w14:paraId="281BECC5" w14:textId="77777777" w:rsidR="00CB0641" w:rsidRPr="00CB0641" w:rsidRDefault="00CB0641" w:rsidP="00CB0641">
      <w:pPr>
        <w:jc w:val="both"/>
        <w:rPr>
          <w:sz w:val="28"/>
          <w:szCs w:val="28"/>
        </w:rPr>
      </w:pPr>
      <w:r w:rsidRPr="00CB0641">
        <w:rPr>
          <w:sz w:val="28"/>
          <w:szCs w:val="28"/>
        </w:rPr>
        <w:t xml:space="preserve">Rajamani, Lavanya. "The 2015 Paris Agreement: Interplay Between Hard, Soft and Non-Obligations." </w:t>
      </w:r>
      <w:r w:rsidRPr="00CB0641">
        <w:rPr>
          <w:i/>
          <w:iCs/>
          <w:sz w:val="28"/>
          <w:szCs w:val="28"/>
        </w:rPr>
        <w:t>Journal of Environmental Law</w:t>
      </w:r>
      <w:r w:rsidRPr="00CB0641">
        <w:rPr>
          <w:sz w:val="28"/>
          <w:szCs w:val="28"/>
        </w:rPr>
        <w:t>, vol. 28, no. 2, 2016, pp. 293-305.</w:t>
      </w:r>
    </w:p>
    <w:p w14:paraId="525700A8" w14:textId="77777777" w:rsidR="00CB0641" w:rsidRPr="00CB0641" w:rsidRDefault="00CB0641" w:rsidP="00CB0641">
      <w:pPr>
        <w:jc w:val="both"/>
        <w:rPr>
          <w:sz w:val="28"/>
          <w:szCs w:val="28"/>
        </w:rPr>
      </w:pPr>
      <w:r w:rsidRPr="00CB0641">
        <w:rPr>
          <w:sz w:val="28"/>
          <w:szCs w:val="28"/>
        </w:rPr>
        <w:t xml:space="preserve">Rawls, John. </w:t>
      </w:r>
      <w:r w:rsidRPr="00CB0641">
        <w:rPr>
          <w:i/>
          <w:iCs/>
          <w:sz w:val="28"/>
          <w:szCs w:val="28"/>
        </w:rPr>
        <w:t>A Theory of Justice</w:t>
      </w:r>
      <w:r w:rsidRPr="00CB0641">
        <w:rPr>
          <w:sz w:val="28"/>
          <w:szCs w:val="28"/>
        </w:rPr>
        <w:t>. Harvard University Press, 1971.</w:t>
      </w:r>
    </w:p>
    <w:p w14:paraId="6EC1049F" w14:textId="77777777" w:rsidR="00CB0641" w:rsidRPr="00CB0641" w:rsidRDefault="00CB0641" w:rsidP="00CB0641">
      <w:pPr>
        <w:jc w:val="both"/>
        <w:rPr>
          <w:sz w:val="28"/>
          <w:szCs w:val="28"/>
        </w:rPr>
      </w:pPr>
      <w:r w:rsidRPr="00CB0641">
        <w:rPr>
          <w:sz w:val="28"/>
          <w:szCs w:val="28"/>
        </w:rPr>
        <w:lastRenderedPageBreak/>
        <w:t xml:space="preserve">Stern, Nicholas. </w:t>
      </w:r>
      <w:r w:rsidRPr="00CB0641">
        <w:rPr>
          <w:i/>
          <w:iCs/>
          <w:sz w:val="28"/>
          <w:szCs w:val="28"/>
        </w:rPr>
        <w:t>The Economics of Climate Change: The Stern Review</w:t>
      </w:r>
      <w:r w:rsidRPr="00CB0641">
        <w:rPr>
          <w:sz w:val="28"/>
          <w:szCs w:val="28"/>
        </w:rPr>
        <w:t>. Cambridge University Press, 2007.</w:t>
      </w:r>
    </w:p>
    <w:p w14:paraId="7DDB2E8F" w14:textId="77777777"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Should Trees Have Standing? Toward Legal Rights for Natural Objects</w:t>
      </w:r>
      <w:r w:rsidRPr="00CB0641">
        <w:rPr>
          <w:sz w:val="28"/>
          <w:szCs w:val="28"/>
        </w:rPr>
        <w:t>. Oxford University Press, 2010.</w:t>
      </w:r>
    </w:p>
    <w:p w14:paraId="5C962C3E" w14:textId="77777777" w:rsidR="00CB0641" w:rsidRPr="00CB0641" w:rsidRDefault="00CB0641" w:rsidP="00CB0641">
      <w:pPr>
        <w:jc w:val="both"/>
        <w:rPr>
          <w:sz w:val="28"/>
          <w:szCs w:val="28"/>
        </w:rPr>
      </w:pPr>
      <w:proofErr w:type="spellStart"/>
      <w:r w:rsidRPr="00CB0641">
        <w:rPr>
          <w:sz w:val="28"/>
          <w:szCs w:val="28"/>
        </w:rPr>
        <w:t>Suberu</w:t>
      </w:r>
      <w:proofErr w:type="spellEnd"/>
      <w:r w:rsidRPr="00CB0641">
        <w:rPr>
          <w:sz w:val="28"/>
          <w:szCs w:val="28"/>
        </w:rPr>
        <w:t xml:space="preserve">, Rotimi T. </w:t>
      </w:r>
      <w:r w:rsidRPr="00CB0641">
        <w:rPr>
          <w:i/>
          <w:iCs/>
          <w:sz w:val="28"/>
          <w:szCs w:val="28"/>
        </w:rPr>
        <w:t>Environmental Policies and the Politics of Development in Nigeria</w:t>
      </w:r>
      <w:r w:rsidRPr="00CB0641">
        <w:rPr>
          <w:sz w:val="28"/>
          <w:szCs w:val="28"/>
        </w:rPr>
        <w:t>. Ibadan University Press, 2010.</w:t>
      </w:r>
    </w:p>
    <w:p w14:paraId="082C2FF4" w14:textId="77777777" w:rsidR="00CB0641" w:rsidRPr="00CB0641" w:rsidRDefault="00CB0641" w:rsidP="00CB0641">
      <w:pPr>
        <w:jc w:val="both"/>
        <w:rPr>
          <w:sz w:val="28"/>
          <w:szCs w:val="28"/>
        </w:rPr>
      </w:pPr>
      <w:r w:rsidRPr="00CB0641">
        <w:rPr>
          <w:sz w:val="28"/>
          <w:szCs w:val="28"/>
        </w:rPr>
        <w:t xml:space="preserve">United Nations Environment </w:t>
      </w:r>
      <w:proofErr w:type="spellStart"/>
      <w:r w:rsidRPr="00CB0641">
        <w:rPr>
          <w:sz w:val="28"/>
          <w:szCs w:val="28"/>
        </w:rPr>
        <w:t>Programme</w:t>
      </w:r>
      <w:proofErr w:type="spellEnd"/>
      <w:r w:rsidRPr="00CB0641">
        <w:rPr>
          <w:sz w:val="28"/>
          <w:szCs w:val="28"/>
        </w:rPr>
        <w:t xml:space="preserve"> (UNEP). </w:t>
      </w:r>
      <w:r w:rsidRPr="00CB0641">
        <w:rPr>
          <w:i/>
          <w:iCs/>
          <w:sz w:val="28"/>
          <w:szCs w:val="28"/>
        </w:rPr>
        <w:t>Environmental Assessment of Ogoniland Report</w:t>
      </w:r>
      <w:r w:rsidRPr="00CB0641">
        <w:rPr>
          <w:sz w:val="28"/>
          <w:szCs w:val="28"/>
        </w:rPr>
        <w:t>. UNEP, 2011.</w:t>
      </w:r>
    </w:p>
    <w:p w14:paraId="2238468F" w14:textId="77777777"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Cambridge University Press, 2014.</w:t>
      </w:r>
    </w:p>
    <w:p w14:paraId="1E7FA44C" w14:textId="77777777" w:rsidR="00DD4307" w:rsidRPr="00CB0641" w:rsidRDefault="00DD4307" w:rsidP="00CB0641">
      <w:pPr>
        <w:jc w:val="both"/>
        <w:rPr>
          <w:sz w:val="28"/>
          <w:szCs w:val="28"/>
        </w:rPr>
      </w:pPr>
    </w:p>
    <w:sectPr w:rsidR="00DD4307" w:rsidRPr="00CB06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A167B" w14:textId="77777777" w:rsidR="00FE3760" w:rsidRDefault="00FE3760" w:rsidP="00CB0641">
      <w:pPr>
        <w:spacing w:after="0" w:line="240" w:lineRule="auto"/>
      </w:pPr>
      <w:r>
        <w:separator/>
      </w:r>
    </w:p>
  </w:endnote>
  <w:endnote w:type="continuationSeparator" w:id="0">
    <w:p w14:paraId="5A2B1206" w14:textId="77777777" w:rsidR="00FE3760" w:rsidRDefault="00FE3760" w:rsidP="00C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055F9" w14:textId="77777777" w:rsidR="00FE3760" w:rsidRDefault="00FE3760" w:rsidP="00CB0641">
      <w:pPr>
        <w:spacing w:after="0" w:line="240" w:lineRule="auto"/>
      </w:pPr>
      <w:r>
        <w:separator/>
      </w:r>
    </w:p>
  </w:footnote>
  <w:footnote w:type="continuationSeparator" w:id="0">
    <w:p w14:paraId="69CD8729" w14:textId="77777777" w:rsidR="00FE3760" w:rsidRDefault="00FE3760" w:rsidP="00CB0641">
      <w:pPr>
        <w:spacing w:after="0" w:line="240" w:lineRule="auto"/>
      </w:pPr>
      <w:r>
        <w:continuationSeparator/>
      </w:r>
    </w:p>
  </w:footnote>
  <w:footnote w:id="1">
    <w:p w14:paraId="63F7A826" w14:textId="77777777" w:rsidR="00CB0641" w:rsidRDefault="00CB0641" w:rsidP="00CB0641">
      <w:pPr>
        <w:pStyle w:val="FootnoteText"/>
      </w:pPr>
      <w:r>
        <w:rPr>
          <w:rStyle w:val="FootnoteReference"/>
        </w:rPr>
        <w:footnoteRef/>
      </w:r>
      <w:r>
        <w:t xml:space="preserve"> (Gardiner 54)</w:t>
      </w:r>
    </w:p>
  </w:footnote>
  <w:footnote w:id="2">
    <w:p w14:paraId="2EFAAF98" w14:textId="77777777" w:rsidR="00CB0641" w:rsidRDefault="00CB0641" w:rsidP="00CB0641">
      <w:pPr>
        <w:pStyle w:val="FootnoteText"/>
      </w:pPr>
      <w:r>
        <w:rPr>
          <w:rStyle w:val="FootnoteReference"/>
        </w:rPr>
        <w:footnoteRef/>
      </w:r>
      <w:r>
        <w:t xml:space="preserve"> (Broome 39)</w:t>
      </w:r>
    </w:p>
  </w:footnote>
  <w:footnote w:id="3">
    <w:p w14:paraId="622F225F" w14:textId="77777777" w:rsidR="00CB0641" w:rsidRDefault="00CB0641" w:rsidP="00CB0641">
      <w:pPr>
        <w:pStyle w:val="FootnoteText"/>
      </w:pPr>
      <w:r>
        <w:rPr>
          <w:rStyle w:val="FootnoteReference"/>
        </w:rPr>
        <w:footnoteRef/>
      </w:r>
      <w:r>
        <w:t xml:space="preserve">  (Stone 102)</w:t>
      </w:r>
    </w:p>
  </w:footnote>
  <w:footnote w:id="4">
    <w:p w14:paraId="454693A4" w14:textId="77777777" w:rsidR="00CB0641" w:rsidRDefault="00CB0641" w:rsidP="00CB0641">
      <w:pPr>
        <w:pStyle w:val="FootnoteText"/>
      </w:pPr>
      <w:r>
        <w:rPr>
          <w:rStyle w:val="FootnoteReference"/>
        </w:rPr>
        <w:footnoteRef/>
      </w:r>
      <w:r>
        <w:t xml:space="preserve"> (Barry and Eckersley 15)</w:t>
      </w:r>
    </w:p>
  </w:footnote>
  <w:footnote w:id="5">
    <w:p w14:paraId="3F9AE174" w14:textId="77777777" w:rsidR="00CB0641" w:rsidRDefault="00CB0641" w:rsidP="00CB0641">
      <w:pPr>
        <w:pStyle w:val="FootnoteText"/>
      </w:pPr>
      <w:r>
        <w:rPr>
          <w:rStyle w:val="FootnoteReference"/>
        </w:rPr>
        <w:footnoteRef/>
      </w:r>
      <w:r>
        <w:t xml:space="preserve">  (Bosselmann 201)</w:t>
      </w:r>
    </w:p>
  </w:footnote>
  <w:footnote w:id="6">
    <w:p w14:paraId="33C8080B" w14:textId="77777777" w:rsidR="00CB0641" w:rsidRDefault="00CB0641" w:rsidP="00CB0641">
      <w:pPr>
        <w:pStyle w:val="FootnoteText"/>
      </w:pPr>
      <w:r>
        <w:rPr>
          <w:rStyle w:val="FootnoteReference"/>
        </w:rPr>
        <w:footnoteRef/>
      </w:r>
      <w:r>
        <w:t xml:space="preserve">  (Bosselmann 204)</w:t>
      </w:r>
    </w:p>
  </w:footnote>
  <w:footnote w:id="7">
    <w:p w14:paraId="1BE94CDD" w14:textId="77777777" w:rsidR="00CB0641" w:rsidRDefault="00CB0641" w:rsidP="00CB0641">
      <w:pPr>
        <w:pStyle w:val="FootnoteText"/>
      </w:pPr>
      <w:r>
        <w:rPr>
          <w:rStyle w:val="FootnoteReference"/>
        </w:rPr>
        <w:footnoteRef/>
      </w:r>
      <w:r>
        <w:t xml:space="preserve"> (Wood 121)</w:t>
      </w:r>
    </w:p>
  </w:footnote>
  <w:footnote w:id="8">
    <w:p w14:paraId="60367CF8" w14:textId="77777777" w:rsidR="00CB0641" w:rsidRDefault="00CB0641" w:rsidP="00CB0641">
      <w:pPr>
        <w:pStyle w:val="FootnoteText"/>
      </w:pPr>
      <w:r>
        <w:rPr>
          <w:rStyle w:val="FootnoteReference"/>
        </w:rPr>
        <w:footnoteRef/>
      </w:r>
      <w:r>
        <w:t xml:space="preserve"> (Wood 126)</w:t>
      </w:r>
    </w:p>
  </w:footnote>
  <w:footnote w:id="9">
    <w:p w14:paraId="25652943" w14:textId="77777777" w:rsidR="00CB0641" w:rsidRDefault="00CB0641" w:rsidP="00CB0641">
      <w:pPr>
        <w:pStyle w:val="FootnoteText"/>
      </w:pPr>
      <w:r>
        <w:rPr>
          <w:rStyle w:val="FootnoteReference"/>
        </w:rPr>
        <w:footnoteRef/>
      </w:r>
      <w:r>
        <w:t xml:space="preserve">  (Rajamani 293)</w:t>
      </w:r>
    </w:p>
  </w:footnote>
  <w:footnote w:id="10">
    <w:p w14:paraId="34ECA9C9" w14:textId="77777777" w:rsidR="00CB0641" w:rsidRDefault="00CB0641" w:rsidP="00CB0641">
      <w:pPr>
        <w:pStyle w:val="FootnoteText"/>
      </w:pPr>
      <w:r>
        <w:rPr>
          <w:rStyle w:val="FootnoteReference"/>
        </w:rPr>
        <w:footnoteRef/>
      </w:r>
      <w:r>
        <w:t xml:space="preserve"> Paris Agreement 2015 on climate change, Articles 2,3, and 4.</w:t>
      </w:r>
    </w:p>
  </w:footnote>
  <w:footnote w:id="11">
    <w:p w14:paraId="763A5191" w14:textId="77777777" w:rsidR="00CB0641" w:rsidRDefault="00CB0641" w:rsidP="00CB0641">
      <w:pPr>
        <w:pStyle w:val="FootnoteText"/>
      </w:pPr>
      <w:r>
        <w:rPr>
          <w:rStyle w:val="FootnoteReference"/>
        </w:rPr>
        <w:footnoteRef/>
      </w:r>
      <w:r>
        <w:t xml:space="preserve">  (Rajamani 295)</w:t>
      </w:r>
    </w:p>
  </w:footnote>
  <w:footnote w:id="12">
    <w:p w14:paraId="365827CE" w14:textId="77777777" w:rsidR="00CB0641" w:rsidRDefault="00CB0641" w:rsidP="00CB0641">
      <w:pPr>
        <w:pStyle w:val="FootnoteText"/>
      </w:pPr>
      <w:r>
        <w:rPr>
          <w:rStyle w:val="FootnoteReference"/>
        </w:rPr>
        <w:footnoteRef/>
      </w:r>
      <w:r>
        <w:t xml:space="preserve"> S. 2 of the EIA Act.</w:t>
      </w:r>
    </w:p>
  </w:footnote>
  <w:footnote w:id="13">
    <w:p w14:paraId="599F3BA4" w14:textId="0400CBA2" w:rsidR="00234999" w:rsidRDefault="00234999">
      <w:pPr>
        <w:pStyle w:val="FootnoteText"/>
      </w:pPr>
      <w:r>
        <w:rPr>
          <w:rStyle w:val="FootnoteReference"/>
        </w:rPr>
        <w:footnoteRef/>
      </w:r>
      <w:r>
        <w:t xml:space="preserve"> S. 1, Upstream Petroleum Environmental Regulations 2022.</w:t>
      </w:r>
    </w:p>
  </w:footnote>
  <w:footnote w:id="14">
    <w:p w14:paraId="1F6416C9" w14:textId="36BCAF03"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14:paraId="6EFBD4B0" w14:textId="77777777" w:rsidR="00CB0641" w:rsidRDefault="00CB0641" w:rsidP="00CB0641">
      <w:pPr>
        <w:pStyle w:val="FootnoteText"/>
      </w:pPr>
      <w:r>
        <w:rPr>
          <w:rStyle w:val="FootnoteReference"/>
        </w:rPr>
        <w:footnoteRef/>
      </w:r>
      <w:r>
        <w:t xml:space="preserve">  (Rawls 285)</w:t>
      </w:r>
    </w:p>
  </w:footnote>
  <w:footnote w:id="16">
    <w:p w14:paraId="4E1B4F62" w14:textId="77777777" w:rsidR="00CB0641" w:rsidRDefault="00CB0641" w:rsidP="00CB0641">
      <w:pPr>
        <w:pStyle w:val="FootnoteText"/>
      </w:pPr>
      <w:r>
        <w:rPr>
          <w:rStyle w:val="FootnoteReference"/>
        </w:rPr>
        <w:footnoteRef/>
      </w:r>
      <w:r>
        <w:t xml:space="preserve">  (Gardiner 41)</w:t>
      </w:r>
    </w:p>
  </w:footnote>
  <w:footnote w:id="17">
    <w:p w14:paraId="08C14EBA" w14:textId="77777777" w:rsidR="00CB0641" w:rsidRDefault="00CB0641" w:rsidP="00CB0641">
      <w:pPr>
        <w:pStyle w:val="FootnoteText"/>
      </w:pPr>
      <w:r>
        <w:rPr>
          <w:rStyle w:val="FootnoteReference"/>
        </w:rPr>
        <w:footnoteRef/>
      </w:r>
      <w:r>
        <w:t xml:space="preserve">  (Bosselmann 78)</w:t>
      </w:r>
    </w:p>
  </w:footnote>
  <w:footnote w:id="18">
    <w:p w14:paraId="7AF5ED2A" w14:textId="77777777" w:rsidR="00CB0641" w:rsidRDefault="00CB0641" w:rsidP="00CB0641">
      <w:pPr>
        <w:pStyle w:val="FootnoteText"/>
      </w:pPr>
      <w:r>
        <w:rPr>
          <w:rStyle w:val="FootnoteReference"/>
        </w:rPr>
        <w:footnoteRef/>
      </w:r>
      <w:r>
        <w:t xml:space="preserve">  (Jonas 37)</w:t>
      </w:r>
    </w:p>
  </w:footnote>
  <w:footnote w:id="19">
    <w:p w14:paraId="47985BEB" w14:textId="77777777" w:rsidR="00CB0641" w:rsidRDefault="00CB0641" w:rsidP="00CB0641">
      <w:pPr>
        <w:pStyle w:val="FootnoteText"/>
      </w:pPr>
      <w:r>
        <w:rPr>
          <w:rStyle w:val="FootnoteReference"/>
        </w:rPr>
        <w:footnoteRef/>
      </w:r>
      <w:r>
        <w:t xml:space="preserve">  (IPCC 87)</w:t>
      </w:r>
    </w:p>
  </w:footnote>
  <w:footnote w:id="20">
    <w:p w14:paraId="3B0B235C" w14:textId="77777777" w:rsidR="00CB0641" w:rsidRDefault="00CB0641" w:rsidP="00CB0641">
      <w:pPr>
        <w:pStyle w:val="FootnoteText"/>
      </w:pPr>
      <w:r>
        <w:rPr>
          <w:rStyle w:val="FootnoteReference"/>
        </w:rPr>
        <w:footnoteRef/>
      </w:r>
      <w:r>
        <w:t xml:space="preserve">  (Norton 158)</w:t>
      </w:r>
    </w:p>
  </w:footnote>
  <w:footnote w:id="21">
    <w:p w14:paraId="355843DC" w14:textId="77777777" w:rsidR="00CB0641" w:rsidRDefault="00CB0641" w:rsidP="00CB0641">
      <w:pPr>
        <w:pStyle w:val="FootnoteText"/>
      </w:pPr>
      <w:r>
        <w:rPr>
          <w:rStyle w:val="FootnoteReference"/>
        </w:rPr>
        <w:footnoteRef/>
      </w:r>
      <w:r>
        <w:t xml:space="preserve"> No. 6:15-cv-01517-TC (D. Or. 20150</w:t>
      </w:r>
    </w:p>
  </w:footnote>
  <w:footnote w:id="22">
    <w:p w14:paraId="163014AF" w14:textId="77777777" w:rsidR="00CB0641" w:rsidRDefault="00CB0641" w:rsidP="00CB0641">
      <w:pPr>
        <w:pStyle w:val="FootnoteText"/>
      </w:pPr>
      <w:r>
        <w:rPr>
          <w:rStyle w:val="FootnoteReference"/>
        </w:rPr>
        <w:footnoteRef/>
      </w:r>
      <w:r>
        <w:t xml:space="preserve">  (Stern 211)</w:t>
      </w:r>
    </w:p>
  </w:footnote>
  <w:footnote w:id="23">
    <w:p w14:paraId="4D96352C" w14:textId="77777777" w:rsidR="00CB0641" w:rsidRDefault="00CB0641" w:rsidP="00CB0641">
      <w:pPr>
        <w:pStyle w:val="FootnoteText"/>
      </w:pPr>
      <w:r>
        <w:rPr>
          <w:rStyle w:val="FootnoteReference"/>
        </w:rPr>
        <w:footnoteRef/>
      </w:r>
      <w:r>
        <w:t xml:space="preserve">  (Weiss 104)</w:t>
      </w:r>
    </w:p>
  </w:footnote>
  <w:footnote w:id="24">
    <w:p w14:paraId="1682AA49" w14:textId="77777777" w:rsidR="00CB0641" w:rsidRDefault="00CB0641" w:rsidP="00CB0641">
      <w:pPr>
        <w:pStyle w:val="FootnoteText"/>
      </w:pPr>
      <w:r>
        <w:rPr>
          <w:rStyle w:val="FootnoteReference"/>
        </w:rPr>
        <w:footnoteRef/>
      </w:r>
      <w:r>
        <w:t xml:space="preserve">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641"/>
    <w:rsid w:val="00036F32"/>
    <w:rsid w:val="000E0C24"/>
    <w:rsid w:val="00102A48"/>
    <w:rsid w:val="00104684"/>
    <w:rsid w:val="001246CE"/>
    <w:rsid w:val="00134037"/>
    <w:rsid w:val="00171C8F"/>
    <w:rsid w:val="001A1BB9"/>
    <w:rsid w:val="001A2D9C"/>
    <w:rsid w:val="001B2B9B"/>
    <w:rsid w:val="001F1201"/>
    <w:rsid w:val="001F1243"/>
    <w:rsid w:val="00217D9C"/>
    <w:rsid w:val="00234999"/>
    <w:rsid w:val="00275255"/>
    <w:rsid w:val="002F4064"/>
    <w:rsid w:val="003267DD"/>
    <w:rsid w:val="003544C2"/>
    <w:rsid w:val="00367460"/>
    <w:rsid w:val="00383C19"/>
    <w:rsid w:val="003C4347"/>
    <w:rsid w:val="003F155E"/>
    <w:rsid w:val="0045431C"/>
    <w:rsid w:val="00481BFB"/>
    <w:rsid w:val="004D1775"/>
    <w:rsid w:val="004D29EE"/>
    <w:rsid w:val="004F3E02"/>
    <w:rsid w:val="00507D56"/>
    <w:rsid w:val="00527BE0"/>
    <w:rsid w:val="005F23D6"/>
    <w:rsid w:val="00643E7A"/>
    <w:rsid w:val="0064619F"/>
    <w:rsid w:val="00651031"/>
    <w:rsid w:val="00654DDE"/>
    <w:rsid w:val="00697605"/>
    <w:rsid w:val="006A7C95"/>
    <w:rsid w:val="007274CD"/>
    <w:rsid w:val="00776C1F"/>
    <w:rsid w:val="007855FF"/>
    <w:rsid w:val="007F279F"/>
    <w:rsid w:val="00810977"/>
    <w:rsid w:val="008138C2"/>
    <w:rsid w:val="008D6EF3"/>
    <w:rsid w:val="00927E6A"/>
    <w:rsid w:val="009534FB"/>
    <w:rsid w:val="0098447D"/>
    <w:rsid w:val="00986B68"/>
    <w:rsid w:val="00997E6B"/>
    <w:rsid w:val="009D1E40"/>
    <w:rsid w:val="009E7EB8"/>
    <w:rsid w:val="00A60BAB"/>
    <w:rsid w:val="00AB2808"/>
    <w:rsid w:val="00AE6E9C"/>
    <w:rsid w:val="00B067DF"/>
    <w:rsid w:val="00B5085A"/>
    <w:rsid w:val="00B5305D"/>
    <w:rsid w:val="00B90C44"/>
    <w:rsid w:val="00BB1F06"/>
    <w:rsid w:val="00BE1412"/>
    <w:rsid w:val="00BE7B6B"/>
    <w:rsid w:val="00C00A20"/>
    <w:rsid w:val="00C13FA9"/>
    <w:rsid w:val="00C44361"/>
    <w:rsid w:val="00CB0641"/>
    <w:rsid w:val="00CD2BF8"/>
    <w:rsid w:val="00D244CB"/>
    <w:rsid w:val="00D44089"/>
    <w:rsid w:val="00DD4307"/>
    <w:rsid w:val="00DE5852"/>
    <w:rsid w:val="00E368C8"/>
    <w:rsid w:val="00E7120F"/>
    <w:rsid w:val="00E96808"/>
    <w:rsid w:val="00E97AF6"/>
    <w:rsid w:val="00F309B3"/>
    <w:rsid w:val="00F3503E"/>
    <w:rsid w:val="00F83825"/>
    <w:rsid w:val="00F908E2"/>
    <w:rsid w:val="00FE37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E78C1"/>
  <w15:chartTrackingRefBased/>
  <w15:docId w15:val="{673706AF-C860-41D6-83F8-CC0ACCC0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styleId="UnresolvedMention">
    <w:name w:val="Unresolved Mention"/>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0F2DE-BBA0-4094-B8C6-2B866873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4906</Words>
  <Characters>29637</Characters>
  <Application>Microsoft Office Word</Application>
  <DocSecurity>0</DocSecurity>
  <Lines>478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alwee</cp:lastModifiedBy>
  <cp:revision>3</cp:revision>
  <dcterms:created xsi:type="dcterms:W3CDTF">2025-01-29T12:59:00Z</dcterms:created>
  <dcterms:modified xsi:type="dcterms:W3CDTF">2025-01-29T12:59:00Z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2be5328d8e628c1e527cbaf4ed3155087ac3eb288c7828e84acf5cda46102d05</vt:lpwstr>
  </property>
</Properties>
</file>