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7A1DEC" w:rsidRPr="007A1DEC" w:rsidRDefault="007A1DEC" w:rsidP="007A1DEC">
      <w:pPr>
        <w:rPr>
          <w:rFonts w:ascii="Calibri Light" w:hAnsi="Calibri Light" w:cs="Calibri Light"/>
          <w:b/>
          <w:bCs/>
          <w:sz w:val="28"/>
          <w:szCs w:val="28"/>
          <w:lang w:val="en-MY"/>
        </w:rPr>
      </w:pPr>
      <w:bookmarkStart w:id="0" w:name="_Hlk188994391"/>
      <w:r w:rsidRPr="007A1DEC">
        <w:rPr>
          <w:rFonts w:ascii="Calibri Light" w:hAnsi="Calibri Light" w:cs="Calibri Light"/>
          <w:b/>
          <w:bCs/>
          <w:sz w:val="28"/>
          <w:szCs w:val="28"/>
          <w:lang w:val="en-MY"/>
        </w:rPr>
        <w:t xml:space="preserve">Ethical Governance in Public Service: A Comparative Study of </w:t>
      </w:r>
      <w:r w:rsidRPr="005C26C8">
        <w:rPr>
          <w:rFonts w:ascii="Calibri Light" w:hAnsi="Calibri Light" w:cs="Calibri Light"/>
          <w:b/>
          <w:bCs/>
          <w:i/>
          <w:iCs/>
          <w:sz w:val="28"/>
          <w:szCs w:val="28"/>
          <w:lang w:val="en-MY"/>
        </w:rPr>
        <w:t>Hadaya al-‘Ummal</w:t>
      </w:r>
      <w:r w:rsidRPr="007A1DEC">
        <w:rPr>
          <w:rFonts w:ascii="Calibri Light" w:hAnsi="Calibri Light" w:cs="Calibri Light"/>
          <w:b/>
          <w:bCs/>
          <w:sz w:val="28"/>
          <w:szCs w:val="28"/>
          <w:lang w:val="en-MY"/>
        </w:rPr>
        <w:t xml:space="preserve"> in Islamic Law and Gratification in Indonesian Law</w:t>
      </w:r>
    </w:p>
    <w:bookmarkEnd w:id="0"/>
    <w:p w:rsidR="00DE1E48" w:rsidRPr="00122F5F" w:rsidRDefault="00DE1E48" w:rsidP="001D7DEE">
      <w:pPr>
        <w:jc w:val="center"/>
        <w:rPr>
          <w:rFonts w:ascii="Calibri Light" w:hAnsi="Calibri Light" w:cs="Calibri Light"/>
          <w:sz w:val="24"/>
          <w:szCs w:val="24"/>
        </w:rPr>
      </w:pPr>
    </w:p>
    <w:p w:rsidR="00B368ED" w:rsidRDefault="00B368ED" w:rsidP="00B368ED">
      <w:pPr>
        <w:rPr>
          <w:rFonts w:ascii="Calibri Light" w:hAnsi="Calibri Light" w:cs="Calibri Light"/>
          <w:sz w:val="24"/>
          <w:szCs w:val="24"/>
          <w:highlight w:val="yellow"/>
        </w:rPr>
      </w:pPr>
      <w:r>
        <w:rPr>
          <w:rFonts w:ascii="Calibri Light" w:hAnsi="Calibri Light" w:cs="Calibri Light"/>
          <w:b/>
          <w:bCs/>
          <w:sz w:val="24"/>
          <w:szCs w:val="24"/>
          <w:highlight w:val="yellow"/>
        </w:rPr>
        <w:t>H. Rajab</w:t>
      </w:r>
      <w:r>
        <w:rPr>
          <w:rFonts w:ascii="Calibri Light" w:hAnsi="Calibri Light" w:cs="Calibri Light"/>
          <w:b/>
          <w:bCs/>
          <w:sz w:val="24"/>
          <w:szCs w:val="24"/>
          <w:highlight w:val="yellow"/>
          <w:lang w:val="id-ID"/>
        </w:rPr>
        <w:t>*</w:t>
      </w:r>
      <w:r>
        <w:rPr>
          <w:rFonts w:ascii="Calibri Light" w:hAnsi="Calibri Light" w:cs="Calibri Light"/>
          <w:b/>
          <w:bCs/>
          <w:sz w:val="24"/>
          <w:szCs w:val="24"/>
          <w:highlight w:val="yellow"/>
          <w:vertAlign w:val="superscript"/>
        </w:rPr>
        <w:t>1</w:t>
      </w:r>
      <w:r>
        <w:rPr>
          <w:rFonts w:ascii="Calibri Light" w:hAnsi="Calibri Light" w:cs="Calibri Light"/>
          <w:b/>
          <w:bCs/>
          <w:sz w:val="24"/>
          <w:szCs w:val="24"/>
          <w:highlight w:val="yellow"/>
        </w:rPr>
        <w:t>, Rokiah Paee</w:t>
      </w:r>
      <w:r>
        <w:rPr>
          <w:rFonts w:ascii="Calibri Light" w:hAnsi="Calibri Light" w:cs="Calibri Light"/>
          <w:b/>
          <w:bCs/>
          <w:sz w:val="24"/>
          <w:szCs w:val="24"/>
          <w:highlight w:val="yellow"/>
          <w:vertAlign w:val="superscript"/>
        </w:rPr>
        <w:t>2</w:t>
      </w:r>
      <w:r>
        <w:rPr>
          <w:rFonts w:ascii="Calibri Light" w:hAnsi="Calibri Light" w:cs="Calibri Light"/>
          <w:b/>
          <w:bCs/>
          <w:sz w:val="24"/>
          <w:szCs w:val="24"/>
          <w:highlight w:val="yellow"/>
        </w:rPr>
        <w:t>, Thalhah</w:t>
      </w:r>
      <w:r>
        <w:rPr>
          <w:rFonts w:ascii="Calibri Light" w:hAnsi="Calibri Light" w:cs="Calibri Light"/>
          <w:b/>
          <w:bCs/>
          <w:sz w:val="24"/>
          <w:szCs w:val="24"/>
          <w:highlight w:val="yellow"/>
          <w:vertAlign w:val="superscript"/>
        </w:rPr>
        <w:t>3</w:t>
      </w:r>
      <w:r>
        <w:rPr>
          <w:rFonts w:ascii="Calibri Light" w:hAnsi="Calibri Light" w:cs="Calibri Light"/>
          <w:b/>
          <w:bCs/>
          <w:sz w:val="24"/>
          <w:szCs w:val="24"/>
          <w:highlight w:val="yellow"/>
        </w:rPr>
        <w:t>, Rustina N</w:t>
      </w:r>
      <w:r>
        <w:rPr>
          <w:rFonts w:ascii="Calibri Light" w:hAnsi="Calibri Light" w:cs="Calibri Light"/>
          <w:b/>
          <w:bCs/>
          <w:sz w:val="24"/>
          <w:szCs w:val="24"/>
          <w:highlight w:val="yellow"/>
          <w:vertAlign w:val="superscript"/>
        </w:rPr>
        <w:t>4</w:t>
      </w:r>
    </w:p>
    <w:p w:rsidR="00B368ED" w:rsidRDefault="00B368ED" w:rsidP="00B368ED">
      <w:pPr>
        <w:rPr>
          <w:rFonts w:ascii="Calibri Light" w:hAnsi="Calibri Light" w:cs="Calibri Light"/>
          <w:sz w:val="24"/>
          <w:szCs w:val="24"/>
          <w:highlight w:val="yellow"/>
        </w:rPr>
      </w:pPr>
      <w:r>
        <w:rPr>
          <w:rFonts w:ascii="Calibri Light" w:hAnsi="Calibri Light" w:cs="Calibri Light"/>
          <w:sz w:val="24"/>
          <w:szCs w:val="24"/>
          <w:highlight w:val="yellow"/>
          <w:vertAlign w:val="superscript"/>
        </w:rPr>
        <w:t>1,3,4</w:t>
      </w:r>
      <w:r>
        <w:rPr>
          <w:rFonts w:ascii="Calibri Light" w:hAnsi="Calibri Light" w:cs="Calibri Light"/>
          <w:sz w:val="24"/>
          <w:szCs w:val="24"/>
          <w:highlight w:val="yellow"/>
        </w:rPr>
        <w:t>(Institut Agama Islam Negeri Ambon, Jl. Dr. Tarmizi Taher Ambon-Maluku, Indonesia)</w:t>
      </w:r>
    </w:p>
    <w:p w:rsidR="00B368ED" w:rsidRDefault="00B368ED" w:rsidP="00B368ED">
      <w:pPr>
        <w:rPr>
          <w:rFonts w:ascii="Calibri Light" w:hAnsi="Calibri Light" w:cs="Calibri Light"/>
          <w:sz w:val="24"/>
          <w:szCs w:val="24"/>
          <w:highlight w:val="yellow"/>
        </w:rPr>
      </w:pPr>
      <w:r>
        <w:rPr>
          <w:rFonts w:ascii="Calibri Light" w:hAnsi="Calibri Light" w:cs="Calibri Light"/>
          <w:sz w:val="24"/>
          <w:szCs w:val="24"/>
          <w:highlight w:val="yellow"/>
          <w:vertAlign w:val="superscript"/>
        </w:rPr>
        <w:t>2</w:t>
      </w:r>
      <w:r>
        <w:rPr>
          <w:rFonts w:ascii="Calibri Light" w:hAnsi="Calibri Light" w:cs="Calibri Light"/>
          <w:sz w:val="24"/>
          <w:szCs w:val="24"/>
          <w:highlight w:val="yellow"/>
        </w:rPr>
        <w:t>(Universiti Malaysia Sarawak, Kota Samarahan-Sarawak, Malaysia)</w:t>
      </w:r>
    </w:p>
    <w:p w:rsidR="009E4EBA" w:rsidRPr="00122F5F" w:rsidRDefault="00B368ED" w:rsidP="00B368ED">
      <w:pPr>
        <w:rPr>
          <w:rFonts w:ascii="Calibri Light" w:hAnsi="Calibri Light" w:cs="Calibri Light"/>
          <w:sz w:val="24"/>
          <w:szCs w:val="24"/>
          <w:lang w:val="id-ID"/>
        </w:rPr>
      </w:pPr>
      <w:r>
        <w:rPr>
          <w:rFonts w:ascii="Calibri Light" w:hAnsi="Calibri Light" w:cs="Calibri Light"/>
          <w:sz w:val="24"/>
          <w:szCs w:val="24"/>
          <w:highlight w:val="yellow"/>
          <w:lang w:val="id-ID"/>
        </w:rPr>
        <w:t>*</w:t>
      </w:r>
      <w:r>
        <w:rPr>
          <w:rFonts w:ascii="Calibri Light" w:hAnsi="Calibri Light" w:cs="Calibri Light"/>
          <w:sz w:val="24"/>
          <w:szCs w:val="24"/>
          <w:highlight w:val="yellow"/>
        </w:rPr>
        <w:t>rajabzeth@gmail.com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342072"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D0313B" w:rsidRPr="00D0313B" w:rsidRDefault="00863A78" w:rsidP="00B368ED">
            <w:pPr>
              <w:ind w:right="2"/>
              <w:jc w:val="both"/>
              <w:rPr>
                <w:rFonts w:ascii="Calibri Light" w:hAnsi="Calibri Light" w:cs="Calibri Light"/>
                <w:b/>
                <w:bCs/>
                <w:i/>
                <w:iCs/>
                <w:highlight w:val="yellow"/>
                <w:lang w:val="en-MY"/>
              </w:rPr>
            </w:pPr>
            <w:r w:rsidRPr="00E679CB">
              <w:rPr>
                <w:rFonts w:ascii="Calibri Light" w:hAnsi="Calibri Light" w:cs="Calibri Light"/>
                <w:highlight w:val="yellow"/>
              </w:rPr>
              <w:t xml:space="preserve">How to cite this paper: </w:t>
            </w:r>
            <w:r w:rsidR="00B368ED" w:rsidRPr="00B368ED">
              <w:rPr>
                <w:rFonts w:ascii="Calibri Light" w:hAnsi="Calibri Light" w:cs="Calibri Light"/>
                <w:iCs/>
                <w:sz w:val="18"/>
                <w:lang w:val="en-MY"/>
              </w:rPr>
              <w:t>Rajab, H, Paee, R, Thalhah &amp; Rustina N.,</w:t>
            </w:r>
            <w:r w:rsidR="00B368ED" w:rsidRPr="00E679CB">
              <w:rPr>
                <w:rFonts w:ascii="Calibri Light" w:hAnsi="Calibri Light" w:cs="Calibri Light"/>
                <w:highlight w:val="yellow"/>
              </w:rPr>
              <w:t xml:space="preserve"> </w:t>
            </w:r>
            <w:r w:rsidR="00B368ED">
              <w:rPr>
                <w:rFonts w:ascii="Calibri Light" w:hAnsi="Calibri Light" w:cs="Calibri Light"/>
                <w:highlight w:val="yellow"/>
              </w:rPr>
              <w:t>(2024</w:t>
            </w:r>
            <w:r w:rsidRPr="00E679CB">
              <w:rPr>
                <w:rFonts w:ascii="Calibri Light" w:hAnsi="Calibri Light" w:cs="Calibri Light"/>
                <w:highlight w:val="yellow"/>
              </w:rPr>
              <w:t xml:space="preserve">). </w:t>
            </w:r>
            <w:r w:rsidR="00D0313B" w:rsidRPr="00D0313B">
              <w:rPr>
                <w:rFonts w:ascii="Calibri Light" w:hAnsi="Calibri Light" w:cs="Calibri Light"/>
                <w:b/>
                <w:bCs/>
                <w:i/>
                <w:iCs/>
                <w:highlight w:val="yellow"/>
                <w:lang w:val="en-MY"/>
              </w:rPr>
              <w:t>Ethical Governance in Public Service: A Comparative Study of Hadaya al-‘Ummal in Islamic Law and Gratification in Indonesian Law</w:t>
            </w:r>
            <w:r w:rsidR="00D0313B">
              <w:rPr>
                <w:rFonts w:ascii="Calibri Light" w:hAnsi="Calibri Light" w:cs="Calibri Light"/>
                <w:b/>
                <w:bCs/>
                <w:i/>
                <w:iCs/>
                <w:highlight w:val="yellow"/>
                <w:lang w:val="en-MY"/>
              </w:rPr>
              <w:t>.</w:t>
            </w:r>
          </w:p>
          <w:p w:rsidR="00863A78" w:rsidRPr="00540F02" w:rsidRDefault="00025710" w:rsidP="00540F02">
            <w:pPr>
              <w:ind w:right="2"/>
              <w:jc w:val="both"/>
              <w:rPr>
                <w:rFonts w:ascii="Calibri Light" w:hAnsi="Calibri Light" w:cs="Calibri Light"/>
                <w:color w:val="0462C1"/>
                <w:u w:val="single" w:color="0462C1"/>
              </w:rPr>
            </w:pPr>
            <w:r>
              <w:rPr>
                <w:rFonts w:ascii="Calibri Light" w:hAnsi="Calibri Light" w:cs="Calibri Light"/>
                <w:i/>
                <w:highlight w:val="yellow"/>
              </w:rPr>
              <w:t xml:space="preserve">Internatiomal Journal of Law and Society.  </w:t>
            </w:r>
            <w:r w:rsidR="00863A78" w:rsidRPr="00E679CB">
              <w:rPr>
                <w:rFonts w:ascii="Calibri Light" w:hAnsi="Calibri Light" w:cs="Calibri Light"/>
                <w:i/>
                <w:highlight w:val="yellow"/>
              </w:rPr>
              <w:t>4</w:t>
            </w:r>
            <w:r w:rsidR="00863A78" w:rsidRPr="00E679CB">
              <w:rPr>
                <w:rFonts w:ascii="Calibri Light" w:hAnsi="Calibri Light" w:cs="Calibri Light"/>
                <w:highlight w:val="yellow"/>
              </w:rPr>
              <w:t>(2), 14-26.</w:t>
            </w:r>
            <w:r w:rsidR="00863A78" w:rsidRPr="00E679CB">
              <w:rPr>
                <w:rFonts w:ascii="Calibri Light" w:hAnsi="Calibri Light" w:cs="Calibri Light"/>
                <w:spacing w:val="1"/>
                <w:highlight w:val="yellow"/>
              </w:rPr>
              <w:t xml:space="preserve"> </w:t>
            </w:r>
            <w:hyperlink r:id="rId9" w:history="1">
              <w:r w:rsidR="00863A78" w:rsidRPr="00E679CB">
                <w:rPr>
                  <w:rStyle w:val="Hyperlink"/>
                  <w:rFonts w:ascii="Calibri Light" w:hAnsi="Calibri Light" w:cs="Calibri Light"/>
                  <w:highlight w:val="yellow"/>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B423B7" w:rsidRPr="00B423B7" w:rsidRDefault="00A27B34" w:rsidP="00B423B7">
      <w:pPr>
        <w:ind w:right="-1"/>
        <w:jc w:val="both"/>
        <w:rPr>
          <w:rFonts w:ascii="Calibri Light" w:hAnsi="Calibri Light" w:cs="Calibri Light"/>
          <w:i/>
          <w:iCs/>
          <w:noProof/>
          <w:color w:val="000000"/>
          <w:sz w:val="24"/>
          <w:szCs w:val="24"/>
          <w:lang w:val="en-MY"/>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423B7" w:rsidRPr="00B423B7">
        <w:rPr>
          <w:rFonts w:ascii="Calibri Light" w:hAnsi="Calibri Light" w:cs="Calibri Light"/>
          <w:i/>
          <w:iCs/>
          <w:noProof/>
          <w:color w:val="000000"/>
          <w:sz w:val="24"/>
          <w:szCs w:val="24"/>
          <w:lang w:val="en-MY"/>
        </w:rPr>
        <w:t>Corruption continues to undermine governance, economic growth, and public trust in Indonesia. This study compares the Islamic concept of Hadaya al’Ummal</w:t>
      </w:r>
      <w:r w:rsidR="00B423B7">
        <w:rPr>
          <w:rFonts w:ascii="Calibri Light" w:hAnsi="Calibri Light" w:cs="Calibri Light"/>
          <w:i/>
          <w:iCs/>
          <w:noProof/>
          <w:color w:val="000000"/>
          <w:sz w:val="24"/>
          <w:szCs w:val="24"/>
          <w:lang w:val="en-MY"/>
        </w:rPr>
        <w:t xml:space="preserve"> </w:t>
      </w:r>
      <w:r w:rsidR="00B423B7" w:rsidRPr="00B423B7">
        <w:rPr>
          <w:rFonts w:ascii="Calibri Light" w:hAnsi="Calibri Light" w:cs="Calibri Light"/>
          <w:i/>
          <w:iCs/>
          <w:noProof/>
          <w:color w:val="000000"/>
          <w:sz w:val="24"/>
          <w:szCs w:val="24"/>
          <w:lang w:val="en-MY"/>
        </w:rPr>
        <w:t>which strictly prohibits public officials from accepting any gifts that might compromise their integrity</w:t>
      </w:r>
      <w:r w:rsidR="00B423B7">
        <w:rPr>
          <w:rFonts w:ascii="Calibri Light" w:hAnsi="Calibri Light" w:cs="Calibri Light"/>
          <w:i/>
          <w:iCs/>
          <w:noProof/>
          <w:color w:val="000000"/>
          <w:sz w:val="24"/>
          <w:szCs w:val="24"/>
          <w:lang w:val="en-MY"/>
        </w:rPr>
        <w:t xml:space="preserve"> </w:t>
      </w:r>
      <w:r w:rsidR="00B423B7" w:rsidRPr="00B423B7">
        <w:rPr>
          <w:rFonts w:ascii="Calibri Light" w:hAnsi="Calibri Light" w:cs="Calibri Light"/>
          <w:i/>
          <w:iCs/>
          <w:noProof/>
          <w:color w:val="000000"/>
          <w:sz w:val="24"/>
          <w:szCs w:val="24"/>
          <w:lang w:val="en-MY"/>
        </w:rPr>
        <w:t>with the Indonesian legal framework on gratification, which permits gift acceptance provided that such benefits are reported within a specified period. Employing a qualitative comparative analysis grounded in Principal Agent theory, the research examines five dimensions: the definition of gift giving, the scope of recipients, legal sanctions, reporting mechanisms, and the handling of gifts. Data were collected from classical Islamic texts, legislative documents, and recent empirical studies to offer a comprehensive perspective on how ethical principles and legal measures interact in the context of corruption control.</w:t>
      </w:r>
      <w:r w:rsidR="00B423B7">
        <w:rPr>
          <w:rFonts w:ascii="Calibri Light" w:hAnsi="Calibri Light" w:cs="Calibri Light"/>
          <w:i/>
          <w:iCs/>
          <w:noProof/>
          <w:color w:val="000000"/>
          <w:sz w:val="24"/>
          <w:szCs w:val="24"/>
          <w:lang w:val="en-MY"/>
        </w:rPr>
        <w:t xml:space="preserve"> </w:t>
      </w:r>
      <w:r w:rsidR="00B423B7" w:rsidRPr="00B423B7">
        <w:rPr>
          <w:rFonts w:ascii="Calibri Light" w:hAnsi="Calibri Light" w:cs="Calibri Light"/>
          <w:i/>
          <w:iCs/>
          <w:noProof/>
          <w:color w:val="000000"/>
          <w:sz w:val="24"/>
          <w:szCs w:val="24"/>
          <w:lang w:val="en-MY"/>
        </w:rPr>
        <w:t>The findings reveal that Hadaya al’Ummal offers a clear ethical guideline rooted in Islamic teachings, yet its informal enforcement limits its practicality in modern public institutions. In contrast, while the Indonesian legal framework provides explicit sanctions and formal reporting channels, its broad definitions and cultural nuances result in ambiguities and inconsistent application. High-profile cases have highlighted these challenges and underscored the need for clearer definitions and more effective oversight. The study argues that an integrated approach that refines legal definitions, improves reporting systems, and promotes comprehensive bureaucratic reforms</w:t>
      </w:r>
      <w:r w:rsidR="00B423B7">
        <w:rPr>
          <w:rFonts w:ascii="Calibri Light" w:hAnsi="Calibri Light" w:cs="Calibri Light"/>
          <w:i/>
          <w:iCs/>
          <w:noProof/>
          <w:color w:val="000000"/>
          <w:sz w:val="24"/>
          <w:szCs w:val="24"/>
          <w:lang w:val="en-MY"/>
        </w:rPr>
        <w:t xml:space="preserve"> </w:t>
      </w:r>
      <w:r w:rsidR="00B423B7" w:rsidRPr="00B423B7">
        <w:rPr>
          <w:rFonts w:ascii="Calibri Light" w:hAnsi="Calibri Light" w:cs="Calibri Light"/>
          <w:i/>
          <w:iCs/>
          <w:noProof/>
          <w:color w:val="000000"/>
          <w:sz w:val="24"/>
          <w:szCs w:val="24"/>
          <w:lang w:val="en-MY"/>
        </w:rPr>
        <w:t>while maintaining ethical accountability</w:t>
      </w:r>
      <w:r w:rsidR="00B423B7">
        <w:rPr>
          <w:rFonts w:ascii="Calibri Light" w:hAnsi="Calibri Light" w:cs="Calibri Light"/>
          <w:i/>
          <w:iCs/>
          <w:noProof/>
          <w:color w:val="000000"/>
          <w:sz w:val="24"/>
          <w:szCs w:val="24"/>
          <w:lang w:val="en-MY"/>
        </w:rPr>
        <w:t xml:space="preserve">, </w:t>
      </w:r>
      <w:r w:rsidR="00B423B7" w:rsidRPr="00B423B7">
        <w:rPr>
          <w:rFonts w:ascii="Calibri Light" w:hAnsi="Calibri Light" w:cs="Calibri Light"/>
          <w:i/>
          <w:iCs/>
          <w:noProof/>
          <w:color w:val="000000"/>
          <w:sz w:val="24"/>
          <w:szCs w:val="24"/>
          <w:lang w:val="en-MY"/>
        </w:rPr>
        <w:t>is essential to reduce corruption. These insights have important implications for developing anti-corruption strategies that enhance transparency, accountability, and ultimately, public trust</w:t>
      </w:r>
      <w:r w:rsidR="007E55D8">
        <w:rPr>
          <w:rFonts w:ascii="Calibri Light" w:hAnsi="Calibri Light" w:cs="Calibri Light"/>
          <w:i/>
          <w:iCs/>
          <w:noProof/>
          <w:color w:val="000000"/>
          <w:sz w:val="24"/>
          <w:szCs w:val="24"/>
          <w:lang w:val="en-MY"/>
        </w:rPr>
        <w:t>.</w:t>
      </w:r>
    </w:p>
    <w:p w:rsidR="009B5E20" w:rsidRPr="00154C81" w:rsidRDefault="009B5E20" w:rsidP="00985DE3">
      <w:pPr>
        <w:ind w:right="-1"/>
        <w:jc w:val="both"/>
        <w:rPr>
          <w:rFonts w:ascii="Calibri Light" w:hAnsi="Calibri Light" w:cs="Calibri Light"/>
          <w:i/>
          <w:iCs/>
          <w:noProof/>
          <w:color w:val="000000"/>
          <w:sz w:val="24"/>
          <w:szCs w:val="24"/>
          <w:lang w:val="en-MY"/>
        </w:rPr>
      </w:pPr>
    </w:p>
    <w:p w:rsidR="00B423B7" w:rsidRPr="00B423B7" w:rsidRDefault="00B423B7" w:rsidP="00B423B7">
      <w:pPr>
        <w:ind w:right="-1"/>
        <w:jc w:val="both"/>
        <w:rPr>
          <w:rFonts w:ascii="Calibri Light" w:hAnsi="Calibri Light" w:cs="Calibri Light"/>
          <w:noProof/>
          <w:color w:val="000000"/>
          <w:sz w:val="24"/>
          <w:szCs w:val="24"/>
          <w:lang w:val="en-MY"/>
        </w:rPr>
      </w:pPr>
      <w:r w:rsidRPr="00B423B7">
        <w:rPr>
          <w:rFonts w:ascii="Calibri Light" w:hAnsi="Calibri Light" w:cs="Calibri Light"/>
          <w:noProof/>
          <w:color w:val="000000"/>
          <w:sz w:val="24"/>
          <w:szCs w:val="24"/>
          <w:lang w:val="en-MY"/>
        </w:rPr>
        <w:t xml:space="preserve">Korupsi terus mengganggu tata kelola pemerintahan, pertumbuhan ekonomi, dan kepercayaan publik di Indonesia. Studi ini membandingkan konsep </w:t>
      </w:r>
      <w:r w:rsidRPr="00B423B7">
        <w:rPr>
          <w:rFonts w:ascii="Calibri Light" w:hAnsi="Calibri Light" w:cs="Calibri Light"/>
          <w:i/>
          <w:iCs/>
          <w:noProof/>
          <w:color w:val="000000"/>
          <w:sz w:val="24"/>
          <w:szCs w:val="24"/>
          <w:lang w:val="en-MY"/>
        </w:rPr>
        <w:t>Hadaya al’Ummal</w:t>
      </w:r>
      <w:r w:rsidRPr="00B423B7">
        <w:rPr>
          <w:rFonts w:ascii="Calibri Light" w:hAnsi="Calibri Light" w:cs="Calibri Light"/>
          <w:noProof/>
          <w:color w:val="000000"/>
          <w:sz w:val="24"/>
          <w:szCs w:val="24"/>
          <w:lang w:val="en-MY"/>
        </w:rPr>
        <w:t xml:space="preserve"> dalam </w:t>
      </w:r>
      <w:r w:rsidRPr="00B423B7">
        <w:rPr>
          <w:rFonts w:ascii="Calibri Light" w:hAnsi="Calibri Light" w:cs="Calibri Light"/>
          <w:noProof/>
          <w:color w:val="000000"/>
          <w:sz w:val="24"/>
          <w:szCs w:val="24"/>
          <w:lang w:val="en-MY"/>
        </w:rPr>
        <w:lastRenderedPageBreak/>
        <w:t>Islam yang secara tegas melarang pejabat publik menerima hadiah apapun yang berpotensi mengganggu integritasnya, dengan kerangka hukum gratifikasi di Indonesia yang mengizinkan penerimaan hadiah dengan syarat manfaat tersebut dilaporkan dalam jangka waktu tertentu. Menggunakan analisis komparatif kualitatif yang berlandaskan pada teori Principal Agent, penelitian ini mengkaji lima dimensi: definisi pemberian hadiah, ruang lingkup penerima, sanksi hukum, mekanisme pelaporan, dan penanganan hadiah. Data dikumpulkan dari teks-teks klasik Islam, dokumen legislatif, dan studi empiris terkini untuk memberikan perspektif komprehensif mengenai interaksi antara prinsip etika dan langkah-langkah hukum dalam pengendalian korupsi.</w:t>
      </w:r>
      <w:r>
        <w:rPr>
          <w:rFonts w:ascii="Calibri Light" w:hAnsi="Calibri Light" w:cs="Calibri Light"/>
          <w:noProof/>
          <w:color w:val="000000"/>
          <w:sz w:val="24"/>
          <w:szCs w:val="24"/>
          <w:lang w:val="en-MY"/>
        </w:rPr>
        <w:t xml:space="preserve"> </w:t>
      </w:r>
      <w:r w:rsidRPr="00B423B7">
        <w:rPr>
          <w:rFonts w:ascii="Calibri Light" w:hAnsi="Calibri Light" w:cs="Calibri Light"/>
          <w:noProof/>
          <w:color w:val="000000"/>
          <w:sz w:val="24"/>
          <w:szCs w:val="24"/>
          <w:lang w:val="en-MY"/>
        </w:rPr>
        <w:t xml:space="preserve">Hasil penelitian menunjukkan bahwa </w:t>
      </w:r>
      <w:r w:rsidRPr="00B423B7">
        <w:rPr>
          <w:rFonts w:ascii="Calibri Light" w:hAnsi="Calibri Light" w:cs="Calibri Light"/>
          <w:i/>
          <w:iCs/>
          <w:noProof/>
          <w:color w:val="000000"/>
          <w:sz w:val="24"/>
          <w:szCs w:val="24"/>
          <w:lang w:val="en-MY"/>
        </w:rPr>
        <w:t>Hadaya al’Ummal</w:t>
      </w:r>
      <w:r w:rsidRPr="00B423B7">
        <w:rPr>
          <w:rFonts w:ascii="Calibri Light" w:hAnsi="Calibri Light" w:cs="Calibri Light"/>
          <w:noProof/>
          <w:color w:val="000000"/>
          <w:sz w:val="24"/>
          <w:szCs w:val="24"/>
          <w:lang w:val="en-MY"/>
        </w:rPr>
        <w:t xml:space="preserve"> menawarkan pedoman etika yang jelas yang berakar pada ajaran Islam, namun pelaksanaannya yang informal membatasi penerapannya dalam institusi publik modern. Sebaliknya, meskipun kerangka hukum gratifikasi di Indonesia menyediakan sanksi yang eksplisit dan saluran pelaporan formal, definisi yang luas serta nuansa budaya mengakibatkan ketidakjelasan dan penerapan yang tidak konsisten. Kasus-kasus profil tinggi telah menyoroti tantangan ini dan menekankan perlunya definisi yang lebih jelas serta pengawasan yang lebih efektif. Studi ini berargumen bahwa pendekatan terintegrasi yang menyempurnakan definisi hukum, meningkatkan sistem pelaporan, dan mendorong reformasi birokrasi komprehensif sambil menjaga akuntabilitas etika merupakan kunci untuk mengurangi korupsi. Temuan ini memiliki implikasi penting bagi pengembangan strategi anti-korupsi yang dapat meningkatkan transparansi, akuntabilitas, dan pada akhirnya, kepercayaan publik.</w:t>
      </w:r>
    </w:p>
    <w:p w:rsidR="00486707" w:rsidRPr="00154C81" w:rsidRDefault="00486707" w:rsidP="00154C81">
      <w:pPr>
        <w:ind w:right="737"/>
        <w:jc w:val="both"/>
        <w:rPr>
          <w:rFonts w:ascii="Calibri Light" w:hAnsi="Calibri Light" w:cs="Calibri Light"/>
          <w:i/>
          <w:iCs/>
          <w:sz w:val="24"/>
          <w:szCs w:val="24"/>
          <w:lang w:val="en-MY"/>
        </w:rPr>
      </w:pPr>
    </w:p>
    <w:p w:rsidR="00DE1E48" w:rsidRPr="00154C81" w:rsidRDefault="0095288D" w:rsidP="00154C81">
      <w:pPr>
        <w:ind w:right="-1"/>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154C81">
        <w:rPr>
          <w:rFonts w:ascii="Calibri Light" w:hAnsi="Calibri Light" w:cs="Calibri Light"/>
          <w:sz w:val="24"/>
          <w:szCs w:val="24"/>
        </w:rPr>
        <w:t xml:space="preserve"> </w:t>
      </w:r>
      <w:r w:rsidR="00154C81" w:rsidRPr="00154C81">
        <w:rPr>
          <w:rFonts w:ascii="Calibri Light" w:hAnsi="Calibri Light" w:cs="Calibri Light"/>
          <w:i/>
          <w:iCs/>
          <w:sz w:val="24"/>
          <w:szCs w:val="24"/>
          <w:lang w:val="en-MY"/>
        </w:rPr>
        <w:t>Hadaya al-‘Ummal,</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Gratification, Islamic law, Indonesia Law, Public</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Integrity</w:t>
      </w:r>
      <w:r w:rsidR="00154C81">
        <w:rPr>
          <w:rFonts w:ascii="Calibri Light" w:hAnsi="Calibri Light" w:cs="Calibri Light"/>
          <w:i/>
          <w:iCs/>
          <w:sz w:val="24"/>
          <w:szCs w:val="24"/>
          <w:lang w:val="en"/>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C40648">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03052D" w:rsidRPr="0003052D" w:rsidRDefault="0003052D" w:rsidP="0003052D">
      <w:pPr>
        <w:spacing w:before="120" w:after="120"/>
        <w:ind w:left="426"/>
        <w:jc w:val="both"/>
        <w:rPr>
          <w:rFonts w:ascii="Calibri Light" w:hAnsi="Calibri Light" w:cs="Calibri Light"/>
          <w:sz w:val="24"/>
          <w:szCs w:val="24"/>
        </w:rPr>
      </w:pPr>
      <w:r w:rsidRPr="0003052D">
        <w:rPr>
          <w:rFonts w:ascii="Calibri Light" w:hAnsi="Calibri Light" w:cs="Calibri Light"/>
          <w:sz w:val="24"/>
          <w:szCs w:val="24"/>
        </w:rPr>
        <w:t xml:space="preserve">Corruption is widely recognized as a major challenge that disrupts governance, impedes economic growth, and undermines public trust (Ahmed, 2018; Anokhin &amp; Schulze, 2009; </w:t>
      </w:r>
      <w:r w:rsidR="00EC322C">
        <w:rPr>
          <w:rFonts w:ascii="Calibri Light" w:hAnsi="Calibri Light" w:cs="Calibri Light"/>
          <w:sz w:val="24"/>
          <w:szCs w:val="24"/>
        </w:rPr>
        <w:t>Shaari</w:t>
      </w:r>
      <w:r w:rsidRPr="0003052D">
        <w:rPr>
          <w:rFonts w:ascii="Calibri Light" w:hAnsi="Calibri Light" w:cs="Calibri Light"/>
          <w:sz w:val="24"/>
          <w:szCs w:val="24"/>
        </w:rPr>
        <w:t xml:space="preserve">, </w:t>
      </w:r>
      <w:r w:rsidR="00EC322C">
        <w:rPr>
          <w:rFonts w:ascii="Calibri Light" w:hAnsi="Calibri Light" w:cs="Calibri Light"/>
          <w:sz w:val="24"/>
          <w:szCs w:val="24"/>
        </w:rPr>
        <w:t>2022</w:t>
      </w:r>
      <w:r w:rsidRPr="0003052D">
        <w:rPr>
          <w:rFonts w:ascii="Calibri Light" w:hAnsi="Calibri Light" w:cs="Calibri Light"/>
          <w:sz w:val="24"/>
          <w:szCs w:val="24"/>
        </w:rPr>
        <w:t>; Nwabuzor, 2005; Spyromitros &amp; Panagiotidis, 2022). It discourages innovation, reduces foreign direct investment, and increases the cost of goods and services. As corruption erodes the social fabric and weakens institutional integrity, nations experience slower development and diminished democratic processes (Ceschel et al., 2022; Trabelsi, 2024). Many countries suffer from the adverse effects of corruption, which compromises social justice and the rule of law (Al-Faryan &amp; Shil, 2023). In Indonesia the problem is particularly severe. As the world’s largest Muslim-majority country, Indonesia has experienced a notable decline on the Corruption Perceptions Index, dropping from 96th in 2021 to 115th in 2023 (Transparency International, 2024). The CPI gathers data from sources such as the World Bank’s Country Policy and Institutional Assessment, the World Economic Forum’s Executive Opinion Survey, and the Global Insight Country Risk Ratings to provide a detailed view of a nation’s institutional and economic risk profile (Budsaratragoon &amp; Jitmaneeroj, 2020). This decline reflects persistent issues of transparency and accountability in Indonesia’s public sector.</w:t>
      </w:r>
    </w:p>
    <w:p w:rsidR="0003052D" w:rsidRPr="0003052D" w:rsidRDefault="0003052D" w:rsidP="0003052D">
      <w:pPr>
        <w:spacing w:before="120" w:after="120"/>
        <w:ind w:left="426"/>
        <w:jc w:val="both"/>
        <w:rPr>
          <w:rFonts w:ascii="Calibri Light" w:hAnsi="Calibri Light" w:cs="Calibri Light"/>
          <w:sz w:val="24"/>
          <w:szCs w:val="24"/>
        </w:rPr>
      </w:pPr>
      <w:r w:rsidRPr="0003052D">
        <w:rPr>
          <w:rFonts w:ascii="Calibri Light" w:hAnsi="Calibri Light" w:cs="Calibri Light"/>
          <w:sz w:val="24"/>
          <w:szCs w:val="24"/>
        </w:rPr>
        <w:t xml:space="preserve">A central issue contributing to corruption in Indonesia is the practice of gratification. In Indonesian law gratification refers to gifts or benefits given to public officials that if not reported can undermine their integrity and lead to conflicts of interest (Hamdani, 2023). </w:t>
      </w:r>
      <w:r w:rsidRPr="0003052D">
        <w:rPr>
          <w:rFonts w:ascii="Calibri Light" w:hAnsi="Calibri Light" w:cs="Calibri Light"/>
          <w:sz w:val="24"/>
          <w:szCs w:val="24"/>
        </w:rPr>
        <w:lastRenderedPageBreak/>
        <w:t xml:space="preserve">Cultural norms surrounding gift giving further complicate enforcement because these practices are deeply embedded in social customs and are often seen as expressions of friendship or respect (Nurliza et al., 2023; Sofianti, 2017). In contrast, Islamic jurisprudence offers a strict alternative through the concept of </w:t>
      </w:r>
      <w:r w:rsidR="005C26C8" w:rsidRPr="005C26C8">
        <w:rPr>
          <w:rFonts w:ascii="Calibri Light" w:hAnsi="Calibri Light" w:cs="Calibri Light"/>
          <w:i/>
          <w:iCs/>
          <w:sz w:val="24"/>
          <w:szCs w:val="24"/>
        </w:rPr>
        <w:t>Hadaya al’-Ummal</w:t>
      </w:r>
      <w:r w:rsidRPr="0003052D">
        <w:rPr>
          <w:rFonts w:ascii="Calibri Light" w:hAnsi="Calibri Light" w:cs="Calibri Light"/>
          <w:sz w:val="24"/>
          <w:szCs w:val="24"/>
        </w:rPr>
        <w:t xml:space="preserve">. This principle forbids public officials from accepting any gift in their official capacity because such acceptance is regarded as a form of embezzlement that violates the trust placed in them by society (Al-Bukhari, 1993; Quran 3:161). Classical scholars such as Ibn Qudamah (1997) and Al-Nawawi (2005) have emphasized that this prohibition covers all forms of benefit that might compromise impartiality. Researchers such as Abdul Karim, Fazzan, and Zulqarnain (2016) have argued that </w:t>
      </w:r>
      <w:r w:rsidR="005C26C8" w:rsidRPr="005C26C8">
        <w:rPr>
          <w:rFonts w:ascii="Calibri Light" w:hAnsi="Calibri Light" w:cs="Calibri Light"/>
          <w:i/>
          <w:iCs/>
          <w:sz w:val="24"/>
          <w:szCs w:val="24"/>
        </w:rPr>
        <w:t>Hadaya al’-Ummal</w:t>
      </w:r>
      <w:r w:rsidRPr="0003052D">
        <w:rPr>
          <w:rFonts w:ascii="Calibri Light" w:hAnsi="Calibri Light" w:cs="Calibri Light"/>
          <w:sz w:val="24"/>
          <w:szCs w:val="24"/>
        </w:rPr>
        <w:t xml:space="preserve"> provides a clear ethical guideline that helps maintain the integrity of public office.</w:t>
      </w:r>
    </w:p>
    <w:p w:rsidR="0003052D" w:rsidRPr="0003052D" w:rsidRDefault="0003052D" w:rsidP="0003052D">
      <w:pPr>
        <w:spacing w:before="120" w:after="120"/>
        <w:ind w:left="426"/>
        <w:jc w:val="both"/>
        <w:rPr>
          <w:rFonts w:ascii="Calibri Light" w:hAnsi="Calibri Light" w:cs="Calibri Light"/>
          <w:sz w:val="24"/>
          <w:szCs w:val="24"/>
        </w:rPr>
      </w:pPr>
      <w:r w:rsidRPr="0003052D">
        <w:rPr>
          <w:rFonts w:ascii="Calibri Light" w:hAnsi="Calibri Light" w:cs="Calibri Light"/>
          <w:sz w:val="24"/>
          <w:szCs w:val="24"/>
        </w:rPr>
        <w:t xml:space="preserve">Previous research has mostly examined </w:t>
      </w:r>
      <w:r w:rsidR="005C26C8" w:rsidRPr="005C26C8">
        <w:rPr>
          <w:rFonts w:ascii="Calibri Light" w:hAnsi="Calibri Light" w:cs="Calibri Light"/>
          <w:i/>
          <w:iCs/>
          <w:sz w:val="24"/>
          <w:szCs w:val="24"/>
        </w:rPr>
        <w:t>Hadaya al’-Ummal</w:t>
      </w:r>
      <w:r w:rsidRPr="0003052D">
        <w:rPr>
          <w:rFonts w:ascii="Calibri Light" w:hAnsi="Calibri Light" w:cs="Calibri Light"/>
          <w:sz w:val="24"/>
          <w:szCs w:val="24"/>
        </w:rPr>
        <w:t xml:space="preserve"> and gratification independently. Studies on </w:t>
      </w:r>
      <w:r w:rsidR="005C26C8" w:rsidRPr="005C26C8">
        <w:rPr>
          <w:rFonts w:ascii="Calibri Light" w:hAnsi="Calibri Light" w:cs="Calibri Light"/>
          <w:i/>
          <w:iCs/>
          <w:sz w:val="24"/>
          <w:szCs w:val="24"/>
        </w:rPr>
        <w:t>Hadaya al’-Ummal</w:t>
      </w:r>
      <w:r w:rsidRPr="0003052D">
        <w:rPr>
          <w:rFonts w:ascii="Calibri Light" w:hAnsi="Calibri Light" w:cs="Calibri Light"/>
          <w:sz w:val="24"/>
          <w:szCs w:val="24"/>
        </w:rPr>
        <w:t xml:space="preserve"> have focused on its moral and spiritual foundations (Abdul Karim et al., 2016; </w:t>
      </w:r>
      <w:r w:rsidR="007E55D8" w:rsidRPr="007E55D8">
        <w:rPr>
          <w:rFonts w:ascii="Calibri Light" w:hAnsi="Calibri Light" w:cs="Calibri Light"/>
          <w:sz w:val="24"/>
          <w:szCs w:val="24"/>
        </w:rPr>
        <w:t>Al-Nawawi, 2005</w:t>
      </w:r>
      <w:r w:rsidR="007E55D8">
        <w:rPr>
          <w:rFonts w:ascii="Calibri Light" w:hAnsi="Calibri Light" w:cs="Calibri Light"/>
          <w:sz w:val="24"/>
          <w:szCs w:val="24"/>
        </w:rPr>
        <w:t xml:space="preserve">; </w:t>
      </w:r>
      <w:r w:rsidRPr="0003052D">
        <w:rPr>
          <w:rFonts w:ascii="Calibri Light" w:hAnsi="Calibri Light" w:cs="Calibri Light"/>
          <w:sz w:val="24"/>
          <w:szCs w:val="24"/>
        </w:rPr>
        <w:t xml:space="preserve">Ibn Qudamah, 1997), whereas investigations into the Indonesian legal framework have underscored the practical challenges of enforcing gratification laws in a society where gift giving is common (; Sofianti, 2017). Recent work suggests that integrating Islamic ethical teachings with Indonesia’s legal framework could strengthen anti-corruption policies, particularly in Muslim-majority regions (Faisol et al., 2023). Nonetheless legal ambiguities remain concerning </w:t>
      </w:r>
      <w:r w:rsidR="00A70990" w:rsidRPr="0003052D">
        <w:rPr>
          <w:rFonts w:ascii="Calibri Light" w:hAnsi="Calibri Light" w:cs="Calibri Light"/>
          <w:sz w:val="24"/>
          <w:szCs w:val="24"/>
        </w:rPr>
        <w:t>non-monetary</w:t>
      </w:r>
      <w:r w:rsidRPr="0003052D">
        <w:rPr>
          <w:rFonts w:ascii="Calibri Light" w:hAnsi="Calibri Light" w:cs="Calibri Light"/>
          <w:sz w:val="24"/>
          <w:szCs w:val="24"/>
        </w:rPr>
        <w:t xml:space="preserve"> forms of gratification such as sexual services, which are difficult to detect and prosecute (Rasjidi, 2023). Furthermore, studies have noted that despite the enactment of numerous laws and regulations corruption persists because current measures focus primarily on eradication rather than on prevention (Paranata, 2022; Yustia &amp; Arifin, 2023)</w:t>
      </w:r>
      <w:r>
        <w:rPr>
          <w:rFonts w:ascii="Calibri Light" w:hAnsi="Calibri Light" w:cs="Calibri Light"/>
          <w:sz w:val="24"/>
          <w:szCs w:val="24"/>
        </w:rPr>
        <w:t xml:space="preserve">. </w:t>
      </w:r>
      <w:r w:rsidRPr="0003052D">
        <w:rPr>
          <w:rFonts w:ascii="Calibri Light" w:hAnsi="Calibri Light" w:cs="Calibri Light"/>
          <w:sz w:val="24"/>
          <w:szCs w:val="24"/>
        </w:rPr>
        <w:t>High-profile cases have drawn public attention to the difficulties of applying the law consistently across diverse cultural contexts. For instance, cases involving Dede Hasan Basri (</w:t>
      </w:r>
      <w:r w:rsidR="00EC322C">
        <w:rPr>
          <w:rFonts w:ascii="Calibri Light" w:hAnsi="Calibri Light" w:cs="Calibri Light"/>
          <w:sz w:val="24"/>
          <w:szCs w:val="24"/>
        </w:rPr>
        <w:t>ANTARA</w:t>
      </w:r>
      <w:r w:rsidRPr="0003052D">
        <w:rPr>
          <w:rFonts w:ascii="Calibri Light" w:hAnsi="Calibri Light" w:cs="Calibri Light"/>
          <w:sz w:val="24"/>
          <w:szCs w:val="24"/>
        </w:rPr>
        <w:t>, 2024), Kaesang Pangarep and Bobby Nasution (Kompas, 2024), and Abdul Gani Kasuba (Detik.com, 2024) illustrate that ambiguities in legal definitions and reporting requirements can result in inconsistent outcomes and undermine accountability in the public sector.</w:t>
      </w:r>
    </w:p>
    <w:p w:rsidR="00DA29D9" w:rsidRDefault="0003052D" w:rsidP="0003052D">
      <w:pPr>
        <w:spacing w:before="120" w:after="120"/>
        <w:ind w:left="426"/>
        <w:jc w:val="both"/>
        <w:rPr>
          <w:rFonts w:ascii="Calibri Light" w:hAnsi="Calibri Light" w:cs="Calibri Light"/>
          <w:sz w:val="24"/>
          <w:szCs w:val="24"/>
        </w:rPr>
      </w:pPr>
      <w:r w:rsidRPr="0003052D">
        <w:rPr>
          <w:rFonts w:ascii="Calibri Light" w:hAnsi="Calibri Light" w:cs="Calibri Light"/>
          <w:sz w:val="24"/>
          <w:szCs w:val="24"/>
        </w:rPr>
        <w:t xml:space="preserve">The present study aims to compare </w:t>
      </w:r>
      <w:r w:rsidR="005C26C8" w:rsidRPr="005C26C8">
        <w:rPr>
          <w:rFonts w:ascii="Calibri Light" w:hAnsi="Calibri Light" w:cs="Calibri Light"/>
          <w:i/>
          <w:iCs/>
          <w:sz w:val="24"/>
          <w:szCs w:val="24"/>
        </w:rPr>
        <w:t>Hadaya al’-Ummal</w:t>
      </w:r>
      <w:r w:rsidRPr="0003052D">
        <w:rPr>
          <w:rFonts w:ascii="Calibri Light" w:hAnsi="Calibri Light" w:cs="Calibri Light"/>
          <w:sz w:val="24"/>
          <w:szCs w:val="24"/>
        </w:rPr>
        <w:t xml:space="preserve"> and the Indonesian legal framework on gratification across five key dimensions: definition of gift giving, scope of recipients, legal sanctions, reporting mechanisms, and handling of gifts. By applying the Principal Agent theory and drawing on data from classical Islamic texts, legislative documents, and recent empirical studies, this research examines how conflicts of interest and information asymmetries contribute to corruption. The study seeks to bridge the gap between ethical accountability and legal enforcement in order to propose an integrated approach to reducing corruption in Indonesia.</w:t>
      </w:r>
    </w:p>
    <w:p w:rsidR="0003052D" w:rsidRDefault="0003052D" w:rsidP="0003052D">
      <w:pPr>
        <w:spacing w:before="120" w:after="120"/>
        <w:ind w:left="426"/>
        <w:jc w:val="both"/>
        <w:rPr>
          <w:rFonts w:ascii="Calibri Light" w:hAnsi="Calibri Light" w:cs="Calibri Light"/>
          <w:sz w:val="24"/>
          <w:szCs w:val="24"/>
        </w:rPr>
      </w:pPr>
    </w:p>
    <w:p w:rsidR="003D1A34" w:rsidRPr="003D1A34" w:rsidRDefault="00334792" w:rsidP="0009649B">
      <w:pPr>
        <w:numPr>
          <w:ilvl w:val="0"/>
          <w:numId w:val="15"/>
        </w:numPr>
        <w:autoSpaceDE/>
        <w:autoSpaceDN/>
        <w:spacing w:before="120" w:after="120"/>
        <w:ind w:left="426" w:hanging="219"/>
        <w:jc w:val="both"/>
        <w:rPr>
          <w:rFonts w:ascii="Calibri Light" w:hAnsi="Calibri Light" w:cs="Calibri Light"/>
          <w:sz w:val="24"/>
          <w:szCs w:val="24"/>
          <w:lang w:val="en-MY"/>
        </w:rPr>
      </w:pPr>
      <w:r w:rsidRPr="003D1A34">
        <w:rPr>
          <w:rFonts w:ascii="Calibri Light" w:hAnsi="Calibri Light" w:cs="Calibri Light"/>
          <w:b/>
          <w:sz w:val="24"/>
          <w:szCs w:val="24"/>
          <w:lang w:val="id-ID"/>
        </w:rPr>
        <w:t>METHOD</w:t>
      </w:r>
      <w:r w:rsidR="00D26ADD" w:rsidRPr="003D1A34">
        <w:rPr>
          <w:rFonts w:ascii="Calibri Light" w:hAnsi="Calibri Light" w:cs="Calibri Light"/>
          <w:b/>
          <w:sz w:val="24"/>
          <w:szCs w:val="24"/>
        </w:rPr>
        <w:t xml:space="preserve"> </w:t>
      </w:r>
    </w:p>
    <w:p w:rsidR="00FD7AEF" w:rsidRPr="00FD7AEF" w:rsidRDefault="00FD7AEF" w:rsidP="007E55D8">
      <w:pPr>
        <w:spacing w:before="120" w:after="120"/>
        <w:ind w:left="426"/>
        <w:jc w:val="both"/>
        <w:rPr>
          <w:rFonts w:ascii="Calibri Light" w:hAnsi="Calibri Light" w:cs="Calibri Light"/>
          <w:sz w:val="24"/>
          <w:szCs w:val="24"/>
          <w:lang w:val="en-MY"/>
        </w:rPr>
      </w:pPr>
      <w:r w:rsidRPr="00FD7AEF">
        <w:rPr>
          <w:rFonts w:ascii="Calibri Light" w:hAnsi="Calibri Light" w:cs="Calibri Light"/>
          <w:sz w:val="24"/>
          <w:szCs w:val="24"/>
          <w:lang w:val="en-MY"/>
        </w:rPr>
        <w:t xml:space="preserve">This study employs a qualitative comparative analysis to examine the differences and interactions between the Islamic concept of </w:t>
      </w:r>
      <w:r w:rsidR="005C26C8" w:rsidRPr="005C26C8">
        <w:rPr>
          <w:rFonts w:ascii="Calibri Light" w:hAnsi="Calibri Light" w:cs="Calibri Light"/>
          <w:i/>
          <w:iCs/>
          <w:sz w:val="24"/>
          <w:szCs w:val="24"/>
          <w:lang w:val="en-MY"/>
        </w:rPr>
        <w:t>Hadaya al’-Ummal</w:t>
      </w:r>
      <w:r w:rsidRPr="00FD7AEF">
        <w:rPr>
          <w:rFonts w:ascii="Calibri Light" w:hAnsi="Calibri Light" w:cs="Calibri Light"/>
          <w:sz w:val="24"/>
          <w:szCs w:val="24"/>
          <w:lang w:val="en-MY"/>
        </w:rPr>
        <w:t xml:space="preserve"> and the Indonesian legal framework on gratification. The analysis focuses on five predetermined dimensions: definition of gift giving, scope of recipients, legal sanctions, reporting mechanisms, and </w:t>
      </w:r>
      <w:r w:rsidRPr="00FD7AEF">
        <w:rPr>
          <w:rFonts w:ascii="Calibri Light" w:hAnsi="Calibri Light" w:cs="Calibri Light"/>
          <w:sz w:val="24"/>
          <w:szCs w:val="24"/>
          <w:lang w:val="en-MY"/>
        </w:rPr>
        <w:lastRenderedPageBreak/>
        <w:t>handling of gifts. This approach is well suited to explore both ethical principles and formal legal provisions in a context where traditional norms and modern regulatory practices coexist.</w:t>
      </w:r>
    </w:p>
    <w:p w:rsidR="00FD7AEF" w:rsidRPr="00FD7AEF" w:rsidRDefault="00FD7AEF" w:rsidP="00A70990">
      <w:pPr>
        <w:spacing w:before="120" w:after="120"/>
        <w:ind w:left="426"/>
        <w:jc w:val="both"/>
        <w:rPr>
          <w:rFonts w:ascii="Calibri Light" w:hAnsi="Calibri Light" w:cs="Calibri Light"/>
          <w:sz w:val="24"/>
          <w:szCs w:val="24"/>
          <w:lang w:val="en-MY"/>
        </w:rPr>
      </w:pPr>
      <w:r w:rsidRPr="00FD7AEF">
        <w:rPr>
          <w:rFonts w:ascii="Calibri Light" w:hAnsi="Calibri Light" w:cs="Calibri Light"/>
          <w:sz w:val="24"/>
          <w:szCs w:val="24"/>
          <w:lang w:val="en-MY"/>
        </w:rPr>
        <w:t xml:space="preserve">Data were collected from multiple sources. Primary data include classical Islamic texts such as the Qur’an and Hadith collections, along with authoritative commentaries by scholars such as Ibn Qudamah (1997) and Al-Nawawi (2005). These sources provide the foundational understanding of </w:t>
      </w:r>
      <w:r w:rsidR="005C26C8" w:rsidRPr="005C26C8">
        <w:rPr>
          <w:rFonts w:ascii="Calibri Light" w:hAnsi="Calibri Light" w:cs="Calibri Light"/>
          <w:i/>
          <w:iCs/>
          <w:sz w:val="24"/>
          <w:szCs w:val="24"/>
          <w:lang w:val="en-MY"/>
        </w:rPr>
        <w:t>Hadaya al’-Ummal</w:t>
      </w:r>
      <w:r w:rsidRPr="00FD7AEF">
        <w:rPr>
          <w:rFonts w:ascii="Calibri Light" w:hAnsi="Calibri Light" w:cs="Calibri Light"/>
          <w:sz w:val="24"/>
          <w:szCs w:val="24"/>
          <w:lang w:val="en-MY"/>
        </w:rPr>
        <w:t xml:space="preserve">. On the legal side, primary documents comprise key Indonesian legislative texts, including </w:t>
      </w:r>
      <w:r w:rsidRPr="005C26C8">
        <w:rPr>
          <w:rFonts w:ascii="Calibri Light" w:hAnsi="Calibri Light" w:cs="Calibri Light"/>
          <w:i/>
          <w:iCs/>
          <w:sz w:val="24"/>
          <w:szCs w:val="24"/>
          <w:lang w:val="en-MY"/>
        </w:rPr>
        <w:t>Undang-Undang No. 20 Tahun 2001</w:t>
      </w:r>
      <w:r w:rsidRPr="00FD7AEF">
        <w:rPr>
          <w:rFonts w:ascii="Calibri Light" w:hAnsi="Calibri Light" w:cs="Calibri Light"/>
          <w:sz w:val="24"/>
          <w:szCs w:val="24"/>
          <w:lang w:val="en-MY"/>
        </w:rPr>
        <w:t xml:space="preserve"> and guidelines issued by the </w:t>
      </w:r>
      <w:r w:rsidRPr="005C26C8">
        <w:rPr>
          <w:rFonts w:ascii="Calibri Light" w:hAnsi="Calibri Light" w:cs="Calibri Light"/>
          <w:i/>
          <w:iCs/>
          <w:sz w:val="24"/>
          <w:szCs w:val="24"/>
          <w:lang w:val="en-MY"/>
        </w:rPr>
        <w:t>Komisi Pemberantasan Korupsi</w:t>
      </w:r>
      <w:r w:rsidRPr="00FD7AEF">
        <w:rPr>
          <w:rFonts w:ascii="Calibri Light" w:hAnsi="Calibri Light" w:cs="Calibri Light"/>
          <w:sz w:val="24"/>
          <w:szCs w:val="24"/>
          <w:lang w:val="en-MY"/>
        </w:rPr>
        <w:t xml:space="preserve"> (2015, 2023). Secondary data were obtained from academic journal articles, books, reports, and news sources. The use of diverse sources enabled triangulation, thereby increasing confidence in the study’s findings.</w:t>
      </w:r>
    </w:p>
    <w:p w:rsidR="00FD7AEF" w:rsidRPr="00FD7AEF" w:rsidRDefault="00FD7AEF" w:rsidP="00FD7AEF">
      <w:pPr>
        <w:spacing w:before="120" w:after="120"/>
        <w:ind w:left="426"/>
        <w:jc w:val="both"/>
        <w:rPr>
          <w:rFonts w:ascii="Calibri Light" w:hAnsi="Calibri Light" w:cs="Calibri Light"/>
          <w:sz w:val="24"/>
          <w:szCs w:val="24"/>
          <w:lang w:val="en-MY"/>
        </w:rPr>
      </w:pPr>
      <w:r w:rsidRPr="00FD7AEF">
        <w:rPr>
          <w:rFonts w:ascii="Calibri Light" w:hAnsi="Calibri Light" w:cs="Calibri Light"/>
          <w:sz w:val="24"/>
          <w:szCs w:val="24"/>
          <w:lang w:val="en-MY"/>
        </w:rPr>
        <w:t xml:space="preserve">The study adopts the Principal Agent theory as its theoretical framework (Bernhold &amp; Wiesweg, 2021; Jensen &amp; Meckling, 1976). This theory explains the conflict that may arise when public officials, acting as agents, pursue personal interests due to information asymmetries even though they are entrusted by the public, the principals. The framework emphasizes the need for appropriate incentive systems and oversight mechanisms to align the actions of public officials with the interests of society. In this study, the theory is used to examine how differences between the moral guidelines of </w:t>
      </w:r>
      <w:bookmarkStart w:id="1" w:name="_Hlk192298805"/>
      <w:r w:rsidR="005C26C8" w:rsidRPr="005C26C8">
        <w:rPr>
          <w:rFonts w:ascii="Calibri Light" w:hAnsi="Calibri Light" w:cs="Calibri Light"/>
          <w:i/>
          <w:iCs/>
          <w:sz w:val="24"/>
          <w:szCs w:val="24"/>
          <w:lang w:val="en-MY"/>
        </w:rPr>
        <w:t>Hadaya al’-Ummal</w:t>
      </w:r>
      <w:r w:rsidRPr="00FD7AEF">
        <w:rPr>
          <w:rFonts w:ascii="Calibri Light" w:hAnsi="Calibri Light" w:cs="Calibri Light"/>
          <w:sz w:val="24"/>
          <w:szCs w:val="24"/>
          <w:lang w:val="en-MY"/>
        </w:rPr>
        <w:t xml:space="preserve"> </w:t>
      </w:r>
      <w:bookmarkEnd w:id="1"/>
      <w:r w:rsidRPr="00FD7AEF">
        <w:rPr>
          <w:rFonts w:ascii="Calibri Light" w:hAnsi="Calibri Light" w:cs="Calibri Light"/>
          <w:sz w:val="24"/>
          <w:szCs w:val="24"/>
          <w:lang w:val="en-MY"/>
        </w:rPr>
        <w:t>and the conditional permissions provided by Indonesian law may contribute to corruption.</w:t>
      </w:r>
    </w:p>
    <w:p w:rsidR="007B79DF" w:rsidRPr="00A70990" w:rsidRDefault="00FD7AEF" w:rsidP="00A70990">
      <w:pPr>
        <w:spacing w:before="120" w:after="120"/>
        <w:ind w:left="426"/>
        <w:jc w:val="both"/>
        <w:rPr>
          <w:rFonts w:ascii="Calibri Light" w:hAnsi="Calibri Light" w:cs="Calibri Light"/>
          <w:sz w:val="24"/>
          <w:szCs w:val="24"/>
          <w:highlight w:val="yellow"/>
          <w:lang w:val="en-MY"/>
        </w:rPr>
      </w:pPr>
      <w:r w:rsidRPr="00FD7AEF">
        <w:rPr>
          <w:rFonts w:ascii="Calibri Light" w:hAnsi="Calibri Light" w:cs="Calibri Light"/>
          <w:sz w:val="24"/>
          <w:szCs w:val="24"/>
          <w:lang w:val="en-MY"/>
        </w:rPr>
        <w:t xml:space="preserve">For data analysis, the study employed a systematic categorization approach based on the framework described by Miles and Huberman (1994), which involves three stages: data reduction, data display, and conclusion drawing. In the data reduction stage, </w:t>
      </w:r>
      <w:r>
        <w:rPr>
          <w:rFonts w:ascii="Calibri Light" w:hAnsi="Calibri Light" w:cs="Calibri Light"/>
          <w:sz w:val="24"/>
          <w:szCs w:val="24"/>
          <w:lang w:val="en-MY"/>
        </w:rPr>
        <w:t xml:space="preserve">relevant texts and documents </w:t>
      </w:r>
      <w:r w:rsidRPr="00FD7AEF">
        <w:rPr>
          <w:rFonts w:ascii="Calibri Light" w:hAnsi="Calibri Light" w:cs="Calibri Light"/>
          <w:sz w:val="24"/>
          <w:szCs w:val="24"/>
          <w:lang w:val="en-MY"/>
        </w:rPr>
        <w:t xml:space="preserve">were organized into the five predetermined themes. The data display stage involved arranging the findings into comparative thematic matrices that allowed for direct contrasts between </w:t>
      </w:r>
      <w:r w:rsidR="005C26C8" w:rsidRPr="005C26C8">
        <w:rPr>
          <w:rFonts w:ascii="Calibri Light" w:hAnsi="Calibri Light" w:cs="Calibri Light"/>
          <w:i/>
          <w:iCs/>
          <w:sz w:val="24"/>
          <w:szCs w:val="24"/>
          <w:lang w:val="en-MY"/>
        </w:rPr>
        <w:t>Hadaya al’-Ummal</w:t>
      </w:r>
      <w:r w:rsidR="00A70990" w:rsidRPr="00A70990">
        <w:rPr>
          <w:rFonts w:ascii="Calibri Light" w:hAnsi="Calibri Light" w:cs="Calibri Light"/>
          <w:sz w:val="24"/>
          <w:szCs w:val="24"/>
          <w:lang w:val="en-MY"/>
        </w:rPr>
        <w:t xml:space="preserve"> </w:t>
      </w:r>
      <w:r w:rsidR="00A70990">
        <w:rPr>
          <w:rFonts w:ascii="Calibri Light" w:hAnsi="Calibri Light" w:cs="Calibri Light"/>
          <w:sz w:val="24"/>
          <w:szCs w:val="24"/>
          <w:lang w:val="en-MY"/>
        </w:rPr>
        <w:t>a</w:t>
      </w:r>
      <w:r w:rsidRPr="00FD7AEF">
        <w:rPr>
          <w:rFonts w:ascii="Calibri Light" w:hAnsi="Calibri Light" w:cs="Calibri Light"/>
          <w:sz w:val="24"/>
          <w:szCs w:val="24"/>
          <w:lang w:val="en-MY"/>
        </w:rPr>
        <w:t xml:space="preserve">nd </w:t>
      </w:r>
      <w:r w:rsidR="00A70990">
        <w:rPr>
          <w:rFonts w:ascii="Calibri Light" w:hAnsi="Calibri Light" w:cs="Calibri Light"/>
          <w:sz w:val="24"/>
          <w:szCs w:val="24"/>
          <w:lang w:val="en-MY"/>
        </w:rPr>
        <w:t>gratification</w:t>
      </w:r>
      <w:r w:rsidRPr="00FD7AEF">
        <w:rPr>
          <w:rFonts w:ascii="Calibri Light" w:hAnsi="Calibri Light" w:cs="Calibri Light"/>
          <w:sz w:val="24"/>
          <w:szCs w:val="24"/>
          <w:lang w:val="en-MY"/>
        </w:rPr>
        <w:t>. In the final stage, conclusion drawing synthesized the insights into recommendations for improving corruption prevention in public service. This structured approach ensures that the analysis is systematic and transparent, addressing concerns for methodological clarity and consistency.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 xml:space="preserve">This study compared the Islamic concept of </w:t>
      </w:r>
      <w:r w:rsidR="005C26C8" w:rsidRPr="005C26C8">
        <w:rPr>
          <w:rFonts w:ascii="Calibri Light" w:hAnsi="Calibri Light" w:cs="Calibri Light"/>
          <w:i/>
          <w:iCs/>
          <w:sz w:val="24"/>
          <w:szCs w:val="24"/>
          <w:lang w:val="en-MY"/>
        </w:rPr>
        <w:t>Hadaya al’-Ummal</w:t>
      </w:r>
      <w:r w:rsidRPr="008456F7">
        <w:rPr>
          <w:rFonts w:ascii="Calibri Light" w:hAnsi="Calibri Light" w:cs="Calibri Light"/>
          <w:sz w:val="24"/>
          <w:szCs w:val="24"/>
          <w:lang w:val="en-MY"/>
        </w:rPr>
        <w:t xml:space="preserve"> with the Indonesian legal framework on gratification by examining five predetermined dimensions: definition of gift giving, scope of recipients, legal sanctions, reporting mechanisms, and handling of gifts. Drawing on a wide range of sources</w:t>
      </w:r>
      <w:r>
        <w:rPr>
          <w:rFonts w:ascii="Calibri Light" w:hAnsi="Calibri Light" w:cs="Calibri Light"/>
          <w:sz w:val="24"/>
          <w:szCs w:val="24"/>
          <w:lang w:val="en-MY"/>
        </w:rPr>
        <w:t xml:space="preserve"> </w:t>
      </w:r>
      <w:r w:rsidRPr="008456F7">
        <w:rPr>
          <w:rFonts w:ascii="Calibri Light" w:hAnsi="Calibri Light" w:cs="Calibri Light"/>
          <w:sz w:val="24"/>
          <w:szCs w:val="24"/>
          <w:lang w:val="en-MY"/>
        </w:rPr>
        <w:t>including classical Islamic texts, legislative documents, judicial decisions, and recent empirical studies</w:t>
      </w:r>
      <w:r>
        <w:rPr>
          <w:rFonts w:ascii="Calibri Light" w:hAnsi="Calibri Light" w:cs="Calibri Light"/>
          <w:sz w:val="24"/>
          <w:szCs w:val="24"/>
          <w:lang w:val="en-MY"/>
        </w:rPr>
        <w:t xml:space="preserve">, </w:t>
      </w:r>
      <w:r w:rsidRPr="008456F7">
        <w:rPr>
          <w:rFonts w:ascii="Calibri Light" w:hAnsi="Calibri Light" w:cs="Calibri Light"/>
          <w:sz w:val="24"/>
          <w:szCs w:val="24"/>
          <w:lang w:val="en-MY"/>
        </w:rPr>
        <w:t>the analysis reveals both convergences and divergences in how these two frameworks address corruption. The following discussion presents key findings for each dimension and explores their implications for reducing corruption and improving public governance in Indonesia.</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b/>
          <w:bCs/>
          <w:sz w:val="24"/>
          <w:szCs w:val="24"/>
          <w:lang w:val="en-MY"/>
        </w:rPr>
        <w:t>1. Definition of Gift Giving</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lastRenderedPageBreak/>
        <w:t xml:space="preserve">Within Islamic jurisprudence, </w:t>
      </w:r>
      <w:r w:rsidR="005C26C8" w:rsidRPr="005C26C8">
        <w:rPr>
          <w:rFonts w:ascii="Calibri Light" w:hAnsi="Calibri Light" w:cs="Calibri Light"/>
          <w:i/>
          <w:iCs/>
          <w:sz w:val="24"/>
          <w:szCs w:val="24"/>
          <w:lang w:val="en-MY"/>
        </w:rPr>
        <w:t>Hadaya al’-Ummal</w:t>
      </w:r>
      <w:r w:rsidRPr="008456F7">
        <w:rPr>
          <w:rFonts w:ascii="Calibri Light" w:hAnsi="Calibri Light" w:cs="Calibri Light"/>
          <w:sz w:val="24"/>
          <w:szCs w:val="24"/>
          <w:lang w:val="en-MY"/>
        </w:rPr>
        <w:t xml:space="preserve"> is understood as any gift or benefit conferred upon a public official that might compromise the trust placed in them. Classical scholars emphasize that accepting such benefits violates the principle of </w:t>
      </w:r>
      <w:r w:rsidRPr="008456F7">
        <w:rPr>
          <w:rFonts w:ascii="Calibri Light" w:hAnsi="Calibri Light" w:cs="Calibri Light"/>
          <w:i/>
          <w:iCs/>
          <w:sz w:val="24"/>
          <w:szCs w:val="24"/>
          <w:lang w:val="en-MY"/>
        </w:rPr>
        <w:t>amanah</w:t>
      </w:r>
      <w:r w:rsidRPr="008456F7">
        <w:rPr>
          <w:rFonts w:ascii="Calibri Light" w:hAnsi="Calibri Light" w:cs="Calibri Light"/>
          <w:sz w:val="24"/>
          <w:szCs w:val="24"/>
          <w:lang w:val="en-MY"/>
        </w:rPr>
        <w:t>, or trustworthiness, which is fundamental to public service. For example, Ibn Qudamah (1997) and Al-Nawawi (2005) argue that any benefit, whether monetary or non</w:t>
      </w:r>
      <w:r>
        <w:rPr>
          <w:rFonts w:ascii="Calibri Light" w:hAnsi="Calibri Light" w:cs="Calibri Light"/>
          <w:sz w:val="24"/>
          <w:szCs w:val="24"/>
          <w:lang w:val="en-MY"/>
        </w:rPr>
        <w:t>-</w:t>
      </w:r>
      <w:r w:rsidRPr="008456F7">
        <w:rPr>
          <w:rFonts w:ascii="Calibri Light" w:hAnsi="Calibri Light" w:cs="Calibri Light"/>
          <w:sz w:val="24"/>
          <w:szCs w:val="24"/>
          <w:lang w:val="en-MY"/>
        </w:rPr>
        <w:t>monetary, that creates obligations capable of biasing official decisions is impermissible. The Qur’an, particularly in verse 3:161, and the authentic Hadiths underscore that receiving gifts in an official capacity may lead to moral decay and, ultimately, to corrupt practices (Al-Bukhari, 1993). Karim</w:t>
      </w:r>
      <w:r w:rsidR="000E6576">
        <w:rPr>
          <w:rFonts w:ascii="Calibri Light" w:hAnsi="Calibri Light" w:cs="Calibri Light"/>
          <w:sz w:val="24"/>
          <w:szCs w:val="24"/>
          <w:lang w:val="en-MY"/>
        </w:rPr>
        <w:t xml:space="preserve"> et al. </w:t>
      </w:r>
      <w:r w:rsidRPr="008456F7">
        <w:rPr>
          <w:rFonts w:ascii="Calibri Light" w:hAnsi="Calibri Light" w:cs="Calibri Light"/>
          <w:sz w:val="24"/>
          <w:szCs w:val="24"/>
          <w:lang w:val="en-MY"/>
        </w:rPr>
        <w:t xml:space="preserve">(2016) further note that </w:t>
      </w:r>
      <w:r w:rsidR="005C26C8" w:rsidRPr="005C26C8">
        <w:rPr>
          <w:rFonts w:ascii="Calibri Light" w:hAnsi="Calibri Light" w:cs="Calibri Light"/>
          <w:i/>
          <w:iCs/>
          <w:sz w:val="24"/>
          <w:szCs w:val="24"/>
          <w:lang w:val="en-MY"/>
        </w:rPr>
        <w:t>Hadaya al’-Ummal</w:t>
      </w:r>
      <w:r w:rsidRPr="008456F7">
        <w:rPr>
          <w:rFonts w:ascii="Calibri Light" w:hAnsi="Calibri Light" w:cs="Calibri Light"/>
          <w:sz w:val="24"/>
          <w:szCs w:val="24"/>
          <w:lang w:val="en-MY"/>
        </w:rPr>
        <w:t xml:space="preserve"> encompasses a broad range of transactions</w:t>
      </w:r>
      <w:r w:rsidR="000E6576">
        <w:rPr>
          <w:rFonts w:ascii="Calibri Light" w:hAnsi="Calibri Light" w:cs="Calibri Light"/>
          <w:sz w:val="24"/>
          <w:szCs w:val="24"/>
          <w:lang w:val="en-MY"/>
        </w:rPr>
        <w:t xml:space="preserve">, </w:t>
      </w:r>
      <w:r w:rsidRPr="008456F7">
        <w:rPr>
          <w:rFonts w:ascii="Calibri Light" w:hAnsi="Calibri Light" w:cs="Calibri Light"/>
          <w:sz w:val="24"/>
          <w:szCs w:val="24"/>
          <w:lang w:val="en-MY"/>
        </w:rPr>
        <w:t>including sedekah and hibah</w:t>
      </w:r>
      <w:r w:rsidR="000E6576">
        <w:rPr>
          <w:rFonts w:ascii="Calibri Light" w:hAnsi="Calibri Light" w:cs="Calibri Light"/>
          <w:sz w:val="24"/>
          <w:szCs w:val="24"/>
          <w:lang w:val="en-MY"/>
        </w:rPr>
        <w:t xml:space="preserve">, </w:t>
      </w:r>
      <w:r w:rsidRPr="008456F7">
        <w:rPr>
          <w:rFonts w:ascii="Calibri Light" w:hAnsi="Calibri Light" w:cs="Calibri Light"/>
          <w:sz w:val="24"/>
          <w:szCs w:val="24"/>
          <w:lang w:val="en-MY"/>
        </w:rPr>
        <w:t xml:space="preserve">where the underlying moral intent is critical. Salam (2018) adds that while charitable acts such as </w:t>
      </w:r>
      <w:r w:rsidRPr="008456F7">
        <w:rPr>
          <w:rFonts w:ascii="Calibri Light" w:hAnsi="Calibri Light" w:cs="Calibri Light"/>
          <w:i/>
          <w:iCs/>
          <w:sz w:val="24"/>
          <w:szCs w:val="24"/>
          <w:lang w:val="en-MY"/>
        </w:rPr>
        <w:t>sedekah</w:t>
      </w:r>
      <w:r w:rsidRPr="008456F7">
        <w:rPr>
          <w:rFonts w:ascii="Calibri Light" w:hAnsi="Calibri Light" w:cs="Calibri Light"/>
          <w:sz w:val="24"/>
          <w:szCs w:val="24"/>
          <w:lang w:val="en-MY"/>
        </w:rPr>
        <w:t xml:space="preserve"> are encouraged when performed for altruistic purposes, the same practice becomes ethically problematic when the recipient is a state official who is expected to remain impartial.</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 xml:space="preserve">In contrast, the Indonesian legal framework defines gratification as any gift or benefit given to public </w:t>
      </w:r>
      <w:r w:rsidR="000E6576" w:rsidRPr="008456F7">
        <w:rPr>
          <w:rFonts w:ascii="Calibri Light" w:hAnsi="Calibri Light" w:cs="Calibri Light"/>
          <w:sz w:val="24"/>
          <w:szCs w:val="24"/>
          <w:lang w:val="en-MY"/>
        </w:rPr>
        <w:t>officials but</w:t>
      </w:r>
      <w:r w:rsidRPr="008456F7">
        <w:rPr>
          <w:rFonts w:ascii="Calibri Light" w:hAnsi="Calibri Light" w:cs="Calibri Light"/>
          <w:sz w:val="24"/>
          <w:szCs w:val="24"/>
          <w:lang w:val="en-MY"/>
        </w:rPr>
        <w:t xml:space="preserve"> permits acceptance provided that the gift is reported within a specified period, typically thirty days, to the </w:t>
      </w:r>
      <w:r w:rsidRPr="008456F7">
        <w:rPr>
          <w:rFonts w:ascii="Calibri Light" w:hAnsi="Calibri Light" w:cs="Calibri Light"/>
          <w:i/>
          <w:iCs/>
          <w:sz w:val="24"/>
          <w:szCs w:val="24"/>
          <w:lang w:val="en-MY"/>
        </w:rPr>
        <w:t>Komisi Pemberantasan Korupsi</w:t>
      </w:r>
      <w:r w:rsidRPr="008456F7">
        <w:rPr>
          <w:rFonts w:ascii="Calibri Light" w:hAnsi="Calibri Light" w:cs="Calibri Light"/>
          <w:sz w:val="24"/>
          <w:szCs w:val="24"/>
          <w:lang w:val="en-MY"/>
        </w:rPr>
        <w:t xml:space="preserve"> (KPK, 2023). However, research indicates that this legal definition is often broad and ambiguous. Nurliza et al. (2023) and Sofianti (2017) report that public officials may have difficulty distinguishing between culturally acceptable tokens of respect and gifts that could potentially influence decision making. Paranata (2022) observes that such imprecision in legal definitions contributes to inconsistent enforcement practices, and Koeswayo, Handoyo, and Abdul Hasyir (2024) confirm that ambiguous definitions create opportunities for misinterpretation and underreporting. Moreover, while </w:t>
      </w:r>
      <w:r w:rsidR="005C26C8" w:rsidRPr="005C26C8">
        <w:rPr>
          <w:rFonts w:ascii="Calibri Light" w:hAnsi="Calibri Light" w:cs="Calibri Light"/>
          <w:i/>
          <w:iCs/>
          <w:sz w:val="24"/>
          <w:szCs w:val="24"/>
          <w:lang w:val="en-MY"/>
        </w:rPr>
        <w:t>Hadaya al’-Ummal</w:t>
      </w:r>
      <w:r w:rsidRPr="008456F7">
        <w:rPr>
          <w:rFonts w:ascii="Calibri Light" w:hAnsi="Calibri Light" w:cs="Calibri Light"/>
          <w:sz w:val="24"/>
          <w:szCs w:val="24"/>
          <w:lang w:val="en-MY"/>
        </w:rPr>
        <w:t xml:space="preserve"> provides a clear ethical directive, Ahmed (2018) contends that Islamic ethical principles, though compelling, often lack the formal mechanisms necessary for their practical application in modern bureaucracies. Rasjidi (2023) further highlights </w:t>
      </w:r>
      <w:r w:rsidR="007E55D8" w:rsidRPr="008456F7">
        <w:rPr>
          <w:rFonts w:ascii="Calibri Light" w:hAnsi="Calibri Light" w:cs="Calibri Light"/>
          <w:sz w:val="24"/>
          <w:szCs w:val="24"/>
          <w:lang w:val="en-MY"/>
        </w:rPr>
        <w:t>those non-monetary forms of gratification</w:t>
      </w:r>
      <w:r w:rsidRPr="008456F7">
        <w:rPr>
          <w:rFonts w:ascii="Calibri Light" w:hAnsi="Calibri Light" w:cs="Calibri Light"/>
          <w:sz w:val="24"/>
          <w:szCs w:val="24"/>
          <w:lang w:val="en-MY"/>
        </w:rPr>
        <w:t>, such as sexual services, present additional challenges in legal detection and prosecution, complicating efforts to maintain clear boundaries.</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b/>
          <w:bCs/>
          <w:sz w:val="24"/>
          <w:szCs w:val="24"/>
          <w:lang w:val="en-MY"/>
        </w:rPr>
        <w:t>2. Scope of Recipients</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The Islamic ethical approach applies a universal prohibition on the acceptance of gifts by all public officials, regardless of rank or position. Classical texts consistently assert that the duty of trust extends to every level of public service (Ibn Qudamah, 1997; Al-Nawawi, 2005). This universal application is intended to ensure that all officials are held to the same high ethical standard, thereby safeguarding public interest. Ahmed (2018) notes that such a comprehensive standard is essential for maintaining the integrity and impartiality of public service.</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 xml:space="preserve">In contrast, the Indonesian legal framework extends its scope beyond individual public officials by also considering indirect benefits received by family members or close associates. This broader definition is designed to capture forms of gratification that occur indirectly; however, it often results in practical challenges. Sofianti (2017) and Yustia and Arifin (2023) report that an expansive definition can create uncertainty among public </w:t>
      </w:r>
      <w:r w:rsidRPr="008456F7">
        <w:rPr>
          <w:rFonts w:ascii="Calibri Light" w:hAnsi="Calibri Light" w:cs="Calibri Light"/>
          <w:sz w:val="24"/>
          <w:szCs w:val="24"/>
          <w:lang w:val="en-MY"/>
        </w:rPr>
        <w:lastRenderedPageBreak/>
        <w:t>officials regarding which benefits should be reported. Koeswayo et al. (2024) indicate that this uncertainty leads to inconsistent reporting practices, thereby weakening the overall effectiveness of anti-gratification measures. Additionally, cultural expectations play a significant role: as Nurliza et al. (2023) explain, many gifts are perceived as normal expressions of goodwill rather than as potential inducements for corruption, which further complicates the enforcement process.</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b/>
          <w:bCs/>
          <w:sz w:val="24"/>
          <w:szCs w:val="24"/>
          <w:lang w:val="en-MY"/>
        </w:rPr>
        <w:t xml:space="preserve">3. Legal Sanctions </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 xml:space="preserve">Within Islamic jurisprudence, the consequences for violating </w:t>
      </w:r>
      <w:r w:rsidR="005C26C8">
        <w:rPr>
          <w:rFonts w:ascii="Calibri Light" w:hAnsi="Calibri Light" w:cs="Calibri Light"/>
          <w:i/>
          <w:iCs/>
          <w:sz w:val="24"/>
          <w:szCs w:val="24"/>
          <w:lang w:val="en-MY"/>
        </w:rPr>
        <w:t>Hadaya al’-Ummal</w:t>
      </w:r>
      <w:r w:rsidRPr="008456F7">
        <w:rPr>
          <w:rFonts w:ascii="Calibri Light" w:hAnsi="Calibri Light" w:cs="Calibri Light"/>
          <w:sz w:val="24"/>
          <w:szCs w:val="24"/>
          <w:lang w:val="en-MY"/>
        </w:rPr>
        <w:t xml:space="preserve"> are primarily moral and spiritual rather than legal in the conventional sense. The Qur’anic teachings and Hadiths serve as moral guidelines, warning public officials that accepting gifts in violation of ethical norms incurs severe spiritual consequences. Al-Qarḍāwī (1980) explains that such moral accountability is intended to foster an internal sense of responsibility and deter corrupt behavior through the fear of divine retribution. However, while this ethical framework is powerful in theory, its reliance on personal and communal accountability may be less effective within large and complex modern bureaucracies (Ibn Qudamah, 1997; Al-Nawawi, 2005).</w:t>
      </w:r>
    </w:p>
    <w:p w:rsidR="008456F7" w:rsidRPr="008456F7" w:rsidRDefault="00FA64AB" w:rsidP="008456F7">
      <w:pPr>
        <w:spacing w:before="120" w:after="120"/>
        <w:ind w:left="440" w:right="-1" w:hanging="14"/>
        <w:jc w:val="both"/>
        <w:rPr>
          <w:rFonts w:ascii="Calibri Light" w:hAnsi="Calibri Light" w:cs="Calibri Light"/>
          <w:sz w:val="24"/>
          <w:szCs w:val="24"/>
          <w:lang w:val="en-MY"/>
        </w:rPr>
      </w:pPr>
      <w:r>
        <w:rPr>
          <w:rFonts w:ascii="Calibri Light" w:hAnsi="Calibri Light" w:cs="Calibri Light"/>
          <w:sz w:val="24"/>
          <w:szCs w:val="24"/>
          <w:lang w:val="en-MY"/>
        </w:rPr>
        <w:t>On the other hand</w:t>
      </w:r>
      <w:r w:rsidR="008456F7" w:rsidRPr="008456F7">
        <w:rPr>
          <w:rFonts w:ascii="Calibri Light" w:hAnsi="Calibri Light" w:cs="Calibri Light"/>
          <w:sz w:val="24"/>
          <w:szCs w:val="24"/>
          <w:lang w:val="en-MY"/>
        </w:rPr>
        <w:t xml:space="preserve">, the Indonesian legal framework offers explicit sanctions for noncompliance with gratification reporting requirements. Under </w:t>
      </w:r>
      <w:r w:rsidR="008456F7" w:rsidRPr="008456F7">
        <w:rPr>
          <w:rFonts w:ascii="Calibri Light" w:hAnsi="Calibri Light" w:cs="Calibri Light"/>
          <w:i/>
          <w:iCs/>
          <w:sz w:val="24"/>
          <w:szCs w:val="24"/>
          <w:lang w:val="en-MY"/>
        </w:rPr>
        <w:t>Undang-Undang No. 20 Tahun 2001</w:t>
      </w:r>
      <w:r w:rsidR="008456F7" w:rsidRPr="008456F7">
        <w:rPr>
          <w:rFonts w:ascii="Calibri Light" w:hAnsi="Calibri Light" w:cs="Calibri Light"/>
          <w:sz w:val="24"/>
          <w:szCs w:val="24"/>
          <w:lang w:val="en-MY"/>
        </w:rPr>
        <w:t>, public officials who fail to report received gifts face penalties such as fines, imprisonment, or asset confiscation (Hamdani, 2023). This codified approach is designed to produce tangible consequences for corrupt behavior. Yet, as Schultz (20</w:t>
      </w:r>
      <w:r w:rsidR="000E6576">
        <w:rPr>
          <w:rFonts w:ascii="Calibri Light" w:hAnsi="Calibri Light" w:cs="Calibri Light"/>
          <w:sz w:val="24"/>
          <w:szCs w:val="24"/>
          <w:lang w:val="en-MY"/>
        </w:rPr>
        <w:t>1</w:t>
      </w:r>
      <w:r w:rsidR="008456F7" w:rsidRPr="008456F7">
        <w:rPr>
          <w:rFonts w:ascii="Calibri Light" w:hAnsi="Calibri Light" w:cs="Calibri Light"/>
          <w:sz w:val="24"/>
          <w:szCs w:val="24"/>
          <w:lang w:val="en-MY"/>
        </w:rPr>
        <w:t>0) notes, even strict legal sanctions may lose their impact if cultural norms normalize gift giving. Yustia and Arifin (2023) further argue that punitive measures alone are insufficient; effective anti-corruption efforts require comprehensive bureaucratic reforms that promote transparency and accountability. Research by Junaidi et al. (2024) on fraud detection in public sector institutions reinforces the idea that a combination of legal enforcement and technological innovation enhances overall accountability.</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b/>
          <w:bCs/>
          <w:sz w:val="24"/>
          <w:szCs w:val="24"/>
          <w:lang w:val="en-MY"/>
        </w:rPr>
        <w:t>4. Reporting Mechanisms</w:t>
      </w:r>
    </w:p>
    <w:p w:rsidR="000E6576" w:rsidRPr="000E6576" w:rsidRDefault="000E6576" w:rsidP="000E6576">
      <w:pPr>
        <w:spacing w:before="120" w:after="120"/>
        <w:ind w:left="440" w:right="-1" w:hanging="14"/>
        <w:jc w:val="both"/>
        <w:rPr>
          <w:rFonts w:ascii="Calibri Light" w:hAnsi="Calibri Light" w:cs="Calibri Light"/>
          <w:sz w:val="24"/>
          <w:szCs w:val="24"/>
          <w:lang w:val="en-MY"/>
        </w:rPr>
      </w:pPr>
      <w:r w:rsidRPr="000E6576">
        <w:rPr>
          <w:rFonts w:ascii="Calibri Light" w:hAnsi="Calibri Light" w:cs="Calibri Light"/>
          <w:sz w:val="24"/>
          <w:szCs w:val="24"/>
          <w:lang w:val="en-MY"/>
        </w:rPr>
        <w:t>In the Islamic framework, formal reporting mechanisms are not established because accountability is enforced through personal ethics and community oversight. Traditionally, Islamic governance relied on the principle of self-disclosure where public officials were expected to declare their assets and benefits, and community members played an active role in monitoring behavior (Ibn Qudamah, 1997). This informal system served to maintain ethical standards and prevent corruption through social pressure and the fear of spiritual accountability.</w:t>
      </w:r>
    </w:p>
    <w:p w:rsidR="000E6576" w:rsidRPr="000E6576" w:rsidRDefault="000E6576" w:rsidP="000E6576">
      <w:pPr>
        <w:spacing w:before="120" w:after="120"/>
        <w:ind w:left="440" w:right="-1" w:hanging="14"/>
        <w:jc w:val="both"/>
        <w:rPr>
          <w:rFonts w:ascii="Calibri Light" w:hAnsi="Calibri Light" w:cs="Calibri Light"/>
          <w:sz w:val="24"/>
          <w:szCs w:val="24"/>
          <w:lang w:val="en-MY"/>
        </w:rPr>
      </w:pPr>
      <w:r w:rsidRPr="000E6576">
        <w:rPr>
          <w:rFonts w:ascii="Calibri Light" w:hAnsi="Calibri Light" w:cs="Calibri Light"/>
          <w:sz w:val="24"/>
          <w:szCs w:val="24"/>
          <w:lang w:val="en-MY"/>
        </w:rPr>
        <w:t xml:space="preserve">In contrast, the Indonesian legal framework mandates that public officials report any received gratification within thirty days to the </w:t>
      </w:r>
      <w:r w:rsidRPr="000E6576">
        <w:rPr>
          <w:rFonts w:ascii="Calibri Light" w:hAnsi="Calibri Light" w:cs="Calibri Light"/>
          <w:i/>
          <w:iCs/>
          <w:sz w:val="24"/>
          <w:szCs w:val="24"/>
          <w:lang w:val="en-MY"/>
        </w:rPr>
        <w:t>Komisi Pemberantasan Korupsi</w:t>
      </w:r>
      <w:r w:rsidRPr="000E6576">
        <w:rPr>
          <w:rFonts w:ascii="Calibri Light" w:hAnsi="Calibri Light" w:cs="Calibri Light"/>
          <w:sz w:val="24"/>
          <w:szCs w:val="24"/>
          <w:lang w:val="en-MY"/>
        </w:rPr>
        <w:t xml:space="preserve"> (</w:t>
      </w:r>
      <w:r w:rsidR="005C26C8">
        <w:rPr>
          <w:rFonts w:ascii="Calibri Light" w:hAnsi="Calibri Light" w:cs="Calibri Light"/>
          <w:sz w:val="24"/>
          <w:szCs w:val="24"/>
          <w:lang w:val="en-MY"/>
        </w:rPr>
        <w:t>KPK</w:t>
      </w:r>
      <w:r w:rsidRPr="000E6576">
        <w:rPr>
          <w:rFonts w:ascii="Calibri Light" w:hAnsi="Calibri Light" w:cs="Calibri Light"/>
          <w:sz w:val="24"/>
          <w:szCs w:val="24"/>
          <w:lang w:val="en-MY"/>
        </w:rPr>
        <w:t xml:space="preserve">, 2023). To facilitate this process, digital reporting platforms have been implemented to enhance transparency and accountability. However, the effectiveness of these formal systems is often undermined by cultural practices. During religious and cultural celebrations, gift giving is regarded as a customary practice and may not be reported because it is viewed as a normal social exchange (Nurliza et al., 2023; Sofianti, 2017). </w:t>
      </w:r>
      <w:r w:rsidRPr="000E6576">
        <w:rPr>
          <w:rFonts w:ascii="Calibri Light" w:hAnsi="Calibri Light" w:cs="Calibri Light"/>
          <w:sz w:val="24"/>
          <w:szCs w:val="24"/>
          <w:lang w:val="en-MY"/>
        </w:rPr>
        <w:lastRenderedPageBreak/>
        <w:t>Paranata (2022) observes that such inconsistent reporting diminishes the deterrent effect of legal sanctions, as ambiguity regarding what constitutes a reportable gift creates gaps between legislative intent and practical enforcement.</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b/>
          <w:bCs/>
          <w:sz w:val="24"/>
          <w:szCs w:val="24"/>
          <w:lang w:val="en-MY"/>
        </w:rPr>
        <w:t>5. Handling of Received Gifts</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Handling of received gifts is another area where the two frameworks diverge. In Islamic practice, any gift received by a public official in the course of their duty must be returned to the public treasury. This strict directive is intended to prevent personal enrichment from public office and to preserve the integrity of public service (Al-Nawawi, 2005). Ahmed (2018) underscores that the clarity of this directive has historically contributed to maintaining public trust by eliminating conflicts of interest.</w:t>
      </w:r>
    </w:p>
    <w:p w:rsidR="008456F7" w:rsidRPr="008456F7" w:rsidRDefault="008456F7" w:rsidP="008456F7">
      <w:pPr>
        <w:spacing w:before="120" w:after="120"/>
        <w:ind w:left="440" w:right="-1" w:hanging="14"/>
        <w:jc w:val="both"/>
        <w:rPr>
          <w:rFonts w:ascii="Calibri Light" w:hAnsi="Calibri Light" w:cs="Calibri Light"/>
          <w:sz w:val="24"/>
          <w:szCs w:val="24"/>
          <w:lang w:val="en-MY"/>
        </w:rPr>
      </w:pPr>
      <w:r w:rsidRPr="008456F7">
        <w:rPr>
          <w:rFonts w:ascii="Calibri Light" w:hAnsi="Calibri Light" w:cs="Calibri Light"/>
          <w:sz w:val="24"/>
          <w:szCs w:val="24"/>
          <w:lang w:val="en-MY"/>
        </w:rPr>
        <w:t>In contrast, Indonesian law permits public officials to retain gifts if they are reported within the designated timeframe and if the gift is deemed not to influence their official duties (Hamdani, 2023). While this conditional approach seeks to respect cultural traditions, it often results in ambiguity. Sofianti (2017) and Yustia and Arifin (2023) report that such flexibility leads to inconsistent enforcement practices. For instance, smaller tokens of appreciation may be overlooked, whereas larger or ambiguous gifts may be interpreted differently by officials. Koeswayo et al. (2024) note that these inconsistencies weaken anti-corruption measures by creating loopholes that corrupt practices can exploit. In addition, nonmonetary forms of gratification, including sexual services, further complicate the legal landscape, as these are difficult to monitor and prosecute (Rasjidi, 2023; Coleman et al., 2024).</w:t>
      </w:r>
    </w:p>
    <w:p w:rsidR="009D6F37" w:rsidRDefault="009A6821" w:rsidP="00EE114B">
      <w:pPr>
        <w:ind w:left="440" w:hanging="14"/>
        <w:jc w:val="both"/>
        <w:rPr>
          <w:rFonts w:ascii="Calibri Light" w:hAnsi="Calibri Light" w:cs="Calibri Light"/>
          <w:sz w:val="24"/>
          <w:szCs w:val="24"/>
          <w:lang w:val="en-MY"/>
        </w:rPr>
      </w:pPr>
      <w:r>
        <w:rPr>
          <w:rFonts w:ascii="Calibri Light" w:hAnsi="Calibri Light" w:cs="Calibri Light"/>
          <w:sz w:val="24"/>
          <w:szCs w:val="24"/>
          <w:lang w:val="en-MY"/>
        </w:rPr>
        <w:t>Table 1 summarize</w:t>
      </w:r>
      <w:r w:rsidR="009D6F37" w:rsidRPr="009D6F37">
        <w:rPr>
          <w:rFonts w:ascii="Calibri Light" w:hAnsi="Calibri Light" w:cs="Calibri Light"/>
          <w:sz w:val="24"/>
          <w:szCs w:val="24"/>
          <w:lang w:val="en-MY"/>
        </w:rPr>
        <w:t xml:space="preserve"> the differences and similarities between </w:t>
      </w:r>
      <w:r w:rsidR="009D6F37" w:rsidRPr="009622EA">
        <w:rPr>
          <w:rFonts w:ascii="Calibri Light" w:hAnsi="Calibri Light" w:cs="Calibri Light"/>
          <w:i/>
          <w:iCs/>
          <w:sz w:val="24"/>
          <w:szCs w:val="24"/>
          <w:lang w:val="en-MY"/>
        </w:rPr>
        <w:t>Hadaya al-‘Ummal</w:t>
      </w:r>
      <w:r w:rsidR="009D6F37" w:rsidRPr="009A6821">
        <w:rPr>
          <w:rFonts w:ascii="Calibri Light" w:hAnsi="Calibri Light" w:cs="Calibri Light"/>
          <w:sz w:val="24"/>
          <w:szCs w:val="24"/>
          <w:lang w:val="en-MY"/>
        </w:rPr>
        <w:t xml:space="preserve"> and Indonesian gratification laws across the five key dimensions</w:t>
      </w:r>
      <w:r w:rsidR="00E86377">
        <w:rPr>
          <w:rFonts w:ascii="Calibri Light" w:hAnsi="Calibri Light" w:cs="Calibri Light"/>
          <w:sz w:val="24"/>
          <w:szCs w:val="24"/>
          <w:lang w:val="en-MY"/>
        </w:rPr>
        <w:t>.</w:t>
      </w:r>
      <w:r w:rsidR="00EE114B" w:rsidRPr="00EE114B">
        <w:rPr>
          <w:rFonts w:ascii="Calibri Light" w:hAnsi="Calibri Light" w:cs="Calibri Light"/>
          <w:sz w:val="24"/>
          <w:szCs w:val="24"/>
          <w:lang w:val="en-MY"/>
        </w:rPr>
        <w:t xml:space="preserve"> </w:t>
      </w:r>
    </w:p>
    <w:p w:rsidR="00EE114B" w:rsidRDefault="00EE114B" w:rsidP="00EE114B">
      <w:pPr>
        <w:ind w:left="440" w:hanging="14"/>
        <w:jc w:val="both"/>
        <w:rPr>
          <w:rFonts w:ascii="Calibri Light" w:hAnsi="Calibri Light" w:cs="Calibri Light"/>
          <w:sz w:val="24"/>
          <w:szCs w:val="24"/>
          <w:lang w:val="en-MY"/>
        </w:rPr>
      </w:pPr>
    </w:p>
    <w:p w:rsidR="00171DC3"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 xml:space="preserve">Table 1: Comparison of Hadaya al-‘Ummal and Gratification in Indonesian Law </w:t>
      </w:r>
    </w:p>
    <w:p w:rsidR="009622EA" w:rsidRPr="009A6821" w:rsidRDefault="00C363A2" w:rsidP="009622EA">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Across Key Dimensions</w:t>
      </w:r>
    </w:p>
    <w:tbl>
      <w:tblPr>
        <w:tblW w:w="0" w:type="auto"/>
        <w:jc w:val="center"/>
        <w:tblBorders>
          <w:top w:val="single" w:sz="4" w:space="0" w:color="7F7F7F"/>
          <w:bottom w:val="single" w:sz="4" w:space="0" w:color="7F7F7F"/>
        </w:tblBorders>
        <w:tblLook w:val="04A0" w:firstRow="1" w:lastRow="0" w:firstColumn="1" w:lastColumn="0" w:noHBand="0" w:noVBand="1"/>
      </w:tblPr>
      <w:tblGrid>
        <w:gridCol w:w="1857"/>
        <w:gridCol w:w="3448"/>
        <w:gridCol w:w="3448"/>
      </w:tblGrid>
      <w:tr w:rsidR="009A6821">
        <w:trPr>
          <w:jc w:val="center"/>
        </w:trPr>
        <w:tc>
          <w:tcPr>
            <w:tcW w:w="1857" w:type="dxa"/>
            <w:tcBorders>
              <w:top w:val="single" w:sz="4" w:space="0" w:color="7F7F7F"/>
              <w:bottom w:val="single" w:sz="4" w:space="0" w:color="7F7F7F"/>
            </w:tcBorders>
            <w:hideMark/>
          </w:tcPr>
          <w:p w:rsidR="009D6F37" w:rsidRDefault="009D6F37">
            <w:pPr>
              <w:ind w:left="436" w:hanging="11"/>
              <w:jc w:val="both"/>
              <w:rPr>
                <w:rFonts w:ascii="Calibri Light" w:hAnsi="Calibri Light" w:cs="Calibri Light"/>
                <w:b/>
                <w:bCs/>
                <w:sz w:val="24"/>
                <w:szCs w:val="24"/>
                <w:lang w:val="en-MY"/>
              </w:rPr>
            </w:pPr>
            <w:r>
              <w:rPr>
                <w:rFonts w:ascii="Calibri Light" w:hAnsi="Calibri Light" w:cs="Calibri Light"/>
                <w:b/>
                <w:bCs/>
                <w:sz w:val="24"/>
                <w:szCs w:val="24"/>
                <w:lang w:val="en-MY"/>
              </w:rPr>
              <w:t>Dimension</w:t>
            </w:r>
          </w:p>
        </w:tc>
        <w:tc>
          <w:tcPr>
            <w:tcW w:w="3448" w:type="dxa"/>
            <w:tcBorders>
              <w:top w:val="single" w:sz="4" w:space="0" w:color="7F7F7F"/>
              <w:bottom w:val="single" w:sz="4" w:space="0" w:color="7F7F7F"/>
            </w:tcBorders>
            <w:hideMark/>
          </w:tcPr>
          <w:p w:rsidR="00E86377" w:rsidRPr="009622EA" w:rsidRDefault="009D6F37">
            <w:pPr>
              <w:ind w:left="436" w:hanging="11"/>
              <w:rPr>
                <w:rFonts w:ascii="Calibri Light" w:hAnsi="Calibri Light" w:cs="Calibri Light"/>
                <w:b/>
                <w:bCs/>
                <w:i/>
                <w:iCs/>
                <w:sz w:val="24"/>
                <w:szCs w:val="24"/>
                <w:lang w:val="en-MY"/>
              </w:rPr>
            </w:pPr>
            <w:r w:rsidRPr="009622EA">
              <w:rPr>
                <w:rFonts w:ascii="Calibri Light" w:hAnsi="Calibri Light" w:cs="Calibri Light"/>
                <w:b/>
                <w:bCs/>
                <w:i/>
                <w:iCs/>
                <w:sz w:val="24"/>
                <w:szCs w:val="24"/>
                <w:lang w:val="en-MY"/>
              </w:rPr>
              <w:t xml:space="preserve">Hadaya al-‘Ummal </w:t>
            </w:r>
          </w:p>
          <w:p w:rsidR="009D6F37" w:rsidRDefault="009D6F37">
            <w:pPr>
              <w:ind w:left="436" w:hanging="11"/>
              <w:rPr>
                <w:rFonts w:ascii="Calibri Light" w:hAnsi="Calibri Light" w:cs="Calibri Light"/>
                <w:b/>
                <w:bCs/>
                <w:sz w:val="24"/>
                <w:szCs w:val="24"/>
                <w:lang w:val="en-MY"/>
              </w:rPr>
            </w:pPr>
            <w:r>
              <w:rPr>
                <w:rFonts w:ascii="Calibri Light" w:hAnsi="Calibri Light" w:cs="Calibri Light"/>
                <w:b/>
                <w:bCs/>
                <w:sz w:val="24"/>
                <w:szCs w:val="24"/>
                <w:lang w:val="en-MY"/>
              </w:rPr>
              <w:t>(Islamic Law)</w:t>
            </w:r>
          </w:p>
        </w:tc>
        <w:tc>
          <w:tcPr>
            <w:tcW w:w="3448" w:type="dxa"/>
            <w:tcBorders>
              <w:top w:val="single" w:sz="4" w:space="0" w:color="7F7F7F"/>
              <w:bottom w:val="single" w:sz="4" w:space="0" w:color="7F7F7F"/>
            </w:tcBorders>
            <w:hideMark/>
          </w:tcPr>
          <w:p w:rsidR="00E86377" w:rsidRDefault="009D6F37">
            <w:pPr>
              <w:ind w:left="436" w:hanging="11"/>
              <w:jc w:val="both"/>
              <w:rPr>
                <w:rFonts w:ascii="Calibri Light" w:hAnsi="Calibri Light" w:cs="Calibri Light"/>
                <w:b/>
                <w:bCs/>
                <w:sz w:val="24"/>
                <w:szCs w:val="24"/>
                <w:lang w:val="en-MY"/>
              </w:rPr>
            </w:pPr>
            <w:r>
              <w:rPr>
                <w:rFonts w:ascii="Calibri Light" w:hAnsi="Calibri Light" w:cs="Calibri Light"/>
                <w:b/>
                <w:bCs/>
                <w:sz w:val="24"/>
                <w:szCs w:val="24"/>
                <w:lang w:val="en-MY"/>
              </w:rPr>
              <w:t xml:space="preserve">Gratification </w:t>
            </w:r>
          </w:p>
          <w:p w:rsidR="009D6F37" w:rsidRDefault="009D6F37">
            <w:pPr>
              <w:ind w:left="436" w:hanging="11"/>
              <w:jc w:val="both"/>
              <w:rPr>
                <w:rFonts w:ascii="Calibri Light" w:hAnsi="Calibri Light" w:cs="Calibri Light"/>
                <w:b/>
                <w:bCs/>
                <w:sz w:val="24"/>
                <w:szCs w:val="24"/>
                <w:lang w:val="en-MY"/>
              </w:rPr>
            </w:pPr>
            <w:r>
              <w:rPr>
                <w:rFonts w:ascii="Calibri Light" w:hAnsi="Calibri Light" w:cs="Calibri Light"/>
                <w:b/>
                <w:bCs/>
                <w:sz w:val="24"/>
                <w:szCs w:val="24"/>
                <w:lang w:val="en-MY"/>
              </w:rPr>
              <w:t>(Indonesian Law)</w:t>
            </w:r>
          </w:p>
        </w:tc>
      </w:tr>
      <w:tr w:rsidR="009A6821">
        <w:trPr>
          <w:jc w:val="center"/>
        </w:trPr>
        <w:tc>
          <w:tcPr>
            <w:tcW w:w="1857" w:type="dxa"/>
            <w:tcBorders>
              <w:top w:val="single" w:sz="4" w:space="0" w:color="7F7F7F"/>
              <w:bottom w:val="single" w:sz="4" w:space="0" w:color="7F7F7F"/>
            </w:tcBorders>
            <w:hideMark/>
          </w:tcPr>
          <w:p w:rsidR="009D6F37" w:rsidRDefault="009D6F37">
            <w:pPr>
              <w:ind w:left="14" w:right="-1" w:hanging="14"/>
              <w:jc w:val="both"/>
              <w:rPr>
                <w:rFonts w:ascii="Calibri Light" w:hAnsi="Calibri Light" w:cs="Calibri Light"/>
                <w:b/>
                <w:bCs/>
                <w:sz w:val="24"/>
                <w:szCs w:val="24"/>
                <w:lang w:val="en-MY"/>
              </w:rPr>
            </w:pPr>
            <w:r>
              <w:rPr>
                <w:rFonts w:ascii="Calibri Light" w:hAnsi="Calibri Light" w:cs="Calibri Light"/>
                <w:b/>
                <w:bCs/>
                <w:sz w:val="24"/>
                <w:szCs w:val="24"/>
                <w:lang w:val="en-MY"/>
              </w:rPr>
              <w:t>Definition</w:t>
            </w:r>
          </w:p>
        </w:tc>
        <w:tc>
          <w:tcPr>
            <w:tcW w:w="3448" w:type="dxa"/>
            <w:tcBorders>
              <w:top w:val="single" w:sz="4" w:space="0" w:color="7F7F7F"/>
              <w:bottom w:val="single" w:sz="4" w:space="0" w:color="7F7F7F"/>
            </w:tcBorders>
            <w:hideMark/>
          </w:tcPr>
          <w:p w:rsidR="009D6F37" w:rsidRPr="009622EA" w:rsidRDefault="009622EA">
            <w:pPr>
              <w:ind w:left="14" w:right="-1" w:hanging="14"/>
              <w:rPr>
                <w:rFonts w:ascii="Calibri Light" w:hAnsi="Calibri Light" w:cs="Calibri Light"/>
                <w:sz w:val="24"/>
                <w:szCs w:val="24"/>
                <w:lang w:val="en-MY"/>
              </w:rPr>
            </w:pPr>
            <w:r w:rsidRPr="009622EA">
              <w:rPr>
                <w:rFonts w:ascii="Calibri Light" w:hAnsi="Calibri Light" w:cs="Calibri Light"/>
                <w:sz w:val="24"/>
                <w:szCs w:val="24"/>
                <w:lang w:val="en-MY"/>
              </w:rPr>
              <w:t>Prohibits any gift or benefit that might compromise public trust, providing a clear ethical directive based on religious teachings (Ibn Qudamah, 1997; Al-Nawawi, 2005; Abdul Karim et al., 2016).</w:t>
            </w:r>
          </w:p>
        </w:tc>
        <w:tc>
          <w:tcPr>
            <w:tcW w:w="3448" w:type="dxa"/>
            <w:tcBorders>
              <w:top w:val="single" w:sz="4" w:space="0" w:color="7F7F7F"/>
              <w:bottom w:val="single" w:sz="4" w:space="0" w:color="7F7F7F"/>
            </w:tcBorders>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t>Defines gratification as any gift or benefit given to public officials but permits acceptance if reported within a specific period, usually thirty days (Hamdani, 2023; Nurliza et al., 2023).</w:t>
            </w:r>
          </w:p>
        </w:tc>
      </w:tr>
      <w:tr w:rsidR="009A6821">
        <w:trPr>
          <w:jc w:val="center"/>
        </w:trPr>
        <w:tc>
          <w:tcPr>
            <w:tcW w:w="1857" w:type="dxa"/>
            <w:hideMark/>
          </w:tcPr>
          <w:p w:rsidR="009D6F37" w:rsidRDefault="009D6F37">
            <w:pPr>
              <w:ind w:left="14" w:right="-1" w:hanging="14"/>
              <w:rPr>
                <w:rFonts w:ascii="Calibri Light" w:hAnsi="Calibri Light" w:cs="Calibri Light"/>
                <w:b/>
                <w:bCs/>
                <w:sz w:val="24"/>
                <w:szCs w:val="24"/>
                <w:lang w:val="en-MY"/>
              </w:rPr>
            </w:pPr>
            <w:r>
              <w:rPr>
                <w:rFonts w:ascii="Calibri Light" w:hAnsi="Calibri Light" w:cs="Calibri Light"/>
                <w:b/>
                <w:bCs/>
                <w:sz w:val="24"/>
                <w:szCs w:val="24"/>
                <w:lang w:val="en-MY"/>
              </w:rPr>
              <w:t>Scope of Recipients</w:t>
            </w:r>
          </w:p>
        </w:tc>
        <w:tc>
          <w:tcPr>
            <w:tcW w:w="3448" w:type="dxa"/>
            <w:hideMark/>
          </w:tcPr>
          <w:p w:rsidR="009D6F37" w:rsidRPr="009622EA" w:rsidRDefault="009622EA">
            <w:pPr>
              <w:ind w:left="14" w:right="-1" w:hanging="14"/>
              <w:rPr>
                <w:rFonts w:ascii="Calibri Light" w:hAnsi="Calibri Light" w:cs="Calibri Light"/>
                <w:sz w:val="24"/>
                <w:szCs w:val="24"/>
                <w:lang w:val="en-MY"/>
              </w:rPr>
            </w:pPr>
            <w:r w:rsidRPr="009622EA">
              <w:rPr>
                <w:rFonts w:ascii="Calibri Light" w:hAnsi="Calibri Light" w:cs="Calibri Light"/>
                <w:sz w:val="24"/>
                <w:szCs w:val="24"/>
                <w:lang w:val="en-MY"/>
              </w:rPr>
              <w:t>Applies universally to all public officials regardless of rank, emphasizing a strict moral obligation to maintain impartiality (Ibn Qudamah, 1997; Al-Nawawi, 2005; Ahmed, 2018).</w:t>
            </w:r>
          </w:p>
        </w:tc>
        <w:tc>
          <w:tcPr>
            <w:tcW w:w="3448" w:type="dxa"/>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t>Extends beyond individual public officials to include indirect benefits received by family members or close associates, which can create ambiguity (Sofianti, 2017; Yustia &amp; Arifin, 2023).</w:t>
            </w:r>
          </w:p>
        </w:tc>
      </w:tr>
      <w:tr w:rsidR="009A6821">
        <w:trPr>
          <w:jc w:val="center"/>
        </w:trPr>
        <w:tc>
          <w:tcPr>
            <w:tcW w:w="1857" w:type="dxa"/>
            <w:tcBorders>
              <w:top w:val="single" w:sz="4" w:space="0" w:color="7F7F7F"/>
              <w:bottom w:val="single" w:sz="4" w:space="0" w:color="7F7F7F"/>
            </w:tcBorders>
            <w:hideMark/>
          </w:tcPr>
          <w:p w:rsidR="009D6F37" w:rsidRDefault="009D6F37">
            <w:pPr>
              <w:ind w:left="14" w:right="-1" w:hanging="14"/>
              <w:jc w:val="both"/>
              <w:rPr>
                <w:rFonts w:ascii="Calibri Light" w:hAnsi="Calibri Light" w:cs="Calibri Light"/>
                <w:b/>
                <w:bCs/>
                <w:sz w:val="24"/>
                <w:szCs w:val="24"/>
                <w:lang w:val="en-MY"/>
              </w:rPr>
            </w:pPr>
            <w:r>
              <w:rPr>
                <w:rFonts w:ascii="Calibri Light" w:hAnsi="Calibri Light" w:cs="Calibri Light"/>
                <w:b/>
                <w:bCs/>
                <w:sz w:val="24"/>
                <w:szCs w:val="24"/>
                <w:lang w:val="en-MY"/>
              </w:rPr>
              <w:t>Legal Sanctions</w:t>
            </w:r>
          </w:p>
        </w:tc>
        <w:tc>
          <w:tcPr>
            <w:tcW w:w="3448" w:type="dxa"/>
            <w:tcBorders>
              <w:top w:val="single" w:sz="4" w:space="0" w:color="7F7F7F"/>
              <w:bottom w:val="single" w:sz="4" w:space="0" w:color="7F7F7F"/>
            </w:tcBorders>
            <w:hideMark/>
          </w:tcPr>
          <w:p w:rsidR="009D6F37" w:rsidRPr="009622EA" w:rsidRDefault="009622EA">
            <w:pPr>
              <w:ind w:left="14" w:right="-1" w:hanging="14"/>
              <w:rPr>
                <w:rFonts w:ascii="Calibri Light" w:hAnsi="Calibri Light" w:cs="Calibri Light"/>
                <w:sz w:val="24"/>
                <w:szCs w:val="24"/>
                <w:lang w:val="en-MY"/>
              </w:rPr>
            </w:pPr>
            <w:r w:rsidRPr="009622EA">
              <w:rPr>
                <w:rFonts w:ascii="Calibri Light" w:hAnsi="Calibri Light" w:cs="Calibri Light"/>
                <w:sz w:val="24"/>
                <w:szCs w:val="24"/>
                <w:lang w:val="en-MY"/>
              </w:rPr>
              <w:t xml:space="preserve">Relies on moral and spiritual accountability without formal </w:t>
            </w:r>
            <w:r w:rsidRPr="009622EA">
              <w:rPr>
                <w:rFonts w:ascii="Calibri Light" w:hAnsi="Calibri Light" w:cs="Calibri Light"/>
                <w:sz w:val="24"/>
                <w:szCs w:val="24"/>
                <w:lang w:val="en-MY"/>
              </w:rPr>
              <w:lastRenderedPageBreak/>
              <w:t>legal penalties, deterring corruption through religious teachings and the expectation of divine retribution (Al-Bukhari, 1993).</w:t>
            </w:r>
          </w:p>
        </w:tc>
        <w:tc>
          <w:tcPr>
            <w:tcW w:w="3448" w:type="dxa"/>
            <w:tcBorders>
              <w:top w:val="single" w:sz="4" w:space="0" w:color="7F7F7F"/>
              <w:bottom w:val="single" w:sz="4" w:space="0" w:color="7F7F7F"/>
            </w:tcBorders>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lastRenderedPageBreak/>
              <w:t xml:space="preserve">Provides explicit legal sanctions such as fines, imprisonment, and </w:t>
            </w:r>
            <w:r w:rsidRPr="009622EA">
              <w:rPr>
                <w:rFonts w:ascii="Calibri Light" w:hAnsi="Calibri Light" w:cs="Calibri Light"/>
                <w:sz w:val="24"/>
                <w:szCs w:val="24"/>
                <w:lang w:val="en-MY"/>
              </w:rPr>
              <w:lastRenderedPageBreak/>
              <w:t>asset confiscation for noncompliance with reporting requirements (Hamdani, 2023; Undang-Undang No. 20 Tahun 2001).</w:t>
            </w:r>
          </w:p>
        </w:tc>
      </w:tr>
      <w:tr w:rsidR="009A6821">
        <w:trPr>
          <w:jc w:val="center"/>
        </w:trPr>
        <w:tc>
          <w:tcPr>
            <w:tcW w:w="1857" w:type="dxa"/>
            <w:hideMark/>
          </w:tcPr>
          <w:p w:rsidR="009D6F37" w:rsidRDefault="009D6F37">
            <w:pPr>
              <w:ind w:left="14" w:right="-1" w:hanging="14"/>
              <w:jc w:val="both"/>
              <w:rPr>
                <w:rFonts w:ascii="Calibri Light" w:hAnsi="Calibri Light" w:cs="Calibri Light"/>
                <w:b/>
                <w:bCs/>
                <w:sz w:val="24"/>
                <w:szCs w:val="24"/>
                <w:lang w:val="en-MY"/>
              </w:rPr>
            </w:pPr>
            <w:r>
              <w:rPr>
                <w:rFonts w:ascii="Calibri Light" w:hAnsi="Calibri Light" w:cs="Calibri Light"/>
                <w:b/>
                <w:bCs/>
                <w:sz w:val="24"/>
                <w:szCs w:val="24"/>
                <w:lang w:val="en-MY"/>
              </w:rPr>
              <w:lastRenderedPageBreak/>
              <w:t>Reporting Mechanisms</w:t>
            </w:r>
          </w:p>
        </w:tc>
        <w:tc>
          <w:tcPr>
            <w:tcW w:w="3448" w:type="dxa"/>
            <w:hideMark/>
          </w:tcPr>
          <w:p w:rsidR="009D6F37" w:rsidRPr="009622EA" w:rsidRDefault="009622EA">
            <w:pPr>
              <w:ind w:left="14" w:right="-1" w:hanging="14"/>
              <w:rPr>
                <w:rFonts w:ascii="Calibri Light" w:hAnsi="Calibri Light" w:cs="Calibri Light"/>
                <w:sz w:val="24"/>
                <w:szCs w:val="24"/>
                <w:lang w:val="en-MY"/>
              </w:rPr>
            </w:pPr>
            <w:r w:rsidRPr="009622EA">
              <w:rPr>
                <w:rFonts w:ascii="Calibri Light" w:hAnsi="Calibri Light" w:cs="Calibri Light"/>
                <w:sz w:val="24"/>
                <w:szCs w:val="24"/>
                <w:lang w:val="en-MY"/>
              </w:rPr>
              <w:t>Lacks formal reporting channels; accountability is maintained through personal ethics and community oversight (Ibn Qudamah, 1997)</w:t>
            </w:r>
            <w:r w:rsidR="009D6F37" w:rsidRPr="009622EA">
              <w:rPr>
                <w:rFonts w:ascii="Calibri Light" w:hAnsi="Calibri Light" w:cs="Calibri Light"/>
                <w:sz w:val="24"/>
                <w:szCs w:val="24"/>
                <w:lang w:val="en-MY"/>
              </w:rPr>
              <w:t>.</w:t>
            </w:r>
          </w:p>
        </w:tc>
        <w:tc>
          <w:tcPr>
            <w:tcW w:w="3448" w:type="dxa"/>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t>Mandates that public officials report received benefits within thirty days to the Komisi Pemberantasan Korupsi, supported by digital reporting platforms (Komisi Pemberantasan Korupsi, 2015, 2023).</w:t>
            </w:r>
          </w:p>
        </w:tc>
      </w:tr>
      <w:tr w:rsidR="009A6821">
        <w:trPr>
          <w:jc w:val="center"/>
        </w:trPr>
        <w:tc>
          <w:tcPr>
            <w:tcW w:w="1857" w:type="dxa"/>
            <w:tcBorders>
              <w:top w:val="single" w:sz="4" w:space="0" w:color="7F7F7F"/>
              <w:bottom w:val="single" w:sz="4" w:space="0" w:color="7F7F7F"/>
            </w:tcBorders>
            <w:hideMark/>
          </w:tcPr>
          <w:p w:rsidR="009D6F37" w:rsidRDefault="009D6F37">
            <w:pPr>
              <w:ind w:left="14" w:right="-1" w:hanging="14"/>
              <w:jc w:val="both"/>
              <w:rPr>
                <w:rFonts w:ascii="Calibri Light" w:hAnsi="Calibri Light" w:cs="Calibri Light"/>
                <w:b/>
                <w:bCs/>
                <w:sz w:val="24"/>
                <w:szCs w:val="24"/>
                <w:lang w:val="en-MY"/>
              </w:rPr>
            </w:pPr>
            <w:r>
              <w:rPr>
                <w:rFonts w:ascii="Calibri Light" w:hAnsi="Calibri Light" w:cs="Calibri Light"/>
                <w:b/>
                <w:bCs/>
                <w:sz w:val="24"/>
                <w:szCs w:val="24"/>
                <w:lang w:val="en-MY"/>
              </w:rPr>
              <w:t>Handling of Gifts</w:t>
            </w:r>
          </w:p>
        </w:tc>
        <w:tc>
          <w:tcPr>
            <w:tcW w:w="3448" w:type="dxa"/>
            <w:tcBorders>
              <w:top w:val="single" w:sz="4" w:space="0" w:color="7F7F7F"/>
              <w:bottom w:val="single" w:sz="4" w:space="0" w:color="7F7F7F"/>
            </w:tcBorders>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t>Requires that any benefit received in an official capacity be returned to the public treasury to prevent personal enrichment (Al-Nawawi, 2005).</w:t>
            </w:r>
          </w:p>
        </w:tc>
        <w:tc>
          <w:tcPr>
            <w:tcW w:w="3448" w:type="dxa"/>
            <w:tcBorders>
              <w:top w:val="single" w:sz="4" w:space="0" w:color="7F7F7F"/>
              <w:bottom w:val="single" w:sz="4" w:space="0" w:color="7F7F7F"/>
            </w:tcBorders>
            <w:hideMark/>
          </w:tcPr>
          <w:p w:rsidR="009D6F37" w:rsidRPr="009622EA" w:rsidRDefault="009622EA">
            <w:pPr>
              <w:ind w:left="14" w:right="-1" w:hanging="14"/>
              <w:jc w:val="both"/>
              <w:rPr>
                <w:rFonts w:ascii="Calibri Light" w:hAnsi="Calibri Light" w:cs="Calibri Light"/>
                <w:sz w:val="24"/>
                <w:szCs w:val="24"/>
                <w:lang w:val="en-MY"/>
              </w:rPr>
            </w:pPr>
            <w:r w:rsidRPr="009622EA">
              <w:rPr>
                <w:rFonts w:ascii="Calibri Light" w:hAnsi="Calibri Light" w:cs="Calibri Light"/>
                <w:sz w:val="24"/>
                <w:szCs w:val="24"/>
                <w:lang w:val="en-MY"/>
              </w:rPr>
              <w:t>Allows public officials to retain gifts if reported and determined not to influence their duties, though this conditional approach can lead to inconsistencies (Hamdani, 2023; Sofianti, 2017)</w:t>
            </w:r>
          </w:p>
        </w:tc>
      </w:tr>
    </w:tbl>
    <w:p w:rsidR="002D5CE8" w:rsidRDefault="002D5CE8" w:rsidP="00171DC3">
      <w:pPr>
        <w:pStyle w:val="ListParagraph"/>
        <w:spacing w:before="120" w:after="120"/>
        <w:ind w:left="0" w:right="-1"/>
        <w:jc w:val="both"/>
        <w:rPr>
          <w:rFonts w:ascii="Calibri Light" w:hAnsi="Calibri Light" w:cs="Calibri Light"/>
          <w:i/>
          <w:iCs/>
          <w:sz w:val="24"/>
          <w:szCs w:val="24"/>
          <w:lang w:val="en-MY"/>
        </w:rPr>
      </w:pPr>
    </w:p>
    <w:p w:rsidR="00964AB9" w:rsidRDefault="00964AB9" w:rsidP="00964AB9">
      <w:pPr>
        <w:ind w:left="440" w:hanging="14"/>
        <w:jc w:val="both"/>
        <w:rPr>
          <w:rFonts w:ascii="Calibri Light" w:hAnsi="Calibri Light" w:cs="Calibri Light"/>
          <w:sz w:val="24"/>
          <w:szCs w:val="24"/>
          <w:lang w:val="en-MY"/>
        </w:rPr>
      </w:pPr>
      <w:r w:rsidRPr="00EE114B">
        <w:rPr>
          <w:rFonts w:ascii="Calibri Light" w:hAnsi="Calibri Light" w:cs="Calibri Light"/>
          <w:sz w:val="24"/>
          <w:szCs w:val="24"/>
          <w:lang w:val="en-MY"/>
        </w:rPr>
        <w:t>High-profile cases involving Dede Hasan Basri, Kaesang Pangarep, and Abdul Gani Kasuba further illustrate the practical challenges associated with the Indonesian legal framework. These cases highlight how ambiguities in definitions and reporting requirements have led to inconsistent judicial outcomes and underscore the need for clearer guidelines and enhanced oversight (</w:t>
      </w:r>
      <w:r w:rsidR="00EC322C">
        <w:rPr>
          <w:rFonts w:ascii="Calibri Light" w:hAnsi="Calibri Light" w:cs="Calibri Light"/>
          <w:sz w:val="24"/>
          <w:szCs w:val="24"/>
          <w:lang w:val="en-MY"/>
        </w:rPr>
        <w:t xml:space="preserve">ANTARA, 2024; </w:t>
      </w:r>
      <w:r w:rsidRPr="00EE114B">
        <w:rPr>
          <w:rFonts w:ascii="Calibri Light" w:hAnsi="Calibri Light" w:cs="Calibri Light"/>
          <w:sz w:val="24"/>
          <w:szCs w:val="24"/>
          <w:lang w:val="en-MY"/>
        </w:rPr>
        <w:t>Detik.com, 2024; Kompas, 2024).</w:t>
      </w:r>
    </w:p>
    <w:p w:rsidR="00964AB9" w:rsidRPr="00171DC3" w:rsidRDefault="00964AB9" w:rsidP="00171DC3">
      <w:pPr>
        <w:pStyle w:val="ListParagraph"/>
        <w:spacing w:before="120" w:after="120"/>
        <w:ind w:left="0" w:right="-1"/>
        <w:jc w:val="both"/>
        <w:rPr>
          <w:rFonts w:ascii="Calibri Light" w:hAnsi="Calibri Light" w:cs="Calibri Light"/>
          <w:i/>
          <w:iCs/>
          <w:sz w:val="24"/>
          <w:szCs w:val="24"/>
          <w:lang w:val="en-MY"/>
        </w:rPr>
      </w:pPr>
    </w:p>
    <w:p w:rsidR="00C363A2" w:rsidRDefault="00C363A2" w:rsidP="00F369EC">
      <w:pPr>
        <w:spacing w:line="240" w:lineRule="atLeast"/>
        <w:rPr>
          <w:rFonts w:ascii="Calibri Light" w:hAnsi="Calibri Light" w:cs="Calibri Light"/>
          <w:b/>
          <w:color w:val="7030A0"/>
          <w:sz w:val="24"/>
          <w:szCs w:val="24"/>
          <w:lang w:val="id-ID"/>
        </w:rPr>
      </w:pPr>
      <w:r>
        <w:rPr>
          <w:rFonts w:ascii="Calibri Light" w:hAnsi="Calibri Light" w:cs="Calibri Light"/>
          <w:b/>
          <w:sz w:val="24"/>
          <w:szCs w:val="24"/>
          <w:lang w:val="id-ID"/>
        </w:rPr>
        <w:t>I</w:t>
      </w:r>
      <w:r w:rsidR="00F369EC" w:rsidRPr="00122F5F">
        <w:rPr>
          <w:rFonts w:ascii="Calibri Light" w:hAnsi="Calibri Light" w:cs="Calibri Light"/>
          <w:b/>
          <w:sz w:val="24"/>
          <w:szCs w:val="24"/>
          <w:lang w:val="id-ID"/>
        </w:rPr>
        <w:t>V.</w:t>
      </w:r>
      <w:r w:rsidR="00F369EC" w:rsidRPr="00122F5F">
        <w:rPr>
          <w:rFonts w:ascii="Calibri Light" w:hAnsi="Calibri Light" w:cs="Calibri Light"/>
          <w:b/>
          <w:color w:val="7030A0"/>
          <w:sz w:val="24"/>
          <w:szCs w:val="24"/>
          <w:lang w:val="id-ID"/>
        </w:rPr>
        <w:t xml:space="preserve">  </w:t>
      </w:r>
      <w:r>
        <w:rPr>
          <w:rFonts w:ascii="Calibri Light" w:hAnsi="Calibri Light" w:cs="Calibri Light"/>
          <w:b/>
          <w:color w:val="7030A0"/>
          <w:sz w:val="24"/>
          <w:szCs w:val="24"/>
          <w:lang w:val="id-ID"/>
        </w:rPr>
        <w:t>CONCLUSION</w:t>
      </w:r>
    </w:p>
    <w:p w:rsidR="00FA64AB" w:rsidRPr="00FA64AB" w:rsidRDefault="00FA64AB" w:rsidP="00FA64AB">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 xml:space="preserve">This study demonstrates that neither the strict ethical prohibition of </w:t>
      </w:r>
      <w:r w:rsidR="005C26C8">
        <w:rPr>
          <w:rFonts w:ascii="Calibri Light" w:hAnsi="Calibri Light" w:cs="Calibri Light"/>
          <w:bCs/>
          <w:i/>
          <w:iCs/>
          <w:sz w:val="24"/>
          <w:szCs w:val="24"/>
          <w:lang w:val="en-MY"/>
        </w:rPr>
        <w:t>Hadaya al’-Ummal</w:t>
      </w:r>
      <w:r w:rsidRPr="00FA64AB">
        <w:rPr>
          <w:rFonts w:ascii="Calibri Light" w:hAnsi="Calibri Light" w:cs="Calibri Light"/>
          <w:bCs/>
          <w:sz w:val="24"/>
          <w:szCs w:val="24"/>
          <w:lang w:val="en-MY"/>
        </w:rPr>
        <w:t xml:space="preserve"> nor the conditional legal framework on gratification alone is sufficient to curb corruption in Indonesia. The comparative analysis, based on five key dimensions—definition of gift giving, scope of recipients, legal sanctions, reporting mechanisms, and handling of gifts—reveals that while </w:t>
      </w:r>
      <w:r w:rsidR="005C26C8" w:rsidRPr="00EE114B">
        <w:rPr>
          <w:rFonts w:ascii="Calibri Light" w:hAnsi="Calibri Light" w:cs="Calibri Light"/>
          <w:bCs/>
          <w:i/>
          <w:iCs/>
          <w:sz w:val="24"/>
          <w:szCs w:val="24"/>
          <w:lang w:val="en-MY"/>
        </w:rPr>
        <w:t>Hadaya al’-Ummal</w:t>
      </w:r>
      <w:r w:rsidRPr="00FA64AB">
        <w:rPr>
          <w:rFonts w:ascii="Calibri Light" w:hAnsi="Calibri Light" w:cs="Calibri Light"/>
          <w:bCs/>
          <w:sz w:val="24"/>
          <w:szCs w:val="24"/>
          <w:lang w:val="en-MY"/>
        </w:rPr>
        <w:t xml:space="preserve"> offers a clear ethical standard rooted in Islamic teachings, its informal enforcement limits its effectiveness in modern public institutions. In contrast, the Indonesian legal framework provides explicit sanctions and formal reporting channels; however, its broad definitions and cultural nuances lead to ambiguities and inconsistent enforcement.</w:t>
      </w:r>
    </w:p>
    <w:p w:rsidR="00153B56" w:rsidRDefault="00FA64AB" w:rsidP="00153B56">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 xml:space="preserve">The findings indicate that persistent corruption in Indonesia is not solely a result of inadequate legal measures. Rather, it reflects the complex interplay between traditional cultural practices, religious ethics, and modern legal structures. Recent evidence suggests that anti-corruption efforts in Indonesia have focused primarily on punitive measures, whereas comprehensive bureaucratic reforms that promote transparency and accountability are essential (Paranata, 2022; Yustia &amp; Arifin, 2023). Moreover, research </w:t>
      </w:r>
      <w:r w:rsidRPr="00FA64AB">
        <w:rPr>
          <w:rFonts w:ascii="Calibri Light" w:hAnsi="Calibri Light" w:cs="Calibri Light"/>
          <w:bCs/>
          <w:sz w:val="24"/>
          <w:szCs w:val="24"/>
          <w:lang w:val="en-MY"/>
        </w:rPr>
        <w:lastRenderedPageBreak/>
        <w:t>indicates that public governance factors such as voice and accountability, political stability, and the rule of law significantly affect corruption perceptions (Koeswayo et al., 2024).</w:t>
      </w:r>
    </w:p>
    <w:p w:rsidR="00FA64AB" w:rsidRPr="00FA64AB" w:rsidRDefault="00FA64AB" w:rsidP="00153B56">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Based on these insights, policy recommendations include refining the definitions of gift giving to distinguish clearly between culturally accepted practices and those that compromise public integrity, improving digital reporting systems to facilitate anonymous and culturally sensitive submissions, and implementing comprehensive bureaucratic reforms to strengthen internal oversight and ethical behavior among public officials.</w:t>
      </w:r>
      <w:r w:rsidR="00153B56">
        <w:rPr>
          <w:rFonts w:ascii="Calibri Light" w:hAnsi="Calibri Light" w:cs="Calibri Light"/>
          <w:bCs/>
          <w:sz w:val="24"/>
          <w:szCs w:val="24"/>
          <w:lang w:val="en-MY"/>
        </w:rPr>
        <w:t xml:space="preserve"> </w:t>
      </w:r>
      <w:r w:rsidRPr="00FA64AB">
        <w:rPr>
          <w:rFonts w:ascii="Calibri Light" w:hAnsi="Calibri Light" w:cs="Calibri Light"/>
          <w:bCs/>
          <w:sz w:val="24"/>
          <w:szCs w:val="24"/>
          <w:lang w:val="en-MY"/>
        </w:rPr>
        <w:t>Establishing joint oversight committees that include legal experts, religious scholars, and representatives from civil society could further ensure that reported cases are reviewed independently, helping to align enforcement with both cultural and ethical expectations. Additionally, integrating modern technological tools such as big data analytics into fraud detection can enhance the efficiency of anti-corruption measures (Junaidi et al., 2024).</w:t>
      </w:r>
    </w:p>
    <w:p w:rsidR="00FA64AB" w:rsidRPr="00FA64AB" w:rsidRDefault="00FA64AB" w:rsidP="00FA64AB">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Despite the valuable insights provided by this study, several limitations must be acknowledged. First, the analysis relied predominantly on qualitative data from historical texts, legal documents, and selected empirical studies. A more extensive quantitative analysis could offer further insights into the direct impact of specific interventions on corruption levels. Second, the scope of the study was limited by the available literature and case studies, which may not fully capture the diversity of practices across different regions of Indonesia. Cultural factors influencing gift giving are highly nuanced and may vary significantly, thereby limiting the generalizability of the findings.</w:t>
      </w:r>
    </w:p>
    <w:p w:rsidR="00FA64AB" w:rsidRDefault="00FA64AB" w:rsidP="009622EA">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Future research should consider employing mixed methods approaches that combine quantitative and qualitative data to assess the effectiveness of integrated anti-corruption measures over time. Longitudinal studies could provide valuable insights into how changes in legal frameworks and ethical practices influence corruption trends. Additionally, comparative studies across different Muslim-majority countries may reveal whether the integrated model proposed in this study can be applied in other contexts. Finally, further research should explore the role of technological innovations</w:t>
      </w:r>
      <w:r>
        <w:rPr>
          <w:rFonts w:ascii="Calibri Light" w:hAnsi="Calibri Light" w:cs="Calibri Light"/>
          <w:bCs/>
          <w:sz w:val="24"/>
          <w:szCs w:val="24"/>
          <w:lang w:val="en-MY"/>
        </w:rPr>
        <w:t xml:space="preserve"> </w:t>
      </w:r>
      <w:r w:rsidRPr="00FA64AB">
        <w:rPr>
          <w:rFonts w:ascii="Calibri Light" w:hAnsi="Calibri Light" w:cs="Calibri Light"/>
          <w:bCs/>
          <w:sz w:val="24"/>
          <w:szCs w:val="24"/>
          <w:lang w:val="en-MY"/>
        </w:rPr>
        <w:t>such as advanced data analytics and digital reporting systems</w:t>
      </w:r>
      <w:r>
        <w:rPr>
          <w:rFonts w:ascii="Calibri Light" w:hAnsi="Calibri Light" w:cs="Calibri Light"/>
          <w:bCs/>
          <w:sz w:val="24"/>
          <w:szCs w:val="24"/>
          <w:lang w:val="en-MY"/>
        </w:rPr>
        <w:t xml:space="preserve"> </w:t>
      </w:r>
      <w:r w:rsidRPr="00FA64AB">
        <w:rPr>
          <w:rFonts w:ascii="Calibri Light" w:hAnsi="Calibri Light" w:cs="Calibri Light"/>
          <w:bCs/>
          <w:sz w:val="24"/>
          <w:szCs w:val="24"/>
          <w:lang w:val="en-MY"/>
        </w:rPr>
        <w:t>in enhancing fraud detection and preventing corruption.</w:t>
      </w:r>
    </w:p>
    <w:p w:rsidR="00FA64AB" w:rsidRPr="00FA64AB" w:rsidRDefault="00FA64AB" w:rsidP="00FA64AB">
      <w:pPr>
        <w:spacing w:line="240" w:lineRule="atLeast"/>
        <w:ind w:left="284"/>
        <w:jc w:val="both"/>
        <w:rPr>
          <w:rFonts w:ascii="Calibri Light" w:hAnsi="Calibri Light" w:cs="Calibri Light"/>
          <w:bCs/>
          <w:sz w:val="24"/>
          <w:szCs w:val="24"/>
          <w:lang w:val="en-MY"/>
        </w:rPr>
      </w:pPr>
      <w:r w:rsidRPr="00FA64AB">
        <w:rPr>
          <w:rFonts w:ascii="Calibri Light" w:hAnsi="Calibri Light" w:cs="Calibri Light"/>
          <w:bCs/>
          <w:sz w:val="24"/>
          <w:szCs w:val="24"/>
          <w:lang w:val="en-MY"/>
        </w:rPr>
        <w:t>In conclusion, an integrated approach that combines strong ethical accountability with clear and enforceable legal measures appears to be the most promising pathway for reducing corruption in Indonesia. Addressing both cultural and institutional dimensions is essential for developing effective anti-corruption policies, improving public governance, and ultimately promoting a transparent, accountable, and democratic society.</w:t>
      </w:r>
    </w:p>
    <w:p w:rsidR="00FA64AB" w:rsidRDefault="00FA64AB" w:rsidP="00D0313B">
      <w:pPr>
        <w:spacing w:line="240" w:lineRule="atLeast"/>
        <w:ind w:left="284"/>
        <w:jc w:val="both"/>
        <w:rPr>
          <w:rFonts w:ascii="Calibri Light" w:hAnsi="Calibri Light" w:cs="Calibri Light"/>
          <w:bCs/>
          <w:sz w:val="24"/>
          <w:szCs w:val="24"/>
          <w:lang w:val="en-MY"/>
        </w:rPr>
      </w:pPr>
    </w:p>
    <w:p w:rsidR="00D0313B" w:rsidRDefault="00F369EC" w:rsidP="00C40648">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7B013B" w:rsidRDefault="007B013B" w:rsidP="00F369EC">
      <w:pPr>
        <w:spacing w:line="240" w:lineRule="atLeast"/>
        <w:jc w:val="both"/>
        <w:rPr>
          <w:rFonts w:ascii="Calibri Light" w:hAnsi="Calibri Light" w:cs="Calibri Light"/>
          <w:b/>
          <w:color w:val="7030A0"/>
          <w:sz w:val="24"/>
          <w:szCs w:val="24"/>
        </w:rPr>
      </w:pPr>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bookmarkStart w:id="2" w:name="_Hlk192309956"/>
      <w:r w:rsidRPr="00C7171A">
        <w:rPr>
          <w:rFonts w:ascii="Calibri Light" w:hAnsi="Calibri Light" w:cs="Calibri Light"/>
          <w:bCs/>
          <w:sz w:val="24"/>
          <w:szCs w:val="24"/>
          <w:lang w:val="en-MY"/>
        </w:rPr>
        <w:t xml:space="preserve">Abdul Karim, F., Fazzan, F., &amp; Zulqarnain, Z. (2016). Konsep gratifikasi dalam perspektif hukum Islam. </w:t>
      </w:r>
      <w:r w:rsidRPr="00C7171A">
        <w:rPr>
          <w:rFonts w:ascii="Calibri Light" w:hAnsi="Calibri Light" w:cs="Calibri Light"/>
          <w:bCs/>
          <w:i/>
          <w:iCs/>
          <w:sz w:val="24"/>
          <w:szCs w:val="24"/>
          <w:lang w:val="en-MY"/>
        </w:rPr>
        <w:t>Al-Risalah, 16</w:t>
      </w:r>
      <w:r w:rsidRPr="00C7171A">
        <w:rPr>
          <w:rFonts w:ascii="Calibri Light" w:hAnsi="Calibri Light" w:cs="Calibri Light"/>
          <w:bCs/>
          <w:sz w:val="24"/>
          <w:szCs w:val="24"/>
          <w:lang w:val="en-MY"/>
        </w:rPr>
        <w:t>(1), 1–18</w:t>
      </w:r>
      <w:r w:rsidRPr="00C7171A">
        <w:rPr>
          <w:rFonts w:ascii="Calibri Light" w:hAnsi="Calibri Light" w:cs="Calibri Light"/>
          <w:b/>
          <w:sz w:val="24"/>
          <w:szCs w:val="24"/>
          <w:lang w:val="en-MY"/>
        </w:rPr>
        <w:t>.</w:t>
      </w:r>
      <w:r w:rsidRPr="00C7171A">
        <w:rPr>
          <w:rFonts w:ascii="Calibri Light" w:hAnsi="Calibri Light" w:cs="Calibri Light"/>
          <w:b/>
          <w:color w:val="A6A6A6"/>
          <w:sz w:val="24"/>
          <w:szCs w:val="24"/>
          <w:lang w:val="en-MY"/>
        </w:rPr>
        <w:t xml:space="preserve"> </w:t>
      </w:r>
      <w:hyperlink r:id="rId11" w:tgtFrame="_new" w:history="1">
        <w:r w:rsidRPr="00C7171A">
          <w:rPr>
            <w:rStyle w:val="Hyperlink"/>
            <w:rFonts w:ascii="Calibri Light" w:hAnsi="Calibri Light" w:cs="Calibri Light"/>
            <w:b/>
            <w:sz w:val="24"/>
            <w:szCs w:val="24"/>
            <w:lang w:val="en-MY"/>
          </w:rPr>
          <w:t>https://doi.org/10.30631/alrisalah.v16i01</w:t>
        </w:r>
      </w:hyperlink>
    </w:p>
    <w:bookmarkEnd w:id="2"/>
    <w:p w:rsidR="00C7171A" w:rsidRPr="00C7171A" w:rsidRDefault="00C7171A" w:rsidP="00EC322C">
      <w:pPr>
        <w:numPr>
          <w:ilvl w:val="0"/>
          <w:numId w:val="45"/>
        </w:numPr>
        <w:spacing w:line="240" w:lineRule="atLeast"/>
        <w:ind w:left="567" w:hanging="567"/>
        <w:jc w:val="both"/>
        <w:rPr>
          <w:rFonts w:ascii="Calibri Light" w:hAnsi="Calibri Light" w:cs="Calibri Light"/>
          <w:bCs/>
          <w:color w:val="A6A6A6"/>
          <w:sz w:val="24"/>
          <w:szCs w:val="24"/>
          <w:lang w:val="en-MY"/>
        </w:rPr>
      </w:pPr>
      <w:r w:rsidRPr="00C7171A">
        <w:rPr>
          <w:rFonts w:ascii="Calibri Light" w:hAnsi="Calibri Light" w:cs="Calibri Light"/>
          <w:bCs/>
          <w:sz w:val="24"/>
          <w:szCs w:val="24"/>
          <w:lang w:val="en-MY"/>
        </w:rPr>
        <w:t xml:space="preserve">Ade Paranata. (2022). The miracle of anti-corruption efforts and regional fiscal independence in plugging budget leakage: Evidence from western and eastern Indonesia. </w:t>
      </w:r>
      <w:r w:rsidRPr="00C7171A">
        <w:rPr>
          <w:rFonts w:ascii="Calibri Light" w:hAnsi="Calibri Light" w:cs="Calibri Light"/>
          <w:bCs/>
          <w:i/>
          <w:iCs/>
          <w:sz w:val="24"/>
          <w:szCs w:val="24"/>
          <w:lang w:val="en-MY"/>
        </w:rPr>
        <w:t>Heliyon, 8</w:t>
      </w:r>
      <w:r w:rsidRPr="00C7171A">
        <w:rPr>
          <w:rFonts w:ascii="Calibri Light" w:hAnsi="Calibri Light" w:cs="Calibri Light"/>
          <w:bCs/>
          <w:sz w:val="24"/>
          <w:szCs w:val="24"/>
          <w:lang w:val="en-MY"/>
        </w:rPr>
        <w:t>(10), e11153.</w:t>
      </w:r>
      <w:r w:rsidRPr="00C7171A">
        <w:rPr>
          <w:rFonts w:ascii="Calibri Light" w:hAnsi="Calibri Light" w:cs="Calibri Light"/>
          <w:bCs/>
          <w:color w:val="A6A6A6"/>
          <w:sz w:val="24"/>
          <w:szCs w:val="24"/>
          <w:lang w:val="en-MY"/>
        </w:rPr>
        <w:t xml:space="preserve"> </w:t>
      </w:r>
      <w:hyperlink r:id="rId12" w:tgtFrame="_new" w:history="1">
        <w:r w:rsidRPr="00C7171A">
          <w:rPr>
            <w:rStyle w:val="Hyperlink"/>
            <w:rFonts w:ascii="Calibri Light" w:hAnsi="Calibri Light" w:cs="Calibri Light"/>
            <w:bCs/>
            <w:sz w:val="24"/>
            <w:szCs w:val="24"/>
            <w:lang w:val="en-MY"/>
          </w:rPr>
          <w:t>https://doi.org/10.1016/j.heliyon.2022.e11153</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Ahmed, F. B. J. (2018). Corruption according to the main sources of Islam. </w:t>
      </w:r>
      <w:r w:rsidRPr="00C7171A">
        <w:rPr>
          <w:rFonts w:ascii="Calibri Light" w:hAnsi="Calibri Light" w:cs="Calibri Light"/>
          <w:bCs/>
          <w:i/>
          <w:iCs/>
          <w:sz w:val="24"/>
          <w:szCs w:val="24"/>
          <w:lang w:val="en-MY"/>
        </w:rPr>
        <w:t>Intellectual Discourse, 26</w:t>
      </w:r>
      <w:r w:rsidRPr="00C7171A">
        <w:rPr>
          <w:rFonts w:ascii="Calibri Light" w:hAnsi="Calibri Light" w:cs="Calibri Light"/>
          <w:bCs/>
          <w:sz w:val="24"/>
          <w:szCs w:val="24"/>
          <w:lang w:val="en-MY"/>
        </w:rPr>
        <w:t>(1), 91–110.</w:t>
      </w:r>
      <w:r w:rsidRPr="00C7171A">
        <w:rPr>
          <w:rFonts w:ascii="Calibri Light" w:hAnsi="Calibri Light" w:cs="Calibri Light"/>
          <w:b/>
          <w:color w:val="A6A6A6"/>
          <w:sz w:val="24"/>
          <w:szCs w:val="24"/>
          <w:lang w:val="en-MY"/>
        </w:rPr>
        <w:t xml:space="preserve"> </w:t>
      </w:r>
      <w:hyperlink r:id="rId13" w:tgtFrame="_new" w:history="1">
        <w:r w:rsidRPr="00C7171A">
          <w:rPr>
            <w:rStyle w:val="Hyperlink"/>
            <w:rFonts w:ascii="Calibri Light" w:hAnsi="Calibri Light" w:cs="Calibri Light"/>
            <w:b/>
            <w:sz w:val="24"/>
            <w:szCs w:val="24"/>
            <w:lang w:val="en-MY"/>
          </w:rPr>
          <w:t>https://doi.org/10.31436/id.v26i1.1116</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Al-Bukhari, M. I. (1993). </w:t>
      </w:r>
      <w:r w:rsidRPr="00C7171A">
        <w:rPr>
          <w:rFonts w:ascii="Calibri Light" w:hAnsi="Calibri Light" w:cs="Calibri Light"/>
          <w:bCs/>
          <w:i/>
          <w:iCs/>
          <w:sz w:val="24"/>
          <w:szCs w:val="24"/>
          <w:lang w:val="en-MY"/>
        </w:rPr>
        <w:t>Ṣaḥīḥ al-Bukhārī</w:t>
      </w:r>
      <w:r w:rsidRPr="00C7171A">
        <w:rPr>
          <w:rFonts w:ascii="Calibri Light" w:hAnsi="Calibri Light" w:cs="Calibri Light"/>
          <w:bCs/>
          <w:sz w:val="24"/>
          <w:szCs w:val="24"/>
          <w:lang w:val="en-MY"/>
        </w:rPr>
        <w:t>. Riyadh, Saudi Arabia: Dār al-Yamāmah.</w:t>
      </w:r>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lastRenderedPageBreak/>
        <w:t xml:space="preserve">Al-Faryan, M. A. S., &amp; Shil, N. C. (2023). Governance as an interplay between corruption and polity: Conceptualizing from a national perspective. </w:t>
      </w:r>
      <w:r w:rsidRPr="00C7171A">
        <w:rPr>
          <w:rFonts w:ascii="Calibri Light" w:hAnsi="Calibri Light" w:cs="Calibri Light"/>
          <w:bCs/>
          <w:i/>
          <w:iCs/>
          <w:sz w:val="24"/>
          <w:szCs w:val="24"/>
          <w:lang w:val="en-MY"/>
        </w:rPr>
        <w:t>Economies, 11</w:t>
      </w:r>
      <w:r w:rsidRPr="00C7171A">
        <w:rPr>
          <w:rFonts w:ascii="Calibri Light" w:hAnsi="Calibri Light" w:cs="Calibri Light"/>
          <w:bCs/>
          <w:sz w:val="24"/>
          <w:szCs w:val="24"/>
          <w:lang w:val="en-MY"/>
        </w:rPr>
        <w:t>(2), 65.</w:t>
      </w:r>
      <w:r w:rsidRPr="00C7171A">
        <w:rPr>
          <w:rFonts w:ascii="Calibri Light" w:hAnsi="Calibri Light" w:cs="Calibri Light"/>
          <w:bCs/>
          <w:color w:val="A6A6A6"/>
          <w:sz w:val="24"/>
          <w:szCs w:val="24"/>
          <w:lang w:val="en-MY"/>
        </w:rPr>
        <w:t xml:space="preserve"> </w:t>
      </w:r>
      <w:hyperlink r:id="rId14" w:tgtFrame="_new" w:history="1">
        <w:r w:rsidRPr="00C7171A">
          <w:rPr>
            <w:rStyle w:val="Hyperlink"/>
            <w:rFonts w:ascii="Calibri Light" w:hAnsi="Calibri Light" w:cs="Calibri Light"/>
            <w:b/>
            <w:sz w:val="24"/>
            <w:szCs w:val="24"/>
            <w:lang w:val="en-MY"/>
          </w:rPr>
          <w:t>https://doi.org/10.3390/economies11020065</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Al-Nawawi, A. Z. (2005). </w:t>
      </w:r>
      <w:r w:rsidRPr="00C7171A">
        <w:rPr>
          <w:rFonts w:ascii="Calibri Light" w:hAnsi="Calibri Light" w:cs="Calibri Light"/>
          <w:bCs/>
          <w:i/>
          <w:iCs/>
          <w:sz w:val="24"/>
          <w:szCs w:val="24"/>
          <w:lang w:val="en-MY"/>
        </w:rPr>
        <w:t>Minhaj al-Talibin</w:t>
      </w:r>
      <w:r w:rsidRPr="00C7171A">
        <w:rPr>
          <w:rFonts w:ascii="Calibri Light" w:hAnsi="Calibri Light" w:cs="Calibri Light"/>
          <w:bCs/>
          <w:sz w:val="24"/>
          <w:szCs w:val="24"/>
          <w:lang w:val="en-MY"/>
        </w:rPr>
        <w:t>. Amman, Jordan: Dār al-Fikr.</w:t>
      </w:r>
    </w:p>
    <w:p w:rsidR="00C7171A" w:rsidRPr="00C7171A"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Al-Qarḍāwī, Y. (1980). </w:t>
      </w:r>
      <w:r w:rsidRPr="00C7171A">
        <w:rPr>
          <w:rFonts w:ascii="Calibri Light" w:hAnsi="Calibri Light" w:cs="Calibri Light"/>
          <w:bCs/>
          <w:i/>
          <w:iCs/>
          <w:sz w:val="24"/>
          <w:szCs w:val="24"/>
          <w:lang w:val="en-MY"/>
        </w:rPr>
        <w:t>Al-Halāl wa al-Harām fī al-Islām</w:t>
      </w:r>
      <w:r w:rsidRPr="00C7171A">
        <w:rPr>
          <w:rFonts w:ascii="Calibri Light" w:hAnsi="Calibri Light" w:cs="Calibri Light"/>
          <w:bCs/>
          <w:sz w:val="24"/>
          <w:szCs w:val="24"/>
          <w:lang w:val="en-MY"/>
        </w:rPr>
        <w:t>. Cairo, Egypt: al-Maktabat al-‘Ilmiyyah.</w:t>
      </w:r>
    </w:p>
    <w:p w:rsid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rPr>
      </w:pPr>
      <w:r w:rsidRPr="00C7171A">
        <w:rPr>
          <w:rFonts w:ascii="Calibri Light" w:hAnsi="Calibri Light" w:cs="Calibri Light"/>
          <w:bCs/>
          <w:sz w:val="24"/>
          <w:szCs w:val="24"/>
          <w:lang w:val="en-MY"/>
        </w:rPr>
        <w:t xml:space="preserve">Anokhin, S., &amp; Schulze, W. S. (2009). Entrepreneurship, innovation, and corruption. </w:t>
      </w:r>
      <w:r w:rsidRPr="00C7171A">
        <w:rPr>
          <w:rFonts w:ascii="Calibri Light" w:hAnsi="Calibri Light" w:cs="Calibri Light"/>
          <w:bCs/>
          <w:i/>
          <w:iCs/>
          <w:sz w:val="24"/>
          <w:szCs w:val="24"/>
          <w:lang w:val="en-MY"/>
        </w:rPr>
        <w:t>Journal of Business Venturing, 24</w:t>
      </w:r>
      <w:r w:rsidRPr="00C7171A">
        <w:rPr>
          <w:rFonts w:ascii="Calibri Light" w:hAnsi="Calibri Light" w:cs="Calibri Light"/>
          <w:bCs/>
          <w:sz w:val="24"/>
          <w:szCs w:val="24"/>
          <w:lang w:val="en-MY"/>
        </w:rPr>
        <w:t>(5), 465–476</w:t>
      </w:r>
      <w:r w:rsidRPr="00C7171A">
        <w:rPr>
          <w:rFonts w:ascii="Calibri Light" w:hAnsi="Calibri Light" w:cs="Calibri Light"/>
          <w:b/>
          <w:sz w:val="24"/>
          <w:szCs w:val="24"/>
          <w:lang w:val="en-MY"/>
        </w:rPr>
        <w:t>.</w:t>
      </w:r>
      <w:r w:rsidRPr="00C7171A">
        <w:rPr>
          <w:rFonts w:ascii="Calibri Light" w:hAnsi="Calibri Light" w:cs="Calibri Light"/>
          <w:b/>
          <w:color w:val="A6A6A6"/>
          <w:sz w:val="24"/>
          <w:szCs w:val="24"/>
          <w:lang w:val="en-MY"/>
        </w:rPr>
        <w:t xml:space="preserve"> </w:t>
      </w:r>
      <w:hyperlink r:id="rId15" w:tgtFrame="_new" w:history="1">
        <w:r w:rsidRPr="00C7171A">
          <w:rPr>
            <w:rStyle w:val="Hyperlink"/>
            <w:rFonts w:ascii="Calibri Light" w:hAnsi="Calibri Light" w:cs="Calibri Light"/>
            <w:b/>
            <w:sz w:val="24"/>
            <w:szCs w:val="24"/>
            <w:lang w:val="en-MY"/>
          </w:rPr>
          <w:t>https://doi.org/10.1016/j.jbusvent.2008.06.001</w:t>
        </w:r>
      </w:hyperlink>
    </w:p>
    <w:p w:rsidR="00CB6960" w:rsidRPr="00C7171A" w:rsidRDefault="00CB6960" w:rsidP="00EC322C">
      <w:pPr>
        <w:numPr>
          <w:ilvl w:val="0"/>
          <w:numId w:val="45"/>
        </w:numPr>
        <w:tabs>
          <w:tab w:val="left" w:pos="567"/>
        </w:tabs>
        <w:spacing w:line="243" w:lineRule="auto"/>
        <w:ind w:left="567" w:right="-1" w:hanging="567"/>
        <w:jc w:val="both"/>
        <w:rPr>
          <w:rFonts w:ascii="Calibri Light" w:hAnsi="Calibri Light" w:cs="Calibri Light"/>
          <w:sz w:val="24"/>
          <w:szCs w:val="24"/>
        </w:rPr>
      </w:pPr>
      <w:r w:rsidRPr="00CB6960">
        <w:rPr>
          <w:rFonts w:ascii="Calibri Light" w:hAnsi="Calibri Light" w:cs="Calibri Light"/>
          <w:sz w:val="24"/>
          <w:szCs w:val="24"/>
          <w:lang w:val="en-MY"/>
        </w:rPr>
        <w:t xml:space="preserve">ANTARA. (2024). Dede Hasan Basri convicted for failing to report gratification. </w:t>
      </w:r>
      <w:r w:rsidRPr="00CB6960">
        <w:rPr>
          <w:rFonts w:ascii="Calibri Light" w:hAnsi="Calibri Light" w:cs="Calibri Light"/>
          <w:i/>
          <w:iCs/>
          <w:sz w:val="24"/>
          <w:szCs w:val="24"/>
          <w:lang w:val="en-MY"/>
        </w:rPr>
        <w:t>ANTARA News</w:t>
      </w:r>
      <w:r w:rsidRPr="00CB6960">
        <w:rPr>
          <w:rFonts w:ascii="Calibri Light" w:hAnsi="Calibri Light" w:cs="Calibri Light"/>
          <w:sz w:val="24"/>
          <w:szCs w:val="24"/>
          <w:lang w:val="en-MY"/>
        </w:rPr>
        <w:t xml:space="preserve">. </w:t>
      </w:r>
      <w:hyperlink r:id="rId16" w:tgtFrame="_new" w:history="1">
        <w:r w:rsidRPr="00CB6960">
          <w:rPr>
            <w:rFonts w:ascii="Calibri Light" w:hAnsi="Calibri Light" w:cs="Calibri Light"/>
            <w:color w:val="0000FF"/>
            <w:sz w:val="24"/>
            <w:szCs w:val="24"/>
            <w:u w:val="single"/>
            <w:lang w:val="en-MY"/>
          </w:rPr>
          <w:t>https://www.antaranews.com/2024</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Budsaratragoon, P., &amp; Jitmaneeroj, B. (2020). A critique on the Corruption Perceptions Index: An interdisciplinary approach. </w:t>
      </w:r>
      <w:r w:rsidRPr="00C7171A">
        <w:rPr>
          <w:rFonts w:ascii="Calibri Light" w:hAnsi="Calibri Light" w:cs="Calibri Light"/>
          <w:bCs/>
          <w:i/>
          <w:iCs/>
          <w:sz w:val="24"/>
          <w:szCs w:val="24"/>
          <w:lang w:val="en-MY"/>
        </w:rPr>
        <w:t>Socio-Economic Planning Sciences, 70</w:t>
      </w:r>
      <w:r w:rsidRPr="00C7171A">
        <w:rPr>
          <w:rFonts w:ascii="Calibri Light" w:hAnsi="Calibri Light" w:cs="Calibri Light"/>
          <w:bCs/>
          <w:sz w:val="24"/>
          <w:szCs w:val="24"/>
          <w:lang w:val="en-MY"/>
        </w:rPr>
        <w:t>, 100768.</w:t>
      </w:r>
      <w:r w:rsidRPr="00C7171A">
        <w:rPr>
          <w:rFonts w:ascii="Calibri Light" w:hAnsi="Calibri Light" w:cs="Calibri Light"/>
          <w:b/>
          <w:color w:val="A6A6A6"/>
          <w:sz w:val="24"/>
          <w:szCs w:val="24"/>
          <w:lang w:val="en-MY"/>
        </w:rPr>
        <w:t xml:space="preserve"> </w:t>
      </w:r>
      <w:hyperlink r:id="rId17" w:tgtFrame="_new" w:history="1">
        <w:r w:rsidRPr="00C7171A">
          <w:rPr>
            <w:rStyle w:val="Hyperlink"/>
            <w:rFonts w:ascii="Calibri Light" w:hAnsi="Calibri Light" w:cs="Calibri Light"/>
            <w:b/>
            <w:sz w:val="24"/>
            <w:szCs w:val="24"/>
            <w:lang w:val="en-MY"/>
          </w:rPr>
          <w:t>https://doi.org/10.1016/j.seps.2019.100768</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Ceschel, F., Hinna, A., &amp; Homberg, F. (2022). Public sector strategies in curbing corruption: A review of the literature. </w:t>
      </w:r>
      <w:r w:rsidRPr="00C7171A">
        <w:rPr>
          <w:rFonts w:ascii="Calibri Light" w:hAnsi="Calibri Light" w:cs="Calibri Light"/>
          <w:bCs/>
          <w:i/>
          <w:iCs/>
          <w:sz w:val="24"/>
          <w:szCs w:val="24"/>
          <w:lang w:val="en-MY"/>
        </w:rPr>
        <w:t>Public Organization Review, 22</w:t>
      </w:r>
      <w:r w:rsidRPr="00C7171A">
        <w:rPr>
          <w:rFonts w:ascii="Calibri Light" w:hAnsi="Calibri Light" w:cs="Calibri Light"/>
          <w:bCs/>
          <w:sz w:val="24"/>
          <w:szCs w:val="24"/>
          <w:lang w:val="en-MY"/>
        </w:rPr>
        <w:t>(3), 571–591.</w:t>
      </w:r>
      <w:r w:rsidRPr="00C7171A">
        <w:rPr>
          <w:rFonts w:ascii="Calibri Light" w:hAnsi="Calibri Light" w:cs="Calibri Light"/>
          <w:b/>
          <w:color w:val="A6A6A6"/>
          <w:sz w:val="24"/>
          <w:szCs w:val="24"/>
          <w:lang w:val="en-MY"/>
        </w:rPr>
        <w:t xml:space="preserve"> </w:t>
      </w:r>
      <w:hyperlink r:id="rId18" w:tgtFrame="_new" w:history="1">
        <w:r w:rsidRPr="00C7171A">
          <w:rPr>
            <w:rStyle w:val="Hyperlink"/>
            <w:rFonts w:ascii="Calibri Light" w:hAnsi="Calibri Light" w:cs="Calibri Light"/>
            <w:b/>
            <w:sz w:val="24"/>
            <w:szCs w:val="24"/>
            <w:lang w:val="en-MY"/>
          </w:rPr>
          <w:t>https://doi.org/10.1007/s11115-022-00639-4</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Coleman, M. L., Colombini, M., Bandali, S., Wright, T., &amp; Chilumpha, M. (2024). When sex is demanded as payment for health-care services. </w:t>
      </w:r>
      <w:r w:rsidRPr="00C7171A">
        <w:rPr>
          <w:rFonts w:ascii="Calibri Light" w:hAnsi="Calibri Light" w:cs="Calibri Light"/>
          <w:bCs/>
          <w:i/>
          <w:iCs/>
          <w:sz w:val="24"/>
          <w:szCs w:val="24"/>
          <w:lang w:val="en-MY"/>
        </w:rPr>
        <w:t>The Lancet Global Health, 12</w:t>
      </w:r>
      <w:r w:rsidRPr="00C7171A">
        <w:rPr>
          <w:rFonts w:ascii="Calibri Light" w:hAnsi="Calibri Light" w:cs="Calibri Light"/>
          <w:bCs/>
          <w:sz w:val="24"/>
          <w:szCs w:val="24"/>
          <w:lang w:val="en-MY"/>
        </w:rPr>
        <w:t>(7), e1209–e1213</w:t>
      </w:r>
      <w:r w:rsidRPr="00C7171A">
        <w:rPr>
          <w:rFonts w:ascii="Calibri Light" w:hAnsi="Calibri Light" w:cs="Calibri Light"/>
          <w:b/>
          <w:sz w:val="24"/>
          <w:szCs w:val="24"/>
          <w:lang w:val="en-MY"/>
        </w:rPr>
        <w:t>.</w:t>
      </w:r>
      <w:r w:rsidRPr="00C7171A">
        <w:rPr>
          <w:rFonts w:ascii="Calibri Light" w:hAnsi="Calibri Light" w:cs="Calibri Light"/>
          <w:b/>
          <w:color w:val="A6A6A6"/>
          <w:sz w:val="24"/>
          <w:szCs w:val="24"/>
          <w:lang w:val="en-MY"/>
        </w:rPr>
        <w:t xml:space="preserve"> </w:t>
      </w:r>
      <w:hyperlink r:id="rId19" w:tgtFrame="_new" w:history="1">
        <w:r w:rsidRPr="00C7171A">
          <w:rPr>
            <w:rStyle w:val="Hyperlink"/>
            <w:rFonts w:ascii="Calibri Light" w:hAnsi="Calibri Light" w:cs="Calibri Light"/>
            <w:b/>
            <w:sz w:val="24"/>
            <w:szCs w:val="24"/>
            <w:lang w:val="en-MY"/>
          </w:rPr>
          <w:t>https://doi.org/10.1016/S2214-109X(24)00143-8</w:t>
        </w:r>
      </w:hyperlink>
    </w:p>
    <w:p w:rsidR="00EC322C"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Detik.com. (2024, February 1). Abdul Gani Kasuba convicted for failure to report gratification. Retrieved from</w:t>
      </w:r>
      <w:r w:rsidRPr="00C7171A">
        <w:rPr>
          <w:rFonts w:ascii="Calibri Light" w:hAnsi="Calibri Light" w:cs="Calibri Light"/>
          <w:b/>
          <w:color w:val="A6A6A6"/>
          <w:sz w:val="24"/>
          <w:szCs w:val="24"/>
          <w:lang w:val="en-MY"/>
        </w:rPr>
        <w:t xml:space="preserve"> </w:t>
      </w:r>
      <w:hyperlink r:id="rId20" w:tgtFrame="_new" w:history="1">
        <w:r w:rsidRPr="00C7171A">
          <w:rPr>
            <w:rStyle w:val="Hyperlink"/>
            <w:rFonts w:ascii="Calibri Light" w:hAnsi="Calibri Light" w:cs="Calibri Light"/>
            <w:b/>
            <w:sz w:val="24"/>
            <w:szCs w:val="24"/>
            <w:lang w:val="en-MY"/>
          </w:rPr>
          <w:t>https://www.detik.com/2024</w:t>
        </w:r>
      </w:hyperlink>
    </w:p>
    <w:p w:rsidR="00C7171A" w:rsidRDefault="007B013B" w:rsidP="00EC322C">
      <w:pPr>
        <w:numPr>
          <w:ilvl w:val="0"/>
          <w:numId w:val="45"/>
        </w:numPr>
        <w:spacing w:line="240" w:lineRule="atLeast"/>
        <w:ind w:left="567" w:hanging="567"/>
        <w:jc w:val="both"/>
        <w:rPr>
          <w:rFonts w:ascii="Calibri Light" w:hAnsi="Calibri Light" w:cs="Calibri Light"/>
          <w:bCs/>
          <w:sz w:val="24"/>
          <w:szCs w:val="24"/>
          <w:lang w:val="en-MY"/>
        </w:rPr>
      </w:pPr>
      <w:r w:rsidRPr="007B013B">
        <w:rPr>
          <w:rFonts w:ascii="Calibri Light" w:hAnsi="Calibri Light" w:cs="Calibri Light"/>
          <w:bCs/>
          <w:sz w:val="24"/>
          <w:szCs w:val="24"/>
        </w:rPr>
        <w:t>Faisol, F., Khusniyah, N. K. ., &amp; Sahri, M. . (2023). Gratification of Public Officials Reviewed in Perspective Islamic Law. </w:t>
      </w:r>
      <w:r w:rsidRPr="007B013B">
        <w:rPr>
          <w:rFonts w:ascii="Calibri Light" w:hAnsi="Calibri Light" w:cs="Calibri Light"/>
          <w:bCs/>
          <w:i/>
          <w:iCs/>
          <w:sz w:val="24"/>
          <w:szCs w:val="24"/>
        </w:rPr>
        <w:t>Tasyri’ : Journal of Islamic Law</w:t>
      </w:r>
      <w:r w:rsidRPr="007B013B">
        <w:rPr>
          <w:rFonts w:ascii="Calibri Light" w:hAnsi="Calibri Light" w:cs="Calibri Light"/>
          <w:bCs/>
          <w:sz w:val="24"/>
          <w:szCs w:val="24"/>
        </w:rPr>
        <w:t>, </w:t>
      </w:r>
      <w:r w:rsidRPr="007B013B">
        <w:rPr>
          <w:rFonts w:ascii="Calibri Light" w:hAnsi="Calibri Light" w:cs="Calibri Light"/>
          <w:bCs/>
          <w:i/>
          <w:iCs/>
          <w:sz w:val="24"/>
          <w:szCs w:val="24"/>
        </w:rPr>
        <w:t>2</w:t>
      </w:r>
      <w:r w:rsidRPr="007B013B">
        <w:rPr>
          <w:rFonts w:ascii="Calibri Light" w:hAnsi="Calibri Light" w:cs="Calibri Light"/>
          <w:bCs/>
          <w:sz w:val="24"/>
          <w:szCs w:val="24"/>
        </w:rPr>
        <w:t xml:space="preserve">(2), 351–371. </w:t>
      </w:r>
      <w:hyperlink r:id="rId21" w:history="1">
        <w:r w:rsidRPr="007B013B">
          <w:rPr>
            <w:rStyle w:val="Hyperlink"/>
            <w:rFonts w:ascii="Calibri Light" w:hAnsi="Calibri Light" w:cs="Calibri Light"/>
            <w:bCs/>
            <w:sz w:val="24"/>
            <w:szCs w:val="24"/>
          </w:rPr>
          <w:t>https://doi.org/10.53038/tsyr.v2i2.83</w:t>
        </w:r>
      </w:hyperlink>
      <w:r w:rsidRPr="007B013B">
        <w:rPr>
          <w:rFonts w:ascii="Calibri Light" w:hAnsi="Calibri Light" w:cs="Calibri Light"/>
          <w:bCs/>
          <w:sz w:val="24"/>
          <w:szCs w:val="24"/>
          <w:lang w:val="en-MY"/>
        </w:rPr>
        <w:t xml:space="preserve"> </w:t>
      </w:r>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Hamdani, H. S. (2023). Tindak pidana korupsi dalam bentuk gratifikasi. </w:t>
      </w:r>
      <w:r w:rsidRPr="00C7171A">
        <w:rPr>
          <w:rFonts w:ascii="Calibri Light" w:hAnsi="Calibri Light" w:cs="Calibri Light"/>
          <w:bCs/>
          <w:i/>
          <w:iCs/>
          <w:sz w:val="24"/>
          <w:szCs w:val="24"/>
          <w:lang w:val="en-MY"/>
        </w:rPr>
        <w:t>Innovative: Journal of Social Science Research, 3</w:t>
      </w:r>
      <w:r w:rsidRPr="00C7171A">
        <w:rPr>
          <w:rFonts w:ascii="Calibri Light" w:hAnsi="Calibri Light" w:cs="Calibri Light"/>
          <w:bCs/>
          <w:sz w:val="24"/>
          <w:szCs w:val="24"/>
          <w:lang w:val="en-MY"/>
        </w:rPr>
        <w:t>(2), 2946–2959.</w:t>
      </w:r>
      <w:r w:rsidRPr="00C7171A">
        <w:rPr>
          <w:rFonts w:ascii="Calibri Light" w:hAnsi="Calibri Light" w:cs="Calibri Light"/>
          <w:b/>
          <w:color w:val="A6A6A6"/>
          <w:sz w:val="24"/>
          <w:szCs w:val="24"/>
          <w:lang w:val="en-MY"/>
        </w:rPr>
        <w:t xml:space="preserve"> </w:t>
      </w:r>
      <w:hyperlink r:id="rId22" w:tgtFrame="_new" w:history="1">
        <w:r w:rsidRPr="00C7171A">
          <w:rPr>
            <w:rStyle w:val="Hyperlink"/>
            <w:rFonts w:ascii="Calibri Light" w:hAnsi="Calibri Light" w:cs="Calibri Light"/>
            <w:b/>
            <w:sz w:val="24"/>
            <w:szCs w:val="24"/>
            <w:lang w:val="en-MY"/>
          </w:rPr>
          <w:t>https://doi.org/10.31004/innovative.v3i2.660</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Ibn Qudamah, M. A. (1997). </w:t>
      </w:r>
      <w:r w:rsidRPr="00C7171A">
        <w:rPr>
          <w:rFonts w:ascii="Calibri Light" w:hAnsi="Calibri Light" w:cs="Calibri Light"/>
          <w:bCs/>
          <w:i/>
          <w:iCs/>
          <w:sz w:val="24"/>
          <w:szCs w:val="24"/>
          <w:lang w:val="en-MY"/>
        </w:rPr>
        <w:t>Al-Mughni</w:t>
      </w:r>
      <w:r w:rsidRPr="00C7171A">
        <w:rPr>
          <w:rFonts w:ascii="Calibri Light" w:hAnsi="Calibri Light" w:cs="Calibri Light"/>
          <w:bCs/>
          <w:sz w:val="24"/>
          <w:szCs w:val="24"/>
          <w:lang w:val="en-MY"/>
        </w:rPr>
        <w:t>. Cairo, Egypt: Dar Al-Fikr.</w:t>
      </w:r>
    </w:p>
    <w:p w:rsid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rPr>
      </w:pPr>
      <w:r w:rsidRPr="00C7171A">
        <w:rPr>
          <w:rFonts w:ascii="Calibri Light" w:hAnsi="Calibri Light" w:cs="Calibri Light"/>
          <w:bCs/>
          <w:sz w:val="24"/>
          <w:szCs w:val="24"/>
          <w:lang w:val="en-MY"/>
        </w:rPr>
        <w:t xml:space="preserve">Jensen, M. C., &amp; Meckling, W. H. (1976). Theory of the firm: Managerial behavior, agency costs, and ownership structure. </w:t>
      </w:r>
      <w:r w:rsidRPr="00C7171A">
        <w:rPr>
          <w:rFonts w:ascii="Calibri Light" w:hAnsi="Calibri Light" w:cs="Calibri Light"/>
          <w:bCs/>
          <w:i/>
          <w:iCs/>
          <w:sz w:val="24"/>
          <w:szCs w:val="24"/>
          <w:lang w:val="en-MY"/>
        </w:rPr>
        <w:t>Journal of Financial Economics, 3</w:t>
      </w:r>
      <w:r w:rsidRPr="00C7171A">
        <w:rPr>
          <w:rFonts w:ascii="Calibri Light" w:hAnsi="Calibri Light" w:cs="Calibri Light"/>
          <w:bCs/>
          <w:sz w:val="24"/>
          <w:szCs w:val="24"/>
          <w:lang w:val="en-MY"/>
        </w:rPr>
        <w:t>(4), 305–360.</w:t>
      </w:r>
      <w:r w:rsidRPr="00C7171A">
        <w:rPr>
          <w:rFonts w:ascii="Calibri Light" w:hAnsi="Calibri Light" w:cs="Calibri Light"/>
          <w:b/>
          <w:color w:val="A6A6A6"/>
          <w:sz w:val="24"/>
          <w:szCs w:val="24"/>
          <w:lang w:val="en-MY"/>
        </w:rPr>
        <w:t xml:space="preserve"> </w:t>
      </w:r>
      <w:hyperlink r:id="rId23" w:tgtFrame="_new" w:history="1">
        <w:r w:rsidRPr="00C7171A">
          <w:rPr>
            <w:rStyle w:val="Hyperlink"/>
            <w:rFonts w:ascii="Calibri Light" w:hAnsi="Calibri Light" w:cs="Calibri Light"/>
            <w:b/>
            <w:sz w:val="24"/>
            <w:szCs w:val="24"/>
            <w:lang w:val="en-MY"/>
          </w:rPr>
          <w:t>https://doi.org/10.1016/0304-405X(76)90026-X</w:t>
        </w:r>
      </w:hyperlink>
    </w:p>
    <w:p w:rsidR="00007120" w:rsidRDefault="00007120" w:rsidP="00EC322C">
      <w:pPr>
        <w:numPr>
          <w:ilvl w:val="0"/>
          <w:numId w:val="45"/>
        </w:numPr>
        <w:spacing w:line="240" w:lineRule="atLeast"/>
        <w:ind w:left="567" w:hanging="567"/>
        <w:jc w:val="both"/>
        <w:rPr>
          <w:rFonts w:ascii="Calibri Light" w:hAnsi="Calibri Light" w:cs="Calibri Light"/>
          <w:b/>
          <w:color w:val="A6A6A6"/>
          <w:sz w:val="24"/>
          <w:szCs w:val="24"/>
        </w:rPr>
      </w:pPr>
      <w:r w:rsidRPr="00007120">
        <w:rPr>
          <w:rFonts w:ascii="Calibri Light" w:hAnsi="Calibri Light" w:cs="Calibri Light"/>
          <w:bCs/>
          <w:sz w:val="24"/>
          <w:szCs w:val="24"/>
        </w:rPr>
        <w:t>Junaidi, Hendrian, &amp; Syahputra, B. E. (2024). Fraud detection in public sector institutions: an empirical study in Indonesia. </w:t>
      </w:r>
      <w:r w:rsidRPr="00007120">
        <w:rPr>
          <w:rFonts w:ascii="Calibri Light" w:hAnsi="Calibri Light" w:cs="Calibri Light"/>
          <w:bCs/>
          <w:i/>
          <w:iCs/>
          <w:sz w:val="24"/>
          <w:szCs w:val="24"/>
        </w:rPr>
        <w:t>Cogent Business &amp; Management</w:t>
      </w:r>
      <w:r w:rsidRPr="00007120">
        <w:rPr>
          <w:rFonts w:ascii="Calibri Light" w:hAnsi="Calibri Light" w:cs="Calibri Light"/>
          <w:bCs/>
          <w:sz w:val="24"/>
          <w:szCs w:val="24"/>
        </w:rPr>
        <w:t>, </w:t>
      </w:r>
      <w:r w:rsidRPr="00007120">
        <w:rPr>
          <w:rFonts w:ascii="Calibri Light" w:hAnsi="Calibri Light" w:cs="Calibri Light"/>
          <w:bCs/>
          <w:i/>
          <w:iCs/>
          <w:sz w:val="24"/>
          <w:szCs w:val="24"/>
        </w:rPr>
        <w:t>11</w:t>
      </w:r>
      <w:r w:rsidRPr="00007120">
        <w:rPr>
          <w:rFonts w:ascii="Calibri Light" w:hAnsi="Calibri Light" w:cs="Calibri Light"/>
          <w:bCs/>
          <w:sz w:val="24"/>
          <w:szCs w:val="24"/>
        </w:rPr>
        <w:t>(1).</w:t>
      </w:r>
      <w:r w:rsidRPr="00007120">
        <w:rPr>
          <w:rFonts w:ascii="Calibri Light" w:hAnsi="Calibri Light" w:cs="Calibri Light"/>
          <w:b/>
          <w:color w:val="A6A6A6"/>
          <w:sz w:val="24"/>
          <w:szCs w:val="24"/>
        </w:rPr>
        <w:t xml:space="preserve"> </w:t>
      </w:r>
      <w:hyperlink r:id="rId24" w:history="1">
        <w:r w:rsidRPr="003A7202">
          <w:rPr>
            <w:rStyle w:val="Hyperlink"/>
            <w:rFonts w:ascii="Calibri Light" w:hAnsi="Calibri Light" w:cs="Calibri Light"/>
            <w:b/>
            <w:sz w:val="24"/>
            <w:szCs w:val="24"/>
          </w:rPr>
          <w:t>https://doi.org/10.1080/23311975.2024.2404479</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Koeswayo, P. S., Handoyo, S., &amp; Abdul Hasyir, D. (2024). Investigating the relationship between public governance and the Corruption Perception Index. </w:t>
      </w:r>
      <w:r w:rsidRPr="00C7171A">
        <w:rPr>
          <w:rFonts w:ascii="Calibri Light" w:hAnsi="Calibri Light" w:cs="Calibri Light"/>
          <w:bCs/>
          <w:i/>
          <w:iCs/>
          <w:sz w:val="24"/>
          <w:szCs w:val="24"/>
          <w:lang w:val="en-MY"/>
        </w:rPr>
        <w:t>Cogent Social Sciences,</w:t>
      </w:r>
      <w:r w:rsidRPr="00C7171A">
        <w:rPr>
          <w:rFonts w:ascii="Calibri Light" w:hAnsi="Calibri Light" w:cs="Calibri Light"/>
          <w:b/>
          <w:i/>
          <w:iCs/>
          <w:sz w:val="24"/>
          <w:szCs w:val="24"/>
          <w:lang w:val="en-MY"/>
        </w:rPr>
        <w:t xml:space="preserve"> </w:t>
      </w:r>
      <w:r w:rsidRPr="00C7171A">
        <w:rPr>
          <w:rFonts w:ascii="Calibri Light" w:hAnsi="Calibri Light" w:cs="Calibri Light"/>
          <w:bCs/>
          <w:i/>
          <w:iCs/>
          <w:sz w:val="24"/>
          <w:szCs w:val="24"/>
          <w:lang w:val="en-MY"/>
        </w:rPr>
        <w:t>10</w:t>
      </w:r>
      <w:r w:rsidRPr="00C7171A">
        <w:rPr>
          <w:rFonts w:ascii="Calibri Light" w:hAnsi="Calibri Light" w:cs="Calibri Light"/>
          <w:bCs/>
          <w:sz w:val="24"/>
          <w:szCs w:val="24"/>
          <w:lang w:val="en-MY"/>
        </w:rPr>
        <w:t>(1).</w:t>
      </w:r>
      <w:r w:rsidRPr="00C7171A">
        <w:rPr>
          <w:rFonts w:ascii="Calibri Light" w:hAnsi="Calibri Light" w:cs="Calibri Light"/>
          <w:b/>
          <w:sz w:val="24"/>
          <w:szCs w:val="24"/>
          <w:lang w:val="en-MY"/>
        </w:rPr>
        <w:t xml:space="preserve"> </w:t>
      </w:r>
      <w:hyperlink r:id="rId25" w:tgtFrame="_new" w:history="1">
        <w:r w:rsidRPr="00C7171A">
          <w:rPr>
            <w:rStyle w:val="Hyperlink"/>
            <w:rFonts w:ascii="Calibri Light" w:hAnsi="Calibri Light" w:cs="Calibri Light"/>
            <w:b/>
            <w:sz w:val="24"/>
            <w:szCs w:val="24"/>
            <w:lang w:val="en-MY"/>
          </w:rPr>
          <w:t>https://doi.org/10.1080/23311886.2024.2342513</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Komisi Pemberantasan Korupsi. (2015). </w:t>
      </w:r>
      <w:r w:rsidRPr="00C7171A">
        <w:rPr>
          <w:rFonts w:ascii="Calibri Light" w:hAnsi="Calibri Light" w:cs="Calibri Light"/>
          <w:bCs/>
          <w:i/>
          <w:iCs/>
          <w:sz w:val="24"/>
          <w:szCs w:val="24"/>
          <w:lang w:val="en-MY"/>
        </w:rPr>
        <w:t>Panduan Gratifikasi</w:t>
      </w:r>
      <w:r w:rsidRPr="00C7171A">
        <w:rPr>
          <w:rFonts w:ascii="Calibri Light" w:hAnsi="Calibri Light" w:cs="Calibri Light"/>
          <w:bCs/>
          <w:sz w:val="24"/>
          <w:szCs w:val="24"/>
          <w:lang w:val="en-MY"/>
        </w:rPr>
        <w:t>. Jakarta, Indonesia: Komisi Pemberantasan Korupsi.</w:t>
      </w:r>
    </w:p>
    <w:p w:rsidR="00C7171A" w:rsidRPr="00007120" w:rsidRDefault="00C7171A" w:rsidP="00EC322C">
      <w:pPr>
        <w:numPr>
          <w:ilvl w:val="0"/>
          <w:numId w:val="45"/>
        </w:numPr>
        <w:spacing w:line="240" w:lineRule="atLeast"/>
        <w:ind w:left="567" w:hanging="567"/>
        <w:jc w:val="both"/>
        <w:rPr>
          <w:rFonts w:ascii="Calibri Light" w:hAnsi="Calibri Light" w:cs="Calibri Light"/>
          <w:bCs/>
          <w:sz w:val="24"/>
          <w:szCs w:val="24"/>
          <w:lang w:val="en-MY"/>
        </w:rPr>
      </w:pPr>
      <w:r w:rsidRPr="00C7171A">
        <w:rPr>
          <w:rFonts w:ascii="Calibri Light" w:hAnsi="Calibri Light" w:cs="Calibri Light"/>
          <w:bCs/>
          <w:sz w:val="24"/>
          <w:szCs w:val="24"/>
          <w:lang w:val="en-MY"/>
        </w:rPr>
        <w:t xml:space="preserve">Komisi Pemberantasan Korupsi. (2023). </w:t>
      </w:r>
      <w:r w:rsidRPr="00C7171A">
        <w:rPr>
          <w:rFonts w:ascii="Calibri Light" w:hAnsi="Calibri Light" w:cs="Calibri Light"/>
          <w:bCs/>
          <w:i/>
          <w:iCs/>
          <w:sz w:val="24"/>
          <w:szCs w:val="24"/>
          <w:lang w:val="en-MY"/>
        </w:rPr>
        <w:t>Laporan Gratifikasi Sepanjang Tahun 2022</w:t>
      </w:r>
      <w:r w:rsidRPr="00C7171A">
        <w:rPr>
          <w:rFonts w:ascii="Calibri Light" w:hAnsi="Calibri Light" w:cs="Calibri Light"/>
          <w:bCs/>
          <w:sz w:val="24"/>
          <w:szCs w:val="24"/>
          <w:lang w:val="en-MY"/>
        </w:rPr>
        <w:t>. Jakarta, Indonesia: Komisi Pemberantasan Korupsi.</w:t>
      </w:r>
    </w:p>
    <w:p w:rsidR="00CB6960" w:rsidRDefault="00CB6960"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B6960">
        <w:rPr>
          <w:rFonts w:ascii="Calibri Light" w:hAnsi="Calibri Light" w:cs="Calibri Light"/>
          <w:bCs/>
          <w:sz w:val="24"/>
          <w:szCs w:val="24"/>
          <w:lang w:val="en-MY"/>
        </w:rPr>
        <w:t xml:space="preserve">Kompas. (2024, January 22). </w:t>
      </w:r>
      <w:r w:rsidRPr="00CB6960">
        <w:rPr>
          <w:rFonts w:ascii="Calibri Light" w:hAnsi="Calibri Light" w:cs="Calibri Light"/>
          <w:bCs/>
          <w:i/>
          <w:iCs/>
          <w:sz w:val="24"/>
          <w:szCs w:val="24"/>
          <w:lang w:val="en-MY"/>
        </w:rPr>
        <w:t>Kaesang Pangarep and Bobby Nasution summoned by KPK over gratification allegations</w:t>
      </w:r>
      <w:r w:rsidRPr="00CB6960">
        <w:rPr>
          <w:rFonts w:ascii="Calibri Light" w:hAnsi="Calibri Light" w:cs="Calibri Light"/>
          <w:bCs/>
          <w:sz w:val="24"/>
          <w:szCs w:val="24"/>
          <w:lang w:val="en-MY"/>
        </w:rPr>
        <w:t xml:space="preserve">. </w:t>
      </w:r>
      <w:r w:rsidRPr="00CB6960">
        <w:rPr>
          <w:rFonts w:ascii="Calibri Light" w:hAnsi="Calibri Light" w:cs="Calibri Light"/>
          <w:bCs/>
          <w:i/>
          <w:iCs/>
          <w:sz w:val="24"/>
          <w:szCs w:val="24"/>
          <w:lang w:val="en-MY"/>
        </w:rPr>
        <w:t>Kompas News</w:t>
      </w:r>
      <w:r w:rsidRPr="00CB6960">
        <w:rPr>
          <w:rFonts w:ascii="Calibri Light" w:hAnsi="Calibri Light" w:cs="Calibri Light"/>
          <w:bCs/>
          <w:sz w:val="24"/>
          <w:szCs w:val="24"/>
          <w:lang w:val="en-MY"/>
        </w:rPr>
        <w:t>.</w:t>
      </w:r>
      <w:r w:rsidRPr="00CB6960">
        <w:rPr>
          <w:rFonts w:ascii="Calibri Light" w:hAnsi="Calibri Light" w:cs="Calibri Light"/>
          <w:b/>
          <w:color w:val="A6A6A6"/>
          <w:sz w:val="24"/>
          <w:szCs w:val="24"/>
          <w:lang w:val="en-MY"/>
        </w:rPr>
        <w:t xml:space="preserve"> </w:t>
      </w:r>
      <w:hyperlink r:id="rId26" w:tgtFrame="_new" w:history="1">
        <w:r w:rsidRPr="00CB6960">
          <w:rPr>
            <w:rStyle w:val="Hyperlink"/>
            <w:rFonts w:ascii="Calibri Light" w:hAnsi="Calibri Light" w:cs="Calibri Light"/>
            <w:b/>
            <w:sz w:val="24"/>
            <w:szCs w:val="24"/>
            <w:lang w:val="en-MY"/>
          </w:rPr>
          <w:t>https://www.kompas.com/2024</w:t>
        </w:r>
      </w:hyperlink>
    </w:p>
    <w:p w:rsidR="00EC322C" w:rsidRPr="00CB6960" w:rsidRDefault="00EC322C" w:rsidP="00EC322C">
      <w:pPr>
        <w:numPr>
          <w:ilvl w:val="0"/>
          <w:numId w:val="45"/>
        </w:numPr>
        <w:spacing w:line="240" w:lineRule="atLeast"/>
        <w:ind w:left="567" w:hanging="567"/>
        <w:jc w:val="both"/>
        <w:rPr>
          <w:rFonts w:ascii="Calibri Light" w:hAnsi="Calibri Light" w:cs="Calibri Light"/>
          <w:b/>
          <w:sz w:val="24"/>
          <w:szCs w:val="24"/>
          <w:lang w:val="en-MY"/>
        </w:rPr>
      </w:pPr>
      <w:r w:rsidRPr="00EC322C">
        <w:rPr>
          <w:rFonts w:ascii="Calibri Light" w:hAnsi="Calibri Light" w:cs="Calibri Light"/>
          <w:bCs/>
          <w:sz w:val="24"/>
          <w:szCs w:val="24"/>
        </w:rPr>
        <w:lastRenderedPageBreak/>
        <w:t xml:space="preserve">Miles, M. B., &amp; Huberman, A. M. (1994). </w:t>
      </w:r>
      <w:r w:rsidRPr="00EC322C">
        <w:rPr>
          <w:rFonts w:ascii="Calibri Light" w:hAnsi="Calibri Light" w:cs="Calibri Light"/>
          <w:bCs/>
          <w:i/>
          <w:iCs/>
          <w:sz w:val="24"/>
          <w:szCs w:val="24"/>
        </w:rPr>
        <w:t>Qualitative data analysis: An expanded sourcebook</w:t>
      </w:r>
      <w:r w:rsidRPr="00EC322C">
        <w:rPr>
          <w:rFonts w:ascii="Calibri Light" w:hAnsi="Calibri Light" w:cs="Calibri Light"/>
          <w:bCs/>
          <w:sz w:val="24"/>
          <w:szCs w:val="24"/>
        </w:rPr>
        <w:t xml:space="preserve"> (2nd ed.). Thousand Oaks, CA: Sage Publications</w:t>
      </w:r>
      <w:r w:rsidRPr="00EC322C">
        <w:rPr>
          <w:rFonts w:ascii="Calibri Light" w:hAnsi="Calibri Light" w:cs="Calibri Light"/>
          <w:b/>
          <w:sz w:val="24"/>
          <w:szCs w:val="24"/>
        </w:rPr>
        <w:t>.</w:t>
      </w:r>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Nwabuzor, A. (2005). Corruption and development: New initiatives in economic openness and strengthened rule of law. </w:t>
      </w:r>
      <w:r w:rsidRPr="00C7171A">
        <w:rPr>
          <w:rFonts w:ascii="Calibri Light" w:hAnsi="Calibri Light" w:cs="Calibri Light"/>
          <w:bCs/>
          <w:i/>
          <w:iCs/>
          <w:sz w:val="24"/>
          <w:szCs w:val="24"/>
          <w:lang w:val="en-MY"/>
        </w:rPr>
        <w:t>Journal of Business Ethics, 59</w:t>
      </w:r>
      <w:r w:rsidRPr="00C7171A">
        <w:rPr>
          <w:rFonts w:ascii="Calibri Light" w:hAnsi="Calibri Light" w:cs="Calibri Light"/>
          <w:bCs/>
          <w:sz w:val="24"/>
          <w:szCs w:val="24"/>
          <w:lang w:val="en-MY"/>
        </w:rPr>
        <w:t>(1), 121–138</w:t>
      </w:r>
      <w:r w:rsidRPr="00C7171A">
        <w:rPr>
          <w:rFonts w:ascii="Calibri Light" w:hAnsi="Calibri Light" w:cs="Calibri Light"/>
          <w:b/>
          <w:color w:val="A6A6A6"/>
          <w:sz w:val="24"/>
          <w:szCs w:val="24"/>
          <w:lang w:val="en-MY"/>
        </w:rPr>
        <w:t>.</w:t>
      </w:r>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Nurliza, V., Suprijatna, D., Ishaq, S., &amp; Muhammad, A. (2023). Tanda terimakasih yang dapat berujung tindak pidana korupsi jenis gratifikasi. </w:t>
      </w:r>
      <w:r w:rsidRPr="00C7171A">
        <w:rPr>
          <w:rFonts w:ascii="Calibri Light" w:hAnsi="Calibri Light" w:cs="Calibri Light"/>
          <w:bCs/>
          <w:i/>
          <w:iCs/>
          <w:sz w:val="24"/>
          <w:szCs w:val="24"/>
          <w:lang w:val="en-MY"/>
        </w:rPr>
        <w:t>Jurnal Hukum DE’RECHTSSTAAT, 9</w:t>
      </w:r>
      <w:r w:rsidRPr="00C7171A">
        <w:rPr>
          <w:rFonts w:ascii="Calibri Light" w:hAnsi="Calibri Light" w:cs="Calibri Light"/>
          <w:bCs/>
          <w:sz w:val="24"/>
          <w:szCs w:val="24"/>
          <w:lang w:val="en-MY"/>
        </w:rPr>
        <w:t>(2), 120–131</w:t>
      </w:r>
      <w:r w:rsidRPr="00C7171A">
        <w:rPr>
          <w:rFonts w:ascii="Calibri Light" w:hAnsi="Calibri Light" w:cs="Calibri Light"/>
          <w:b/>
          <w:sz w:val="24"/>
          <w:szCs w:val="24"/>
          <w:lang w:val="en-MY"/>
        </w:rPr>
        <w:t>.</w:t>
      </w:r>
      <w:r w:rsidRPr="00C7171A">
        <w:rPr>
          <w:rFonts w:ascii="Calibri Light" w:hAnsi="Calibri Light" w:cs="Calibri Light"/>
          <w:b/>
          <w:color w:val="A6A6A6"/>
          <w:sz w:val="24"/>
          <w:szCs w:val="24"/>
          <w:lang w:val="en-MY"/>
        </w:rPr>
        <w:t xml:space="preserve"> </w:t>
      </w:r>
      <w:hyperlink r:id="rId27" w:tgtFrame="_new" w:history="1">
        <w:r w:rsidRPr="00C7171A">
          <w:rPr>
            <w:rStyle w:val="Hyperlink"/>
            <w:rFonts w:ascii="Calibri Light" w:hAnsi="Calibri Light" w:cs="Calibri Light"/>
            <w:b/>
            <w:sz w:val="24"/>
            <w:szCs w:val="24"/>
            <w:lang w:val="en-MY"/>
          </w:rPr>
          <w:t>https://doi.org/10.30997/jhd.v9i2.8560</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Rasjidi, F. (2023). The gratification of sexual services in corruption offenses. </w:t>
      </w:r>
      <w:r w:rsidRPr="00C7171A">
        <w:rPr>
          <w:rFonts w:ascii="Calibri Light" w:hAnsi="Calibri Light" w:cs="Calibri Light"/>
          <w:bCs/>
          <w:i/>
          <w:iCs/>
          <w:sz w:val="24"/>
          <w:szCs w:val="24"/>
          <w:lang w:val="en-MY"/>
        </w:rPr>
        <w:t>Journal of Law and Sustainable Development, 11</w:t>
      </w:r>
      <w:r w:rsidRPr="00C7171A">
        <w:rPr>
          <w:rFonts w:ascii="Calibri Light" w:hAnsi="Calibri Light" w:cs="Calibri Light"/>
          <w:bCs/>
          <w:sz w:val="24"/>
          <w:szCs w:val="24"/>
          <w:lang w:val="en-MY"/>
        </w:rPr>
        <w:t>(8), e1431.</w:t>
      </w:r>
      <w:r w:rsidRPr="00C7171A">
        <w:rPr>
          <w:rFonts w:ascii="Calibri Light" w:hAnsi="Calibri Light" w:cs="Calibri Light"/>
          <w:b/>
          <w:color w:val="A6A6A6"/>
          <w:sz w:val="24"/>
          <w:szCs w:val="24"/>
          <w:lang w:val="en-MY"/>
        </w:rPr>
        <w:t xml:space="preserve"> </w:t>
      </w:r>
      <w:hyperlink r:id="rId28" w:tgtFrame="_new" w:history="1">
        <w:r w:rsidRPr="00C7171A">
          <w:rPr>
            <w:rStyle w:val="Hyperlink"/>
            <w:rFonts w:ascii="Calibri Light" w:hAnsi="Calibri Light" w:cs="Calibri Light"/>
            <w:b/>
            <w:sz w:val="24"/>
            <w:szCs w:val="24"/>
            <w:lang w:val="en-MY"/>
          </w:rPr>
          <w:t>https://doi.org/10.55908/sdgs.v11i8.1431</w:t>
        </w:r>
      </w:hyperlink>
    </w:p>
    <w:p w:rsidR="0097320B" w:rsidRDefault="0097320B" w:rsidP="00EC322C">
      <w:pPr>
        <w:numPr>
          <w:ilvl w:val="0"/>
          <w:numId w:val="45"/>
        </w:numPr>
        <w:spacing w:line="240" w:lineRule="atLeast"/>
        <w:ind w:left="567" w:hanging="567"/>
        <w:jc w:val="both"/>
        <w:rPr>
          <w:rFonts w:ascii="Calibri Light" w:hAnsi="Calibri Light" w:cs="Calibri Light"/>
          <w:bCs/>
          <w:sz w:val="24"/>
          <w:szCs w:val="24"/>
        </w:rPr>
      </w:pPr>
      <w:r w:rsidRPr="0097320B">
        <w:rPr>
          <w:rFonts w:ascii="Calibri Light" w:hAnsi="Calibri Light" w:cs="Calibri Light"/>
          <w:bCs/>
          <w:sz w:val="24"/>
          <w:szCs w:val="24"/>
        </w:rPr>
        <w:t>Salam, R. (2018). Hadiah/Gratifikasi dan Suap Sebagai Pemahaman Perilaku Korupsi dalam Perspektif Administrasi Publik. </w:t>
      </w:r>
      <w:r w:rsidRPr="0097320B">
        <w:rPr>
          <w:rFonts w:ascii="Calibri Light" w:hAnsi="Calibri Light" w:cs="Calibri Light"/>
          <w:bCs/>
          <w:i/>
          <w:iCs/>
          <w:sz w:val="24"/>
          <w:szCs w:val="24"/>
        </w:rPr>
        <w:t>Jurnal Ilmiah Manajemen, Ekonomi, &amp; Akuntansi (MEA)</w:t>
      </w:r>
      <w:r w:rsidRPr="0097320B">
        <w:rPr>
          <w:rFonts w:ascii="Calibri Light" w:hAnsi="Calibri Light" w:cs="Calibri Light"/>
          <w:bCs/>
          <w:sz w:val="24"/>
          <w:szCs w:val="24"/>
        </w:rPr>
        <w:t>, </w:t>
      </w:r>
      <w:r w:rsidRPr="0097320B">
        <w:rPr>
          <w:rFonts w:ascii="Calibri Light" w:hAnsi="Calibri Light" w:cs="Calibri Light"/>
          <w:bCs/>
          <w:i/>
          <w:iCs/>
          <w:sz w:val="24"/>
          <w:szCs w:val="24"/>
        </w:rPr>
        <w:t>2</w:t>
      </w:r>
      <w:r w:rsidRPr="0097320B">
        <w:rPr>
          <w:rFonts w:ascii="Calibri Light" w:hAnsi="Calibri Light" w:cs="Calibri Light"/>
          <w:bCs/>
          <w:sz w:val="24"/>
          <w:szCs w:val="24"/>
        </w:rPr>
        <w:t xml:space="preserve">(3), 195-208. </w:t>
      </w:r>
      <w:hyperlink r:id="rId29" w:history="1">
        <w:r w:rsidRPr="003A7202">
          <w:rPr>
            <w:rStyle w:val="Hyperlink"/>
            <w:rFonts w:ascii="Calibri Light" w:hAnsi="Calibri Light" w:cs="Calibri Light"/>
            <w:bCs/>
            <w:sz w:val="24"/>
            <w:szCs w:val="24"/>
          </w:rPr>
          <w:t>https://doi.org/10.31955/mea.v2i3.611</w:t>
        </w:r>
      </w:hyperlink>
    </w:p>
    <w:p w:rsidR="00CB6960" w:rsidRDefault="00CB6960"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97320B">
        <w:rPr>
          <w:rFonts w:ascii="Calibri Light" w:hAnsi="Calibri Light" w:cs="Calibri Light"/>
          <w:bCs/>
          <w:sz w:val="24"/>
          <w:szCs w:val="24"/>
        </w:rPr>
        <w:t>Schultz, D. (2010). Ethics Regulation Across Professions: The Problem of Gifting. </w:t>
      </w:r>
      <w:r w:rsidRPr="0097320B">
        <w:rPr>
          <w:rFonts w:ascii="Calibri Light" w:hAnsi="Calibri Light" w:cs="Calibri Light"/>
          <w:bCs/>
          <w:i/>
          <w:iCs/>
          <w:sz w:val="24"/>
          <w:szCs w:val="24"/>
        </w:rPr>
        <w:t>Public Integrity</w:t>
      </w:r>
      <w:r w:rsidRPr="0097320B">
        <w:rPr>
          <w:rFonts w:ascii="Calibri Light" w:hAnsi="Calibri Light" w:cs="Calibri Light"/>
          <w:bCs/>
          <w:sz w:val="24"/>
          <w:szCs w:val="24"/>
        </w:rPr>
        <w:t>, </w:t>
      </w:r>
      <w:r w:rsidRPr="0097320B">
        <w:rPr>
          <w:rFonts w:ascii="Calibri Light" w:hAnsi="Calibri Light" w:cs="Calibri Light"/>
          <w:bCs/>
          <w:i/>
          <w:iCs/>
          <w:sz w:val="24"/>
          <w:szCs w:val="24"/>
        </w:rPr>
        <w:t>12</w:t>
      </w:r>
      <w:r w:rsidRPr="0097320B">
        <w:rPr>
          <w:rFonts w:ascii="Calibri Light" w:hAnsi="Calibri Light" w:cs="Calibri Light"/>
          <w:bCs/>
          <w:sz w:val="24"/>
          <w:szCs w:val="24"/>
        </w:rPr>
        <w:t>(2), 161–172</w:t>
      </w:r>
      <w:r w:rsidRPr="00007120">
        <w:rPr>
          <w:rFonts w:ascii="Calibri Light" w:hAnsi="Calibri Light" w:cs="Calibri Light"/>
          <w:b/>
          <w:sz w:val="24"/>
          <w:szCs w:val="24"/>
        </w:rPr>
        <w:t>.</w:t>
      </w:r>
      <w:r w:rsidRPr="00CB6960">
        <w:rPr>
          <w:rFonts w:ascii="Calibri Light" w:hAnsi="Calibri Light" w:cs="Calibri Light"/>
          <w:b/>
          <w:color w:val="A6A6A6"/>
          <w:sz w:val="24"/>
          <w:szCs w:val="24"/>
        </w:rPr>
        <w:t xml:space="preserve"> </w:t>
      </w:r>
      <w:hyperlink r:id="rId30" w:tgtFrame="_blank" w:history="1">
        <w:r w:rsidRPr="00CB6960">
          <w:rPr>
            <w:rStyle w:val="Hyperlink"/>
            <w:rFonts w:ascii="Calibri Light" w:hAnsi="Calibri Light" w:cs="Calibri Light"/>
            <w:b/>
            <w:sz w:val="24"/>
            <w:szCs w:val="24"/>
          </w:rPr>
          <w:t>https://doi.org/10.2753/PIN1099-9922120204</w:t>
        </w:r>
      </w:hyperlink>
      <w:r w:rsidRPr="00CB6960">
        <w:rPr>
          <w:rFonts w:ascii="Calibri Light" w:hAnsi="Calibri Light" w:cs="Calibri Light"/>
          <w:b/>
          <w:color w:val="A6A6A6"/>
          <w:sz w:val="24"/>
          <w:szCs w:val="24"/>
        </w:rPr>
        <w:t> </w:t>
      </w:r>
    </w:p>
    <w:p w:rsidR="00CB6960" w:rsidRPr="00C7171A" w:rsidRDefault="00CB6960"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97320B">
        <w:rPr>
          <w:rFonts w:ascii="Calibri Light" w:hAnsi="Calibri Light" w:cs="Calibri Light"/>
          <w:bCs/>
          <w:sz w:val="24"/>
          <w:szCs w:val="24"/>
          <w:lang w:val="en-MY"/>
        </w:rPr>
        <w:t>Shaari, M. S., Esquivias, M. A., Ridzuan, A. R., Fadzilah Zainal, N., &amp; Sugiharti, L. (2022). The impacts of corruption and environmental degradation on foreign direct investment: new evidence from the ASEAN+3 countries. </w:t>
      </w:r>
      <w:r w:rsidRPr="0097320B">
        <w:rPr>
          <w:rFonts w:ascii="Calibri Light" w:hAnsi="Calibri Light" w:cs="Calibri Light"/>
          <w:bCs/>
          <w:i/>
          <w:iCs/>
          <w:sz w:val="24"/>
          <w:szCs w:val="24"/>
          <w:lang w:val="en-MY"/>
        </w:rPr>
        <w:t>Cogent Economics &amp; Finance</w:t>
      </w:r>
      <w:r w:rsidRPr="0097320B">
        <w:rPr>
          <w:rFonts w:ascii="Calibri Light" w:hAnsi="Calibri Light" w:cs="Calibri Light"/>
          <w:bCs/>
          <w:sz w:val="24"/>
          <w:szCs w:val="24"/>
          <w:lang w:val="en-MY"/>
        </w:rPr>
        <w:t>, </w:t>
      </w:r>
      <w:r w:rsidRPr="0097320B">
        <w:rPr>
          <w:rFonts w:ascii="Calibri Light" w:hAnsi="Calibri Light" w:cs="Calibri Light"/>
          <w:bCs/>
          <w:i/>
          <w:iCs/>
          <w:sz w:val="24"/>
          <w:szCs w:val="24"/>
          <w:lang w:val="en-MY"/>
        </w:rPr>
        <w:t>10</w:t>
      </w:r>
      <w:r w:rsidRPr="0097320B">
        <w:rPr>
          <w:rFonts w:ascii="Calibri Light" w:hAnsi="Calibri Light" w:cs="Calibri Light"/>
          <w:bCs/>
          <w:sz w:val="24"/>
          <w:szCs w:val="24"/>
          <w:lang w:val="en-MY"/>
        </w:rPr>
        <w:t>(1).</w:t>
      </w:r>
      <w:r w:rsidRPr="00CB6960">
        <w:rPr>
          <w:rFonts w:ascii="Calibri Light" w:hAnsi="Calibri Light" w:cs="Calibri Light"/>
          <w:b/>
          <w:color w:val="A6A6A6"/>
          <w:sz w:val="24"/>
          <w:szCs w:val="24"/>
          <w:lang w:val="en-MY"/>
        </w:rPr>
        <w:t xml:space="preserve"> </w:t>
      </w:r>
      <w:hyperlink r:id="rId31" w:history="1">
        <w:r w:rsidRPr="00CB6960">
          <w:rPr>
            <w:rStyle w:val="Hyperlink"/>
            <w:rFonts w:ascii="Calibri Light" w:hAnsi="Calibri Light" w:cs="Calibri Light"/>
            <w:b/>
            <w:sz w:val="24"/>
            <w:szCs w:val="24"/>
            <w:lang w:val="en-MY"/>
          </w:rPr>
          <w:t>https://doi.org/10.1080/23322039.2022.2124734</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Spyromitros, E., &amp; Panagiotidis, M. (2022). The impact of corruption on economic growth in developing countries: A comparative analysis of corruption measurement indicators. </w:t>
      </w:r>
      <w:r w:rsidRPr="00C7171A">
        <w:rPr>
          <w:rFonts w:ascii="Calibri Light" w:hAnsi="Calibri Light" w:cs="Calibri Light"/>
          <w:bCs/>
          <w:i/>
          <w:iCs/>
          <w:sz w:val="24"/>
          <w:szCs w:val="24"/>
          <w:lang w:val="en-MY"/>
        </w:rPr>
        <w:t>Cogent Economics &amp; Finance, 10</w:t>
      </w:r>
      <w:r w:rsidRPr="00C7171A">
        <w:rPr>
          <w:rFonts w:ascii="Calibri Light" w:hAnsi="Calibri Light" w:cs="Calibri Light"/>
          <w:bCs/>
          <w:sz w:val="24"/>
          <w:szCs w:val="24"/>
          <w:lang w:val="en-MY"/>
        </w:rPr>
        <w:t>(1).</w:t>
      </w:r>
      <w:r w:rsidRPr="00C7171A">
        <w:rPr>
          <w:rFonts w:ascii="Calibri Light" w:hAnsi="Calibri Light" w:cs="Calibri Light"/>
          <w:b/>
          <w:color w:val="A6A6A6"/>
          <w:sz w:val="24"/>
          <w:szCs w:val="24"/>
          <w:lang w:val="en-MY"/>
        </w:rPr>
        <w:t xml:space="preserve"> </w:t>
      </w:r>
      <w:hyperlink r:id="rId32" w:tgtFrame="_new" w:history="1">
        <w:r w:rsidRPr="00C7171A">
          <w:rPr>
            <w:rStyle w:val="Hyperlink"/>
            <w:rFonts w:ascii="Calibri Light" w:hAnsi="Calibri Light" w:cs="Calibri Light"/>
            <w:b/>
            <w:sz w:val="24"/>
            <w:szCs w:val="24"/>
            <w:lang w:val="en-MY"/>
          </w:rPr>
          <w:t>https://doi.org/10.1080/23322039.2022.2129368</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Trabelsi, M. A. (2024). The impact of corruption on economic growth: A nonlinear evidence. </w:t>
      </w:r>
      <w:r w:rsidRPr="00C7171A">
        <w:rPr>
          <w:rFonts w:ascii="Calibri Light" w:hAnsi="Calibri Light" w:cs="Calibri Light"/>
          <w:bCs/>
          <w:i/>
          <w:iCs/>
          <w:sz w:val="24"/>
          <w:szCs w:val="24"/>
          <w:lang w:val="en-MY"/>
        </w:rPr>
        <w:t>Journal of Social and Economic Development</w:t>
      </w:r>
      <w:r w:rsidRPr="00C7171A">
        <w:rPr>
          <w:rFonts w:ascii="Calibri Light" w:hAnsi="Calibri Light" w:cs="Calibri Light"/>
          <w:bCs/>
          <w:sz w:val="24"/>
          <w:szCs w:val="24"/>
          <w:lang w:val="en-MY"/>
        </w:rPr>
        <w:t>.</w:t>
      </w:r>
      <w:r w:rsidRPr="00C7171A">
        <w:rPr>
          <w:rFonts w:ascii="Calibri Light" w:hAnsi="Calibri Light" w:cs="Calibri Light"/>
          <w:b/>
          <w:color w:val="A6A6A6"/>
          <w:sz w:val="24"/>
          <w:szCs w:val="24"/>
          <w:lang w:val="en-MY"/>
        </w:rPr>
        <w:t xml:space="preserve"> </w:t>
      </w:r>
      <w:hyperlink r:id="rId33" w:tgtFrame="_new" w:history="1">
        <w:r w:rsidRPr="00C7171A">
          <w:rPr>
            <w:rStyle w:val="Hyperlink"/>
            <w:rFonts w:ascii="Calibri Light" w:hAnsi="Calibri Light" w:cs="Calibri Light"/>
            <w:b/>
            <w:sz w:val="24"/>
            <w:szCs w:val="24"/>
            <w:lang w:val="en-MY"/>
          </w:rPr>
          <w:t>https://doi.org/10.1007/s40847-023-00301-9</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Transparency International. (2024). Corruption Perception Index 2024.</w:t>
      </w:r>
      <w:r w:rsidRPr="00C7171A">
        <w:rPr>
          <w:rFonts w:ascii="Calibri Light" w:hAnsi="Calibri Light" w:cs="Calibri Light"/>
          <w:b/>
          <w:color w:val="A6A6A6"/>
          <w:sz w:val="24"/>
          <w:szCs w:val="24"/>
          <w:lang w:val="en-MY"/>
        </w:rPr>
        <w:t xml:space="preserve"> </w:t>
      </w:r>
      <w:hyperlink r:id="rId34" w:tgtFrame="_new" w:history="1">
        <w:r w:rsidRPr="00C7171A">
          <w:rPr>
            <w:rStyle w:val="Hyperlink"/>
            <w:rFonts w:ascii="Calibri Light" w:hAnsi="Calibri Light" w:cs="Calibri Light"/>
            <w:b/>
            <w:sz w:val="24"/>
            <w:szCs w:val="24"/>
            <w:lang w:val="en-MY"/>
          </w:rPr>
          <w:t>https://www.transparency.org</w:t>
        </w:r>
      </w:hyperlink>
    </w:p>
    <w:p w:rsidR="00C7171A" w:rsidRPr="00C7171A" w:rsidRDefault="00C7171A" w:rsidP="00EC322C">
      <w:pPr>
        <w:numPr>
          <w:ilvl w:val="0"/>
          <w:numId w:val="45"/>
        </w:numPr>
        <w:spacing w:line="240" w:lineRule="atLeast"/>
        <w:ind w:left="567" w:hanging="567"/>
        <w:jc w:val="both"/>
        <w:rPr>
          <w:rFonts w:ascii="Calibri Light" w:hAnsi="Calibri Light" w:cs="Calibri Light"/>
          <w:b/>
          <w:color w:val="A6A6A6"/>
          <w:sz w:val="24"/>
          <w:szCs w:val="24"/>
          <w:lang w:val="en-MY"/>
        </w:rPr>
      </w:pPr>
      <w:r w:rsidRPr="00C7171A">
        <w:rPr>
          <w:rFonts w:ascii="Calibri Light" w:hAnsi="Calibri Light" w:cs="Calibri Light"/>
          <w:bCs/>
          <w:sz w:val="24"/>
          <w:szCs w:val="24"/>
          <w:lang w:val="en-MY"/>
        </w:rPr>
        <w:t xml:space="preserve">Yustia, D. A., &amp; Arifin, F. (2023). Bureaucratic reform as an effort to prevent corruption in Indonesia. </w:t>
      </w:r>
      <w:r w:rsidRPr="00C7171A">
        <w:rPr>
          <w:rFonts w:ascii="Calibri Light" w:hAnsi="Calibri Light" w:cs="Calibri Light"/>
          <w:bCs/>
          <w:i/>
          <w:iCs/>
          <w:sz w:val="24"/>
          <w:szCs w:val="24"/>
          <w:lang w:val="en-MY"/>
        </w:rPr>
        <w:t>Cogent Social Sciences, 9</w:t>
      </w:r>
      <w:r w:rsidRPr="00C7171A">
        <w:rPr>
          <w:rFonts w:ascii="Calibri Light" w:hAnsi="Calibri Light" w:cs="Calibri Light"/>
          <w:bCs/>
          <w:sz w:val="24"/>
          <w:szCs w:val="24"/>
          <w:lang w:val="en-MY"/>
        </w:rPr>
        <w:t>(1)</w:t>
      </w:r>
      <w:r w:rsidRPr="00C7171A">
        <w:rPr>
          <w:rFonts w:ascii="Calibri Light" w:hAnsi="Calibri Light" w:cs="Calibri Light"/>
          <w:b/>
          <w:color w:val="A6A6A6"/>
          <w:sz w:val="24"/>
          <w:szCs w:val="24"/>
          <w:lang w:val="en-MY"/>
        </w:rPr>
        <w:t xml:space="preserve">. </w:t>
      </w:r>
      <w:hyperlink r:id="rId35" w:tgtFrame="_new" w:history="1">
        <w:r w:rsidRPr="00C7171A">
          <w:rPr>
            <w:rStyle w:val="Hyperlink"/>
            <w:rFonts w:ascii="Calibri Light" w:hAnsi="Calibri Light" w:cs="Calibri Light"/>
            <w:b/>
            <w:sz w:val="24"/>
            <w:szCs w:val="24"/>
            <w:lang w:val="en-MY"/>
          </w:rPr>
          <w:t>https://doi.org/10.1080/23311886.2023.2166196</w:t>
        </w:r>
      </w:hyperlink>
    </w:p>
    <w:sectPr w:rsidR="00C7171A" w:rsidRPr="00C7171A" w:rsidSect="007816FC">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37EC" w:rsidRDefault="007337EC">
      <w:r>
        <w:separator/>
      </w:r>
    </w:p>
  </w:endnote>
  <w:endnote w:type="continuationSeparator" w:id="0">
    <w:p w:rsidR="007337EC" w:rsidRDefault="00733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3420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24129873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3420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60269242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3420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71783254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37EC" w:rsidRDefault="007337EC">
      <w:r>
        <w:separator/>
      </w:r>
    </w:p>
  </w:footnote>
  <w:footnote w:type="continuationSeparator" w:id="0">
    <w:p w:rsidR="007337EC" w:rsidRDefault="00733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342072"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13071369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3124217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730995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B368ED" w:rsidP="00122F5F">
                          <w:pPr>
                            <w:ind w:left="23"/>
                            <w:jc w:val="both"/>
                            <w:rPr>
                              <w:rFonts w:ascii="Calibri Light" w:hAnsi="Calibri Light" w:cs="Calibri Light"/>
                              <w:i/>
                              <w:sz w:val="18"/>
                            </w:rPr>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B368ED" w:rsidP="00122F5F">
                    <w:pPr>
                      <w:ind w:left="23"/>
                      <w:jc w:val="both"/>
                      <w:rPr>
                        <w:rFonts w:ascii="Calibri Light" w:hAnsi="Calibri Light" w:cs="Calibri Light"/>
                        <w:i/>
                        <w:sz w:val="18"/>
                      </w:rPr>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p>
                </w:txbxContent>
              </v:textbox>
              <w10:wrap anchorx="page" anchory="page"/>
            </v:shape>
          </w:pict>
        </mc:Fallback>
      </mc:AlternateContent>
    </w:r>
    <w:r>
      <w:rPr>
        <w:noProof/>
      </w:rPr>
      <w:drawing>
        <wp:inline distT="0" distB="0" distL="0" distR="0">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342072"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249600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8175914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94940919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40648" w:rsidP="00122F5F">
                          <w:pPr>
                            <w:ind w:left="23"/>
                            <w:jc w:val="both"/>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r>
                            <w:rPr>
                              <w:rFonts w:ascii="Calibri Light" w:hAnsi="Calibri Light" w:cs="Calibri Light"/>
                              <w:sz w:val="18"/>
                            </w:rPr>
                            <w:t xml:space="preserve"> </w:t>
                          </w:r>
                          <w:r w:rsidR="00540F02">
                            <w:rPr>
                              <w:rFonts w:ascii="Calibri Light" w:hAnsi="Calibri Light" w:cs="Calibri Light"/>
                              <w:sz w:val="18"/>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000000" w:rsidRDefault="00C40648" w:rsidP="00122F5F">
                    <w:pPr>
                      <w:ind w:left="23"/>
                      <w:jc w:val="both"/>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r>
                      <w:rPr>
                        <w:rFonts w:ascii="Calibri Light" w:hAnsi="Calibri Light" w:cs="Calibri Light"/>
                        <w:sz w:val="18"/>
                      </w:rPr>
                      <w:t xml:space="preserve"> </w:t>
                    </w:r>
                    <w:r w:rsidR="00540F02">
                      <w:rPr>
                        <w:rFonts w:ascii="Calibri Light" w:hAnsi="Calibri Light" w:cs="Calibri Light"/>
                        <w:sz w:val="18"/>
                      </w:rPr>
                      <w:t>A</w:t>
                    </w:r>
                  </w:p>
                </w:txbxContent>
              </v:textbox>
              <w10:wrap anchorx="page" anchory="page"/>
            </v:shape>
          </w:pict>
        </mc:Fallback>
      </mc:AlternateContent>
    </w:r>
    <w:r>
      <w:rPr>
        <w:noProof/>
      </w:rPr>
      <w:drawing>
        <wp:inline distT="0" distB="0" distL="0" distR="0">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342072">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13155291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182335585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025710">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141710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B368ED" w:rsidRDefault="00B368ED" w:rsidP="00B368ED">
                          <w:pPr>
                            <w:ind w:left="23"/>
                            <w:jc w:val="both"/>
                            <w:rPr>
                              <w:rFonts w:ascii="Calibri Light" w:hAnsi="Calibri Light" w:cs="Calibri Light"/>
                              <w:i/>
                              <w:sz w:val="18"/>
                              <w:lang w:val="en-MY"/>
                            </w:rPr>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00E86377"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B368ED" w:rsidRDefault="00B368ED" w:rsidP="00B368ED">
                    <w:pPr>
                      <w:ind w:left="23"/>
                      <w:jc w:val="both"/>
                      <w:rPr>
                        <w:rFonts w:ascii="Calibri Light" w:hAnsi="Calibri Light" w:cs="Calibri Light"/>
                        <w:i/>
                        <w:sz w:val="18"/>
                        <w:lang w:val="en-MY"/>
                      </w:rPr>
                    </w:pPr>
                    <w:r w:rsidRPr="00B368ED">
                      <w:rPr>
                        <w:rFonts w:ascii="Calibri Light" w:hAnsi="Calibri Light" w:cs="Calibri Light"/>
                        <w:iCs/>
                        <w:sz w:val="18"/>
                        <w:lang w:val="en-MY"/>
                      </w:rPr>
                      <w:t>Rajab, H, Paee, R, Thalhah &amp; Rustina N.,</w:t>
                    </w:r>
                    <w:r>
                      <w:rPr>
                        <w:rFonts w:ascii="Calibri Light" w:hAnsi="Calibri Light" w:cs="Calibri Light"/>
                        <w:i/>
                        <w:sz w:val="18"/>
                        <w:lang w:val="en-MY"/>
                      </w:rPr>
                      <w:t xml:space="preserve"> </w:t>
                    </w:r>
                    <w:r w:rsidR="00E86377" w:rsidRPr="00E86377">
                      <w:rPr>
                        <w:rFonts w:ascii="Calibri Light" w:hAnsi="Calibri Light" w:cs="Calibri Light"/>
                        <w:i/>
                        <w:sz w:val="18"/>
                        <w:lang w:val="en-MY"/>
                      </w:rPr>
                      <w:t xml:space="preserve">Ethical Governance in Public Service: A Comparative Study of Hadaya al-‘Ummal in Islamic Law and </w:t>
                    </w:r>
                    <w:r>
                      <w:rPr>
                        <w:rFonts w:ascii="Calibri Light" w:hAnsi="Calibri Light" w:cs="Calibri Light"/>
                        <w:i/>
                        <w:sz w:val="18"/>
                        <w:lang w:val="en-MY"/>
                      </w:rPr>
                      <w:t>Gratification in Indonesian Law</w:t>
                    </w:r>
                  </w:p>
                </w:txbxContent>
              </v:textbox>
              <w10:wrap anchorx="page" anchory="page"/>
            </v:shape>
          </w:pict>
        </mc:Fallback>
      </mc:AlternateContent>
    </w:r>
    <w:r>
      <w:rPr>
        <w:noProof/>
      </w:rPr>
      <w:drawing>
        <wp:inline distT="0" distB="0" distL="0" distR="0">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32" w:hanging="720"/>
      </w:pPr>
      <w:rPr>
        <w:rFonts w:cs="Times New Roman" w:hint="default"/>
        <w:color w:val="auto"/>
      </w:rPr>
    </w:lvl>
    <w:lvl w:ilvl="1" w:tplc="38090019">
      <w:start w:val="1"/>
      <w:numFmt w:val="lowerLetter"/>
      <w:lvlText w:val="%2."/>
      <w:lvlJc w:val="left"/>
      <w:pPr>
        <w:ind w:left="228" w:hanging="360"/>
      </w:pPr>
      <w:rPr>
        <w:rFonts w:cs="Times New Roman"/>
      </w:rPr>
    </w:lvl>
    <w:lvl w:ilvl="2" w:tplc="3809001B" w:tentative="1">
      <w:start w:val="1"/>
      <w:numFmt w:val="lowerRoman"/>
      <w:lvlText w:val="%3."/>
      <w:lvlJc w:val="right"/>
      <w:pPr>
        <w:ind w:left="948" w:hanging="180"/>
      </w:pPr>
      <w:rPr>
        <w:rFonts w:cs="Times New Roman"/>
      </w:rPr>
    </w:lvl>
    <w:lvl w:ilvl="3" w:tplc="3809000F" w:tentative="1">
      <w:start w:val="1"/>
      <w:numFmt w:val="decimal"/>
      <w:lvlText w:val="%4."/>
      <w:lvlJc w:val="left"/>
      <w:pPr>
        <w:ind w:left="1668" w:hanging="360"/>
      </w:pPr>
      <w:rPr>
        <w:rFonts w:cs="Times New Roman"/>
      </w:rPr>
    </w:lvl>
    <w:lvl w:ilvl="4" w:tplc="38090019" w:tentative="1">
      <w:start w:val="1"/>
      <w:numFmt w:val="lowerLetter"/>
      <w:lvlText w:val="%5."/>
      <w:lvlJc w:val="left"/>
      <w:pPr>
        <w:ind w:left="2388" w:hanging="360"/>
      </w:pPr>
      <w:rPr>
        <w:rFonts w:cs="Times New Roman"/>
      </w:rPr>
    </w:lvl>
    <w:lvl w:ilvl="5" w:tplc="3809001B" w:tentative="1">
      <w:start w:val="1"/>
      <w:numFmt w:val="lowerRoman"/>
      <w:lvlText w:val="%6."/>
      <w:lvlJc w:val="right"/>
      <w:pPr>
        <w:ind w:left="3108" w:hanging="180"/>
      </w:pPr>
      <w:rPr>
        <w:rFonts w:cs="Times New Roman"/>
      </w:rPr>
    </w:lvl>
    <w:lvl w:ilvl="6" w:tplc="3809000F" w:tentative="1">
      <w:start w:val="1"/>
      <w:numFmt w:val="decimal"/>
      <w:lvlText w:val="%7."/>
      <w:lvlJc w:val="left"/>
      <w:pPr>
        <w:ind w:left="3828" w:hanging="360"/>
      </w:pPr>
      <w:rPr>
        <w:rFonts w:cs="Times New Roman"/>
      </w:rPr>
    </w:lvl>
    <w:lvl w:ilvl="7" w:tplc="38090019" w:tentative="1">
      <w:start w:val="1"/>
      <w:numFmt w:val="lowerLetter"/>
      <w:lvlText w:val="%8."/>
      <w:lvlJc w:val="left"/>
      <w:pPr>
        <w:ind w:left="4548" w:hanging="360"/>
      </w:pPr>
      <w:rPr>
        <w:rFonts w:cs="Times New Roman"/>
      </w:rPr>
    </w:lvl>
    <w:lvl w:ilvl="8" w:tplc="3809001B" w:tentative="1">
      <w:start w:val="1"/>
      <w:numFmt w:val="lowerRoman"/>
      <w:lvlText w:val="%9."/>
      <w:lvlJc w:val="right"/>
      <w:pPr>
        <w:ind w:left="5268"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039189A"/>
    <w:multiLevelType w:val="hybridMultilevel"/>
    <w:tmpl w:val="FFFFFFFF"/>
    <w:lvl w:ilvl="0" w:tplc="4409000F">
      <w:start w:val="1"/>
      <w:numFmt w:val="decimal"/>
      <w:lvlText w:val="%1."/>
      <w:lvlJc w:val="left"/>
      <w:pPr>
        <w:ind w:left="360" w:hanging="360"/>
      </w:pPr>
      <w:rPr>
        <w:rFonts w:cs="Times New Roman"/>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10" w15:restartNumberingAfterBreak="0">
    <w:nsid w:val="10F8357E"/>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4A024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0C84AF9"/>
    <w:multiLevelType w:val="multilevel"/>
    <w:tmpl w:val="FFFFFFFF"/>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570740E"/>
    <w:multiLevelType w:val="hybridMultilevel"/>
    <w:tmpl w:val="FFFFFFFF"/>
    <w:lvl w:ilvl="0" w:tplc="FFFFFFFF">
      <w:start w:val="1"/>
      <w:numFmt w:val="decimal"/>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19" w15:restartNumberingAfterBreak="0">
    <w:nsid w:val="267E6A87"/>
    <w:multiLevelType w:val="multilevel"/>
    <w:tmpl w:val="FFFFFFFF"/>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20" w15:restartNumberingAfterBreak="0">
    <w:nsid w:val="298F1E71"/>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3" w15:restartNumberingAfterBreak="0">
    <w:nsid w:val="2FF62C23"/>
    <w:multiLevelType w:val="multilevel"/>
    <w:tmpl w:val="FFFFFFFF"/>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3E49378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6" w15:restartNumberingAfterBreak="0">
    <w:nsid w:val="45010911"/>
    <w:multiLevelType w:val="multilevel"/>
    <w:tmpl w:val="FFFFFFFF"/>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7" w15:restartNumberingAfterBreak="0">
    <w:nsid w:val="458A0070"/>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9" w15:restartNumberingAfterBreak="0">
    <w:nsid w:val="4F151206"/>
    <w:multiLevelType w:val="hybridMultilevel"/>
    <w:tmpl w:val="FFFFFFFF"/>
    <w:lvl w:ilvl="0" w:tplc="44090019">
      <w:start w:val="1"/>
      <w:numFmt w:val="lowerLetter"/>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3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4" w15:restartNumberingAfterBreak="0">
    <w:nsid w:val="5C420B84"/>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6" w15:restartNumberingAfterBreak="0">
    <w:nsid w:val="60B83359"/>
    <w:multiLevelType w:val="multilevel"/>
    <w:tmpl w:val="FFFFFFFF"/>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8" w15:restartNumberingAfterBreak="0">
    <w:nsid w:val="6F9C7C39"/>
    <w:multiLevelType w:val="multilevel"/>
    <w:tmpl w:val="FFFFFFFF"/>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4" w15:restartNumberingAfterBreak="0">
    <w:nsid w:val="7F122C41"/>
    <w:multiLevelType w:val="multilevel"/>
    <w:tmpl w:val="FFFFFFFF"/>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228809567">
    <w:abstractNumId w:val="21"/>
  </w:num>
  <w:num w:numId="2" w16cid:durableId="1581521709">
    <w:abstractNumId w:val="8"/>
  </w:num>
  <w:num w:numId="3" w16cid:durableId="915365007">
    <w:abstractNumId w:val="11"/>
  </w:num>
  <w:num w:numId="4" w16cid:durableId="761530006">
    <w:abstractNumId w:val="35"/>
  </w:num>
  <w:num w:numId="5" w16cid:durableId="1709332128">
    <w:abstractNumId w:val="33"/>
  </w:num>
  <w:num w:numId="6" w16cid:durableId="1966277560">
    <w:abstractNumId w:val="32"/>
  </w:num>
  <w:num w:numId="7" w16cid:durableId="1427966052">
    <w:abstractNumId w:val="42"/>
  </w:num>
  <w:num w:numId="8" w16cid:durableId="600644546">
    <w:abstractNumId w:val="22"/>
  </w:num>
  <w:num w:numId="9" w16cid:durableId="203753966">
    <w:abstractNumId w:val="37"/>
  </w:num>
  <w:num w:numId="10" w16cid:durableId="336545117">
    <w:abstractNumId w:val="39"/>
  </w:num>
  <w:num w:numId="11" w16cid:durableId="970094285">
    <w:abstractNumId w:val="14"/>
  </w:num>
  <w:num w:numId="12" w16cid:durableId="1977906149">
    <w:abstractNumId w:val="30"/>
  </w:num>
  <w:num w:numId="13" w16cid:durableId="1482498663">
    <w:abstractNumId w:val="7"/>
  </w:num>
  <w:num w:numId="14" w16cid:durableId="58987717">
    <w:abstractNumId w:val="0"/>
  </w:num>
  <w:num w:numId="15" w16cid:durableId="231039712">
    <w:abstractNumId w:val="43"/>
  </w:num>
  <w:num w:numId="16" w16cid:durableId="2121485347">
    <w:abstractNumId w:val="31"/>
  </w:num>
  <w:num w:numId="17" w16cid:durableId="236670875">
    <w:abstractNumId w:val="41"/>
  </w:num>
  <w:num w:numId="18" w16cid:durableId="843327399">
    <w:abstractNumId w:val="40"/>
  </w:num>
  <w:num w:numId="19" w16cid:durableId="1699039796">
    <w:abstractNumId w:val="28"/>
  </w:num>
  <w:num w:numId="20" w16cid:durableId="7878812">
    <w:abstractNumId w:val="5"/>
  </w:num>
  <w:num w:numId="21" w16cid:durableId="1698386021">
    <w:abstractNumId w:val="1"/>
  </w:num>
  <w:num w:numId="22" w16cid:durableId="1771506377">
    <w:abstractNumId w:val="15"/>
  </w:num>
  <w:num w:numId="23" w16cid:durableId="1694646688">
    <w:abstractNumId w:val="2"/>
  </w:num>
  <w:num w:numId="24" w16cid:durableId="1210413230">
    <w:abstractNumId w:val="3"/>
  </w:num>
  <w:num w:numId="25" w16cid:durableId="529296549">
    <w:abstractNumId w:val="4"/>
  </w:num>
  <w:num w:numId="26" w16cid:durableId="1276249461">
    <w:abstractNumId w:val="12"/>
  </w:num>
  <w:num w:numId="27" w16cid:durableId="150024620">
    <w:abstractNumId w:val="17"/>
  </w:num>
  <w:num w:numId="28" w16cid:durableId="1102648264">
    <w:abstractNumId w:val="6"/>
  </w:num>
  <w:num w:numId="29" w16cid:durableId="133640267">
    <w:abstractNumId w:val="25"/>
  </w:num>
  <w:num w:numId="30" w16cid:durableId="1481113624">
    <w:abstractNumId w:val="38"/>
  </w:num>
  <w:num w:numId="31" w16cid:durableId="962148729">
    <w:abstractNumId w:val="19"/>
  </w:num>
  <w:num w:numId="32" w16cid:durableId="188490999">
    <w:abstractNumId w:val="36"/>
  </w:num>
  <w:num w:numId="33" w16cid:durableId="1604803687">
    <w:abstractNumId w:val="24"/>
  </w:num>
  <w:num w:numId="34" w16cid:durableId="467162787">
    <w:abstractNumId w:val="44"/>
  </w:num>
  <w:num w:numId="35" w16cid:durableId="1680431069">
    <w:abstractNumId w:val="34"/>
  </w:num>
  <w:num w:numId="36" w16cid:durableId="161969026">
    <w:abstractNumId w:val="23"/>
  </w:num>
  <w:num w:numId="37" w16cid:durableId="416442643">
    <w:abstractNumId w:val="20"/>
  </w:num>
  <w:num w:numId="38" w16cid:durableId="1257471448">
    <w:abstractNumId w:val="16"/>
  </w:num>
  <w:num w:numId="39" w16cid:durableId="606281374">
    <w:abstractNumId w:val="26"/>
  </w:num>
  <w:num w:numId="40" w16cid:durableId="1436057314">
    <w:abstractNumId w:val="13"/>
  </w:num>
  <w:num w:numId="41" w16cid:durableId="1932546338">
    <w:abstractNumId w:val="10"/>
  </w:num>
  <w:num w:numId="42" w16cid:durableId="1335646021">
    <w:abstractNumId w:val="29"/>
  </w:num>
  <w:num w:numId="43" w16cid:durableId="950622107">
    <w:abstractNumId w:val="9"/>
  </w:num>
  <w:num w:numId="44" w16cid:durableId="330261980">
    <w:abstractNumId w:val="27"/>
  </w:num>
  <w:num w:numId="45" w16cid:durableId="1807700601">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07120"/>
    <w:rsid w:val="00010DEE"/>
    <w:rsid w:val="000243A3"/>
    <w:rsid w:val="00024881"/>
    <w:rsid w:val="0002569B"/>
    <w:rsid w:val="00025710"/>
    <w:rsid w:val="0003052D"/>
    <w:rsid w:val="000417D3"/>
    <w:rsid w:val="00043BB5"/>
    <w:rsid w:val="000475BE"/>
    <w:rsid w:val="00055FC4"/>
    <w:rsid w:val="0006191D"/>
    <w:rsid w:val="00066AC1"/>
    <w:rsid w:val="00076F8C"/>
    <w:rsid w:val="0008220C"/>
    <w:rsid w:val="000877EE"/>
    <w:rsid w:val="0009649B"/>
    <w:rsid w:val="000A0B41"/>
    <w:rsid w:val="000A2548"/>
    <w:rsid w:val="000B0038"/>
    <w:rsid w:val="000B0CE5"/>
    <w:rsid w:val="000B59CD"/>
    <w:rsid w:val="000C3688"/>
    <w:rsid w:val="000E1F30"/>
    <w:rsid w:val="000E31DC"/>
    <w:rsid w:val="000E6576"/>
    <w:rsid w:val="000F66AA"/>
    <w:rsid w:val="00103AFF"/>
    <w:rsid w:val="00110D78"/>
    <w:rsid w:val="00112E68"/>
    <w:rsid w:val="00116ED8"/>
    <w:rsid w:val="00117792"/>
    <w:rsid w:val="00122F5F"/>
    <w:rsid w:val="00123EF2"/>
    <w:rsid w:val="001245CB"/>
    <w:rsid w:val="0013783B"/>
    <w:rsid w:val="00153B56"/>
    <w:rsid w:val="00154C81"/>
    <w:rsid w:val="001578E9"/>
    <w:rsid w:val="00162A30"/>
    <w:rsid w:val="00165813"/>
    <w:rsid w:val="00171D19"/>
    <w:rsid w:val="00171DC3"/>
    <w:rsid w:val="00173196"/>
    <w:rsid w:val="0018288D"/>
    <w:rsid w:val="00187357"/>
    <w:rsid w:val="001A07A8"/>
    <w:rsid w:val="001A696B"/>
    <w:rsid w:val="001B3613"/>
    <w:rsid w:val="001C2739"/>
    <w:rsid w:val="001C2797"/>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5523E"/>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5CE8"/>
    <w:rsid w:val="002E0452"/>
    <w:rsid w:val="002E695D"/>
    <w:rsid w:val="002F4D18"/>
    <w:rsid w:val="00301FEB"/>
    <w:rsid w:val="00303D42"/>
    <w:rsid w:val="0030640D"/>
    <w:rsid w:val="00312D76"/>
    <w:rsid w:val="00334520"/>
    <w:rsid w:val="00334792"/>
    <w:rsid w:val="003363F0"/>
    <w:rsid w:val="00336A9A"/>
    <w:rsid w:val="0034128C"/>
    <w:rsid w:val="00342072"/>
    <w:rsid w:val="00362CBC"/>
    <w:rsid w:val="00381B26"/>
    <w:rsid w:val="00382478"/>
    <w:rsid w:val="00383604"/>
    <w:rsid w:val="00386F26"/>
    <w:rsid w:val="00387148"/>
    <w:rsid w:val="00387C94"/>
    <w:rsid w:val="003948B0"/>
    <w:rsid w:val="00395535"/>
    <w:rsid w:val="003A5376"/>
    <w:rsid w:val="003A7202"/>
    <w:rsid w:val="003B28D6"/>
    <w:rsid w:val="003C40CE"/>
    <w:rsid w:val="003C482F"/>
    <w:rsid w:val="003C5369"/>
    <w:rsid w:val="003D1A34"/>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57CD"/>
    <w:rsid w:val="005A4F69"/>
    <w:rsid w:val="005C14AA"/>
    <w:rsid w:val="005C26C8"/>
    <w:rsid w:val="005C643D"/>
    <w:rsid w:val="005D4A0D"/>
    <w:rsid w:val="005E7673"/>
    <w:rsid w:val="005F6F77"/>
    <w:rsid w:val="006035FA"/>
    <w:rsid w:val="006052AE"/>
    <w:rsid w:val="0061613E"/>
    <w:rsid w:val="0062129F"/>
    <w:rsid w:val="00622926"/>
    <w:rsid w:val="0062388D"/>
    <w:rsid w:val="006352D0"/>
    <w:rsid w:val="006419D1"/>
    <w:rsid w:val="006538D6"/>
    <w:rsid w:val="00654B07"/>
    <w:rsid w:val="00671A43"/>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50A1"/>
    <w:rsid w:val="007169EC"/>
    <w:rsid w:val="00727B9E"/>
    <w:rsid w:val="007337EC"/>
    <w:rsid w:val="00741058"/>
    <w:rsid w:val="00755AB4"/>
    <w:rsid w:val="00756BC0"/>
    <w:rsid w:val="00761E7C"/>
    <w:rsid w:val="007636FC"/>
    <w:rsid w:val="007816FC"/>
    <w:rsid w:val="00781D8B"/>
    <w:rsid w:val="0079311F"/>
    <w:rsid w:val="007933FE"/>
    <w:rsid w:val="00796577"/>
    <w:rsid w:val="00796A75"/>
    <w:rsid w:val="007A1DEC"/>
    <w:rsid w:val="007A2AA8"/>
    <w:rsid w:val="007A5A78"/>
    <w:rsid w:val="007A62B7"/>
    <w:rsid w:val="007A65BF"/>
    <w:rsid w:val="007B013B"/>
    <w:rsid w:val="007B6823"/>
    <w:rsid w:val="007B79DF"/>
    <w:rsid w:val="007D5BA1"/>
    <w:rsid w:val="007E508F"/>
    <w:rsid w:val="007E55D8"/>
    <w:rsid w:val="007F02FB"/>
    <w:rsid w:val="007F37D6"/>
    <w:rsid w:val="007F422E"/>
    <w:rsid w:val="00802718"/>
    <w:rsid w:val="00802990"/>
    <w:rsid w:val="00802A96"/>
    <w:rsid w:val="00810811"/>
    <w:rsid w:val="008157AA"/>
    <w:rsid w:val="00815993"/>
    <w:rsid w:val="0082272E"/>
    <w:rsid w:val="008323E3"/>
    <w:rsid w:val="008456F7"/>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22EA"/>
    <w:rsid w:val="00964AB9"/>
    <w:rsid w:val="00965E3F"/>
    <w:rsid w:val="00965F50"/>
    <w:rsid w:val="0097320B"/>
    <w:rsid w:val="009813C6"/>
    <w:rsid w:val="0098193E"/>
    <w:rsid w:val="00985DE3"/>
    <w:rsid w:val="00987772"/>
    <w:rsid w:val="0099291C"/>
    <w:rsid w:val="009929B4"/>
    <w:rsid w:val="009A1281"/>
    <w:rsid w:val="009A6821"/>
    <w:rsid w:val="009B1092"/>
    <w:rsid w:val="009B5E20"/>
    <w:rsid w:val="009B6344"/>
    <w:rsid w:val="009B764B"/>
    <w:rsid w:val="009D6F37"/>
    <w:rsid w:val="009D7AA9"/>
    <w:rsid w:val="009E2468"/>
    <w:rsid w:val="009E3624"/>
    <w:rsid w:val="009E4EBA"/>
    <w:rsid w:val="009F091C"/>
    <w:rsid w:val="009F2D64"/>
    <w:rsid w:val="009F409C"/>
    <w:rsid w:val="009F6F7B"/>
    <w:rsid w:val="009F7579"/>
    <w:rsid w:val="00A03126"/>
    <w:rsid w:val="00A13315"/>
    <w:rsid w:val="00A175E3"/>
    <w:rsid w:val="00A23FDE"/>
    <w:rsid w:val="00A27B34"/>
    <w:rsid w:val="00A37C4B"/>
    <w:rsid w:val="00A43778"/>
    <w:rsid w:val="00A43B64"/>
    <w:rsid w:val="00A4558F"/>
    <w:rsid w:val="00A50B27"/>
    <w:rsid w:val="00A549F9"/>
    <w:rsid w:val="00A562A0"/>
    <w:rsid w:val="00A5653C"/>
    <w:rsid w:val="00A574C4"/>
    <w:rsid w:val="00A60243"/>
    <w:rsid w:val="00A602DE"/>
    <w:rsid w:val="00A64896"/>
    <w:rsid w:val="00A67525"/>
    <w:rsid w:val="00A70990"/>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368ED"/>
    <w:rsid w:val="00B423B7"/>
    <w:rsid w:val="00B4389C"/>
    <w:rsid w:val="00B47B2C"/>
    <w:rsid w:val="00B56B54"/>
    <w:rsid w:val="00B70E6B"/>
    <w:rsid w:val="00B80A1A"/>
    <w:rsid w:val="00B86BF7"/>
    <w:rsid w:val="00B905EC"/>
    <w:rsid w:val="00B91F74"/>
    <w:rsid w:val="00B9472D"/>
    <w:rsid w:val="00BA6FF3"/>
    <w:rsid w:val="00BB2B6F"/>
    <w:rsid w:val="00BB673A"/>
    <w:rsid w:val="00BB6896"/>
    <w:rsid w:val="00BB6938"/>
    <w:rsid w:val="00BC51D8"/>
    <w:rsid w:val="00BD5D62"/>
    <w:rsid w:val="00BD79A0"/>
    <w:rsid w:val="00BE144D"/>
    <w:rsid w:val="00BE17FD"/>
    <w:rsid w:val="00BE30EB"/>
    <w:rsid w:val="00BF77F5"/>
    <w:rsid w:val="00C02E08"/>
    <w:rsid w:val="00C03879"/>
    <w:rsid w:val="00C10C09"/>
    <w:rsid w:val="00C11C42"/>
    <w:rsid w:val="00C152F9"/>
    <w:rsid w:val="00C1756D"/>
    <w:rsid w:val="00C21420"/>
    <w:rsid w:val="00C26170"/>
    <w:rsid w:val="00C363A2"/>
    <w:rsid w:val="00C40648"/>
    <w:rsid w:val="00C420B8"/>
    <w:rsid w:val="00C50A65"/>
    <w:rsid w:val="00C549E7"/>
    <w:rsid w:val="00C6051D"/>
    <w:rsid w:val="00C67610"/>
    <w:rsid w:val="00C7171A"/>
    <w:rsid w:val="00C71E29"/>
    <w:rsid w:val="00C72516"/>
    <w:rsid w:val="00C7503D"/>
    <w:rsid w:val="00C93C98"/>
    <w:rsid w:val="00CA6359"/>
    <w:rsid w:val="00CA7439"/>
    <w:rsid w:val="00CB41DC"/>
    <w:rsid w:val="00CB6960"/>
    <w:rsid w:val="00CC56D8"/>
    <w:rsid w:val="00CE2A67"/>
    <w:rsid w:val="00CE741E"/>
    <w:rsid w:val="00CF03A1"/>
    <w:rsid w:val="00CF57D6"/>
    <w:rsid w:val="00D0313B"/>
    <w:rsid w:val="00D26ADD"/>
    <w:rsid w:val="00D44083"/>
    <w:rsid w:val="00D57022"/>
    <w:rsid w:val="00D57A56"/>
    <w:rsid w:val="00D63088"/>
    <w:rsid w:val="00D67104"/>
    <w:rsid w:val="00D73826"/>
    <w:rsid w:val="00D775DE"/>
    <w:rsid w:val="00D90FE5"/>
    <w:rsid w:val="00D94113"/>
    <w:rsid w:val="00D96860"/>
    <w:rsid w:val="00DA29D9"/>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9CB"/>
    <w:rsid w:val="00E73641"/>
    <w:rsid w:val="00E75F6E"/>
    <w:rsid w:val="00E77C4D"/>
    <w:rsid w:val="00E86377"/>
    <w:rsid w:val="00E90C62"/>
    <w:rsid w:val="00E922F2"/>
    <w:rsid w:val="00E93AC4"/>
    <w:rsid w:val="00EA4465"/>
    <w:rsid w:val="00EA4EF4"/>
    <w:rsid w:val="00EA5258"/>
    <w:rsid w:val="00EB323F"/>
    <w:rsid w:val="00EB5290"/>
    <w:rsid w:val="00EB5A85"/>
    <w:rsid w:val="00EB743A"/>
    <w:rsid w:val="00EC322C"/>
    <w:rsid w:val="00EC4D8B"/>
    <w:rsid w:val="00EC7604"/>
    <w:rsid w:val="00ED2F7D"/>
    <w:rsid w:val="00EE114B"/>
    <w:rsid w:val="00F01DBC"/>
    <w:rsid w:val="00F06CD1"/>
    <w:rsid w:val="00F06FB4"/>
    <w:rsid w:val="00F1027C"/>
    <w:rsid w:val="00F1612A"/>
    <w:rsid w:val="00F23791"/>
    <w:rsid w:val="00F3381A"/>
    <w:rsid w:val="00F369EC"/>
    <w:rsid w:val="00F52E83"/>
    <w:rsid w:val="00F660DB"/>
    <w:rsid w:val="00F727DB"/>
    <w:rsid w:val="00F7294C"/>
    <w:rsid w:val="00F763D1"/>
    <w:rsid w:val="00F814D0"/>
    <w:rsid w:val="00F901AC"/>
    <w:rsid w:val="00F9056B"/>
    <w:rsid w:val="00F956D7"/>
    <w:rsid w:val="00FA3FD1"/>
    <w:rsid w:val="00FA64AB"/>
    <w:rsid w:val="00FB2A93"/>
    <w:rsid w:val="00FB5880"/>
    <w:rsid w:val="00FC2DC7"/>
    <w:rsid w:val="00FC3FCF"/>
    <w:rsid w:val="00FC4C88"/>
    <w:rsid w:val="00FC679E"/>
    <w:rsid w:val="00FD08EE"/>
    <w:rsid w:val="00FD7AEF"/>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0"/>
  <w15:docId w15:val="{6F7C15BA-35B8-4D31-BB34-B3DF0689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color w:val="605E5C"/>
      <w:shd w:val="clear" w:color="auto" w:fill="E1DFDD"/>
    </w:rPr>
  </w:style>
  <w:style w:type="paragraph" w:styleId="NormalWeb">
    <w:name w:val="Normal (Web)"/>
    <w:basedOn w:val="Normal"/>
    <w:uiPriority w:val="99"/>
    <w:rsid w:val="00671A43"/>
    <w:rPr>
      <w:sz w:val="24"/>
      <w:szCs w:val="24"/>
    </w:rPr>
  </w:style>
  <w:style w:type="table" w:styleId="PlainTable2">
    <w:name w:val="Plain Table 2"/>
    <w:basedOn w:val="TableNormal"/>
    <w:uiPriority w:val="42"/>
    <w:rsid w:val="009D6F37"/>
    <w:rPr>
      <w:lang w:val="en-MY" w:eastAsia="ja-JP"/>
    </w:rPr>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styleId="TableGridLight">
    <w:name w:val="Grid Table Light"/>
    <w:basedOn w:val="TableNormal"/>
    <w:uiPriority w:val="40"/>
    <w:rsid w:val="0025523E"/>
    <w:rPr>
      <w:lang w:val="en-MY"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FollowedHyperlink">
    <w:name w:val="FollowedHyperlink"/>
    <w:basedOn w:val="DefaultParagraphFont"/>
    <w:uiPriority w:val="99"/>
    <w:rsid w:val="00C7171A"/>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788236">
      <w:marLeft w:val="0"/>
      <w:marRight w:val="0"/>
      <w:marTop w:val="0"/>
      <w:marBottom w:val="0"/>
      <w:divBdr>
        <w:top w:val="none" w:sz="0" w:space="0" w:color="auto"/>
        <w:left w:val="none" w:sz="0" w:space="0" w:color="auto"/>
        <w:bottom w:val="none" w:sz="0" w:space="0" w:color="auto"/>
        <w:right w:val="none" w:sz="0" w:space="0" w:color="auto"/>
      </w:divBdr>
      <w:divsChild>
        <w:div w:id="897788266">
          <w:marLeft w:val="0"/>
          <w:marRight w:val="0"/>
          <w:marTop w:val="0"/>
          <w:marBottom w:val="0"/>
          <w:divBdr>
            <w:top w:val="none" w:sz="0" w:space="0" w:color="auto"/>
            <w:left w:val="none" w:sz="0" w:space="0" w:color="auto"/>
            <w:bottom w:val="none" w:sz="0" w:space="0" w:color="auto"/>
            <w:right w:val="none" w:sz="0" w:space="0" w:color="auto"/>
          </w:divBdr>
          <w:divsChild>
            <w:div w:id="897788277">
              <w:marLeft w:val="0"/>
              <w:marRight w:val="0"/>
              <w:marTop w:val="0"/>
              <w:marBottom w:val="0"/>
              <w:divBdr>
                <w:top w:val="none" w:sz="0" w:space="0" w:color="auto"/>
                <w:left w:val="none" w:sz="0" w:space="0" w:color="auto"/>
                <w:bottom w:val="none" w:sz="0" w:space="0" w:color="auto"/>
                <w:right w:val="none" w:sz="0" w:space="0" w:color="auto"/>
              </w:divBdr>
              <w:divsChild>
                <w:div w:id="897788255">
                  <w:marLeft w:val="0"/>
                  <w:marRight w:val="0"/>
                  <w:marTop w:val="0"/>
                  <w:marBottom w:val="0"/>
                  <w:divBdr>
                    <w:top w:val="none" w:sz="0" w:space="0" w:color="auto"/>
                    <w:left w:val="none" w:sz="0" w:space="0" w:color="auto"/>
                    <w:bottom w:val="none" w:sz="0" w:space="0" w:color="auto"/>
                    <w:right w:val="none" w:sz="0" w:space="0" w:color="auto"/>
                  </w:divBdr>
                  <w:divsChild>
                    <w:div w:id="89778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88267">
          <w:marLeft w:val="0"/>
          <w:marRight w:val="0"/>
          <w:marTop w:val="0"/>
          <w:marBottom w:val="0"/>
          <w:divBdr>
            <w:top w:val="none" w:sz="0" w:space="0" w:color="auto"/>
            <w:left w:val="none" w:sz="0" w:space="0" w:color="auto"/>
            <w:bottom w:val="none" w:sz="0" w:space="0" w:color="auto"/>
            <w:right w:val="none" w:sz="0" w:space="0" w:color="auto"/>
          </w:divBdr>
          <w:divsChild>
            <w:div w:id="897788261">
              <w:marLeft w:val="0"/>
              <w:marRight w:val="0"/>
              <w:marTop w:val="0"/>
              <w:marBottom w:val="0"/>
              <w:divBdr>
                <w:top w:val="none" w:sz="0" w:space="0" w:color="auto"/>
                <w:left w:val="none" w:sz="0" w:space="0" w:color="auto"/>
                <w:bottom w:val="none" w:sz="0" w:space="0" w:color="auto"/>
                <w:right w:val="none" w:sz="0" w:space="0" w:color="auto"/>
              </w:divBdr>
              <w:divsChild>
                <w:div w:id="897788280">
                  <w:marLeft w:val="0"/>
                  <w:marRight w:val="0"/>
                  <w:marTop w:val="0"/>
                  <w:marBottom w:val="0"/>
                  <w:divBdr>
                    <w:top w:val="none" w:sz="0" w:space="0" w:color="auto"/>
                    <w:left w:val="none" w:sz="0" w:space="0" w:color="auto"/>
                    <w:bottom w:val="none" w:sz="0" w:space="0" w:color="auto"/>
                    <w:right w:val="none" w:sz="0" w:space="0" w:color="auto"/>
                  </w:divBdr>
                  <w:divsChild>
                    <w:div w:id="8977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88237">
      <w:marLeft w:val="0"/>
      <w:marRight w:val="0"/>
      <w:marTop w:val="0"/>
      <w:marBottom w:val="0"/>
      <w:divBdr>
        <w:top w:val="none" w:sz="0" w:space="0" w:color="auto"/>
        <w:left w:val="none" w:sz="0" w:space="0" w:color="auto"/>
        <w:bottom w:val="none" w:sz="0" w:space="0" w:color="auto"/>
        <w:right w:val="none" w:sz="0" w:space="0" w:color="auto"/>
      </w:divBdr>
    </w:div>
    <w:div w:id="897788239">
      <w:marLeft w:val="0"/>
      <w:marRight w:val="0"/>
      <w:marTop w:val="0"/>
      <w:marBottom w:val="0"/>
      <w:divBdr>
        <w:top w:val="none" w:sz="0" w:space="0" w:color="auto"/>
        <w:left w:val="none" w:sz="0" w:space="0" w:color="auto"/>
        <w:bottom w:val="none" w:sz="0" w:space="0" w:color="auto"/>
        <w:right w:val="none" w:sz="0" w:space="0" w:color="auto"/>
      </w:divBdr>
    </w:div>
    <w:div w:id="897788240">
      <w:marLeft w:val="0"/>
      <w:marRight w:val="0"/>
      <w:marTop w:val="0"/>
      <w:marBottom w:val="0"/>
      <w:divBdr>
        <w:top w:val="none" w:sz="0" w:space="0" w:color="auto"/>
        <w:left w:val="none" w:sz="0" w:space="0" w:color="auto"/>
        <w:bottom w:val="none" w:sz="0" w:space="0" w:color="auto"/>
        <w:right w:val="none" w:sz="0" w:space="0" w:color="auto"/>
      </w:divBdr>
    </w:div>
    <w:div w:id="897788241">
      <w:marLeft w:val="0"/>
      <w:marRight w:val="0"/>
      <w:marTop w:val="0"/>
      <w:marBottom w:val="0"/>
      <w:divBdr>
        <w:top w:val="none" w:sz="0" w:space="0" w:color="auto"/>
        <w:left w:val="none" w:sz="0" w:space="0" w:color="auto"/>
        <w:bottom w:val="none" w:sz="0" w:space="0" w:color="auto"/>
        <w:right w:val="none" w:sz="0" w:space="0" w:color="auto"/>
      </w:divBdr>
    </w:div>
    <w:div w:id="897788242">
      <w:marLeft w:val="0"/>
      <w:marRight w:val="0"/>
      <w:marTop w:val="0"/>
      <w:marBottom w:val="0"/>
      <w:divBdr>
        <w:top w:val="none" w:sz="0" w:space="0" w:color="auto"/>
        <w:left w:val="none" w:sz="0" w:space="0" w:color="auto"/>
        <w:bottom w:val="none" w:sz="0" w:space="0" w:color="auto"/>
        <w:right w:val="none" w:sz="0" w:space="0" w:color="auto"/>
      </w:divBdr>
    </w:div>
    <w:div w:id="897788243">
      <w:marLeft w:val="0"/>
      <w:marRight w:val="0"/>
      <w:marTop w:val="0"/>
      <w:marBottom w:val="0"/>
      <w:divBdr>
        <w:top w:val="none" w:sz="0" w:space="0" w:color="auto"/>
        <w:left w:val="none" w:sz="0" w:space="0" w:color="auto"/>
        <w:bottom w:val="none" w:sz="0" w:space="0" w:color="auto"/>
        <w:right w:val="none" w:sz="0" w:space="0" w:color="auto"/>
      </w:divBdr>
    </w:div>
    <w:div w:id="897788244">
      <w:marLeft w:val="0"/>
      <w:marRight w:val="0"/>
      <w:marTop w:val="0"/>
      <w:marBottom w:val="0"/>
      <w:divBdr>
        <w:top w:val="none" w:sz="0" w:space="0" w:color="auto"/>
        <w:left w:val="none" w:sz="0" w:space="0" w:color="auto"/>
        <w:bottom w:val="none" w:sz="0" w:space="0" w:color="auto"/>
        <w:right w:val="none" w:sz="0" w:space="0" w:color="auto"/>
      </w:divBdr>
      <w:divsChild>
        <w:div w:id="897788252">
          <w:marLeft w:val="720"/>
          <w:marRight w:val="720"/>
          <w:marTop w:val="100"/>
          <w:marBottom w:val="100"/>
          <w:divBdr>
            <w:top w:val="none" w:sz="0" w:space="0" w:color="auto"/>
            <w:left w:val="none" w:sz="0" w:space="0" w:color="auto"/>
            <w:bottom w:val="none" w:sz="0" w:space="0" w:color="auto"/>
            <w:right w:val="none" w:sz="0" w:space="0" w:color="auto"/>
          </w:divBdr>
        </w:div>
      </w:divsChild>
    </w:div>
    <w:div w:id="897788245">
      <w:marLeft w:val="0"/>
      <w:marRight w:val="0"/>
      <w:marTop w:val="0"/>
      <w:marBottom w:val="0"/>
      <w:divBdr>
        <w:top w:val="none" w:sz="0" w:space="0" w:color="auto"/>
        <w:left w:val="none" w:sz="0" w:space="0" w:color="auto"/>
        <w:bottom w:val="none" w:sz="0" w:space="0" w:color="auto"/>
        <w:right w:val="none" w:sz="0" w:space="0" w:color="auto"/>
      </w:divBdr>
    </w:div>
    <w:div w:id="897788246">
      <w:marLeft w:val="0"/>
      <w:marRight w:val="0"/>
      <w:marTop w:val="0"/>
      <w:marBottom w:val="0"/>
      <w:divBdr>
        <w:top w:val="none" w:sz="0" w:space="0" w:color="auto"/>
        <w:left w:val="none" w:sz="0" w:space="0" w:color="auto"/>
        <w:bottom w:val="none" w:sz="0" w:space="0" w:color="auto"/>
        <w:right w:val="none" w:sz="0" w:space="0" w:color="auto"/>
      </w:divBdr>
    </w:div>
    <w:div w:id="897788247">
      <w:marLeft w:val="0"/>
      <w:marRight w:val="0"/>
      <w:marTop w:val="0"/>
      <w:marBottom w:val="0"/>
      <w:divBdr>
        <w:top w:val="none" w:sz="0" w:space="0" w:color="auto"/>
        <w:left w:val="none" w:sz="0" w:space="0" w:color="auto"/>
        <w:bottom w:val="none" w:sz="0" w:space="0" w:color="auto"/>
        <w:right w:val="none" w:sz="0" w:space="0" w:color="auto"/>
      </w:divBdr>
    </w:div>
    <w:div w:id="897788248">
      <w:marLeft w:val="0"/>
      <w:marRight w:val="0"/>
      <w:marTop w:val="0"/>
      <w:marBottom w:val="0"/>
      <w:divBdr>
        <w:top w:val="none" w:sz="0" w:space="0" w:color="auto"/>
        <w:left w:val="none" w:sz="0" w:space="0" w:color="auto"/>
        <w:bottom w:val="none" w:sz="0" w:space="0" w:color="auto"/>
        <w:right w:val="none" w:sz="0" w:space="0" w:color="auto"/>
      </w:divBdr>
    </w:div>
    <w:div w:id="897788249">
      <w:marLeft w:val="0"/>
      <w:marRight w:val="0"/>
      <w:marTop w:val="0"/>
      <w:marBottom w:val="0"/>
      <w:divBdr>
        <w:top w:val="none" w:sz="0" w:space="0" w:color="auto"/>
        <w:left w:val="none" w:sz="0" w:space="0" w:color="auto"/>
        <w:bottom w:val="none" w:sz="0" w:space="0" w:color="auto"/>
        <w:right w:val="none" w:sz="0" w:space="0" w:color="auto"/>
      </w:divBdr>
    </w:div>
    <w:div w:id="897788250">
      <w:marLeft w:val="0"/>
      <w:marRight w:val="0"/>
      <w:marTop w:val="0"/>
      <w:marBottom w:val="0"/>
      <w:divBdr>
        <w:top w:val="none" w:sz="0" w:space="0" w:color="auto"/>
        <w:left w:val="none" w:sz="0" w:space="0" w:color="auto"/>
        <w:bottom w:val="none" w:sz="0" w:space="0" w:color="auto"/>
        <w:right w:val="none" w:sz="0" w:space="0" w:color="auto"/>
      </w:divBdr>
    </w:div>
    <w:div w:id="897788251">
      <w:marLeft w:val="0"/>
      <w:marRight w:val="0"/>
      <w:marTop w:val="0"/>
      <w:marBottom w:val="0"/>
      <w:divBdr>
        <w:top w:val="none" w:sz="0" w:space="0" w:color="auto"/>
        <w:left w:val="none" w:sz="0" w:space="0" w:color="auto"/>
        <w:bottom w:val="none" w:sz="0" w:space="0" w:color="auto"/>
        <w:right w:val="none" w:sz="0" w:space="0" w:color="auto"/>
      </w:divBdr>
    </w:div>
    <w:div w:id="897788253">
      <w:marLeft w:val="0"/>
      <w:marRight w:val="0"/>
      <w:marTop w:val="0"/>
      <w:marBottom w:val="0"/>
      <w:divBdr>
        <w:top w:val="none" w:sz="0" w:space="0" w:color="auto"/>
        <w:left w:val="none" w:sz="0" w:space="0" w:color="auto"/>
        <w:bottom w:val="none" w:sz="0" w:space="0" w:color="auto"/>
        <w:right w:val="none" w:sz="0" w:space="0" w:color="auto"/>
      </w:divBdr>
    </w:div>
    <w:div w:id="897788258">
      <w:marLeft w:val="0"/>
      <w:marRight w:val="0"/>
      <w:marTop w:val="0"/>
      <w:marBottom w:val="0"/>
      <w:divBdr>
        <w:top w:val="none" w:sz="0" w:space="0" w:color="auto"/>
        <w:left w:val="none" w:sz="0" w:space="0" w:color="auto"/>
        <w:bottom w:val="none" w:sz="0" w:space="0" w:color="auto"/>
        <w:right w:val="none" w:sz="0" w:space="0" w:color="auto"/>
      </w:divBdr>
      <w:divsChild>
        <w:div w:id="897788273">
          <w:marLeft w:val="0"/>
          <w:marRight w:val="0"/>
          <w:marTop w:val="0"/>
          <w:marBottom w:val="0"/>
          <w:divBdr>
            <w:top w:val="none" w:sz="0" w:space="0" w:color="auto"/>
            <w:left w:val="none" w:sz="0" w:space="0" w:color="auto"/>
            <w:bottom w:val="none" w:sz="0" w:space="0" w:color="auto"/>
            <w:right w:val="none" w:sz="0" w:space="0" w:color="auto"/>
          </w:divBdr>
          <w:divsChild>
            <w:div w:id="897788238">
              <w:marLeft w:val="0"/>
              <w:marRight w:val="0"/>
              <w:marTop w:val="0"/>
              <w:marBottom w:val="0"/>
              <w:divBdr>
                <w:top w:val="none" w:sz="0" w:space="0" w:color="auto"/>
                <w:left w:val="none" w:sz="0" w:space="0" w:color="auto"/>
                <w:bottom w:val="none" w:sz="0" w:space="0" w:color="auto"/>
                <w:right w:val="none" w:sz="0" w:space="0" w:color="auto"/>
              </w:divBdr>
              <w:divsChild>
                <w:div w:id="897788274">
                  <w:marLeft w:val="0"/>
                  <w:marRight w:val="0"/>
                  <w:marTop w:val="0"/>
                  <w:marBottom w:val="0"/>
                  <w:divBdr>
                    <w:top w:val="none" w:sz="0" w:space="0" w:color="auto"/>
                    <w:left w:val="none" w:sz="0" w:space="0" w:color="auto"/>
                    <w:bottom w:val="none" w:sz="0" w:space="0" w:color="auto"/>
                    <w:right w:val="none" w:sz="0" w:space="0" w:color="auto"/>
                  </w:divBdr>
                  <w:divsChild>
                    <w:div w:id="89778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88285">
          <w:marLeft w:val="0"/>
          <w:marRight w:val="0"/>
          <w:marTop w:val="0"/>
          <w:marBottom w:val="0"/>
          <w:divBdr>
            <w:top w:val="none" w:sz="0" w:space="0" w:color="auto"/>
            <w:left w:val="none" w:sz="0" w:space="0" w:color="auto"/>
            <w:bottom w:val="none" w:sz="0" w:space="0" w:color="auto"/>
            <w:right w:val="none" w:sz="0" w:space="0" w:color="auto"/>
          </w:divBdr>
          <w:divsChild>
            <w:div w:id="897788264">
              <w:marLeft w:val="0"/>
              <w:marRight w:val="0"/>
              <w:marTop w:val="0"/>
              <w:marBottom w:val="0"/>
              <w:divBdr>
                <w:top w:val="none" w:sz="0" w:space="0" w:color="auto"/>
                <w:left w:val="none" w:sz="0" w:space="0" w:color="auto"/>
                <w:bottom w:val="none" w:sz="0" w:space="0" w:color="auto"/>
                <w:right w:val="none" w:sz="0" w:space="0" w:color="auto"/>
              </w:divBdr>
              <w:divsChild>
                <w:div w:id="897788269">
                  <w:marLeft w:val="0"/>
                  <w:marRight w:val="0"/>
                  <w:marTop w:val="0"/>
                  <w:marBottom w:val="0"/>
                  <w:divBdr>
                    <w:top w:val="none" w:sz="0" w:space="0" w:color="auto"/>
                    <w:left w:val="none" w:sz="0" w:space="0" w:color="auto"/>
                    <w:bottom w:val="none" w:sz="0" w:space="0" w:color="auto"/>
                    <w:right w:val="none" w:sz="0" w:space="0" w:color="auto"/>
                  </w:divBdr>
                  <w:divsChild>
                    <w:div w:id="8977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88260">
      <w:marLeft w:val="0"/>
      <w:marRight w:val="0"/>
      <w:marTop w:val="0"/>
      <w:marBottom w:val="0"/>
      <w:divBdr>
        <w:top w:val="none" w:sz="0" w:space="0" w:color="auto"/>
        <w:left w:val="none" w:sz="0" w:space="0" w:color="auto"/>
        <w:bottom w:val="none" w:sz="0" w:space="0" w:color="auto"/>
        <w:right w:val="none" w:sz="0" w:space="0" w:color="auto"/>
      </w:divBdr>
    </w:div>
    <w:div w:id="897788262">
      <w:marLeft w:val="0"/>
      <w:marRight w:val="0"/>
      <w:marTop w:val="0"/>
      <w:marBottom w:val="0"/>
      <w:divBdr>
        <w:top w:val="none" w:sz="0" w:space="0" w:color="auto"/>
        <w:left w:val="none" w:sz="0" w:space="0" w:color="auto"/>
        <w:bottom w:val="none" w:sz="0" w:space="0" w:color="auto"/>
        <w:right w:val="none" w:sz="0" w:space="0" w:color="auto"/>
      </w:divBdr>
    </w:div>
    <w:div w:id="897788265">
      <w:marLeft w:val="0"/>
      <w:marRight w:val="0"/>
      <w:marTop w:val="0"/>
      <w:marBottom w:val="0"/>
      <w:divBdr>
        <w:top w:val="none" w:sz="0" w:space="0" w:color="auto"/>
        <w:left w:val="none" w:sz="0" w:space="0" w:color="auto"/>
        <w:bottom w:val="none" w:sz="0" w:space="0" w:color="auto"/>
        <w:right w:val="none" w:sz="0" w:space="0" w:color="auto"/>
      </w:divBdr>
    </w:div>
    <w:div w:id="897788270">
      <w:marLeft w:val="0"/>
      <w:marRight w:val="0"/>
      <w:marTop w:val="0"/>
      <w:marBottom w:val="0"/>
      <w:divBdr>
        <w:top w:val="none" w:sz="0" w:space="0" w:color="auto"/>
        <w:left w:val="none" w:sz="0" w:space="0" w:color="auto"/>
        <w:bottom w:val="none" w:sz="0" w:space="0" w:color="auto"/>
        <w:right w:val="none" w:sz="0" w:space="0" w:color="auto"/>
      </w:divBdr>
    </w:div>
    <w:div w:id="897788272">
      <w:marLeft w:val="0"/>
      <w:marRight w:val="0"/>
      <w:marTop w:val="0"/>
      <w:marBottom w:val="0"/>
      <w:divBdr>
        <w:top w:val="none" w:sz="0" w:space="0" w:color="auto"/>
        <w:left w:val="none" w:sz="0" w:space="0" w:color="auto"/>
        <w:bottom w:val="none" w:sz="0" w:space="0" w:color="auto"/>
        <w:right w:val="none" w:sz="0" w:space="0" w:color="auto"/>
      </w:divBdr>
    </w:div>
    <w:div w:id="897788275">
      <w:marLeft w:val="0"/>
      <w:marRight w:val="0"/>
      <w:marTop w:val="0"/>
      <w:marBottom w:val="0"/>
      <w:divBdr>
        <w:top w:val="none" w:sz="0" w:space="0" w:color="auto"/>
        <w:left w:val="none" w:sz="0" w:space="0" w:color="auto"/>
        <w:bottom w:val="none" w:sz="0" w:space="0" w:color="auto"/>
        <w:right w:val="none" w:sz="0" w:space="0" w:color="auto"/>
      </w:divBdr>
    </w:div>
    <w:div w:id="897788278">
      <w:marLeft w:val="0"/>
      <w:marRight w:val="0"/>
      <w:marTop w:val="0"/>
      <w:marBottom w:val="0"/>
      <w:divBdr>
        <w:top w:val="none" w:sz="0" w:space="0" w:color="auto"/>
        <w:left w:val="none" w:sz="0" w:space="0" w:color="auto"/>
        <w:bottom w:val="none" w:sz="0" w:space="0" w:color="auto"/>
        <w:right w:val="none" w:sz="0" w:space="0" w:color="auto"/>
      </w:divBdr>
    </w:div>
    <w:div w:id="897788279">
      <w:marLeft w:val="0"/>
      <w:marRight w:val="0"/>
      <w:marTop w:val="0"/>
      <w:marBottom w:val="0"/>
      <w:divBdr>
        <w:top w:val="none" w:sz="0" w:space="0" w:color="auto"/>
        <w:left w:val="none" w:sz="0" w:space="0" w:color="auto"/>
        <w:bottom w:val="none" w:sz="0" w:space="0" w:color="auto"/>
        <w:right w:val="none" w:sz="0" w:space="0" w:color="auto"/>
      </w:divBdr>
      <w:divsChild>
        <w:div w:id="897788254">
          <w:marLeft w:val="0"/>
          <w:marRight w:val="0"/>
          <w:marTop w:val="0"/>
          <w:marBottom w:val="0"/>
          <w:divBdr>
            <w:top w:val="none" w:sz="0" w:space="0" w:color="auto"/>
            <w:left w:val="none" w:sz="0" w:space="0" w:color="auto"/>
            <w:bottom w:val="none" w:sz="0" w:space="0" w:color="auto"/>
            <w:right w:val="none" w:sz="0" w:space="0" w:color="auto"/>
          </w:divBdr>
          <w:divsChild>
            <w:div w:id="897788256">
              <w:marLeft w:val="0"/>
              <w:marRight w:val="0"/>
              <w:marTop w:val="0"/>
              <w:marBottom w:val="0"/>
              <w:divBdr>
                <w:top w:val="none" w:sz="0" w:space="0" w:color="auto"/>
                <w:left w:val="none" w:sz="0" w:space="0" w:color="auto"/>
                <w:bottom w:val="none" w:sz="0" w:space="0" w:color="auto"/>
                <w:right w:val="none" w:sz="0" w:space="0" w:color="auto"/>
              </w:divBdr>
              <w:divsChild>
                <w:div w:id="897788276">
                  <w:marLeft w:val="0"/>
                  <w:marRight w:val="0"/>
                  <w:marTop w:val="0"/>
                  <w:marBottom w:val="0"/>
                  <w:divBdr>
                    <w:top w:val="none" w:sz="0" w:space="0" w:color="auto"/>
                    <w:left w:val="none" w:sz="0" w:space="0" w:color="auto"/>
                    <w:bottom w:val="none" w:sz="0" w:space="0" w:color="auto"/>
                    <w:right w:val="none" w:sz="0" w:space="0" w:color="auto"/>
                  </w:divBdr>
                  <w:divsChild>
                    <w:div w:id="89778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88271">
          <w:marLeft w:val="0"/>
          <w:marRight w:val="0"/>
          <w:marTop w:val="0"/>
          <w:marBottom w:val="0"/>
          <w:divBdr>
            <w:top w:val="none" w:sz="0" w:space="0" w:color="auto"/>
            <w:left w:val="none" w:sz="0" w:space="0" w:color="auto"/>
            <w:bottom w:val="none" w:sz="0" w:space="0" w:color="auto"/>
            <w:right w:val="none" w:sz="0" w:space="0" w:color="auto"/>
          </w:divBdr>
          <w:divsChild>
            <w:div w:id="897788257">
              <w:marLeft w:val="0"/>
              <w:marRight w:val="0"/>
              <w:marTop w:val="0"/>
              <w:marBottom w:val="0"/>
              <w:divBdr>
                <w:top w:val="none" w:sz="0" w:space="0" w:color="auto"/>
                <w:left w:val="none" w:sz="0" w:space="0" w:color="auto"/>
                <w:bottom w:val="none" w:sz="0" w:space="0" w:color="auto"/>
                <w:right w:val="none" w:sz="0" w:space="0" w:color="auto"/>
              </w:divBdr>
              <w:divsChild>
                <w:div w:id="897788282">
                  <w:marLeft w:val="0"/>
                  <w:marRight w:val="0"/>
                  <w:marTop w:val="0"/>
                  <w:marBottom w:val="0"/>
                  <w:divBdr>
                    <w:top w:val="none" w:sz="0" w:space="0" w:color="auto"/>
                    <w:left w:val="none" w:sz="0" w:space="0" w:color="auto"/>
                    <w:bottom w:val="none" w:sz="0" w:space="0" w:color="auto"/>
                    <w:right w:val="none" w:sz="0" w:space="0" w:color="auto"/>
                  </w:divBdr>
                  <w:divsChild>
                    <w:div w:id="8977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31436/id.v26i1.1116" TargetMode="External"/><Relationship Id="rId18" Type="http://schemas.openxmlformats.org/officeDocument/2006/relationships/hyperlink" Target="https://doi.org/10.1007/s11115-022-00639-4" TargetMode="External"/><Relationship Id="rId26" Type="http://schemas.openxmlformats.org/officeDocument/2006/relationships/hyperlink" Target="https://www.kompas.com/2024" TargetMode="External"/><Relationship Id="rId39" Type="http://schemas.openxmlformats.org/officeDocument/2006/relationships/footer" Target="footer2.xml"/><Relationship Id="rId21" Type="http://schemas.openxmlformats.org/officeDocument/2006/relationships/hyperlink" Target="https://doi.org/10.53038/tsyr.v2i2.83%20" TargetMode="External"/><Relationship Id="rId34" Type="http://schemas.openxmlformats.org/officeDocument/2006/relationships/hyperlink" Target="https://www.transparency.or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ntaranews.com/2024" TargetMode="External"/><Relationship Id="rId20" Type="http://schemas.openxmlformats.org/officeDocument/2006/relationships/hyperlink" Target="https://www.detik.com/2024" TargetMode="External"/><Relationship Id="rId29" Type="http://schemas.openxmlformats.org/officeDocument/2006/relationships/hyperlink" Target="https://doi.org/10.31955/mea.v2i3.611"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0631/alrisalah.v16i01" TargetMode="External"/><Relationship Id="rId24" Type="http://schemas.openxmlformats.org/officeDocument/2006/relationships/hyperlink" Target="https://doi.org/10.1080/23311975.2024.2404479" TargetMode="External"/><Relationship Id="rId32" Type="http://schemas.openxmlformats.org/officeDocument/2006/relationships/hyperlink" Target="https://doi.org/10.1080/23322039.2022.2129368"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1016/j.jbusvent.2008.06.001" TargetMode="External"/><Relationship Id="rId23" Type="http://schemas.openxmlformats.org/officeDocument/2006/relationships/hyperlink" Target="https://doi.org/10.1016/0304-405X(76)90026-X" TargetMode="External"/><Relationship Id="rId28" Type="http://schemas.openxmlformats.org/officeDocument/2006/relationships/hyperlink" Target="https://doi.org/10.55908/sdgs.v11i8.1431" TargetMode="External"/><Relationship Id="rId36" Type="http://schemas.openxmlformats.org/officeDocument/2006/relationships/header" Target="header1.xml"/><Relationship Id="rId10" Type="http://schemas.openxmlformats.org/officeDocument/2006/relationships/hyperlink" Target="https://creativecommons.org/licenses/by/4.0/" TargetMode="External"/><Relationship Id="rId19" Type="http://schemas.openxmlformats.org/officeDocument/2006/relationships/hyperlink" Target="https://doi.org/10.1016/S2214-109X(24)00143-8" TargetMode="External"/><Relationship Id="rId31" Type="http://schemas.openxmlformats.org/officeDocument/2006/relationships/hyperlink" Target="https://doi.org/10.1080/23322039.2022.2124734"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3390/economies11020065" TargetMode="External"/><Relationship Id="rId22" Type="http://schemas.openxmlformats.org/officeDocument/2006/relationships/hyperlink" Target="https://doi.org/10.31004/innovative.v3i2.660" TargetMode="External"/><Relationship Id="rId27" Type="http://schemas.openxmlformats.org/officeDocument/2006/relationships/hyperlink" Target="https://doi.org/10.30997/jhd.v9i2.8560" TargetMode="External"/><Relationship Id="rId30" Type="http://schemas.openxmlformats.org/officeDocument/2006/relationships/hyperlink" Target="https://doi.org/10.2753/PIN1099-9922120204" TargetMode="External"/><Relationship Id="rId35" Type="http://schemas.openxmlformats.org/officeDocument/2006/relationships/hyperlink" Target="https://doi.org/10.1080/23311886.2023.2166196"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doi.org/10.1016/j.heliyon.2022.e11153" TargetMode="External"/><Relationship Id="rId17" Type="http://schemas.openxmlformats.org/officeDocument/2006/relationships/hyperlink" Target="https://doi.org/10.1016/j.seps.2019.100768" TargetMode="External"/><Relationship Id="rId25" Type="http://schemas.openxmlformats.org/officeDocument/2006/relationships/hyperlink" Target="https://doi.org/10.1080/23311886.2024.2342513" TargetMode="External"/><Relationship Id="rId33" Type="http://schemas.openxmlformats.org/officeDocument/2006/relationships/hyperlink" Target="https://doi.org/10.1007/s40847-023-00301-9"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1BDFA-9EE0-4639-8C78-A7A6F538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5319</Words>
  <Characters>30320</Characters>
  <Application>Microsoft Office Word</Application>
  <DocSecurity>0</DocSecurity>
  <Lines>252</Lines>
  <Paragraphs>71</Paragraphs>
  <ScaleCrop>false</ScaleCrop>
  <Company>UIN Malang</Company>
  <LinksUpToDate>false</LinksUpToDate>
  <CharactersWithSpaces>35568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Z</cp:lastModifiedBy>
  <cp:revision>2</cp:revision>
  <cp:lastPrinted>2008-11-01T04:52:00Z</cp:lastPrinted>
  <dcterms:created xsi:type="dcterms:W3CDTF">2025-03-16T12:47:00Z</dcterms:created>
  <dcterms:modified xsi:type="dcterms:W3CDTF">2025-03-16T12:47:00Z</dcterms:modified>
</cp:coreProperties>
</file>