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DD5750" w14:textId="77777777" w:rsidR="00B3299C" w:rsidRPr="00122F5F" w:rsidRDefault="00B3299C" w:rsidP="00B3299C">
      <w:pPr>
        <w:rPr>
          <w:rFonts w:ascii="Calibri Light" w:hAnsi="Calibri Light" w:cs="Calibri Light"/>
          <w:b/>
          <w:bCs/>
          <w:iCs/>
          <w:sz w:val="28"/>
          <w:szCs w:val="28"/>
          <w:lang w:val="id-ID"/>
        </w:rPr>
      </w:pPr>
      <w:r w:rsidRPr="0064558E">
        <w:rPr>
          <w:rFonts w:ascii="Calibri Light" w:hAnsi="Calibri Light" w:cs="Calibri Light"/>
          <w:b/>
          <w:bCs/>
          <w:sz w:val="28"/>
          <w:szCs w:val="28"/>
        </w:rPr>
        <w:t xml:space="preserve">The Collapse of Law Enforcement in Indonesia: Perspectives on Morality and Religious Ethic </w:t>
      </w:r>
    </w:p>
    <w:p w14:paraId="656B6D07" w14:textId="77777777" w:rsidR="00B3299C" w:rsidRPr="00122F5F" w:rsidRDefault="00B3299C" w:rsidP="00B3299C">
      <w:pPr>
        <w:jc w:val="center"/>
        <w:rPr>
          <w:rFonts w:ascii="Calibri Light" w:hAnsi="Calibri Light" w:cs="Calibri Light"/>
          <w:sz w:val="24"/>
          <w:szCs w:val="24"/>
        </w:rPr>
      </w:pPr>
    </w:p>
    <w:p w14:paraId="6542A4FE" w14:textId="6ECE4426" w:rsidR="00B3299C" w:rsidRPr="00540F02" w:rsidRDefault="000E4604" w:rsidP="00B3299C">
      <w:pPr>
        <w:rPr>
          <w:rFonts w:ascii="Calibri Light" w:hAnsi="Calibri Light" w:cs="Calibri Light"/>
          <w:color w:val="A6A6A6"/>
          <w:sz w:val="24"/>
          <w:szCs w:val="24"/>
        </w:rPr>
      </w:pPr>
      <w:r>
        <w:rPr>
          <w:rFonts w:ascii="Calibri Light" w:hAnsi="Calibri Light" w:cs="Calibri Light"/>
          <w:b/>
          <w:bCs/>
          <w:sz w:val="24"/>
          <w:szCs w:val="24"/>
        </w:rPr>
        <w:t>Noor Rahmad</w:t>
      </w:r>
      <w:r w:rsidR="00B3299C" w:rsidRPr="00122F5F">
        <w:rPr>
          <w:rFonts w:ascii="Calibri Light" w:hAnsi="Calibri Light" w:cs="Calibri Light"/>
          <w:b/>
          <w:bCs/>
          <w:sz w:val="24"/>
          <w:szCs w:val="24"/>
          <w:lang w:val="id-ID"/>
        </w:rPr>
        <w:t>*</w:t>
      </w:r>
      <w:r w:rsidR="00B3299C" w:rsidRPr="00122F5F">
        <w:rPr>
          <w:rFonts w:ascii="Calibri Light" w:hAnsi="Calibri Light" w:cs="Calibri Light"/>
          <w:b/>
          <w:bCs/>
          <w:sz w:val="24"/>
          <w:szCs w:val="24"/>
          <w:vertAlign w:val="superscript"/>
        </w:rPr>
        <w:t>1</w:t>
      </w:r>
      <w:r w:rsidR="00B3299C" w:rsidRPr="00122F5F">
        <w:rPr>
          <w:rFonts w:ascii="Calibri Light" w:hAnsi="Calibri Light" w:cs="Calibri Light"/>
          <w:b/>
          <w:bCs/>
          <w:sz w:val="24"/>
          <w:szCs w:val="24"/>
        </w:rPr>
        <w:t xml:space="preserve">, </w:t>
      </w:r>
      <w:r>
        <w:rPr>
          <w:rFonts w:ascii="Calibri Light" w:hAnsi="Calibri Light" w:cs="Calibri Light"/>
          <w:b/>
          <w:bCs/>
          <w:sz w:val="24"/>
          <w:szCs w:val="24"/>
        </w:rPr>
        <w:t>Deni Setiyawan</w:t>
      </w:r>
      <w:r w:rsidR="00B3299C" w:rsidRPr="00122F5F">
        <w:rPr>
          <w:rFonts w:ascii="Calibri Light" w:hAnsi="Calibri Light" w:cs="Calibri Light"/>
          <w:b/>
          <w:bCs/>
          <w:sz w:val="24"/>
          <w:szCs w:val="24"/>
          <w:vertAlign w:val="superscript"/>
        </w:rPr>
        <w:t>2</w:t>
      </w:r>
      <w:r w:rsidR="00B3299C" w:rsidRPr="00122F5F">
        <w:rPr>
          <w:rFonts w:ascii="Calibri Light" w:hAnsi="Calibri Light" w:cs="Calibri Light"/>
          <w:b/>
          <w:bCs/>
          <w:sz w:val="24"/>
          <w:szCs w:val="24"/>
        </w:rPr>
        <w:t xml:space="preserve"> </w:t>
      </w:r>
    </w:p>
    <w:p w14:paraId="1D899BF2" w14:textId="0FCB479E" w:rsidR="000E4604" w:rsidRDefault="000E4604" w:rsidP="000E4604">
      <w:pPr>
        <w:rPr>
          <w:rFonts w:ascii="Calibri Light" w:hAnsi="Calibri Light" w:cs="Calibri Light"/>
          <w:sz w:val="24"/>
          <w:szCs w:val="24"/>
        </w:rPr>
      </w:pPr>
      <w:r w:rsidRPr="00122F5F">
        <w:rPr>
          <w:rFonts w:ascii="Calibri Light" w:hAnsi="Calibri Light" w:cs="Calibri Light"/>
          <w:sz w:val="24"/>
          <w:szCs w:val="24"/>
          <w:vertAlign w:val="superscript"/>
        </w:rPr>
        <w:t>1</w:t>
      </w:r>
      <w:r>
        <w:rPr>
          <w:rFonts w:ascii="Calibri Light" w:hAnsi="Calibri Light" w:cs="Calibri Light"/>
          <w:sz w:val="24"/>
          <w:szCs w:val="24"/>
          <w:vertAlign w:val="superscript"/>
        </w:rPr>
        <w:t>,2</w:t>
      </w:r>
      <w:r>
        <w:rPr>
          <w:rFonts w:ascii="Calibri Light" w:hAnsi="Calibri Light" w:cs="Calibri Light"/>
          <w:sz w:val="24"/>
          <w:szCs w:val="24"/>
        </w:rPr>
        <w:t>Universitas Muhammadiyah Gombong</w:t>
      </w:r>
      <w:r w:rsidRPr="00122F5F">
        <w:rPr>
          <w:rFonts w:ascii="Calibri Light" w:hAnsi="Calibri Light" w:cs="Calibri Light"/>
          <w:sz w:val="24"/>
          <w:szCs w:val="24"/>
        </w:rPr>
        <w:t xml:space="preserve">, </w:t>
      </w:r>
      <w:r>
        <w:rPr>
          <w:rFonts w:ascii="Calibri Light" w:hAnsi="Calibri Light" w:cs="Calibri Light"/>
          <w:sz w:val="24"/>
          <w:szCs w:val="24"/>
        </w:rPr>
        <w:t>Jl. Yos Sudarso No.461</w:t>
      </w:r>
      <w:r w:rsidRPr="00122F5F">
        <w:rPr>
          <w:rFonts w:ascii="Calibri Light" w:hAnsi="Calibri Light" w:cs="Calibri Light"/>
          <w:sz w:val="24"/>
          <w:szCs w:val="24"/>
        </w:rPr>
        <w:t xml:space="preserve">, </w:t>
      </w:r>
      <w:r>
        <w:rPr>
          <w:rFonts w:ascii="Calibri Light" w:hAnsi="Calibri Light" w:cs="Calibri Light"/>
          <w:sz w:val="24"/>
          <w:szCs w:val="24"/>
        </w:rPr>
        <w:t>Gombong</w:t>
      </w:r>
      <w:r w:rsidRPr="00122F5F">
        <w:rPr>
          <w:rFonts w:ascii="Calibri Light" w:hAnsi="Calibri Light" w:cs="Calibri Light"/>
          <w:sz w:val="24"/>
          <w:szCs w:val="24"/>
        </w:rPr>
        <w:t xml:space="preserve">, </w:t>
      </w:r>
      <w:r>
        <w:rPr>
          <w:rFonts w:ascii="Calibri Light" w:hAnsi="Calibri Light" w:cs="Calibri Light"/>
          <w:sz w:val="24"/>
          <w:szCs w:val="24"/>
        </w:rPr>
        <w:t>Kebumen, Indonesia</w:t>
      </w:r>
    </w:p>
    <w:p w14:paraId="59850EF1" w14:textId="07C2F22E" w:rsidR="00B3299C" w:rsidRPr="000E4604" w:rsidRDefault="000E4604" w:rsidP="000E4604">
      <w:pPr>
        <w:rPr>
          <w:rFonts w:ascii="Calibri Light" w:hAnsi="Calibri Light" w:cs="Calibri Light"/>
          <w:color w:val="FF0000"/>
          <w:sz w:val="24"/>
          <w:szCs w:val="24"/>
        </w:rPr>
      </w:pPr>
      <w:hyperlink r:id="rId8" w:history="1">
        <w:r w:rsidRPr="00303468">
          <w:rPr>
            <w:rStyle w:val="Hyperlink"/>
            <w:rFonts w:ascii="Calibri Light" w:hAnsi="Calibri Light" w:cs="Calibri Light"/>
            <w:sz w:val="24"/>
            <w:szCs w:val="24"/>
            <w:lang w:val="id-ID"/>
          </w:rPr>
          <w:t>*</w:t>
        </w:r>
        <w:r w:rsidRPr="00303468">
          <w:rPr>
            <w:rStyle w:val="Hyperlink"/>
            <w:rFonts w:ascii="Calibri Light" w:hAnsi="Calibri Light" w:cs="Calibri Light"/>
            <w:sz w:val="24"/>
            <w:szCs w:val="24"/>
            <w:lang w:val="id-ID"/>
          </w:rPr>
          <w:t>Noorrahmad@unimugo.ac.id</w:t>
        </w:r>
      </w:hyperlink>
    </w:p>
    <w:p w14:paraId="609B0DC3" w14:textId="10ECFDB8" w:rsidR="00B3299C" w:rsidRPr="00863A78" w:rsidRDefault="00B3299C" w:rsidP="00B3299C">
      <w:pPr>
        <w:ind w:right="737"/>
        <w:rPr>
          <w:rFonts w:ascii="Calibri Light" w:hAnsi="Calibri Light" w:cs="Calibri Light"/>
          <w:spacing w:val="1"/>
        </w:rPr>
      </w:pPr>
      <w:r w:rsidRPr="00863A78">
        <w:rPr>
          <w:rFonts w:ascii="Calibri Light" w:hAnsi="Calibri Light" w:cs="Calibri Light"/>
        </w:rPr>
        <w:t>Received: 2021-October-15</w:t>
      </w:r>
    </w:p>
    <w:p w14:paraId="376BE65B" w14:textId="77777777" w:rsidR="00B3299C" w:rsidRPr="00863A78" w:rsidRDefault="00B3299C" w:rsidP="00B3299C">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14:paraId="4170F5D8" w14:textId="77777777" w:rsidR="00B3299C" w:rsidRPr="00863A78" w:rsidRDefault="00B3299C" w:rsidP="00B3299C">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14:paraId="25942F92" w14:textId="77777777" w:rsidR="00B3299C" w:rsidRPr="00863A78" w:rsidRDefault="00B3299C" w:rsidP="00B3299C">
      <w:pPr>
        <w:ind w:right="737"/>
        <w:rPr>
          <w:rFonts w:ascii="Calibri Light" w:hAnsi="Calibri Light" w:cs="Calibri Light"/>
          <w:b/>
          <w:bCs/>
        </w:rPr>
      </w:pPr>
    </w:p>
    <w:p w14:paraId="40F1AE2F" w14:textId="08B96028" w:rsidR="00B3299C" w:rsidRPr="00863A78" w:rsidRDefault="00482834" w:rsidP="00B3299C">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394E293B" wp14:editId="1D380235">
            <wp:extent cx="259080" cy="259080"/>
            <wp:effectExtent l="0" t="0" r="0" b="0"/>
            <wp:docPr id="1"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B3299C" w:rsidRPr="00863A78">
        <w:rPr>
          <w:rFonts w:ascii="Calibri Light" w:hAnsi="Calibri Light" w:cs="Calibri Light"/>
          <w:noProof/>
          <w:position w:val="-13"/>
        </w:rPr>
        <w:t xml:space="preserve"> </w:t>
      </w:r>
      <w:r w:rsidR="00B3299C" w:rsidRPr="00863A78">
        <w:rPr>
          <w:rFonts w:ascii="Calibri Light" w:hAnsi="Calibri Light" w:cs="Calibri Light"/>
        </w:rPr>
        <w:t>10.5758/ijls.2022.1</w:t>
      </w:r>
      <w:r w:rsidR="00B3299C">
        <w:rPr>
          <w:rFonts w:ascii="Calibri Light" w:hAnsi="Calibri Light" w:cs="Calibri Light"/>
        </w:rPr>
        <w:t xml:space="preserve"> </w:t>
      </w:r>
    </w:p>
    <w:p w14:paraId="12B4191E" w14:textId="77777777" w:rsidR="00B3299C" w:rsidRDefault="00B3299C" w:rsidP="00B3299C">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B3299C" w:rsidRPr="00540F02" w14:paraId="3EE7C58A" w14:textId="77777777" w:rsidTr="00136B9F">
        <w:tc>
          <w:tcPr>
            <w:tcW w:w="9004" w:type="dxa"/>
            <w:tcBorders>
              <w:left w:val="nil"/>
              <w:right w:val="nil"/>
            </w:tcBorders>
          </w:tcPr>
          <w:p w14:paraId="223457C9" w14:textId="77777777" w:rsidR="00B3299C" w:rsidRPr="00540F02" w:rsidRDefault="00B3299C" w:rsidP="00136B9F">
            <w:pPr>
              <w:ind w:right="2"/>
              <w:jc w:val="both"/>
              <w:rPr>
                <w:rFonts w:ascii="Calibri Light" w:hAnsi="Calibri Light" w:cs="Calibri Light"/>
                <w:sz w:val="12"/>
                <w:szCs w:val="12"/>
              </w:rPr>
            </w:pPr>
          </w:p>
          <w:p w14:paraId="4D188339" w14:textId="77777777" w:rsidR="00B3299C" w:rsidRPr="00540F02" w:rsidRDefault="00B3299C" w:rsidP="00136B9F">
            <w:pPr>
              <w:ind w:right="2"/>
              <w:jc w:val="both"/>
              <w:rPr>
                <w:rFonts w:ascii="Calibri Light" w:hAnsi="Calibri Light" w:cs="Calibri Light"/>
                <w:color w:val="0462C1"/>
                <w:u w:val="single" w:color="0462C1"/>
              </w:rPr>
            </w:pPr>
            <w:r w:rsidRPr="00540F02">
              <w:rPr>
                <w:rFonts w:ascii="Calibri Light" w:hAnsi="Calibri Light" w:cs="Calibri Light"/>
              </w:rPr>
              <w:t>How to cite this paper: Pilotti, M. &amp; Almubarak. H. A. M. (2021). Systematic Versus Informal Application of Culturally Relevant Pedagogy:</w:t>
            </w:r>
            <w:r w:rsidRPr="00540F02">
              <w:rPr>
                <w:rFonts w:ascii="Calibri Light" w:hAnsi="Calibri Light" w:cs="Calibri Light"/>
                <w:spacing w:val="-34"/>
              </w:rPr>
              <w:t xml:space="preserve"> </w:t>
            </w:r>
            <w:r w:rsidRPr="00540F02">
              <w:rPr>
                <w:rFonts w:ascii="Calibri Light" w:hAnsi="Calibri Light" w:cs="Calibri Light"/>
              </w:rPr>
              <w:t>Are Performance Outcomes Different? A Study of College Students.</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10" w:history="1">
              <w:r w:rsidRPr="00540F02">
                <w:rPr>
                  <w:rStyle w:val="Hyperlink"/>
                  <w:rFonts w:ascii="Calibri Light" w:hAnsi="Calibri Light" w:cs="Calibri Light"/>
                </w:rPr>
                <w:t>https://doi.org/10.5758/ijls.2022.1</w:t>
              </w:r>
            </w:hyperlink>
          </w:p>
          <w:p w14:paraId="406F0D4E" w14:textId="77777777" w:rsidR="00B3299C" w:rsidRPr="00540F02" w:rsidRDefault="00B3299C" w:rsidP="00136B9F">
            <w:pPr>
              <w:ind w:right="2"/>
              <w:jc w:val="both"/>
              <w:rPr>
                <w:rFonts w:ascii="Calibri Light" w:hAnsi="Calibri Light" w:cs="Calibri Light"/>
                <w:color w:val="0462C1"/>
                <w:u w:val="single" w:color="0462C1"/>
              </w:rPr>
            </w:pPr>
          </w:p>
          <w:p w14:paraId="7F5E3CE1" w14:textId="77777777" w:rsidR="00B3299C" w:rsidRPr="00540F02" w:rsidRDefault="00B3299C" w:rsidP="00136B9F">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1">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5D5271E2" w14:textId="77777777" w:rsidR="00B3299C" w:rsidRPr="00540F02" w:rsidRDefault="00B3299C" w:rsidP="00136B9F">
            <w:pPr>
              <w:ind w:right="2"/>
              <w:jc w:val="both"/>
              <w:rPr>
                <w:rFonts w:ascii="Calibri Light" w:hAnsi="Calibri Light" w:cs="Calibri Light"/>
                <w:b/>
                <w:bCs/>
                <w:sz w:val="12"/>
                <w:szCs w:val="12"/>
              </w:rPr>
            </w:pPr>
          </w:p>
        </w:tc>
      </w:tr>
    </w:tbl>
    <w:p w14:paraId="5C922230" w14:textId="77777777" w:rsidR="00B3299C" w:rsidRDefault="00B3299C" w:rsidP="00B3299C">
      <w:pPr>
        <w:ind w:right="737"/>
        <w:rPr>
          <w:rFonts w:ascii="Calibri Light" w:hAnsi="Calibri Light" w:cs="Calibri Light"/>
          <w:b/>
          <w:bCs/>
          <w:sz w:val="24"/>
          <w:szCs w:val="24"/>
        </w:rPr>
      </w:pPr>
    </w:p>
    <w:p w14:paraId="6D366A38" w14:textId="77777777" w:rsidR="00B3299C" w:rsidRPr="0064558E" w:rsidRDefault="00B3299C" w:rsidP="00B3299C">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C10313" w:rsidRPr="00C10313">
        <w:rPr>
          <w:rFonts w:ascii="Calibri Light" w:hAnsi="Calibri Light" w:cs="Calibri Light"/>
          <w:i/>
          <w:iCs/>
          <w:noProof/>
          <w:color w:val="000000"/>
          <w:sz w:val="24"/>
          <w:szCs w:val="24"/>
        </w:rPr>
        <w:t>The crisis in law enforcement in Indonesia highlights a profound moral decline among legal officials, evident in widespread corruption, abuse of power, and discriminatory legal practices. This deterioration has significantly eroded public trust in the legal system. This article seeks to examine the underlying causes of Indonesia’s law enforcement crisis through the lens of morality and religious ethics, while proposing solutions grounded in religious principles. Employing a normative legal research method that incorporates a religious morality approach, case studies, and conceptual analysis, this study reveals a decline in ethical and moral standards among law enforcement authorities, as reflected in contemporary legal issues. The lack of integration of religious values in the ethical development of legal practitioners is identified as a key factor contributing to this crisis. To address these challenges, this study advocates for the incorporation of faith-based moral education, legal policy reforms informed by religious values, and the empowerment of communities through ethical legal oversight. By emphasizing the role of morality and religious ethics as foundational elements in fostering a just legal system, this research aims to contribute to the realization of dignified law enforcement in Indonesia</w:t>
      </w:r>
      <w:r>
        <w:rPr>
          <w:rFonts w:ascii="Calibri Light" w:hAnsi="Calibri Light" w:cs="Calibri Light"/>
          <w:i/>
          <w:iCs/>
          <w:noProof/>
          <w:color w:val="000000"/>
          <w:sz w:val="24"/>
          <w:szCs w:val="24"/>
        </w:rPr>
        <w:t>.</w:t>
      </w:r>
    </w:p>
    <w:p w14:paraId="5B95DDEE" w14:textId="77777777" w:rsidR="00B3299C" w:rsidRDefault="00B3299C" w:rsidP="00B3299C">
      <w:pPr>
        <w:jc w:val="both"/>
        <w:rPr>
          <w:rFonts w:ascii="Calibri Light" w:hAnsi="Calibri Light" w:cs="Calibri Light"/>
          <w:i/>
          <w:iCs/>
          <w:noProof/>
          <w:color w:val="000000"/>
          <w:sz w:val="24"/>
          <w:szCs w:val="24"/>
        </w:rPr>
      </w:pPr>
    </w:p>
    <w:p w14:paraId="1F6FC968" w14:textId="77777777" w:rsidR="00B3299C" w:rsidRPr="002328D7" w:rsidRDefault="00B3299C" w:rsidP="00622BCC">
      <w:pPr>
        <w:jc w:val="both"/>
        <w:rPr>
          <w:rFonts w:ascii="Calibri Light" w:hAnsi="Calibri Light" w:cs="Calibri Light"/>
          <w:sz w:val="24"/>
          <w:szCs w:val="24"/>
          <w:lang w:val="de-AT"/>
        </w:rPr>
      </w:pPr>
      <w:r w:rsidRPr="002D35AC">
        <w:rPr>
          <w:rFonts w:ascii="Calibri Light" w:hAnsi="Calibri Light" w:cs="Calibri Light"/>
          <w:sz w:val="24"/>
          <w:szCs w:val="24"/>
        </w:rPr>
        <w:t xml:space="preserve">Krisis penegakan hukum di Indonesia mencerminkan runtuhnya moralitas di kalangan aparat penegak hukum, ditandai oleh maraknya kasus korupsi, penyalahgunaan wewenang, dan diskriminasi hukum. Fenomena ini berdampak signifikan terhadap </w:t>
      </w:r>
      <w:r w:rsidRPr="00ED6B8A">
        <w:rPr>
          <w:rFonts w:ascii="Calibri Light" w:hAnsi="Calibri Light" w:cs="Calibri Light"/>
          <w:sz w:val="24"/>
          <w:szCs w:val="24"/>
        </w:rPr>
        <w:t>Erosi Moralitas Masyarakat, Normalisasi Perilaku Amoral dalam Aparat Penegak Hukum, Meningkatnya Ketidakadilan Sosial, Hilangnya Rasa Tanggung Jawab Kolektif masyarakat terhadap sistem hukum</w:t>
      </w:r>
      <w:r w:rsidRPr="002D35AC">
        <w:rPr>
          <w:rFonts w:ascii="Calibri Light" w:hAnsi="Calibri Light" w:cs="Calibri Light"/>
          <w:sz w:val="24"/>
          <w:szCs w:val="24"/>
        </w:rPr>
        <w:t>. Artikel ini bertujuan untuk menganalisis akar penyebab krisis penegakan hukum di Indonesia melalui perspektif moralitas dan etika religius serta menawarkan solusi berbasis nilai-nilai religius.</w:t>
      </w:r>
      <w:r w:rsidR="00622BCC">
        <w:rPr>
          <w:rFonts w:ascii="Calibri Light" w:hAnsi="Calibri Light" w:cs="Calibri Light"/>
          <w:sz w:val="24"/>
          <w:szCs w:val="24"/>
        </w:rPr>
        <w:t xml:space="preserve"> </w:t>
      </w:r>
      <w:r w:rsidRPr="002328D7">
        <w:rPr>
          <w:rFonts w:ascii="Calibri Light" w:hAnsi="Calibri Light" w:cs="Calibri Light"/>
          <w:sz w:val="24"/>
          <w:szCs w:val="24"/>
          <w:lang w:val="de-AT"/>
        </w:rPr>
        <w:t xml:space="preserve">Penelitian ini menggunakan metode normatif dengan pendekatan moralitas religius, studi kasus dan analisis konseptual. Hasil penelitian menunjukkan bahwa penegakan hukum di Indonesia mengalami dekadensi moralitas dan etika religius, sebagaimana tercermin dari </w:t>
      </w:r>
      <w:r w:rsidRPr="002328D7">
        <w:rPr>
          <w:rFonts w:ascii="Calibri Light" w:hAnsi="Calibri Light" w:cs="Calibri Light"/>
          <w:sz w:val="24"/>
          <w:szCs w:val="24"/>
          <w:lang w:val="de-AT"/>
        </w:rPr>
        <w:lastRenderedPageBreak/>
        <w:t>berbagai permasalahan hukum yang terjadi saat ini. Ketiadaan integrasi nilai-nilai religius dalam pembentukan karakter aparat hukum diidentifikasi sebagai akar utama krisis ini. Solusi yang ditawarkan meliputi penerapan pendidikan moral berbasis agama, reformasi kebijakan hukum yang berlandaskan nilai-nilai religius, serta pemberdayaan masyarakat melalui pengawasan hukum yang beretika.</w:t>
      </w:r>
      <w:r w:rsidR="00622BCC" w:rsidRPr="002328D7">
        <w:rPr>
          <w:rFonts w:ascii="Calibri Light" w:hAnsi="Calibri Light" w:cs="Calibri Light"/>
          <w:sz w:val="24"/>
          <w:szCs w:val="24"/>
          <w:lang w:val="de-AT"/>
        </w:rPr>
        <w:t xml:space="preserve"> </w:t>
      </w:r>
      <w:r w:rsidRPr="002328D7">
        <w:rPr>
          <w:rFonts w:ascii="Calibri Light" w:hAnsi="Calibri Light" w:cs="Calibri Light"/>
          <w:sz w:val="24"/>
          <w:szCs w:val="24"/>
          <w:lang w:val="de-AT"/>
        </w:rPr>
        <w:t>Penelitian ini diharapkan dapat memberikan kontribusi dalam mewujudkan penegakan hukum yang bermartabat di Indonesia, dengan menekankan pentingnya moralitas dan etika religius sebagai fondasi untuk membangun sistem hukum yang berkeadilan</w:t>
      </w:r>
      <w:r w:rsidRPr="002328D7">
        <w:rPr>
          <w:rFonts w:ascii="Calibri Light" w:hAnsi="Calibri Light" w:cs="Calibri Light"/>
          <w:noProof/>
          <w:color w:val="A6A6A6"/>
          <w:sz w:val="24"/>
          <w:szCs w:val="24"/>
          <w:lang w:val="de-AT"/>
        </w:rPr>
        <w:t>.</w:t>
      </w:r>
    </w:p>
    <w:p w14:paraId="1E8E5B5F" w14:textId="77777777" w:rsidR="00B3299C" w:rsidRPr="00122F5F" w:rsidRDefault="00B3299C" w:rsidP="00622BCC">
      <w:pPr>
        <w:ind w:right="737"/>
        <w:jc w:val="both"/>
        <w:rPr>
          <w:rFonts w:ascii="Calibri Light" w:hAnsi="Calibri Light" w:cs="Calibri Light"/>
          <w:i/>
          <w:iCs/>
          <w:sz w:val="24"/>
          <w:szCs w:val="24"/>
          <w:lang w:val="id-ID"/>
        </w:rPr>
      </w:pPr>
    </w:p>
    <w:p w14:paraId="56541504" w14:textId="77777777" w:rsidR="00B3299C" w:rsidRPr="00122F5F" w:rsidRDefault="00B3299C" w:rsidP="00B3299C">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Pr="0064558E">
        <w:rPr>
          <w:rStyle w:val="shorttext"/>
          <w:rFonts w:ascii="Calibri Light" w:hAnsi="Calibri Light" w:cs="Calibri Light"/>
          <w:i/>
          <w:iCs/>
          <w:sz w:val="24"/>
          <w:szCs w:val="24"/>
          <w:lang w:val="en"/>
        </w:rPr>
        <w:t>Law Enforcement, Decadence, Morality, Religious Ethic</w:t>
      </w:r>
      <w:r w:rsidRPr="00122F5F">
        <w:rPr>
          <w:rStyle w:val="shorttext"/>
          <w:rFonts w:ascii="Calibri Light" w:hAnsi="Calibri Light" w:cs="Calibri Light"/>
          <w:i/>
          <w:iCs/>
          <w:sz w:val="24"/>
          <w:szCs w:val="24"/>
          <w:lang w:val="id-ID"/>
        </w:rPr>
        <w:t>.</w:t>
      </w:r>
      <w:r w:rsidRPr="00540F02">
        <w:rPr>
          <w:rFonts w:ascii="Calibri Light" w:hAnsi="Calibri Light" w:cs="Calibri Light"/>
          <w:color w:val="A6A6A6"/>
          <w:sz w:val="24"/>
          <w:szCs w:val="24"/>
        </w:rPr>
        <w:t xml:space="preserve"> </w:t>
      </w:r>
    </w:p>
    <w:p w14:paraId="72B71B8F" w14:textId="77777777" w:rsidR="00B3299C" w:rsidRPr="00122F5F" w:rsidRDefault="00B3299C" w:rsidP="00622BCC">
      <w:pPr>
        <w:pStyle w:val="ListParagraph"/>
        <w:spacing w:before="120" w:after="120" w:line="240" w:lineRule="auto"/>
        <w:ind w:left="440" w:right="-1" w:firstLine="677"/>
        <w:contextualSpacing w:val="0"/>
        <w:jc w:val="both"/>
        <w:rPr>
          <w:rFonts w:ascii="Calibri Light" w:hAnsi="Calibri Light" w:cs="Calibri Light"/>
          <w:b/>
          <w:bCs/>
          <w:sz w:val="24"/>
          <w:szCs w:val="24"/>
        </w:rPr>
      </w:pPr>
    </w:p>
    <w:p w14:paraId="75A9265F" w14:textId="77777777" w:rsidR="00B3299C" w:rsidRPr="0064558E" w:rsidRDefault="00B3299C" w:rsidP="00B3299C">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r w:rsidRPr="00122F5F">
        <w:rPr>
          <w:rFonts w:ascii="Calibri Light" w:hAnsi="Calibri Light" w:cs="Calibri Light"/>
          <w:b/>
          <w:sz w:val="24"/>
          <w:szCs w:val="24"/>
          <w:lang w:val="id-ID"/>
        </w:rPr>
        <w:t xml:space="preserve"> </w:t>
      </w:r>
    </w:p>
    <w:p w14:paraId="7531FA3A" w14:textId="77777777" w:rsidR="00E97B1C" w:rsidRDefault="00902810" w:rsidP="00E97B1C">
      <w:pPr>
        <w:spacing w:before="120" w:after="120"/>
        <w:ind w:left="426"/>
        <w:jc w:val="both"/>
        <w:rPr>
          <w:rFonts w:ascii="Calibri Light" w:hAnsi="Calibri Light" w:cs="Calibri Light"/>
          <w:sz w:val="24"/>
          <w:szCs w:val="24"/>
        </w:rPr>
      </w:pPr>
      <w:r w:rsidRPr="00902810">
        <w:rPr>
          <w:rFonts w:ascii="Calibri Light" w:hAnsi="Calibri Light" w:cs="Calibri Light"/>
          <w:sz w:val="24"/>
          <w:szCs w:val="24"/>
        </w:rPr>
        <w:t>Law enforcement refers to the implementation of legal norms by competent authorities to uphold justice, maintain order, and ensure legal certainty within society</w:t>
      </w:r>
      <w:r>
        <w:rPr>
          <w:rFonts w:ascii="Calibri Light" w:hAnsi="Calibri Light" w:cs="Calibri Light"/>
          <w:sz w:val="24"/>
          <w:szCs w:val="24"/>
        </w:rPr>
        <w:t xml:space="preserve"> </w:t>
      </w:r>
      <w:r w:rsidR="00B3299C">
        <w:rPr>
          <w:rFonts w:ascii="Calibri Light" w:hAnsi="Calibri Light" w:cs="Calibri Light"/>
          <w:sz w:val="24"/>
          <w:szCs w:val="24"/>
        </w:rPr>
        <w:fldChar w:fldCharType="begin" w:fldLock="1"/>
      </w:r>
      <w:r w:rsidR="00B3299C">
        <w:rPr>
          <w:rFonts w:ascii="Calibri Light" w:hAnsi="Calibri Light" w:cs="Calibri Light"/>
          <w:sz w:val="24"/>
          <w:szCs w:val="24"/>
        </w:rPr>
        <w:instrText>ADDIN CSL_CITATION {"citationItems":[{"id":"ITEM-1","itemData":{"DOI":"10.1146/annurev-criminol-051520-012342","ISSN":"2572-4568","abstract":"There are widespread concerns about the use of artificial intelligence in law enforcement. Predictive policing and risk assessment are salient examples. Worries include the accuracy of forecasts that guide both activities, the prospect of bias, and an apparent lack of operational transparency. Nearly breathless media coverage of artificial intelligence helps shape the narrative. In this review, we address these issues by first unpacking depictions of artificial intelligence. Its use in predictive policing to forecast crimes in time and space is largely an exercise in spatial statistics that in principle can make policing more effective and more surgical. Its use in criminal justice risk assessment to forecast who will commit crimes is largely an exercise in adaptive, nonparametric regression. It can in principle allow law enforcement agencies to better provide for public safety with the least restrictive means necessary, which can mean far less use of incarceration. None of this is mysterious. Nevertheless, concerns about accuracy, fairness, and transparency are real, and there are tradeoffs between them for which there can be no technical fix. You can't have it all. Solutions will be found through political and legislative processes achieving an acceptable balance between competing priorities.","author":[{"dropping-particle":"","family":"Berk","given":"Richard A.","non-dropping-particle":"","parse-names":false,"suffix":""}],"container-title":"Annual Review of Criminology","id":"ITEM-1","issue":"1","issued":{"date-parts":[["2021","1","13"]]},"page":"209-237","title":"Artificial Intelligence, Predictive Policing, and Risk Assessment for Law Enforcement","type":"article-journal","volume":"4"},"uris":["http://www.mendeley.com/documents/?uuid=3d5d885c-5544-44f8-b7e3-65cd02080509"]}],"mendeley":{"formattedCitation":"(Berk, 2021)","plainTextFormattedCitation":"(Berk, 2021)","previouslyFormattedCitation":"(Berk, 2021)"},"properties":{"noteIndex":0},"schema":"https://github.com/citation-style-language/schema/raw/master/csl-citation.json"}</w:instrText>
      </w:r>
      <w:r w:rsidR="00B3299C">
        <w:rPr>
          <w:rFonts w:ascii="Calibri Light" w:hAnsi="Calibri Light" w:cs="Calibri Light"/>
          <w:sz w:val="24"/>
          <w:szCs w:val="24"/>
        </w:rPr>
        <w:fldChar w:fldCharType="separate"/>
      </w:r>
      <w:r w:rsidR="00B3299C" w:rsidRPr="009C19A6">
        <w:rPr>
          <w:rFonts w:ascii="Calibri Light" w:hAnsi="Calibri Light" w:cs="Calibri Light"/>
          <w:noProof/>
          <w:sz w:val="24"/>
          <w:szCs w:val="24"/>
        </w:rPr>
        <w:t>(Berk, 2021)</w:t>
      </w:r>
      <w:r w:rsidR="00B3299C">
        <w:rPr>
          <w:rFonts w:ascii="Calibri Light" w:hAnsi="Calibri Light" w:cs="Calibri Light"/>
          <w:sz w:val="24"/>
          <w:szCs w:val="24"/>
        </w:rPr>
        <w:fldChar w:fldCharType="end"/>
      </w:r>
      <w:r w:rsidR="00B3299C" w:rsidRPr="00F57CA2">
        <w:rPr>
          <w:rFonts w:ascii="Calibri Light" w:hAnsi="Calibri Light" w:cs="Calibri Light"/>
          <w:sz w:val="24"/>
          <w:szCs w:val="24"/>
        </w:rPr>
        <w:t xml:space="preserve">. </w:t>
      </w:r>
      <w:r w:rsidRPr="00902810">
        <w:rPr>
          <w:rFonts w:ascii="Calibri Light" w:hAnsi="Calibri Light" w:cs="Calibri Light"/>
          <w:sz w:val="24"/>
          <w:szCs w:val="24"/>
        </w:rPr>
        <w:t>According to Satjipto Rahardjo, law enforcement is an effort to translate the ideals of justice embedded in legal norms into practical reality</w:t>
      </w:r>
      <w:r>
        <w:rPr>
          <w:rFonts w:ascii="Calibri Light" w:hAnsi="Calibri Light" w:cs="Calibri Light"/>
          <w:sz w:val="24"/>
          <w:szCs w:val="24"/>
        </w:rPr>
        <w:t xml:space="preserve"> </w:t>
      </w:r>
      <w:r w:rsidR="00B3299C">
        <w:rPr>
          <w:rFonts w:ascii="Calibri Light" w:hAnsi="Calibri Light" w:cs="Calibri Light"/>
          <w:sz w:val="24"/>
          <w:szCs w:val="24"/>
        </w:rPr>
        <w:fldChar w:fldCharType="begin" w:fldLock="1"/>
      </w:r>
      <w:r w:rsidR="00B3299C">
        <w:rPr>
          <w:rFonts w:ascii="Calibri Light" w:hAnsi="Calibri Light" w:cs="Calibri Light"/>
          <w:sz w:val="24"/>
          <w:szCs w:val="24"/>
        </w:rPr>
        <w:instrText>ADDIN CSL_CITATION {"citationItems":[{"id":"ITEM-1","itemData":{"abstract":"In Indonesia, law enforcement agencies do not collaborate to achieve justice. Due to the legal institution's position and status, the Supreme Court is responsible for adjudicating and deciding cases, while the executive is responsible for investigating and adjudicating. Consequently, instead of striving to uphold the law in the public interest, they typically prioritize the interests of their respective institutions. Therefore, the purpose of this study is to determine if law enforcement and judicial justice can bring harmony to those seeking justice. This study aims to provide answers through the use of juridico-philosophical methods and literature studies by conducting theoretical studies of theories of justice and their relationship to the implementation of law enforcement within the judiciary. The findings indicate that power and other powers continue to influence the judicial system as an institution whose independence in upholding law and justice is guaranteed, particularly the influence of executive power and political power. In addition, the court's function as a law enforcement agency is not entirely autonomous, so the court's primary responsibility is to promote peace and justice in society. Therefore, in order to promote a sense of tranquility among justice advocates, it is necessary to strengthen the justice system, which is their final sanctuary.","author":[{"dropping-particle":"","family":"Romdoni","given":"Muhamad","non-dropping-particle":"","parse-names":false,"suffix":""},{"dropping-particle":"","family":"Fatma","given":"Mawarni","non-dropping-particle":"","parse-names":false,"suffix":""},{"dropping-particle":"","family":"Nurdiansyah","given":"Rizki","non-dropping-particle":"","parse-names":false,"suffix":""},{"dropping-particle":"","family":"Fahmi Lubis","given":"Arief","non-dropping-particle":"","parse-names":false,"suffix":""}],"container-title":"Journal of Law Science","id":"ITEM-1","issue":"4","issued":{"date-parts":[["2023"]]},"page":"174-181","title":"A critique and solution of justice, certainty, and usefulness in law enforcement in Indonesia","type":"article-journal","volume":"5"},"uris":["http://www.mendeley.com/documents/?uuid=911d977a-1bb1-4be2-b59e-bf0c4a3eceb2"]}],"mendeley":{"formattedCitation":"(Romdoni et al., 2023)","plainTextFormattedCitation":"(Romdoni et al., 2023)","previouslyFormattedCitation":"(Romdoni et al., 2023)"},"properties":{"noteIndex":0},"schema":"https://github.com/citation-style-language/schema/raw/master/csl-citation.json"}</w:instrText>
      </w:r>
      <w:r w:rsidR="00B3299C">
        <w:rPr>
          <w:rFonts w:ascii="Calibri Light" w:hAnsi="Calibri Light" w:cs="Calibri Light"/>
          <w:sz w:val="24"/>
          <w:szCs w:val="24"/>
        </w:rPr>
        <w:fldChar w:fldCharType="separate"/>
      </w:r>
      <w:r w:rsidR="00B3299C" w:rsidRPr="000D5709">
        <w:rPr>
          <w:rFonts w:ascii="Calibri Light" w:hAnsi="Calibri Light" w:cs="Calibri Light"/>
          <w:noProof/>
          <w:sz w:val="24"/>
          <w:szCs w:val="24"/>
        </w:rPr>
        <w:t>(Romdoni et al., 2023)</w:t>
      </w:r>
      <w:r w:rsidR="00B3299C">
        <w:rPr>
          <w:rFonts w:ascii="Calibri Light" w:hAnsi="Calibri Light" w:cs="Calibri Light"/>
          <w:sz w:val="24"/>
          <w:szCs w:val="24"/>
        </w:rPr>
        <w:fldChar w:fldCharType="end"/>
      </w:r>
      <w:r w:rsidR="00B3299C" w:rsidRPr="00F57CA2">
        <w:rPr>
          <w:rFonts w:ascii="Calibri Light" w:hAnsi="Calibri Light" w:cs="Calibri Light"/>
          <w:sz w:val="24"/>
          <w:szCs w:val="24"/>
        </w:rPr>
        <w:t xml:space="preserve">. </w:t>
      </w:r>
      <w:r w:rsidRPr="00902810">
        <w:rPr>
          <w:rFonts w:ascii="Calibri Light" w:hAnsi="Calibri Light" w:cs="Calibri Light"/>
          <w:sz w:val="24"/>
          <w:szCs w:val="24"/>
        </w:rPr>
        <w:t>Despite various legal reforms in Indonesia, such as the establishment of the Corruption Eradication Commission (KPK) and improvements in the judicial system, structural and ethical challenges continue to hinder the effectiveness of law enforcement</w:t>
      </w:r>
      <w:r>
        <w:rPr>
          <w:rFonts w:ascii="Calibri Light" w:hAnsi="Calibri Light" w:cs="Calibri Light"/>
          <w:sz w:val="24"/>
          <w:szCs w:val="24"/>
        </w:rPr>
        <w:t xml:space="preserve"> </w:t>
      </w:r>
      <w:r w:rsidR="00B3299C">
        <w:rPr>
          <w:rFonts w:ascii="Calibri Light" w:hAnsi="Calibri Light" w:cs="Calibri Light"/>
          <w:sz w:val="24"/>
          <w:szCs w:val="24"/>
        </w:rPr>
        <w:fldChar w:fldCharType="begin" w:fldLock="1"/>
      </w:r>
      <w:r w:rsidR="00B3299C">
        <w:rPr>
          <w:rFonts w:ascii="Calibri Light" w:hAnsi="Calibri Light" w:cs="Calibri Light"/>
          <w:sz w:val="24"/>
          <w:szCs w:val="24"/>
        </w:rPr>
        <w:instrText>ADDIN CSL_CITATION {"citationItems":[{"id":"ITEM-1","itemData":{"DOI":"10.55908/sdgs.v11i10.1261","ISBN":"0000000217286","ISSN":"2764-4170","abstract":"Objective: This paper aims to elaborate on the morality of law enforcement in Indonesia today and how to reflect on law enforcement in Indonesia in the future. This paper uses a normative type of writing using a statutory, case, and comparative approach. Method: This paper is then analyzed using the Prescriptive analysis technique. Result: This paper shows that the morality of law enforcement in Indonesia today can be seen from several things: inconsistent law enforcement, corruption among law enforcement officials, law enforcement by violating the law, and selective law enforcement. The reflection of law enforcement in Indonesia in the future based on morality must be based on strengthening several aspects: strengthening integrity and ethics in law enforcement, transparency and accountability in the law enforcement process, revamping the legal system and institutions, and increasing legal awareness. Conclusion: The authors of this research want to learn more about and reflect on the moral dimensions of Indonesia's police force. This research aims to provide light on how morality influences the behavior of law enforcement officials by researching law enforcement methods, ethics, and justice. The study's findings should serve as a springboard for implementing more just rules and procedures in Indonesia's law enforcement.","author":[{"dropping-particle":"","family":"Suwito","given":"","non-dropping-particle":"","parse-names":false,"suffix":""},{"dropping-particle":"","family":"Setiyawan","given":"Deni","non-dropping-particle":"","parse-names":false,"suffix":""},{"dropping-particle":"","family":"Muhtar","given":"Mohamad Hidayat","non-dropping-particle":"","parse-names":false,"suffix":""},{"dropping-particle":"","family":"Ahmad","given":"","non-dropping-particle":"","parse-names":false,"suffix":""}],"container-title":"Journal of Law and Sustainable Development","id":"ITEM-1","issue":"10","issued":{"date-parts":[["2023","10","25"]]},"page":"e1261","title":"Contemplating the Morality of Law Enforcement in Indonesia","type":"article-journal","volume":"11"},"uris":["http://www.mendeley.com/documents/?uuid=95aa488a-5932-4443-86ac-034453184e97"]}],"mendeley":{"formattedCitation":"(Suwito et al., 2023)","plainTextFormattedCitation":"(Suwito et al., 2023)","previouslyFormattedCitation":"(Suwito et al., 2023)"},"properties":{"noteIndex":0},"schema":"https://github.com/citation-style-language/schema/raw/master/csl-citation.json"}</w:instrText>
      </w:r>
      <w:r w:rsidR="00B3299C">
        <w:rPr>
          <w:rFonts w:ascii="Calibri Light" w:hAnsi="Calibri Light" w:cs="Calibri Light"/>
          <w:sz w:val="24"/>
          <w:szCs w:val="24"/>
        </w:rPr>
        <w:fldChar w:fldCharType="separate"/>
      </w:r>
      <w:r w:rsidR="00B3299C" w:rsidRPr="000D5709">
        <w:rPr>
          <w:rFonts w:ascii="Calibri Light" w:hAnsi="Calibri Light" w:cs="Calibri Light"/>
          <w:noProof/>
          <w:sz w:val="24"/>
          <w:szCs w:val="24"/>
        </w:rPr>
        <w:t>(Suwito et al., 2023)</w:t>
      </w:r>
      <w:r w:rsidR="00B3299C">
        <w:rPr>
          <w:rFonts w:ascii="Calibri Light" w:hAnsi="Calibri Light" w:cs="Calibri Light"/>
          <w:sz w:val="24"/>
          <w:szCs w:val="24"/>
        </w:rPr>
        <w:fldChar w:fldCharType="end"/>
      </w:r>
      <w:r w:rsidR="00B3299C" w:rsidRPr="00F57CA2">
        <w:rPr>
          <w:rFonts w:ascii="Calibri Light" w:hAnsi="Calibri Light" w:cs="Calibri Light"/>
          <w:sz w:val="24"/>
          <w:szCs w:val="24"/>
        </w:rPr>
        <w:t>.</w:t>
      </w:r>
    </w:p>
    <w:p w14:paraId="19597CAE" w14:textId="77777777" w:rsidR="00E97B1C" w:rsidRDefault="00902810" w:rsidP="00E97B1C">
      <w:pPr>
        <w:spacing w:before="120" w:after="120"/>
        <w:ind w:left="426"/>
        <w:jc w:val="both"/>
        <w:rPr>
          <w:rFonts w:ascii="Calibri Light" w:hAnsi="Calibri Light" w:cs="Calibri Light"/>
          <w:sz w:val="24"/>
          <w:szCs w:val="24"/>
        </w:rPr>
      </w:pPr>
      <w:r>
        <w:rPr>
          <w:rFonts w:ascii="Calibri Light" w:hAnsi="Calibri Light" w:cs="Calibri Light"/>
          <w:sz w:val="24"/>
          <w:szCs w:val="24"/>
        </w:rPr>
        <w:t>L</w:t>
      </w:r>
      <w:r w:rsidRPr="00902810">
        <w:rPr>
          <w:rFonts w:ascii="Calibri Light" w:hAnsi="Calibri Light" w:cs="Calibri Light"/>
          <w:sz w:val="24"/>
          <w:szCs w:val="24"/>
        </w:rPr>
        <w:t>egal enforcement in Indonesia remains susceptible to external influences, including political dynamics, power struggles, and social inequalities</w:t>
      </w:r>
      <w:r>
        <w:rPr>
          <w:rFonts w:ascii="Calibri Light" w:hAnsi="Calibri Light" w:cs="Calibri Light"/>
          <w:sz w:val="24"/>
          <w:szCs w:val="24"/>
        </w:rPr>
        <w:t xml:space="preserve"> </w:t>
      </w:r>
      <w:r w:rsidR="00B3299C">
        <w:rPr>
          <w:rFonts w:ascii="Calibri Light" w:hAnsi="Calibri Light" w:cs="Calibri Light"/>
          <w:sz w:val="24"/>
          <w:szCs w:val="24"/>
        </w:rPr>
        <w:fldChar w:fldCharType="begin" w:fldLock="1"/>
      </w:r>
      <w:r w:rsidR="00B3299C">
        <w:rPr>
          <w:rFonts w:ascii="Calibri Light" w:hAnsi="Calibri Light" w:cs="Calibri Light"/>
          <w:sz w:val="24"/>
          <w:szCs w:val="24"/>
        </w:rPr>
        <w:instrText>ADDIN CSL_CITATION {"citationItems":[{"id":"ITEM-1","itemData":{"DOI":"10.1177/0022042620974076","ISSN":"0022-0426","abstract":"Prior work has suggested that provider-based stigma of substance use disorders may be one barrier to fighting the opioid epidemic. However, to date, provider-based stigma has been afforded little attention in the context of the criminal justice system. The goal of the current study was to extend this line of research by examining the impact of provider-based stigma toward opioid using persons to beliefs about help that should be provided to persons experiencing an overdose among a sample of 208 police officers working in departments in the Northeastern Region of the United States. In addition, this study explores the relationship between provider-based stigma and the anticipated on-duty behavioral responses to opioid overdoses. Results from multivariable analyses indicate that certain dimensions of social stigma are significantly related to officers’ perceptions of help in varying directions, along with officers’ experiences with naloxone administration and departmental policy pertaining to the use of naloxone.","author":[{"dropping-particle":"","family":"Kruis","given":"Nathan E.","non-dropping-particle":"","parse-names":false,"suffix":""},{"dropping-particle":"V.","family":"Merlo","given":"Alida","non-dropping-particle":"","parse-names":false,"suffix":""}],"container-title":"Journal of Drug Issues","id":"ITEM-1","issue":"2","issued":{"date-parts":[["2021","4","21"]]},"page":"301-322","title":"A Preliminary Assessment of Stigma in Law Enforcement Officers’ Responses to Opioid Overdoses","type":"article-journal","volume":"51"},"uris":["http://www.mendeley.com/documents/?uuid=edc54e28-01a1-4648-a06d-6f5ae3e5aedb"]}],"mendeley":{"formattedCitation":"(Kruis &amp; Merlo, 2021)","plainTextFormattedCitation":"(Kruis &amp; Merlo, 2021)","previouslyFormattedCitation":"(Kruis &amp; Merlo, 2021)"},"properties":{"noteIndex":0},"schema":"https://github.com/citation-style-language/schema/raw/master/csl-citation.json"}</w:instrText>
      </w:r>
      <w:r w:rsidR="00B3299C">
        <w:rPr>
          <w:rFonts w:ascii="Calibri Light" w:hAnsi="Calibri Light" w:cs="Calibri Light"/>
          <w:sz w:val="24"/>
          <w:szCs w:val="24"/>
        </w:rPr>
        <w:fldChar w:fldCharType="separate"/>
      </w:r>
      <w:r w:rsidR="00B3299C" w:rsidRPr="009C19A6">
        <w:rPr>
          <w:rFonts w:ascii="Calibri Light" w:hAnsi="Calibri Light" w:cs="Calibri Light"/>
          <w:noProof/>
          <w:sz w:val="24"/>
          <w:szCs w:val="24"/>
        </w:rPr>
        <w:t>(Kruis &amp; Merlo, 2021)</w:t>
      </w:r>
      <w:r w:rsidR="00B3299C">
        <w:rPr>
          <w:rFonts w:ascii="Calibri Light" w:hAnsi="Calibri Light" w:cs="Calibri Light"/>
          <w:sz w:val="24"/>
          <w:szCs w:val="24"/>
        </w:rPr>
        <w:fldChar w:fldCharType="end"/>
      </w:r>
      <w:r w:rsidR="00B3299C" w:rsidRPr="00F57CA2">
        <w:rPr>
          <w:rFonts w:ascii="Calibri Light" w:hAnsi="Calibri Light" w:cs="Calibri Light"/>
          <w:sz w:val="24"/>
          <w:szCs w:val="24"/>
        </w:rPr>
        <w:t xml:space="preserve">. </w:t>
      </w:r>
      <w:r w:rsidRPr="00902810">
        <w:rPr>
          <w:rFonts w:ascii="Calibri Light" w:hAnsi="Calibri Light" w:cs="Calibri Light"/>
          <w:sz w:val="24"/>
          <w:szCs w:val="24"/>
        </w:rPr>
        <w:t>High-profile corruption cases and the widespread abuse of authority among law enforcement officials indicate a persistent integrity crisis within the legal system</w:t>
      </w:r>
      <w:r>
        <w:rPr>
          <w:rFonts w:ascii="Calibri Light" w:hAnsi="Calibri Light" w:cs="Calibri Light"/>
          <w:sz w:val="24"/>
          <w:szCs w:val="24"/>
        </w:rPr>
        <w:t xml:space="preserve">. </w:t>
      </w:r>
      <w:r w:rsidRPr="00902810">
        <w:rPr>
          <w:rFonts w:ascii="Calibri Light" w:hAnsi="Calibri Light" w:cs="Calibri Light"/>
          <w:sz w:val="24"/>
          <w:szCs w:val="24"/>
        </w:rPr>
        <w:t>Public perception of injustice in the enforcement of laws—whether within government institutions, the judiciary, or law enforcement agencies—has further strained the relationship between the legal system and society. Consequently, the erosion of public trust in law enforcement has emerged as a critical issue</w:t>
      </w:r>
      <w:r>
        <w:rPr>
          <w:rFonts w:ascii="Calibri Light" w:hAnsi="Calibri Light" w:cs="Calibri Light"/>
          <w:sz w:val="24"/>
          <w:szCs w:val="24"/>
        </w:rPr>
        <w:t xml:space="preserve"> </w:t>
      </w:r>
      <w:r w:rsidR="00B3299C">
        <w:rPr>
          <w:rFonts w:ascii="Calibri Light" w:hAnsi="Calibri Light" w:cs="Calibri Light"/>
          <w:sz w:val="24"/>
          <w:szCs w:val="24"/>
        </w:rPr>
        <w:fldChar w:fldCharType="begin" w:fldLock="1"/>
      </w:r>
      <w:r w:rsidR="00B3299C">
        <w:rPr>
          <w:rFonts w:ascii="Calibri Light" w:hAnsi="Calibri Light" w:cs="Calibri Light"/>
          <w:sz w:val="24"/>
          <w:szCs w:val="24"/>
        </w:rPr>
        <w:instrText>ADDIN CSL_CITATION {"citationItems":[{"id":"ITEM-1","itemData":{"DOI":"10.1177/1043986219840231","ISSN":"1043-9862","abstract":"This study examined the 15 deadliest public mass shootings in the United States from March 1998 to February 2018 to assess (a) leakage of violent thoughts/intent, (b) leakage of specific interest in mass killing, (c) concerning behaviors reported to law enforcement, (d) concerning interest in homicide reported to law enforcement, and (e) firearms acquisition. We then compared our findings on the deadliest public mass shooters with the Federal Bureau of Investigation’s (FBI) findings on active shooters in general. Overall, the results suggest that most incidents were indeed preventable based on information known about offenders in advance, and that the deadliest mass shooters exhibited more warning signs and were more often reported to law enforcement than other active shooters. Future prevention efforts should aim to educate, encourage, and pressure the public to report warning signs to law enforcement, educate and train law enforcement so that they can more effectively investigate potential threats, and limit firearms access for people who have admitted having homicidal or suicidal thoughts or being interested in committing a mass shooting. These relatively straightforward steps could significantly reduce the prevalence of future attacks.","author":[{"dropping-particle":"","family":"Lankford","given":"Adam","non-dropping-particle":"","parse-names":false,"suffix":""},{"dropping-particle":"","family":"Adkins","given":"Krista Grace","non-dropping-particle":"","parse-names":false,"suffix":""},{"dropping-particle":"","family":"Madfis","given":"Eric","non-dropping-particle":"","parse-names":false,"suffix":""}],"container-title":"Journal of Contemporary Criminal Justice","id":"ITEM-1","issue":"3","issued":{"date-parts":[["2019","8","2"]]},"page":"315-341","title":"Are the Deadliest Mass Shootings Preventable? An Assessment of Leakage, Information Reported to Law Enforcement, and Firearms Acquisition Prior to Attacks in the United States","type":"article-journal","volume":"35"},"uris":["http://www.mendeley.com/documents/?uuid=e04648e4-dc9b-4ea2-8108-1147457d025a"]}],"mendeley":{"formattedCitation":"(Lankford et al., 2019)","plainTextFormattedCitation":"(Lankford et al., 2019)","previouslyFormattedCitation":"(Lankford et al., 2019)"},"properties":{"noteIndex":0},"schema":"https://github.com/citation-style-language/schema/raw/master/csl-citation.json"}</w:instrText>
      </w:r>
      <w:r w:rsidR="00B3299C">
        <w:rPr>
          <w:rFonts w:ascii="Calibri Light" w:hAnsi="Calibri Light" w:cs="Calibri Light"/>
          <w:sz w:val="24"/>
          <w:szCs w:val="24"/>
        </w:rPr>
        <w:fldChar w:fldCharType="separate"/>
      </w:r>
      <w:r w:rsidR="00B3299C" w:rsidRPr="00907A29">
        <w:rPr>
          <w:rFonts w:ascii="Calibri Light" w:hAnsi="Calibri Light" w:cs="Calibri Light"/>
          <w:noProof/>
          <w:sz w:val="24"/>
          <w:szCs w:val="24"/>
        </w:rPr>
        <w:t>(Lankford et al., 2019)</w:t>
      </w:r>
      <w:r w:rsidR="00B3299C">
        <w:rPr>
          <w:rFonts w:ascii="Calibri Light" w:hAnsi="Calibri Light" w:cs="Calibri Light"/>
          <w:sz w:val="24"/>
          <w:szCs w:val="24"/>
        </w:rPr>
        <w:fldChar w:fldCharType="end"/>
      </w:r>
      <w:r w:rsidR="00B3299C" w:rsidRPr="00F57CA2">
        <w:rPr>
          <w:rFonts w:ascii="Calibri Light" w:hAnsi="Calibri Light" w:cs="Calibri Light"/>
          <w:sz w:val="24"/>
          <w:szCs w:val="24"/>
        </w:rPr>
        <w:t>.</w:t>
      </w:r>
    </w:p>
    <w:p w14:paraId="1910F18F" w14:textId="77777777" w:rsidR="00E97B1C" w:rsidRDefault="00902810" w:rsidP="00E97B1C">
      <w:pPr>
        <w:spacing w:before="120" w:after="120"/>
        <w:ind w:left="426"/>
        <w:jc w:val="both"/>
        <w:rPr>
          <w:rFonts w:ascii="Calibri Light" w:hAnsi="Calibri Light" w:cs="Calibri Light"/>
          <w:sz w:val="24"/>
          <w:szCs w:val="24"/>
        </w:rPr>
      </w:pPr>
      <w:r w:rsidRPr="00902810">
        <w:rPr>
          <w:rFonts w:ascii="Calibri Light" w:hAnsi="Calibri Light" w:cs="Calibri Light"/>
          <w:sz w:val="24"/>
          <w:szCs w:val="24"/>
        </w:rPr>
        <w:t xml:space="preserve">Establishing an effective and credible legal system requires a deeper integration of moral and religious ethics </w:t>
      </w:r>
      <w:r w:rsidR="00B3299C">
        <w:rPr>
          <w:rFonts w:ascii="Calibri Light" w:hAnsi="Calibri Light" w:cs="Calibri Light"/>
          <w:sz w:val="24"/>
          <w:szCs w:val="24"/>
        </w:rPr>
        <w:fldChar w:fldCharType="begin" w:fldLock="1"/>
      </w:r>
      <w:r w:rsidR="00B3299C">
        <w:rPr>
          <w:rFonts w:ascii="Calibri Light" w:hAnsi="Calibri Light" w:cs="Calibri Light"/>
          <w:sz w:val="24"/>
          <w:szCs w:val="24"/>
        </w:rPr>
        <w:instrText>ADDIN CSL_CITATION {"citationItems":[{"id":"ITEM-1","itemData":{"DOI":"10.24252/asma.v3i1.19046","ISSN":"2715-2820","abstract":"AbstrakKarakteristik nilai dasar dan moralitas kepemimpinan merupakan sebuah tolok ukur yang dapat mempengaruhi perilaku manusia dalam situasi tertentu. Jika dikaitkan dengan kepemimpinan, nilai dasar berarti tolok ukur yang mendasari perilaku seorang pemimpin dalam melaksanakan kepemimpinannya. Penelitian ini dilaksanakan untuk mengetahui karakteristik dari nilai dan moralitas kepemimpinan pendidikan Islam. Penelitian ini merupakan penelitian pustaka (library research) dengan berusaha mengumpulkan informasi kepustakaan, baik melalui catatan, berbagai buku, jurnal, maupun penelitian terdahulu. Berdasarkan analisis yang dilakukan dapat diketahui bahwa karakteristik kepemimpinan harus visioner agar dapat membawa orang-orang dan organisasi menjadi lebih maju dari sebelumnya. Bahkan tidak sekedar mengalami perkembangan tetapi juga dapat mempertahankan apa yang telah diraih sampai pada beberapa generasi. Pemimpin yang efektif adalah seorang yang sangat responsif, terhadap setiap persoalan, kebutuhan, harapan dan impian dari yang dipimpinnya. Jika dikaitkan dengan moralitas kepemimpinan Islam maka perbuatan seorang pemimpin yang dianggap baik dan benar, dari sisi agama mencerminkan akhlakul karimah dan dari sisi sosial mencerminkan tindakan yang beradab. Seorang pemimpin yang bermoral pasti memiliki akhlak yang baik (akhlakul karimah) dan tindakannya merupakan tindakan beradab yang dianggap baik dan benar oleh masyarakat pada umumnya. AbstractCharacteristics of basic values and leadership morality are benchmarks that can influence human behavior in certain situations. When associated with leadership, basic values mean the benchmarks that underlie the behavior of a leader in carrying out his leadership. This research was conducted to find out the characteristics of the values and morality of Islamic education leadership. This research is a library research by trying to collect library information, either through notes, various books, journals, or previous research. Based on the analysis done it can be known that the characteristics of leadership must be visionary in order to bring people and organizations to be more advanced than before. Even not only experiencing development but also being able to maintain what has been achieved through several generations. An effective leader is someone who is very responsive, to every problem, need, hope and dream of the person he leads. If it is related to the morality of Islamic leadership, the actions of a leader which a…","author":[{"dropping-particle":"","family":"Marjuni","given":"A.","non-dropping-particle":"","parse-names":false,"suffix":""}],"container-title":"Al asma : Journal of Islamic Education","id":"ITEM-1","issue":"1","issued":{"date-parts":[["2021"]]},"page":"1","title":"Karakteristik Nilai Dan Moralitas Kepemimpinan Pendidikan Islam","type":"article-journal","volume":"3"},"uris":["http://www.mendeley.com/documents/?uuid=bf2f54dc-181a-4f98-a43d-a9998537748e"]}],"mendeley":{"formattedCitation":"(Marjuni, 2021)","plainTextFormattedCitation":"(Marjuni, 2021)","previouslyFormattedCitation":"(Marjuni, 2021)"},"properties":{"noteIndex":0},"schema":"https://github.com/citation-style-language/schema/raw/master/csl-citation.json"}</w:instrText>
      </w:r>
      <w:r w:rsidR="00B3299C">
        <w:rPr>
          <w:rFonts w:ascii="Calibri Light" w:hAnsi="Calibri Light" w:cs="Calibri Light"/>
          <w:sz w:val="24"/>
          <w:szCs w:val="24"/>
        </w:rPr>
        <w:fldChar w:fldCharType="separate"/>
      </w:r>
      <w:r w:rsidR="00B3299C" w:rsidRPr="00907A29">
        <w:rPr>
          <w:rFonts w:ascii="Calibri Light" w:hAnsi="Calibri Light" w:cs="Calibri Light"/>
          <w:noProof/>
          <w:sz w:val="24"/>
          <w:szCs w:val="24"/>
        </w:rPr>
        <w:t>(Marjuni, 2021)</w:t>
      </w:r>
      <w:r w:rsidR="00B3299C">
        <w:rPr>
          <w:rFonts w:ascii="Calibri Light" w:hAnsi="Calibri Light" w:cs="Calibri Light"/>
          <w:sz w:val="24"/>
          <w:szCs w:val="24"/>
        </w:rPr>
        <w:fldChar w:fldCharType="end"/>
      </w:r>
      <w:r w:rsidR="00B3299C" w:rsidRPr="00F57CA2">
        <w:rPr>
          <w:rFonts w:ascii="Calibri Light" w:hAnsi="Calibri Light" w:cs="Calibri Light"/>
          <w:sz w:val="24"/>
          <w:szCs w:val="24"/>
        </w:rPr>
        <w:t xml:space="preserve">. </w:t>
      </w:r>
      <w:r w:rsidRPr="00902810">
        <w:rPr>
          <w:rFonts w:ascii="Calibri Light" w:hAnsi="Calibri Light" w:cs="Calibri Light"/>
          <w:sz w:val="24"/>
          <w:szCs w:val="24"/>
        </w:rPr>
        <w:t xml:space="preserve">Morality in law enforcement can be understood as a framework of principles guiding human actions in social life, rooted in values of justice, integrity, and moral responsibility toward others </w:t>
      </w:r>
      <w:r w:rsidR="00B3299C">
        <w:rPr>
          <w:rFonts w:ascii="Calibri Light" w:hAnsi="Calibri Light" w:cs="Calibri Light"/>
          <w:sz w:val="24"/>
          <w:szCs w:val="24"/>
        </w:rPr>
        <w:fldChar w:fldCharType="begin" w:fldLock="1"/>
      </w:r>
      <w:r w:rsidR="00B3299C">
        <w:rPr>
          <w:rFonts w:ascii="Calibri Light" w:hAnsi="Calibri Light" w:cs="Calibri Light"/>
          <w:sz w:val="24"/>
          <w:szCs w:val="24"/>
        </w:rPr>
        <w:instrText>ADDIN CSL_CITATION {"citationItems":[{"id":"ITEM-1","itemData":{"DOI":"10.4324/9781003380405","ISBN":"9781003380405","author":[{"dropping-particle":"","family":"Rosenberg","given":"Roni","non-dropping-particle":"","parse-names":false,"suffix":""}],"id":"ITEM-1","issued":{"date-parts":[["2024","7","31"]]},"publisher":"Routledge","publisher-place":"London","title":"Act and Omission in Criminal Law","type":"book"},"uris":["http://www.mendeley.com/documents/?uuid=b78eee33-3fcc-4270-94ce-d1949a074ee6"]}],"mendeley":{"formattedCitation":"(Rosenberg, 2024)","plainTextFormattedCitation":"(Rosenberg, 2024)","previouslyFormattedCitation":"(Rosenberg, 2024)"},"properties":{"noteIndex":0},"schema":"https://github.com/citation-style-language/schema/raw/master/csl-citation.json"}</w:instrText>
      </w:r>
      <w:r w:rsidR="00B3299C">
        <w:rPr>
          <w:rFonts w:ascii="Calibri Light" w:hAnsi="Calibri Light" w:cs="Calibri Light"/>
          <w:sz w:val="24"/>
          <w:szCs w:val="24"/>
        </w:rPr>
        <w:fldChar w:fldCharType="separate"/>
      </w:r>
      <w:r w:rsidR="00B3299C" w:rsidRPr="00907A29">
        <w:rPr>
          <w:rFonts w:ascii="Calibri Light" w:hAnsi="Calibri Light" w:cs="Calibri Light"/>
          <w:noProof/>
          <w:sz w:val="24"/>
          <w:szCs w:val="24"/>
        </w:rPr>
        <w:t>(Rosenberg, 2024)</w:t>
      </w:r>
      <w:r w:rsidR="00B3299C">
        <w:rPr>
          <w:rFonts w:ascii="Calibri Light" w:hAnsi="Calibri Light" w:cs="Calibri Light"/>
          <w:sz w:val="24"/>
          <w:szCs w:val="24"/>
        </w:rPr>
        <w:fldChar w:fldCharType="end"/>
      </w:r>
      <w:r w:rsidR="00B3299C" w:rsidRPr="00F57CA2">
        <w:rPr>
          <w:rFonts w:ascii="Calibri Light" w:hAnsi="Calibri Light" w:cs="Calibri Light"/>
          <w:sz w:val="24"/>
          <w:szCs w:val="24"/>
        </w:rPr>
        <w:t xml:space="preserve">. </w:t>
      </w:r>
      <w:r w:rsidRPr="00902810">
        <w:rPr>
          <w:rFonts w:ascii="Calibri Light" w:hAnsi="Calibri Light" w:cs="Calibri Light"/>
          <w:sz w:val="24"/>
          <w:szCs w:val="24"/>
        </w:rPr>
        <w:t>These ethical foundations are crucial in shaping legal practitioners who go beyond the mere technical application of laws and instead adhere to higher principles of justice, as upheld in religious teachings and universal ethical norms</w:t>
      </w:r>
      <w:r>
        <w:rPr>
          <w:rFonts w:ascii="Calibri Light" w:hAnsi="Calibri Light" w:cs="Calibri Light"/>
          <w:sz w:val="24"/>
          <w:szCs w:val="24"/>
        </w:rPr>
        <w:t xml:space="preserve"> </w:t>
      </w:r>
      <w:r w:rsidR="00B3299C">
        <w:rPr>
          <w:rFonts w:ascii="Calibri Light" w:hAnsi="Calibri Light" w:cs="Calibri Light"/>
          <w:sz w:val="24"/>
          <w:szCs w:val="24"/>
        </w:rPr>
        <w:fldChar w:fldCharType="begin" w:fldLock="1"/>
      </w:r>
      <w:r w:rsidR="00B3299C">
        <w:rPr>
          <w:rFonts w:ascii="Calibri Light" w:hAnsi="Calibri Light" w:cs="Calibri Light"/>
          <w:sz w:val="24"/>
          <w:szCs w:val="24"/>
        </w:rPr>
        <w:instrText>ADDIN CSL_CITATION {"citationItems":[{"id":"ITEM-1","itemData":{"DOI":"10.1038/s41587-020-0504-5","ISSN":"1087-0156","author":[{"dropping-particle":"","family":"Pila","given":"Justine","non-dropping-particle":"","parse-names":false,"suffix":""}],"container-title":"Nature Biotechnology","id":"ITEM-1","issue":"5","issued":{"date-parts":[["2020","5","11"]]},"page":"555-557","title":"Adapting the ordre public and morality exclusion of European patent law to accommodate emerging technologies","type":"article-journal","volume":"38"},"uris":["http://www.mendeley.com/documents/?uuid=72bacb2b-c0ad-47a5-b7d5-d3679c32ba55"]}],"mendeley":{"formattedCitation":"(Pila, 2020)","plainTextFormattedCitation":"(Pila, 2020)","previouslyFormattedCitation":"(Pila, 2020)"},"properties":{"noteIndex":0},"schema":"https://github.com/citation-style-language/schema/raw/master/csl-citation.json"}</w:instrText>
      </w:r>
      <w:r w:rsidR="00B3299C">
        <w:rPr>
          <w:rFonts w:ascii="Calibri Light" w:hAnsi="Calibri Light" w:cs="Calibri Light"/>
          <w:sz w:val="24"/>
          <w:szCs w:val="24"/>
        </w:rPr>
        <w:fldChar w:fldCharType="separate"/>
      </w:r>
      <w:r w:rsidR="00B3299C" w:rsidRPr="00907A29">
        <w:rPr>
          <w:rFonts w:ascii="Calibri Light" w:hAnsi="Calibri Light" w:cs="Calibri Light"/>
          <w:noProof/>
          <w:sz w:val="24"/>
          <w:szCs w:val="24"/>
        </w:rPr>
        <w:t>(Pila, 2020)</w:t>
      </w:r>
      <w:r w:rsidR="00B3299C">
        <w:rPr>
          <w:rFonts w:ascii="Calibri Light" w:hAnsi="Calibri Light" w:cs="Calibri Light"/>
          <w:sz w:val="24"/>
          <w:szCs w:val="24"/>
        </w:rPr>
        <w:fldChar w:fldCharType="end"/>
      </w:r>
      <w:r w:rsidR="00B3299C" w:rsidRPr="00F57CA2">
        <w:rPr>
          <w:rFonts w:ascii="Calibri Light" w:hAnsi="Calibri Light" w:cs="Calibri Light"/>
          <w:sz w:val="24"/>
          <w:szCs w:val="24"/>
        </w:rPr>
        <w:t>.</w:t>
      </w:r>
    </w:p>
    <w:p w14:paraId="3A0FC654" w14:textId="77777777" w:rsidR="00E97B1C" w:rsidRDefault="00902810" w:rsidP="00E97B1C">
      <w:pPr>
        <w:spacing w:before="120" w:after="120"/>
        <w:ind w:left="426"/>
        <w:jc w:val="both"/>
        <w:rPr>
          <w:rFonts w:ascii="Calibri Light" w:hAnsi="Calibri Light" w:cs="Calibri Light"/>
          <w:sz w:val="24"/>
          <w:szCs w:val="24"/>
        </w:rPr>
      </w:pPr>
      <w:r w:rsidRPr="00902810">
        <w:rPr>
          <w:rFonts w:ascii="Calibri Light" w:hAnsi="Calibri Light" w:cs="Calibri Light"/>
          <w:sz w:val="24"/>
          <w:szCs w:val="24"/>
        </w:rPr>
        <w:t>The moral crisis in Indonesia's law enforcement sector is evident in the lack of integrity and ethical accountability among legal officials. The prevalence of corruption and the misuse of authority suggest that law enforcement is often disconnected from a genuine sense of moral duty. Therefore, fostering strong moral character—reflected in honesty, fairness, and responsibility—is essential for developing legal officers capable of enforcing the law impartially and without personal or political bias</w:t>
      </w:r>
      <w:r w:rsidR="007C34CB">
        <w:rPr>
          <w:rFonts w:ascii="Calibri Light" w:hAnsi="Calibri Light" w:cs="Calibri Light"/>
          <w:sz w:val="24"/>
          <w:szCs w:val="24"/>
        </w:rPr>
        <w:t xml:space="preserve"> </w:t>
      </w:r>
      <w:r w:rsidR="00B3299C">
        <w:rPr>
          <w:rFonts w:ascii="Calibri Light" w:hAnsi="Calibri Light" w:cs="Calibri Light"/>
          <w:sz w:val="24"/>
          <w:szCs w:val="24"/>
        </w:rPr>
        <w:fldChar w:fldCharType="begin" w:fldLock="1"/>
      </w:r>
      <w:r w:rsidR="00B3299C">
        <w:rPr>
          <w:rFonts w:ascii="Calibri Light" w:hAnsi="Calibri Light" w:cs="Calibri Light"/>
          <w:sz w:val="24"/>
          <w:szCs w:val="24"/>
        </w:rPr>
        <w:instrText>ADDIN CSL_CITATION {"citationItems":[{"id":"ITEM-1","itemData":{"DOI":"10.1086/726206","ISSN":"0021-1753","author":[{"dropping-particle":"","family":"Luo","given":"Anin","non-dropping-particle":"","parse-names":false,"suffix":""}],"container-title":"Isis","id":"ITEM-1","issue":"3","issued":{"date-parts":[["2023","9","1"]]},"page":"490-512","title":"Animals, Film, Audiences: Regulating Cruelty and Morality through Science and Law in Interwar Britain","type":"article-journal","volume":"114"},"uris":["http://www.mendeley.com/documents/?uuid=f21da14d-fe40-4d6e-aad9-e9cd99cdfc1e"]}],"mendeley":{"formattedCitation":"(Luo, 2023)","plainTextFormattedCitation":"(Luo, 2023)","previouslyFormattedCitation":"(Luo, 2023)"},"properties":{"noteIndex":0},"schema":"https://github.com/citation-style-language/schema/raw/master/csl-citation.json"}</w:instrText>
      </w:r>
      <w:r w:rsidR="00B3299C">
        <w:rPr>
          <w:rFonts w:ascii="Calibri Light" w:hAnsi="Calibri Light" w:cs="Calibri Light"/>
          <w:sz w:val="24"/>
          <w:szCs w:val="24"/>
        </w:rPr>
        <w:fldChar w:fldCharType="separate"/>
      </w:r>
      <w:r w:rsidR="00B3299C" w:rsidRPr="00907A29">
        <w:rPr>
          <w:rFonts w:ascii="Calibri Light" w:hAnsi="Calibri Light" w:cs="Calibri Light"/>
          <w:noProof/>
          <w:sz w:val="24"/>
          <w:szCs w:val="24"/>
        </w:rPr>
        <w:t>(Luo, 2023)</w:t>
      </w:r>
      <w:r w:rsidR="00B3299C">
        <w:rPr>
          <w:rFonts w:ascii="Calibri Light" w:hAnsi="Calibri Light" w:cs="Calibri Light"/>
          <w:sz w:val="24"/>
          <w:szCs w:val="24"/>
        </w:rPr>
        <w:fldChar w:fldCharType="end"/>
      </w:r>
      <w:r w:rsidR="00B3299C" w:rsidRPr="00F57CA2">
        <w:rPr>
          <w:rFonts w:ascii="Calibri Light" w:hAnsi="Calibri Light" w:cs="Calibri Light"/>
          <w:sz w:val="24"/>
          <w:szCs w:val="24"/>
        </w:rPr>
        <w:t>.</w:t>
      </w:r>
    </w:p>
    <w:p w14:paraId="0A385405" w14:textId="77777777" w:rsidR="00E97B1C" w:rsidRDefault="00E97B1C" w:rsidP="00E97B1C">
      <w:pPr>
        <w:spacing w:before="120" w:after="120"/>
        <w:ind w:left="426"/>
        <w:jc w:val="both"/>
        <w:rPr>
          <w:rFonts w:ascii="Calibri Light" w:hAnsi="Calibri Light" w:cs="Calibri Light"/>
          <w:sz w:val="24"/>
          <w:szCs w:val="24"/>
        </w:rPr>
      </w:pPr>
      <w:r w:rsidRPr="00E97B1C">
        <w:rPr>
          <w:rFonts w:ascii="Calibri Light" w:hAnsi="Calibri Light" w:cs="Calibri Light"/>
          <w:sz w:val="24"/>
          <w:szCs w:val="24"/>
        </w:rPr>
        <w:t xml:space="preserve">Religious ethics, derived from religious teachings, play a significant role in law enforcement. In Indonesia, where religion holds a central place in society, teachings that </w:t>
      </w:r>
      <w:r w:rsidRPr="00E97B1C">
        <w:rPr>
          <w:rFonts w:ascii="Calibri Light" w:hAnsi="Calibri Light" w:cs="Calibri Light"/>
          <w:sz w:val="24"/>
          <w:szCs w:val="24"/>
        </w:rPr>
        <w:lastRenderedPageBreak/>
        <w:t>emphasize justice, honesty, and moral responsibility are highly relevant to both social life and the legal system. For instance, Islamic principles uphold justice and honesty as fundamental values that must be practiced by all individuals, including legal officials. Similarly, Christian teachings on "loving one's neighbor as oneself" promote fair treatment of others, which aligns closely with the principles of law enforcement</w:t>
      </w:r>
      <w:r>
        <w:rPr>
          <w:rFonts w:ascii="Calibri Light" w:hAnsi="Calibri Light" w:cs="Calibri Light"/>
          <w:sz w:val="24"/>
          <w:szCs w:val="24"/>
        </w:rPr>
        <w:t xml:space="preserve"> </w:t>
      </w:r>
      <w:r w:rsidR="00B3299C">
        <w:rPr>
          <w:rFonts w:ascii="Calibri Light" w:hAnsi="Calibri Light" w:cs="Calibri Light"/>
          <w:sz w:val="24"/>
          <w:szCs w:val="24"/>
        </w:rPr>
        <w:fldChar w:fldCharType="begin" w:fldLock="1"/>
      </w:r>
      <w:r w:rsidR="00B3299C">
        <w:rPr>
          <w:rFonts w:ascii="Calibri Light" w:hAnsi="Calibri Light" w:cs="Calibri Light"/>
          <w:sz w:val="24"/>
          <w:szCs w:val="24"/>
        </w:rPr>
        <w:instrText>ADDIN CSL_CITATION {"citationItems":[{"id":"ITEM-1","itemData":{"DOI":"10.59388/sscij.v2i1.433","ISSN":"3030-914X","abstract":"This research discusses \"Islamic Guidance Counseling using the Al-hikmah Method to Improve Adolescent Morality\". This research aims to improve adolescent morality and find out Islamic counseling guidance using the al-hikmah method to improve adolescent morality. This type of research is field research with a descriptive approach. Data collection tools include interviews, observation and documentation. Meanwhile, data analysis techniques are data reduction, data presentation, and conclusions or verification. The subjects of this research were 12 teenagers aged 12-15 years, heads and supervisors of the Islamic Youth Family at the An-Nashiriin Mosque. The results of this research show that adolescent morality can be seen from their lack of respect and courtesy, their inability to control themselves, and their inability to get used to behaving well in accordance with moral values. After carrying out the Islamic counseling guidance process in 5 meetings. The stages of Islamic counseling guidance using the al-hikmah method to improve adolescent morality are using the initial stage, transition stage, activity stage, and final stage. So that the results obtained are that teenagers are able to be obedient and respectful towards other people, able to communicate well, able to control themselves, and able to get used to behaving well in accordance with moral values and reducing bad behavior towards other people.","author":[{"dropping-particle":"","family":"Fitri Yani","given":"Anggi","non-dropping-particle":"","parse-names":false,"suffix":""},{"dropping-particle":"","family":"Kusnadi","given":"Kusnadi","non-dropping-particle":"","parse-names":false,"suffix":""},{"dropping-particle":"","family":"Assoboru","given":"Selvia","non-dropping-particle":"","parse-names":false,"suffix":""}],"container-title":"Social Science and Contemporary Issues Journal","id":"ITEM-1","issue":"1","issued":{"date-parts":[["2024","3","12"]]},"page":"89-96","title":"Bimbingan Konseling Islam Dengan Metode Al-Hikmah Untuk Memperbaiki Moralitas Remaja","type":"article-journal","volume":"2"},"uris":["http://www.mendeley.com/documents/?uuid=e1c0ca63-43a8-43ef-a3a4-f5d10a7d083a"]}],"mendeley":{"formattedCitation":"(Fitri Yani et al., 2024)","plainTextFormattedCitation":"(Fitri Yani et al., 2024)","previouslyFormattedCitation":"(Fitri Yani et al., 2024)"},"properties":{"noteIndex":0},"schema":"https://github.com/citation-style-language/schema/raw/master/csl-citation.json"}</w:instrText>
      </w:r>
      <w:r w:rsidR="00B3299C">
        <w:rPr>
          <w:rFonts w:ascii="Calibri Light" w:hAnsi="Calibri Light" w:cs="Calibri Light"/>
          <w:sz w:val="24"/>
          <w:szCs w:val="24"/>
        </w:rPr>
        <w:fldChar w:fldCharType="separate"/>
      </w:r>
      <w:r w:rsidR="00B3299C" w:rsidRPr="00907A29">
        <w:rPr>
          <w:rFonts w:ascii="Calibri Light" w:hAnsi="Calibri Light" w:cs="Calibri Light"/>
          <w:noProof/>
          <w:sz w:val="24"/>
          <w:szCs w:val="24"/>
        </w:rPr>
        <w:t>(Fitri Yani et al., 2024)</w:t>
      </w:r>
      <w:r w:rsidR="00B3299C">
        <w:rPr>
          <w:rFonts w:ascii="Calibri Light" w:hAnsi="Calibri Light" w:cs="Calibri Light"/>
          <w:sz w:val="24"/>
          <w:szCs w:val="24"/>
        </w:rPr>
        <w:fldChar w:fldCharType="end"/>
      </w:r>
      <w:r w:rsidR="00B3299C" w:rsidRPr="00F57CA2">
        <w:rPr>
          <w:rFonts w:ascii="Calibri Light" w:hAnsi="Calibri Light" w:cs="Calibri Light"/>
          <w:sz w:val="24"/>
          <w:szCs w:val="24"/>
        </w:rPr>
        <w:t>.</w:t>
      </w:r>
    </w:p>
    <w:p w14:paraId="2DFBEC94" w14:textId="77777777" w:rsidR="00E97B1C" w:rsidRDefault="00E97B1C" w:rsidP="00E97B1C">
      <w:pPr>
        <w:spacing w:before="120" w:after="120"/>
        <w:ind w:left="426"/>
        <w:jc w:val="both"/>
        <w:rPr>
          <w:rFonts w:ascii="Calibri Light" w:hAnsi="Calibri Light" w:cs="Calibri Light"/>
          <w:sz w:val="24"/>
          <w:szCs w:val="24"/>
        </w:rPr>
      </w:pPr>
      <w:r w:rsidRPr="00E97B1C">
        <w:rPr>
          <w:rFonts w:ascii="Calibri Light" w:hAnsi="Calibri Light" w:cs="Calibri Light"/>
          <w:sz w:val="24"/>
          <w:szCs w:val="24"/>
        </w:rPr>
        <w:t xml:space="preserve">The incorporation of religious ethics in Indonesia’s legal system is crucial, as these values hold great significance for the majority of the population. Religious ethics can help shape law enforcement officers into fair and transparent professionals, ensuring that the law is not merely a means of maintaining social order but also a tool for upholding justice based on universal moral and ethical principles </w:t>
      </w:r>
      <w:r w:rsidR="00B3299C">
        <w:rPr>
          <w:rFonts w:ascii="Calibri Light" w:hAnsi="Calibri Light" w:cs="Calibri Light"/>
          <w:sz w:val="24"/>
          <w:szCs w:val="24"/>
        </w:rPr>
        <w:fldChar w:fldCharType="begin" w:fldLock="1"/>
      </w:r>
      <w:r w:rsidR="00B3299C">
        <w:rPr>
          <w:rFonts w:ascii="Calibri Light" w:hAnsi="Calibri Light" w:cs="Calibri Light"/>
          <w:sz w:val="24"/>
          <w:szCs w:val="24"/>
        </w:rPr>
        <w:instrText>ADDIN CSL_CITATION {"citationItems":[{"id":"ITEM-1","itemData":{"abstract":"… bersamaan terhadap kehidupan bermasyarakat. Kemajuan teknologi yang bersamaan dengan pengaruh globalisasi membawa perubahan yang cukup signifikan terhadap seluruh …","author":[{"dropping-particle":"","family":"Yanita","given":"Kezia Varda","non-dropping-particle":"","parse-names":false,"suffix":""},{"dropping-particle":"","family":"Fortuna","given":"Ajeng Regina","non-dropping-particle":"","parse-names":false,"suffix":""},{"dropping-particle":"","family":"Gayatri","given":"Ayunindya Lintang","non-dropping-particle":"","parse-names":false,"suffix":""},{"dropping-particle":"","family":"Frizylia","given":"Deva Vera","non-dropping-particle":"","parse-names":false,"suffix":""},{"dropping-particle":"","family":"Noor","given":"Adithia Muhammad","non-dropping-particle":"","parse-names":false,"suffix":""}],"container-title":"At-Tabayyun: Journal Islamic Studies","id":"ITEM-1","issue":"1","issued":{"date-parts":[["2022"]]},"page":"9-20","title":"Islam dan Globalisasi: Antara Moralitas dan Aktualitas di Era Society","type":"article-journal","volume":"1"},"uris":["http://www.mendeley.com/documents/?uuid=b483c702-05ec-4f9e-8fcb-41b0a4ea4e1d"]}],"mendeley":{"formattedCitation":"(Yanita et al., 2022)","plainTextFormattedCitation":"(Yanita et al., 2022)","previouslyFormattedCitation":"(Yanita et al., 2022)"},"properties":{"noteIndex":0},"schema":"https://github.com/citation-style-language/schema/raw/master/csl-citation.json"}</w:instrText>
      </w:r>
      <w:r w:rsidR="00B3299C">
        <w:rPr>
          <w:rFonts w:ascii="Calibri Light" w:hAnsi="Calibri Light" w:cs="Calibri Light"/>
          <w:sz w:val="24"/>
          <w:szCs w:val="24"/>
        </w:rPr>
        <w:fldChar w:fldCharType="separate"/>
      </w:r>
      <w:r w:rsidR="00B3299C" w:rsidRPr="0089087E">
        <w:rPr>
          <w:rFonts w:ascii="Calibri Light" w:hAnsi="Calibri Light" w:cs="Calibri Light"/>
          <w:noProof/>
          <w:sz w:val="24"/>
          <w:szCs w:val="24"/>
        </w:rPr>
        <w:t>(Yanita et al., 2022)</w:t>
      </w:r>
      <w:r w:rsidR="00B3299C">
        <w:rPr>
          <w:rFonts w:ascii="Calibri Light" w:hAnsi="Calibri Light" w:cs="Calibri Light"/>
          <w:sz w:val="24"/>
          <w:szCs w:val="24"/>
        </w:rPr>
        <w:fldChar w:fldCharType="end"/>
      </w:r>
      <w:r w:rsidR="00B3299C" w:rsidRPr="00F57CA2">
        <w:rPr>
          <w:rFonts w:ascii="Calibri Light" w:hAnsi="Calibri Light" w:cs="Calibri Light"/>
          <w:sz w:val="24"/>
          <w:szCs w:val="24"/>
        </w:rPr>
        <w:t>.</w:t>
      </w:r>
    </w:p>
    <w:p w14:paraId="34AFBC6A" w14:textId="77777777" w:rsidR="00B3299C" w:rsidRDefault="00E97B1C" w:rsidP="00E97B1C">
      <w:pPr>
        <w:spacing w:before="120" w:after="120"/>
        <w:ind w:left="426"/>
        <w:jc w:val="both"/>
        <w:rPr>
          <w:rFonts w:ascii="Calibri Light" w:hAnsi="Calibri Light" w:cs="Calibri Light"/>
          <w:sz w:val="24"/>
          <w:szCs w:val="24"/>
        </w:rPr>
      </w:pPr>
      <w:r w:rsidRPr="00E97B1C">
        <w:rPr>
          <w:rFonts w:ascii="Calibri Light" w:hAnsi="Calibri Light" w:cs="Calibri Light"/>
          <w:sz w:val="24"/>
          <w:szCs w:val="24"/>
        </w:rPr>
        <w:t>By integrating morality and religious ethics into Indonesia’s legal framework, the nation can establish a solid foundation for strengthening integrity and public trust in the legal system. Law enforcement guided by these values can serve as an effective solution to address the current crisis in Indonesia’s legal system.</w:t>
      </w:r>
      <w:r w:rsidR="007C34CB">
        <w:rPr>
          <w:rFonts w:ascii="Calibri Light" w:hAnsi="Calibri Light" w:cs="Calibri Light"/>
          <w:sz w:val="24"/>
          <w:szCs w:val="24"/>
        </w:rPr>
        <w:t xml:space="preserve"> </w:t>
      </w:r>
      <w:r w:rsidRPr="00E97B1C">
        <w:rPr>
          <w:rFonts w:ascii="Calibri Light" w:hAnsi="Calibri Light" w:cs="Calibri Light"/>
          <w:sz w:val="24"/>
          <w:szCs w:val="24"/>
        </w:rPr>
        <w:t>This article explores law enforcement in Indonesia from the perspective of morality and religious ethics while proposing solutions rooted in religious values to develop a fair and dignified legal system. The findings of this research are expected to contribute both theoretically and practically by encouraging legal reforms that go beyond structural improvements, focusing instead on enhancing morality and ethical integrity.</w:t>
      </w:r>
    </w:p>
    <w:p w14:paraId="54DBEF65" w14:textId="77777777" w:rsidR="00622BCC" w:rsidRPr="0089087E" w:rsidRDefault="00622BCC" w:rsidP="00622BCC">
      <w:pPr>
        <w:pStyle w:val="ListParagraph"/>
        <w:spacing w:before="120" w:after="120" w:line="240" w:lineRule="auto"/>
        <w:ind w:left="440" w:right="-1" w:firstLine="677"/>
        <w:contextualSpacing w:val="0"/>
        <w:jc w:val="both"/>
        <w:rPr>
          <w:rFonts w:ascii="Calibri Light" w:hAnsi="Calibri Light" w:cs="Calibri Light"/>
          <w:sz w:val="24"/>
          <w:szCs w:val="24"/>
        </w:rPr>
      </w:pPr>
    </w:p>
    <w:p w14:paraId="147BDB13" w14:textId="77777777" w:rsidR="00B3299C" w:rsidRPr="00122F5F" w:rsidRDefault="00B3299C" w:rsidP="00B3299C">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r w:rsidRPr="00122F5F">
        <w:rPr>
          <w:rFonts w:ascii="Calibri Light" w:hAnsi="Calibri Light" w:cs="Calibri Light"/>
          <w:b/>
          <w:sz w:val="24"/>
          <w:szCs w:val="24"/>
        </w:rPr>
        <w:t xml:space="preserve"> </w:t>
      </w:r>
    </w:p>
    <w:p w14:paraId="6E901229" w14:textId="77777777" w:rsidR="00B3299C" w:rsidRDefault="00B3299C" w:rsidP="00B3299C">
      <w:pPr>
        <w:spacing w:before="120" w:after="120"/>
        <w:ind w:left="426"/>
        <w:jc w:val="both"/>
        <w:rPr>
          <w:rFonts w:ascii="Calibri Light" w:hAnsi="Calibri Light" w:cs="Calibri Light"/>
          <w:sz w:val="24"/>
          <w:szCs w:val="24"/>
        </w:rPr>
      </w:pPr>
      <w:r w:rsidRPr="00771D88">
        <w:rPr>
          <w:rFonts w:ascii="Calibri Light" w:hAnsi="Calibri Light" w:cs="Calibri Light"/>
          <w:sz w:val="24"/>
          <w:szCs w:val="24"/>
        </w:rPr>
        <w:t>This study uses a normative-qualitative method with a morality and religious ethics approach. The purpose of this study is to analyse the crisis of law enforcement in Indonesia from the perspective of universal moral values and relevant religious ethical teachings. This method was chosen because it is able to increase understanding of how law, morality and religiosity interact in an effort to build a dignified and just legal system</w:t>
      </w:r>
      <w:r w:rsidR="00902810">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{"citationItems":[{"id":"ITEM-1","itemData":{"abstract":"Pemicu reformasi tahun 1998 salah satu karena hukum tidak menampakkan perannya untuk mewujudkan keadilan ditengah masyarakat, setelah 22 tahun Indonesia menjalani era reformasi kondisi hukum dirasakan tidak jauh berbeda, sudah sangat banyak norma hukum yang dianggap tidak sesuai dengan hak asasi manusia dan keadilan, akan tetapi kenyataannya kondisi hukum Indonesia juga tidak jauh berubah. Rumusan masalah yang akan dibahas mengenai penegakkan hukum, etika dan moralitas aparatur penegak hukum. Metode penelitian normatif empiris dengan bahan hukum berasal dari peraturan perundang-undangan serta karya ilmiah lainya sesuai dengan permasalahan. Berdasarkan pembahasan, hasil penelitian menemukan terjadinya krisis multidimensional sehingga ketidakmampuan hukum menampakkan eksistensinya ditengah kehidupan sosial masyarakat, hal ini disebabkan belum kapabelnya sebahagian besar penegak aparatur hukum terutama dari aspek etika dan moralitas. Oleh karena itu tidak ada upaya lain yang bisa dilakukan untuk mewujudkan hukum sebagai ―panglima‖ di negara hukum Indonesia kecuali dengan membenahi etika dan moralitas aparatur penegak hukum selain pembenahan norma hukumnya.","author":[{"dropping-particle":"","family":"Miswardi","given":"","non-dropping-particle":"","parse-names":false,"suffix":""},{"dropping-particle":"","family":"Nasfi","given":"","non-dropping-particle":"","parse-names":false,"suffix":""},{"dropping-particle":"","family":"Antoni","given":"","non-dropping-particle":"","parse-names":false,"suffix":""}],"container-title":"Menara Ilmu","id":"ITEM-1","issue":"2","issued":{"date-parts":[["2021"]]},"page":"26","title":"Etika, Moralitas Dan Penegak Hukum","type":"article-journal","volume":"15"},"uris":["http://www.mendeley.com/documents/?uuid=1ee205ae-baf2-4d53-9651-57b344225218"]}],"mendeley":{"formattedCitation":"(Miswardi et al., 2021)","plainTextFormattedCitation":"(Miswardi et al., 2021)","previouslyFormattedCitation":"(Miswardi et al., 2021)"},"properties":{"noteIndex":0},"schema":"https://github.com/citation-style-language/schema/raw/master/csl-citation.json"}</w:instrText>
      </w:r>
      <w:r>
        <w:rPr>
          <w:rFonts w:ascii="Calibri Light" w:hAnsi="Calibri Light" w:cs="Calibri Light"/>
          <w:sz w:val="24"/>
          <w:szCs w:val="24"/>
        </w:rPr>
        <w:fldChar w:fldCharType="separate"/>
      </w:r>
      <w:r w:rsidRPr="00771D88">
        <w:rPr>
          <w:rFonts w:ascii="Calibri Light" w:hAnsi="Calibri Light" w:cs="Calibri Light"/>
          <w:noProof/>
          <w:sz w:val="24"/>
          <w:szCs w:val="24"/>
        </w:rPr>
        <w:t>(Miswardi et al., 2021)</w:t>
      </w:r>
      <w:r>
        <w:rPr>
          <w:rFonts w:ascii="Calibri Light" w:hAnsi="Calibri Light" w:cs="Calibri Light"/>
          <w:sz w:val="24"/>
          <w:szCs w:val="24"/>
        </w:rPr>
        <w:fldChar w:fldCharType="end"/>
      </w:r>
      <w:r>
        <w:rPr>
          <w:rFonts w:ascii="Calibri Light" w:hAnsi="Calibri Light" w:cs="Calibri Light"/>
          <w:sz w:val="24"/>
          <w:szCs w:val="24"/>
        </w:rPr>
        <w:t>.</w:t>
      </w:r>
    </w:p>
    <w:p w14:paraId="281599D2" w14:textId="77777777" w:rsidR="00B3299C" w:rsidRDefault="00B3299C" w:rsidP="00B3299C">
      <w:pPr>
        <w:spacing w:before="120" w:after="120"/>
        <w:ind w:left="426"/>
        <w:jc w:val="both"/>
        <w:rPr>
          <w:rFonts w:ascii="Calibri Light" w:hAnsi="Calibri Light" w:cs="Calibri Light"/>
          <w:sz w:val="24"/>
          <w:szCs w:val="24"/>
        </w:rPr>
      </w:pPr>
      <w:r w:rsidRPr="00771D88">
        <w:rPr>
          <w:rFonts w:ascii="Calibri Light" w:hAnsi="Calibri Light" w:cs="Calibri Light"/>
          <w:sz w:val="24"/>
          <w:szCs w:val="24"/>
        </w:rPr>
        <w:t>In addition, data collection was conducted through desk studies and case documentation. The desk study included analyses of relevant laws, such as the Criminal Code and laws governing law enforcement agencies, as well as literature on theories of morality, religious ethics, and the concept of justice. Case documentation was used to explore real cases of corruption, abuse of power, and legal discrimination that reflected the decadence of morality among law enforcement officials</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{"citationItems":[{"id":"ITEM-1","itemData":{"DOI":"10.24246/jrh.2019.v3.i2.p145-160","ISSN":"2541-4984","abstract":"The aim of this study is to determine the legal protection of consumer data security in Indonesia Fintech business based on the Financial Service Authority (Otoritas Jasa Keuangan-OJK) Regulation and other related ordinance. The approach method used in this study is normative juridical. The study result explains that the parties of Fintech business consist of Fintech organizer (producer) and Fintech user (consumer). The relation among the parties is created due to an electronic contract. Basically, the protection of Fintech consumer personal data is regulated in Communication and Information Minister Regulation, Bank Indonesia Regulation, and Financial Service Authority Regulation. In addition, the protection of data was regulated in the Financial Service Authority Circular Letter.","author":[{"dropping-particle":"","family":"Benuf","given":"Kornelius","non-dropping-particle":"","parse-names":false,"suffix":""},{"dropping-particle":"","family":"Mahmudah","given":"Siti","non-dropping-particle":"","parse-names":false,"suffix":""},{"dropping-particle":"","family":"Priyono","given":"Ery Agus","non-dropping-particle":"","parse-names":false,"suffix":""}],"container-title":"Refleksi Hukum: Jurnal Ilmu Hukum","id":"ITEM-1","issue":"2","issued":{"date-parts":[["2019"]]},"page":"145-160","title":"Perlindungan Hukum Terhadap Keamanan Data Konsumen Financial Technology Di Indonesia","type":"article-journal","volume":"3"},"uris":["http://www.mendeley.com/documents/?uuid=b96fe8bf-c055-42de-8d2c-3f508bd327a6"]}],"mendeley":{"formattedCitation":"(Benuf et al., 2019)","plainTextFormattedCitation":"(Benuf et al., 2019)","previouslyFormattedCitation":"(Benuf et al., 2019)"},"properties":{"noteIndex":0},"schema":"https://github.com/citation-style-language/schema/raw/master/csl-citation.json"}</w:instrText>
      </w:r>
      <w:r>
        <w:rPr>
          <w:rFonts w:ascii="Calibri Light" w:hAnsi="Calibri Light" w:cs="Calibri Light"/>
          <w:sz w:val="24"/>
          <w:szCs w:val="24"/>
        </w:rPr>
        <w:fldChar w:fldCharType="separate"/>
      </w:r>
      <w:r w:rsidRPr="00771D88">
        <w:rPr>
          <w:rFonts w:ascii="Calibri Light" w:hAnsi="Calibri Light" w:cs="Calibri Light"/>
          <w:noProof/>
          <w:sz w:val="24"/>
          <w:szCs w:val="24"/>
        </w:rPr>
        <w:t>(Benuf et al., 2019)</w:t>
      </w:r>
      <w:r>
        <w:rPr>
          <w:rFonts w:ascii="Calibri Light" w:hAnsi="Calibri Light" w:cs="Calibri Light"/>
          <w:sz w:val="24"/>
          <w:szCs w:val="24"/>
        </w:rPr>
        <w:fldChar w:fldCharType="end"/>
      </w:r>
      <w:r>
        <w:rPr>
          <w:rFonts w:ascii="Calibri Light" w:hAnsi="Calibri Light" w:cs="Calibri Light"/>
          <w:sz w:val="24"/>
          <w:szCs w:val="24"/>
        </w:rPr>
        <w:t>.</w:t>
      </w:r>
    </w:p>
    <w:p w14:paraId="5FBAC88E" w14:textId="77777777" w:rsidR="00B3299C" w:rsidRDefault="00B3299C" w:rsidP="00B3299C">
      <w:pPr>
        <w:spacing w:before="120" w:after="120"/>
        <w:ind w:left="426"/>
        <w:jc w:val="both"/>
        <w:rPr>
          <w:rFonts w:ascii="Calibri Light" w:hAnsi="Calibri Light" w:cs="Calibri Light"/>
          <w:sz w:val="24"/>
          <w:szCs w:val="24"/>
        </w:rPr>
      </w:pPr>
      <w:r w:rsidRPr="000D5709">
        <w:rPr>
          <w:rFonts w:ascii="Calibri Light" w:hAnsi="Calibri Light" w:cs="Calibri Light"/>
          <w:sz w:val="24"/>
          <w:szCs w:val="24"/>
        </w:rPr>
        <w:t>Conceptual analysis is used to understand theories of morality and religious ethics in the legal context, as well as their relationship with law enforcement. Next, critical analysis was used to evaluate current legal policies and find reasons why law enforcement faces moral problems. Finally, quantitative interpretation is used to interpret the data according to the researcher's underlying morality and religious principles</w:t>
      </w:r>
      <w:r>
        <w:rPr>
          <w:rFonts w:ascii="Calibri Light" w:hAnsi="Calibri Light" w:cs="Calibri Light"/>
          <w:sz w:val="24"/>
          <w:szCs w:val="24"/>
        </w:rPr>
        <w:t>.</w:t>
      </w:r>
    </w:p>
    <w:p w14:paraId="1BACE36D" w14:textId="77777777" w:rsidR="00B3299C" w:rsidRDefault="00B3299C" w:rsidP="00B3299C">
      <w:pPr>
        <w:spacing w:before="120" w:after="120"/>
        <w:ind w:left="426"/>
        <w:jc w:val="both"/>
        <w:rPr>
          <w:rFonts w:ascii="Calibri Light" w:hAnsi="Calibri Light" w:cs="Calibri Light"/>
          <w:sz w:val="24"/>
          <w:szCs w:val="24"/>
        </w:rPr>
      </w:pPr>
      <w:r w:rsidRPr="000D5709">
        <w:rPr>
          <w:rFonts w:ascii="Calibri Light" w:hAnsi="Calibri Light" w:cs="Calibri Light"/>
          <w:sz w:val="24"/>
          <w:szCs w:val="24"/>
        </w:rPr>
        <w:t xml:space="preserve">With this method, the research is expected to offer solutions based on morality and religious ethics to improve Indonesia's law enforcement system. These solutions include the implementation of faith-based moral education for legal officers, legal policy reforms </w:t>
      </w:r>
      <w:r w:rsidRPr="000D5709">
        <w:rPr>
          <w:rFonts w:ascii="Calibri Light" w:hAnsi="Calibri Light" w:cs="Calibri Light"/>
          <w:sz w:val="24"/>
          <w:szCs w:val="24"/>
        </w:rPr>
        <w:lastRenderedPageBreak/>
        <w:t>that follow religious values, and community empowerment for ethical legal supervision. Therefore, this research can provide benefits both theoretically and practically in the process of building a legal system that is more just, dignified, and based on noble human values</w:t>
      </w:r>
      <w:r>
        <w:rPr>
          <w:rFonts w:ascii="Calibri Light" w:hAnsi="Calibri Light" w:cs="Calibri Light"/>
          <w:sz w:val="24"/>
          <w:szCs w:val="24"/>
        </w:rPr>
        <w:t>.</w:t>
      </w:r>
    </w:p>
    <w:p w14:paraId="529D9F65" w14:textId="77777777" w:rsidR="00622BCC" w:rsidRPr="000D5709" w:rsidRDefault="00622BCC" w:rsidP="00622BCC">
      <w:pPr>
        <w:pStyle w:val="ListParagraph"/>
        <w:spacing w:before="120" w:after="120" w:line="240" w:lineRule="auto"/>
        <w:ind w:left="440" w:right="-1" w:firstLine="677"/>
        <w:contextualSpacing w:val="0"/>
        <w:jc w:val="both"/>
        <w:rPr>
          <w:rFonts w:ascii="Calibri Light" w:hAnsi="Calibri Light" w:cs="Calibri Light"/>
          <w:sz w:val="24"/>
          <w:szCs w:val="24"/>
        </w:rPr>
      </w:pPr>
    </w:p>
    <w:p w14:paraId="03F8B485" w14:textId="77777777" w:rsidR="00B3299C" w:rsidRPr="00122F5F" w:rsidRDefault="00B3299C" w:rsidP="00B3299C">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Pr="00122F5F">
        <w:rPr>
          <w:rFonts w:ascii="Calibri Light" w:hAnsi="Calibri Light" w:cs="Calibri Light"/>
          <w:b/>
          <w:sz w:val="24"/>
          <w:szCs w:val="24"/>
        </w:rPr>
        <w:t>II</w:t>
      </w:r>
      <w:r w:rsidRPr="00122F5F">
        <w:rPr>
          <w:rFonts w:ascii="Calibri Light" w:hAnsi="Calibri Light" w:cs="Calibri Light"/>
          <w:b/>
          <w:sz w:val="24"/>
          <w:szCs w:val="24"/>
          <w:lang w:val="id-ID"/>
        </w:rPr>
        <w:t>.  RESULT AND DISCUSSION</w:t>
      </w:r>
    </w:p>
    <w:p w14:paraId="77320916" w14:textId="77777777" w:rsidR="00B3299C" w:rsidRDefault="00B3299C" w:rsidP="00B3299C">
      <w:pPr>
        <w:spacing w:before="120" w:after="120"/>
        <w:ind w:left="440" w:right="-1" w:hanging="14"/>
        <w:jc w:val="both"/>
        <w:rPr>
          <w:rFonts w:ascii="Calibri Light" w:hAnsi="Calibri Light" w:cs="Calibri Light"/>
          <w:b/>
          <w:bCs/>
          <w:sz w:val="24"/>
          <w:szCs w:val="24"/>
        </w:rPr>
      </w:pPr>
      <w:r w:rsidRPr="0089087E">
        <w:rPr>
          <w:rFonts w:ascii="Calibri Light" w:hAnsi="Calibri Light" w:cs="Calibri Light"/>
          <w:b/>
          <w:bCs/>
          <w:sz w:val="24"/>
          <w:szCs w:val="24"/>
        </w:rPr>
        <w:t>Decadence of Law Enforcement in Indonesia</w:t>
      </w:r>
    </w:p>
    <w:p w14:paraId="559388BA" w14:textId="77777777" w:rsidR="00B3299C" w:rsidRDefault="003F5A80" w:rsidP="00B3299C">
      <w:pPr>
        <w:spacing w:before="120" w:after="120"/>
        <w:ind w:left="440" w:right="-1" w:hanging="14"/>
        <w:jc w:val="both"/>
        <w:rPr>
          <w:rFonts w:ascii="Calibri Light" w:hAnsi="Calibri Light" w:cs="Calibri Light"/>
          <w:sz w:val="24"/>
          <w:szCs w:val="24"/>
          <w:lang w:val="id-ID"/>
        </w:rPr>
      </w:pPr>
      <w:r w:rsidRPr="003F5A80">
        <w:rPr>
          <w:rFonts w:ascii="Calibri Light" w:hAnsi="Calibri Light" w:cs="Calibri Light"/>
          <w:sz w:val="24"/>
          <w:szCs w:val="24"/>
          <w:lang w:val="id-ID"/>
        </w:rPr>
        <w:t>The deterioration of Indonesia’s legal system is evident in both procedural shortcomings and deviations from fundamental principles of justice, which should serve as the foundation of law enforcement. This decline highlights the gap between public expectations and the reality of legal practice. Various structural, cultural, and moral issues contribute to this crisis within the Indonesian legal system</w:t>
      </w:r>
      <w:r>
        <w:rPr>
          <w:rFonts w:ascii="Calibri Light" w:hAnsi="Calibri Light" w:cs="Calibri Light"/>
          <w:sz w:val="24"/>
          <w:szCs w:val="24"/>
          <w:lang w:val="id-ID"/>
        </w:rPr>
        <w:t xml:space="preserve"> </w:t>
      </w:r>
      <w:r w:rsidR="00B3299C">
        <w:rPr>
          <w:rFonts w:ascii="Calibri Light" w:hAnsi="Calibri Light" w:cs="Calibri Light"/>
          <w:sz w:val="24"/>
          <w:szCs w:val="24"/>
          <w:lang w:val="id-ID"/>
        </w:rPr>
        <w:fldChar w:fldCharType="begin" w:fldLock="1"/>
      </w:r>
      <w:r w:rsidR="00B3299C">
        <w:rPr>
          <w:rFonts w:ascii="Calibri Light" w:hAnsi="Calibri Light" w:cs="Calibri Light"/>
          <w:sz w:val="24"/>
          <w:szCs w:val="24"/>
          <w:lang w:val="id-ID"/>
        </w:rPr>
        <w:instrText>ADDIN CSL_CITATION {"citationItems":[{"id":"ITEM-1","itemData":{"DOI":"10.1353/jwh.2016.0033","ISSN":"1527-8050","author":[{"dropping-particle":"","family":"Chaturvedula","given":"Nandini","non-dropping-particle":"","parse-names":false,"suffix":""}],"container-title":"Journal of World History","id":"ITEM-1","issue":"2","issued":{"date-parts":[["2016"]]},"page":"355-384","title":"On the Precipice of Ruin: Consumption, Sumptuary Laws, and Decadence in Early Modern Portuguese India","type":"article-journal","volume":"26"},"uris":["http://www.mendeley.com/documents/?uuid=98c2cc3d-b21e-42e2-a7bc-a0b2b62437f3"]}],"mendeley":{"formattedCitation":"(Chaturvedula, 2016)","plainTextFormattedCitation":"(Chaturvedula, 2016)","previouslyFormattedCitation":"(Chaturvedula, 2016)"},"properties":{"noteIndex":0},"schema":"https://github.com/citation-style-language/schema/raw/master/csl-citation.json"}</w:instrText>
      </w:r>
      <w:r w:rsidR="00B3299C">
        <w:rPr>
          <w:rFonts w:ascii="Calibri Light" w:hAnsi="Calibri Light" w:cs="Calibri Light"/>
          <w:sz w:val="24"/>
          <w:szCs w:val="24"/>
          <w:lang w:val="id-ID"/>
        </w:rPr>
        <w:fldChar w:fldCharType="separate"/>
      </w:r>
      <w:r w:rsidR="00B3299C" w:rsidRPr="00252307">
        <w:rPr>
          <w:rFonts w:ascii="Calibri Light" w:hAnsi="Calibri Light" w:cs="Calibri Light"/>
          <w:noProof/>
          <w:sz w:val="24"/>
          <w:szCs w:val="24"/>
          <w:lang w:val="id-ID"/>
        </w:rPr>
        <w:t>(Chaturvedula, 2016)</w:t>
      </w:r>
      <w:r w:rsidR="00B3299C">
        <w:rPr>
          <w:rFonts w:ascii="Calibri Light" w:hAnsi="Calibri Light" w:cs="Calibri Light"/>
          <w:sz w:val="24"/>
          <w:szCs w:val="24"/>
          <w:lang w:val="id-ID"/>
        </w:rPr>
        <w:fldChar w:fldCharType="end"/>
      </w:r>
      <w:r w:rsidR="00B3299C" w:rsidRPr="00252307">
        <w:rPr>
          <w:rFonts w:ascii="Calibri Light" w:hAnsi="Calibri Light" w:cs="Calibri Light"/>
          <w:sz w:val="24"/>
          <w:szCs w:val="24"/>
          <w:lang w:val="id-ID"/>
        </w:rPr>
        <w:t>.</w:t>
      </w:r>
    </w:p>
    <w:p w14:paraId="17F12B9A" w14:textId="77777777" w:rsidR="00B3299C" w:rsidRDefault="003F5A80" w:rsidP="00B3299C">
      <w:pPr>
        <w:spacing w:before="120" w:after="120"/>
        <w:ind w:left="440" w:right="-1" w:hanging="14"/>
        <w:jc w:val="both"/>
        <w:rPr>
          <w:rFonts w:ascii="Calibri Light" w:hAnsi="Calibri Light" w:cs="Calibri Light"/>
          <w:sz w:val="24"/>
          <w:szCs w:val="24"/>
          <w:lang w:val="id-ID"/>
        </w:rPr>
      </w:pPr>
      <w:r w:rsidRPr="003F5A80">
        <w:rPr>
          <w:rFonts w:ascii="Calibri Light" w:hAnsi="Calibri Light" w:cs="Calibri Light"/>
          <w:sz w:val="24"/>
          <w:szCs w:val="24"/>
          <w:lang w:val="id-ID"/>
        </w:rPr>
        <w:t>A primary factor driving the decline of law enforcement is the widespread corruption involving legal officials. Cases implicating high-ranking state officials, legislators, and law enforcement authorities—such as police officers, prosecutors, and judges—underscore a systemic lack of integrity</w:t>
      </w:r>
      <w:r>
        <w:rPr>
          <w:rFonts w:ascii="Calibri Light" w:hAnsi="Calibri Light" w:cs="Calibri Light"/>
          <w:sz w:val="24"/>
          <w:szCs w:val="24"/>
          <w:lang w:val="id-ID"/>
        </w:rPr>
        <w:t xml:space="preserve"> </w:t>
      </w:r>
      <w:r w:rsidR="00B3299C">
        <w:rPr>
          <w:rFonts w:ascii="Calibri Light" w:hAnsi="Calibri Light" w:cs="Calibri Light"/>
          <w:sz w:val="24"/>
          <w:szCs w:val="24"/>
          <w:lang w:val="id-ID"/>
        </w:rPr>
        <w:fldChar w:fldCharType="begin" w:fldLock="1"/>
      </w:r>
      <w:r w:rsidR="00B3299C">
        <w:rPr>
          <w:rFonts w:ascii="Calibri Light" w:hAnsi="Calibri Light" w:cs="Calibri Light"/>
          <w:sz w:val="24"/>
          <w:szCs w:val="24"/>
          <w:lang w:val="id-ID"/>
        </w:rPr>
        <w:instrText>ADDIN CSL_CITATION {"citationItems":[{"id":"ITEM-1","itemData":{"DOI":"10.1063/5.0235232","author":[{"dropping-particle":"","family":"Jhingan","given":"Diksha","non-dropping-particle":"","parse-names":false,"suffix":""}],"id":"ITEM-1","issued":{"date-parts":[["2024"]]},"page":"040001","title":"AI wars: When R2D2 meets Judge Dredd - The moral saga of artificial intelligence in law and morality (1)","type":"paper-conference"},"uris":["http://www.mendeley.com/documents/?uuid=1608214d-c7fc-4617-ab99-6895ab24c4b6"]}],"mendeley":{"formattedCitation":"(Jhingan, 2024)","plainTextFormattedCitation":"(Jhingan, 2024)","previouslyFormattedCitation":"(Jhingan, 2024)"},"properties":{"noteIndex":0},"schema":"https://github.com/citation-style-language/schema/raw/master/csl-citation.json"}</w:instrText>
      </w:r>
      <w:r w:rsidR="00B3299C">
        <w:rPr>
          <w:rFonts w:ascii="Calibri Light" w:hAnsi="Calibri Light" w:cs="Calibri Light"/>
          <w:sz w:val="24"/>
          <w:szCs w:val="24"/>
          <w:lang w:val="id-ID"/>
        </w:rPr>
        <w:fldChar w:fldCharType="separate"/>
      </w:r>
      <w:r w:rsidR="00B3299C" w:rsidRPr="00252307">
        <w:rPr>
          <w:rFonts w:ascii="Calibri Light" w:hAnsi="Calibri Light" w:cs="Calibri Light"/>
          <w:noProof/>
          <w:sz w:val="24"/>
          <w:szCs w:val="24"/>
          <w:lang w:val="id-ID"/>
        </w:rPr>
        <w:t>(Jhingan, 2024)</w:t>
      </w:r>
      <w:r w:rsidR="00B3299C">
        <w:rPr>
          <w:rFonts w:ascii="Calibri Light" w:hAnsi="Calibri Light" w:cs="Calibri Light"/>
          <w:sz w:val="24"/>
          <w:szCs w:val="24"/>
          <w:lang w:val="id-ID"/>
        </w:rPr>
        <w:fldChar w:fldCharType="end"/>
      </w:r>
      <w:r w:rsidR="00B3299C" w:rsidRPr="00252307">
        <w:rPr>
          <w:rFonts w:ascii="Calibri Light" w:hAnsi="Calibri Light" w:cs="Calibri Light"/>
          <w:sz w:val="24"/>
          <w:szCs w:val="24"/>
          <w:lang w:val="id-ID"/>
        </w:rPr>
        <w:t xml:space="preserve">. </w:t>
      </w:r>
      <w:r w:rsidRPr="003F5A80">
        <w:rPr>
          <w:rFonts w:ascii="Calibri Light" w:hAnsi="Calibri Light" w:cs="Calibri Light"/>
          <w:sz w:val="24"/>
          <w:szCs w:val="24"/>
          <w:lang w:val="id-ID"/>
        </w:rPr>
        <w:t>Corruption, which has become entrenched in certain legal institutions, undermines judicial processes and prevents law enforcement from upholding justice and legal certainty. In many instances, the law is perceived as a commodity that can be manipulated through financial or political influence, thereby creating injustice for those without access to power or resources</w:t>
      </w:r>
      <w:r>
        <w:rPr>
          <w:rFonts w:ascii="Calibri Light" w:hAnsi="Calibri Light" w:cs="Calibri Light"/>
          <w:sz w:val="24"/>
          <w:szCs w:val="24"/>
          <w:lang w:val="id-ID"/>
        </w:rPr>
        <w:t xml:space="preserve"> </w:t>
      </w:r>
      <w:r w:rsidR="00B3299C">
        <w:rPr>
          <w:rFonts w:ascii="Calibri Light" w:hAnsi="Calibri Light" w:cs="Calibri Light"/>
          <w:sz w:val="24"/>
          <w:szCs w:val="24"/>
          <w:lang w:val="id-ID"/>
        </w:rPr>
        <w:fldChar w:fldCharType="begin" w:fldLock="1"/>
      </w:r>
      <w:r w:rsidR="00B3299C">
        <w:rPr>
          <w:rFonts w:ascii="Calibri Light" w:hAnsi="Calibri Light" w:cs="Calibri Light"/>
          <w:sz w:val="24"/>
          <w:szCs w:val="24"/>
          <w:lang w:val="id-ID"/>
        </w:rPr>
        <w:instrText>ADDIN CSL_CITATION {"citationItems":[{"id":"ITEM-1","itemData":{"DOI":"10.1525/nclr.2009.12.1.93","ISSN":"1933-4192","abstract":"In this paper I aim to examine the objective limitations of consent as a defense to criminal harmdoing. This paper starts by briefly outlining the idea of objective morality (critical morality) as the proper basis for criminalization decisions and argues that there are also objective rather than mere conventional reasons (positive morality) for limiting the scope of consent as a defense in the criminal law. The idea of consent is in itself an objective reason for excusing wrongful harmdoing to others. However, it can be overridden by other objective considerations of greater importance. In this paper, I argue that it is only wrongful harmdoing that is criminalizable, as we do not criminalize mere accidents. Furthermore, I argue that a person can as an exercise of her personal autonomy consent to certain harms. But I note that there is a crucial difference between waiving rights that are grounded in an exercise of personal autonomy and waiving rights that violate a person's human dignity: rational autonomy. I conclude that regardless of consent, certain grave harms violate a person's dignity as a human being and therefore are wrongful and criminalizable.","author":[{"dropping-particle":"","family":"Baker","given":"Dennis J.","non-dropping-particle":"","parse-names":false,"suffix":""}],"container-title":"New Criminal Law Review","id":"ITEM-1","issue":"1","issued":{"date-parts":[["2009","1","1"]]},"page":"93-121","title":"The Moral Limits of Consent as a Defense in the Criminal Law","type":"article-journal","volume":"12"},"uris":["http://www.mendeley.com/documents/?uuid=b11b9bfd-ef78-424c-a87c-b61c8bef106e"]}],"mendeley":{"formattedCitation":"(Baker, 2009)","plainTextFormattedCitation":"(Baker, 2009)","previouslyFormattedCitation":"(Baker, 2009)"},"properties":{"noteIndex":0},"schema":"https://github.com/citation-style-language/schema/raw/master/csl-citation.json"}</w:instrText>
      </w:r>
      <w:r w:rsidR="00B3299C">
        <w:rPr>
          <w:rFonts w:ascii="Calibri Light" w:hAnsi="Calibri Light" w:cs="Calibri Light"/>
          <w:sz w:val="24"/>
          <w:szCs w:val="24"/>
          <w:lang w:val="id-ID"/>
        </w:rPr>
        <w:fldChar w:fldCharType="separate"/>
      </w:r>
      <w:r w:rsidR="00B3299C" w:rsidRPr="00252307">
        <w:rPr>
          <w:rFonts w:ascii="Calibri Light" w:hAnsi="Calibri Light" w:cs="Calibri Light"/>
          <w:noProof/>
          <w:sz w:val="24"/>
          <w:szCs w:val="24"/>
          <w:lang w:val="id-ID"/>
        </w:rPr>
        <w:t>(Baker, 2009)</w:t>
      </w:r>
      <w:r w:rsidR="00B3299C">
        <w:rPr>
          <w:rFonts w:ascii="Calibri Light" w:hAnsi="Calibri Light" w:cs="Calibri Light"/>
          <w:sz w:val="24"/>
          <w:szCs w:val="24"/>
          <w:lang w:val="id-ID"/>
        </w:rPr>
        <w:fldChar w:fldCharType="end"/>
      </w:r>
      <w:r w:rsidR="00B3299C">
        <w:rPr>
          <w:rFonts w:ascii="Calibri Light" w:hAnsi="Calibri Light" w:cs="Calibri Light"/>
          <w:sz w:val="24"/>
          <w:szCs w:val="24"/>
          <w:lang w:val="id-ID"/>
        </w:rPr>
        <w:t>.</w:t>
      </w:r>
    </w:p>
    <w:p w14:paraId="1A22793B" w14:textId="77777777" w:rsidR="00B3299C" w:rsidRDefault="003F5A80" w:rsidP="00B3299C">
      <w:pPr>
        <w:spacing w:before="120" w:after="120"/>
        <w:ind w:left="440" w:right="-1" w:hanging="14"/>
        <w:jc w:val="both"/>
        <w:rPr>
          <w:rFonts w:ascii="Calibri Light" w:hAnsi="Calibri Light" w:cs="Calibri Light"/>
          <w:sz w:val="24"/>
          <w:szCs w:val="24"/>
          <w:lang w:val="id-ID"/>
        </w:rPr>
      </w:pPr>
      <w:r w:rsidRPr="003F5A80">
        <w:rPr>
          <w:rFonts w:ascii="Calibri Light" w:hAnsi="Calibri Light" w:cs="Calibri Light"/>
          <w:sz w:val="24"/>
          <w:szCs w:val="24"/>
          <w:lang w:val="id-ID"/>
        </w:rPr>
        <w:t>Beyond corruption, the abuse of power by law enforcement officials further exacerbates the decline of the legal system. This misconduct often manifests in coercion, intimidation, or manipulation of legal proceedings to serve personal or group interests. Instances of extortion (pungli) and the exploitation of authority for political, economic, or social gain weaken the credibility of legal institutions, erode public trust, and diminish the effectiveness of law enforcement</w:t>
      </w:r>
      <w:r>
        <w:rPr>
          <w:rFonts w:ascii="Calibri Light" w:hAnsi="Calibri Light" w:cs="Calibri Light"/>
          <w:sz w:val="24"/>
          <w:szCs w:val="24"/>
          <w:lang w:val="id-ID"/>
        </w:rPr>
        <w:t xml:space="preserve"> </w:t>
      </w:r>
      <w:r w:rsidR="00B3299C">
        <w:rPr>
          <w:rFonts w:ascii="Calibri Light" w:hAnsi="Calibri Light" w:cs="Calibri Light"/>
          <w:sz w:val="24"/>
          <w:szCs w:val="24"/>
          <w:lang w:val="id-ID"/>
        </w:rPr>
        <w:fldChar w:fldCharType="begin" w:fldLock="1"/>
      </w:r>
      <w:r w:rsidR="00B3299C">
        <w:rPr>
          <w:rFonts w:ascii="Calibri Light" w:hAnsi="Calibri Light" w:cs="Calibri Light"/>
          <w:sz w:val="24"/>
          <w:szCs w:val="24"/>
          <w:lang w:val="id-ID"/>
        </w:rPr>
        <w:instrText>ADDIN CSL_CITATION {"citationItems":[{"id":"ITEM-1","itemData":{"DOI":"10.2307/1122670","ISSN":"00101958","author":[{"dropping-particle":"","family":"Fletcher","given":"George P.","non-dropping-particle":"","parse-names":false,"suffix":""}],"container-title":"Columbia Law Review","id":"ITEM-1","issue":"3","issued":{"date-parts":[["1987","4"]]},"page":"533","title":"Law and Morality: A Kantian Perspective","type":"article-journal","volume":"87"},"uris":["http://www.mendeley.com/documents/?uuid=a50e8972-4d62-4c18-8c72-bcc416bc5bc5"]}],"mendeley":{"formattedCitation":"(Fletcher, 1987)","plainTextFormattedCitation":"(Fletcher, 1987)","previouslyFormattedCitation":"(Fletcher, 1987)"},"properties":{"noteIndex":0},"schema":"https://github.com/citation-style-language/schema/raw/master/csl-citation.json"}</w:instrText>
      </w:r>
      <w:r w:rsidR="00B3299C">
        <w:rPr>
          <w:rFonts w:ascii="Calibri Light" w:hAnsi="Calibri Light" w:cs="Calibri Light"/>
          <w:sz w:val="24"/>
          <w:szCs w:val="24"/>
          <w:lang w:val="id-ID"/>
        </w:rPr>
        <w:fldChar w:fldCharType="separate"/>
      </w:r>
      <w:r w:rsidR="00B3299C" w:rsidRPr="00252307">
        <w:rPr>
          <w:rFonts w:ascii="Calibri Light" w:hAnsi="Calibri Light" w:cs="Calibri Light"/>
          <w:noProof/>
          <w:sz w:val="24"/>
          <w:szCs w:val="24"/>
          <w:lang w:val="id-ID"/>
        </w:rPr>
        <w:t>(Fletcher, 1987)</w:t>
      </w:r>
      <w:r w:rsidR="00B3299C">
        <w:rPr>
          <w:rFonts w:ascii="Calibri Light" w:hAnsi="Calibri Light" w:cs="Calibri Light"/>
          <w:sz w:val="24"/>
          <w:szCs w:val="24"/>
          <w:lang w:val="id-ID"/>
        </w:rPr>
        <w:fldChar w:fldCharType="end"/>
      </w:r>
      <w:r w:rsidR="00B3299C">
        <w:rPr>
          <w:rFonts w:ascii="Calibri Light" w:hAnsi="Calibri Light" w:cs="Calibri Light"/>
          <w:sz w:val="24"/>
          <w:szCs w:val="24"/>
          <w:lang w:val="id-ID"/>
        </w:rPr>
        <w:t>.</w:t>
      </w:r>
    </w:p>
    <w:p w14:paraId="37918E72" w14:textId="77777777" w:rsidR="00B3299C" w:rsidRDefault="00B3299C" w:rsidP="00B3299C">
      <w:pPr>
        <w:spacing w:before="120" w:after="120"/>
        <w:ind w:left="440" w:right="-1" w:hanging="14"/>
        <w:jc w:val="both"/>
        <w:rPr>
          <w:rFonts w:ascii="Calibri Light" w:hAnsi="Calibri Light" w:cs="Calibri Light"/>
          <w:sz w:val="24"/>
          <w:szCs w:val="24"/>
          <w:lang w:val="id-ID"/>
        </w:rPr>
      </w:pPr>
      <w:r w:rsidRPr="00252307">
        <w:rPr>
          <w:rFonts w:ascii="Calibri Light" w:hAnsi="Calibri Light" w:cs="Calibri Light"/>
          <w:sz w:val="24"/>
          <w:szCs w:val="24"/>
          <w:lang w:val="id-ID"/>
        </w:rPr>
        <w:t xml:space="preserve">In addition to corruption and abuse of power, </w:t>
      </w:r>
      <w:r w:rsidR="003F5A80">
        <w:rPr>
          <w:rFonts w:ascii="Calibri Light" w:hAnsi="Calibri Light" w:cs="Calibri Light"/>
          <w:sz w:val="24"/>
          <w:szCs w:val="24"/>
          <w:lang w:val="id-ID"/>
        </w:rPr>
        <w:t>l</w:t>
      </w:r>
      <w:r w:rsidR="003F5A80" w:rsidRPr="003F5A80">
        <w:rPr>
          <w:rFonts w:ascii="Calibri Light" w:hAnsi="Calibri Light" w:cs="Calibri Light"/>
          <w:sz w:val="24"/>
          <w:szCs w:val="24"/>
          <w:lang w:val="id-ID"/>
        </w:rPr>
        <w:t>egal injustice in Indonesia also plays a critical role in this decline</w:t>
      </w:r>
      <w:r w:rsidR="003F5A80">
        <w:rPr>
          <w:rFonts w:ascii="Calibri Light" w:hAnsi="Calibri Light" w:cs="Calibri Light"/>
          <w:sz w:val="24"/>
          <w:szCs w:val="24"/>
          <w:lang w:val="id-ID"/>
        </w:rPr>
        <w:t xml:space="preserve"> </w:t>
      </w:r>
      <w:r>
        <w:rPr>
          <w:rFonts w:ascii="Calibri Light" w:hAnsi="Calibri Light" w:cs="Calibri Light"/>
          <w:sz w:val="24"/>
          <w:szCs w:val="24"/>
          <w:lang w:val="id-ID"/>
        </w:rPr>
        <w:fldChar w:fldCharType="begin" w:fldLock="1"/>
      </w:r>
      <w:r>
        <w:rPr>
          <w:rFonts w:ascii="Calibri Light" w:hAnsi="Calibri Light" w:cs="Calibri Light"/>
          <w:sz w:val="24"/>
          <w:szCs w:val="24"/>
          <w:lang w:val="id-ID"/>
        </w:rPr>
        <w:instrText>ADDIN CSL_CITATION {"citationItems":[{"id":"ITEM-1","itemData":{"DOI":"10.3167/ds.2020.240104","ISSN":"1362-024X","abstract":"This is the first English translation of Durkheim’s lecture for the first class of the fourth and final year of his course ‘On the General Physics of Law and Morality’. The content from the previous year’s course is contained in Professional Ethics and Civic Morals (Durkheim [1950] 1992). Durkheim discusses the importance of a special theory of sanctions and provides a typology of their negative and positive forms. He makes a case for the sociology of penalties and responsibilities, one based on the examination of their external and visible characteristics. Crucially, Durkheim displaces the ostensible causal importance of the intentions of juridical subjects, whether legislators or wrong-doers. The translation is accompanied by an extended critical introduction by R. P. Datta and Fr. Pizzaro Nöel.","author":[{"dropping-particle":"","family":"Durkheim","given":"Émile","non-dropping-particle":"","parse-names":false,"suffix":""}],"container-title":"Durkheimian Studies","id":"ITEM-1","issue":"1","issued":{"date-parts":[["2020","12","1"]]},"page":"45-56","title":"An Unpublished Manuscript by Durkheim","type":"article-journal","volume":"24"},"uris":["http://www.mendeley.com/documents/?uuid=8b60a3db-4b1f-4830-9612-483f615bdd59"]}],"mendeley":{"formattedCitation":"(Durkheim, 2020)","plainTextFormattedCitation":"(Durkheim, 2020)","previouslyFormattedCitation":"(Durkheim, 2020)"},"properties":{"noteIndex":0},"schema":"https://github.com/citation-style-language/schema/raw/master/csl-citation.json"}</w:instrText>
      </w:r>
      <w:r>
        <w:rPr>
          <w:rFonts w:ascii="Calibri Light" w:hAnsi="Calibri Light" w:cs="Calibri Light"/>
          <w:sz w:val="24"/>
          <w:szCs w:val="24"/>
          <w:lang w:val="id-ID"/>
        </w:rPr>
        <w:fldChar w:fldCharType="separate"/>
      </w:r>
      <w:r w:rsidRPr="00252307">
        <w:rPr>
          <w:rFonts w:ascii="Calibri Light" w:hAnsi="Calibri Light" w:cs="Calibri Light"/>
          <w:noProof/>
          <w:sz w:val="24"/>
          <w:szCs w:val="24"/>
          <w:lang w:val="id-ID"/>
        </w:rPr>
        <w:t>(Durkheim, 2020)</w:t>
      </w:r>
      <w:r>
        <w:rPr>
          <w:rFonts w:ascii="Calibri Light" w:hAnsi="Calibri Light" w:cs="Calibri Light"/>
          <w:sz w:val="24"/>
          <w:szCs w:val="24"/>
          <w:lang w:val="id-ID"/>
        </w:rPr>
        <w:fldChar w:fldCharType="end"/>
      </w:r>
      <w:r w:rsidRPr="00252307">
        <w:rPr>
          <w:rFonts w:ascii="Calibri Light" w:hAnsi="Calibri Light" w:cs="Calibri Light"/>
          <w:sz w:val="24"/>
          <w:szCs w:val="24"/>
          <w:lang w:val="id-ID"/>
        </w:rPr>
        <w:t xml:space="preserve">. </w:t>
      </w:r>
      <w:r w:rsidR="003F5A80">
        <w:rPr>
          <w:rFonts w:ascii="Calibri Light" w:hAnsi="Calibri Light" w:cs="Calibri Light"/>
          <w:sz w:val="24"/>
          <w:szCs w:val="24"/>
          <w:lang w:val="id-ID"/>
        </w:rPr>
        <w:t>D</w:t>
      </w:r>
      <w:r w:rsidR="003F5A80" w:rsidRPr="003F5A80">
        <w:rPr>
          <w:rFonts w:ascii="Calibri Light" w:hAnsi="Calibri Light" w:cs="Calibri Light"/>
          <w:sz w:val="24"/>
          <w:szCs w:val="24"/>
          <w:lang w:val="id-ID"/>
        </w:rPr>
        <w:t>iscriminatory law enforcement practices, often influenced by race, religion, ethnicity, or social status, result in unequal treatment before the law. In many cases, legal decisions disproportionately favor powerful groups, leading to selective enforcement and inconsistent judicial outcomes. This not only delays or obstructs legal proceedings but also reinforces systemic inequalities within the justice system</w:t>
      </w:r>
      <w:r>
        <w:rPr>
          <w:rFonts w:ascii="Calibri Light" w:hAnsi="Calibri Light" w:cs="Calibri Light"/>
          <w:sz w:val="24"/>
          <w:szCs w:val="24"/>
          <w:lang w:val="id-ID"/>
        </w:rPr>
        <w:t>.</w:t>
      </w:r>
    </w:p>
    <w:p w14:paraId="6612863A" w14:textId="77777777" w:rsidR="00B3299C" w:rsidRPr="00750AA6" w:rsidRDefault="003F5A80" w:rsidP="00B3299C">
      <w:pPr>
        <w:spacing w:before="120" w:after="120"/>
        <w:ind w:left="440" w:right="-1" w:hanging="14"/>
        <w:jc w:val="both"/>
        <w:rPr>
          <w:rFonts w:ascii="Calibri Light" w:hAnsi="Calibri Light" w:cs="Calibri Light"/>
          <w:sz w:val="24"/>
          <w:szCs w:val="24"/>
          <w:lang w:val="id-ID"/>
        </w:rPr>
      </w:pPr>
      <w:r w:rsidRPr="003F5A80">
        <w:rPr>
          <w:rFonts w:ascii="Calibri Light" w:hAnsi="Calibri Light" w:cs="Calibri Light"/>
          <w:sz w:val="24"/>
          <w:szCs w:val="24"/>
          <w:lang w:val="id-ID"/>
        </w:rPr>
        <w:t>The moral crisis afflicting law enforcement is further reflected in various high-profile cases involving legal officials. One such case involved corruption within the Corruption Eradication Commission (KPK), an institution that should serve as the vanguard of anti-corruption efforts. Instead, its officials were implicated in corrupt practices, exposing a fundamental lack of integrity in key legal institution</w:t>
      </w:r>
      <w:r w:rsidR="00B3299C" w:rsidRPr="00750AA6">
        <w:rPr>
          <w:rFonts w:ascii="Calibri Light" w:hAnsi="Calibri Light" w:cs="Calibri Light"/>
          <w:sz w:val="24"/>
          <w:szCs w:val="24"/>
          <w:lang w:val="id-ID"/>
        </w:rPr>
        <w:t>s</w:t>
      </w:r>
      <w:r>
        <w:rPr>
          <w:rFonts w:ascii="Calibri Light" w:hAnsi="Calibri Light" w:cs="Calibri Light"/>
          <w:sz w:val="24"/>
          <w:szCs w:val="24"/>
          <w:lang w:val="id-ID"/>
        </w:rPr>
        <w:t xml:space="preserve"> </w:t>
      </w:r>
      <w:r w:rsidR="00B3299C">
        <w:rPr>
          <w:rFonts w:ascii="Calibri Light" w:hAnsi="Calibri Light" w:cs="Calibri Light"/>
          <w:sz w:val="24"/>
          <w:szCs w:val="24"/>
          <w:lang w:val="id-ID"/>
        </w:rPr>
        <w:fldChar w:fldCharType="begin" w:fldLock="1"/>
      </w:r>
      <w:r w:rsidR="00B3299C">
        <w:rPr>
          <w:rFonts w:ascii="Calibri Light" w:hAnsi="Calibri Light" w:cs="Calibri Light"/>
          <w:sz w:val="24"/>
          <w:szCs w:val="24"/>
          <w:lang w:val="id-ID"/>
        </w:rPr>
        <w:instrText>ADDIN CSL_CITATION {"citationItems":[{"id":"ITEM-1","itemData":{"URL":"https://lombokpost.jawapos.com/opini/1503347857/matinya-nilai-etika-dan-moral-bagi-penegakan-hukum-di-indonesia","author":[{"dropping-particle":"","family":"Rury Anjas Andita","given":"","non-dropping-particle":"","parse-names":false,"suffix":""}],"container-title":"Lombok Post","id":"ITEM-1","issued":{"date-parts":[["0"]]},"title":"Matinya Nilai Etika dan Moral Bagi Penegakan Hukum Di Indonesia","type":"webpage"},"uris":["http://www.mendeley.com/documents/?uuid=a07b3a7c-7780-466b-92ea-6a4c1c27f1dc"]}],"mendeley":{"formattedCitation":"(Rury Anjas Andita, n.d.)","plainTextFormattedCitation":"(Rury Anjas Andita, n.d.)","previouslyFormattedCitation":"(Rury Anjas Andita, n.d.)"},"properties":{"noteIndex":0},"schema":"https://github.com/citation-style-language/schema/raw/master/csl-citation.json"}</w:instrText>
      </w:r>
      <w:r w:rsidR="00B3299C">
        <w:rPr>
          <w:rFonts w:ascii="Calibri Light" w:hAnsi="Calibri Light" w:cs="Calibri Light"/>
          <w:sz w:val="24"/>
          <w:szCs w:val="24"/>
          <w:lang w:val="id-ID"/>
        </w:rPr>
        <w:fldChar w:fldCharType="separate"/>
      </w:r>
      <w:r w:rsidR="00B3299C" w:rsidRPr="00750AA6">
        <w:rPr>
          <w:rFonts w:ascii="Calibri Light" w:hAnsi="Calibri Light" w:cs="Calibri Light"/>
          <w:noProof/>
          <w:sz w:val="24"/>
          <w:szCs w:val="24"/>
          <w:lang w:val="id-ID"/>
        </w:rPr>
        <w:t>(Rury Anjas Andita, n.d.)</w:t>
      </w:r>
      <w:r w:rsidR="00B3299C">
        <w:rPr>
          <w:rFonts w:ascii="Calibri Light" w:hAnsi="Calibri Light" w:cs="Calibri Light"/>
          <w:sz w:val="24"/>
          <w:szCs w:val="24"/>
          <w:lang w:val="id-ID"/>
        </w:rPr>
        <w:fldChar w:fldCharType="end"/>
      </w:r>
      <w:r w:rsidR="00B3299C" w:rsidRPr="00750AA6">
        <w:rPr>
          <w:rFonts w:ascii="Calibri Light" w:hAnsi="Calibri Light" w:cs="Calibri Light"/>
          <w:sz w:val="24"/>
          <w:szCs w:val="24"/>
          <w:lang w:val="id-ID"/>
        </w:rPr>
        <w:t>.</w:t>
      </w:r>
    </w:p>
    <w:p w14:paraId="6FB43E9A" w14:textId="77777777" w:rsidR="00B3299C" w:rsidRDefault="003F5A80" w:rsidP="00B3299C">
      <w:pPr>
        <w:spacing w:before="120" w:after="120"/>
        <w:ind w:left="440" w:right="-1" w:hanging="14"/>
        <w:jc w:val="both"/>
        <w:rPr>
          <w:rFonts w:ascii="Calibri Light" w:hAnsi="Calibri Light" w:cs="Calibri Light"/>
          <w:sz w:val="24"/>
          <w:szCs w:val="24"/>
          <w:lang w:val="id-ID"/>
        </w:rPr>
      </w:pPr>
      <w:r w:rsidRPr="003F5A80">
        <w:rPr>
          <w:rFonts w:ascii="Calibri Light" w:hAnsi="Calibri Light" w:cs="Calibri Light"/>
          <w:sz w:val="24"/>
          <w:szCs w:val="24"/>
          <w:lang w:val="id-ID"/>
        </w:rPr>
        <w:t xml:space="preserve">Another notable example is the 2009 conflict between the KPK and the Indonesian National Police, known as the ‘Cicak vs Crocodile’ case. Rather than supporting anti-corruption efforts, police officials were involved in actions aimed at undermining the KPK, </w:t>
      </w:r>
      <w:r w:rsidRPr="003F5A80">
        <w:rPr>
          <w:rFonts w:ascii="Calibri Light" w:hAnsi="Calibri Light" w:cs="Calibri Light"/>
          <w:sz w:val="24"/>
          <w:szCs w:val="24"/>
          <w:lang w:val="id-ID"/>
        </w:rPr>
        <w:lastRenderedPageBreak/>
        <w:t>demonstrating ethical lapses and a lack of commitment to justice</w:t>
      </w:r>
      <w:r>
        <w:rPr>
          <w:rFonts w:ascii="Calibri Light" w:hAnsi="Calibri Light" w:cs="Calibri Light"/>
          <w:sz w:val="24"/>
          <w:szCs w:val="24"/>
          <w:lang w:val="id-ID"/>
        </w:rPr>
        <w:t xml:space="preserve"> </w:t>
      </w:r>
      <w:r w:rsidR="00B3299C">
        <w:rPr>
          <w:rFonts w:ascii="Calibri Light" w:hAnsi="Calibri Light" w:cs="Calibri Light"/>
          <w:sz w:val="24"/>
          <w:szCs w:val="24"/>
          <w:lang w:val="id-ID"/>
        </w:rPr>
        <w:fldChar w:fldCharType="begin" w:fldLock="1"/>
      </w:r>
      <w:r w:rsidR="00B3299C">
        <w:rPr>
          <w:rFonts w:ascii="Calibri Light" w:hAnsi="Calibri Light" w:cs="Calibri Light"/>
          <w:sz w:val="24"/>
          <w:szCs w:val="24"/>
          <w:lang w:val="id-ID"/>
        </w:rPr>
        <w:instrText>ADDIN CSL_CITATION {"citationItems":[{"id":"ITEM-1","itemData":{"URL":"https://www.voanews.com/a/indonesia-anti-corruption-commission-draws-fire/2708609.html","author":[{"dropping-particle":"","family":"Jeffrey Young","given":"","non-dropping-particle":"","parse-names":false,"suffix":""}],"container-title":"VOA","id":"ITEM-1","issued":{"date-parts":[["0"]]},"title":"Indonesia's Anti-corruption Commission Draws Fire","type":"webpage"},"uris":["http://www.mendeley.com/documents/?uuid=7cdb6c02-ec7e-4007-99ed-c2ef35e0ff57"]}],"mendeley":{"formattedCitation":"(Jeffrey Young, n.d.)","plainTextFormattedCitation":"(Jeffrey Young, n.d.)","previouslyFormattedCitation":"(Jeffrey Young, n.d.)"},"properties":{"noteIndex":0},"schema":"https://github.com/citation-style-language/schema/raw/master/csl-citation.json"}</w:instrText>
      </w:r>
      <w:r w:rsidR="00B3299C">
        <w:rPr>
          <w:rFonts w:ascii="Calibri Light" w:hAnsi="Calibri Light" w:cs="Calibri Light"/>
          <w:sz w:val="24"/>
          <w:szCs w:val="24"/>
          <w:lang w:val="id-ID"/>
        </w:rPr>
        <w:fldChar w:fldCharType="separate"/>
      </w:r>
      <w:r w:rsidR="00B3299C" w:rsidRPr="00750AA6">
        <w:rPr>
          <w:rFonts w:ascii="Calibri Light" w:hAnsi="Calibri Light" w:cs="Calibri Light"/>
          <w:noProof/>
          <w:sz w:val="24"/>
          <w:szCs w:val="24"/>
          <w:lang w:val="id-ID"/>
        </w:rPr>
        <w:t>(Jeffrey Young, n.d.)</w:t>
      </w:r>
      <w:r w:rsidR="00B3299C">
        <w:rPr>
          <w:rFonts w:ascii="Calibri Light" w:hAnsi="Calibri Light" w:cs="Calibri Light"/>
          <w:sz w:val="24"/>
          <w:szCs w:val="24"/>
          <w:lang w:val="id-ID"/>
        </w:rPr>
        <w:fldChar w:fldCharType="end"/>
      </w:r>
      <w:r w:rsidR="00B3299C" w:rsidRPr="00750AA6">
        <w:rPr>
          <w:rFonts w:ascii="Calibri Light" w:hAnsi="Calibri Light" w:cs="Calibri Light"/>
          <w:sz w:val="24"/>
          <w:szCs w:val="24"/>
          <w:lang w:val="id-ID"/>
        </w:rPr>
        <w:t>.</w:t>
      </w:r>
      <w:r>
        <w:rPr>
          <w:rFonts w:ascii="Calibri Light" w:hAnsi="Calibri Light" w:cs="Calibri Light"/>
          <w:sz w:val="24"/>
          <w:szCs w:val="24"/>
          <w:lang w:val="id-ID"/>
        </w:rPr>
        <w:t xml:space="preserve"> </w:t>
      </w:r>
      <w:r w:rsidRPr="003F5A80">
        <w:rPr>
          <w:rFonts w:ascii="Calibri Light" w:hAnsi="Calibri Light" w:cs="Calibri Light"/>
          <w:sz w:val="24"/>
          <w:szCs w:val="24"/>
          <w:lang w:val="id-ID"/>
        </w:rPr>
        <w:t>Similarly, cases involving judicial corruption—where judges accept bribes to influence verdicts—further illustrate the erosion of judicial ethics. The prevalence of illegal levies (pungli) among police officers and their involvement in drug-related crimes further tarnishes the image of law enforcement in Indonesia</w:t>
      </w:r>
      <w:r>
        <w:rPr>
          <w:rFonts w:ascii="Calibri Light" w:hAnsi="Calibri Light" w:cs="Calibri Light"/>
          <w:sz w:val="24"/>
          <w:szCs w:val="24"/>
          <w:lang w:val="id-ID"/>
        </w:rPr>
        <w:t xml:space="preserve"> </w:t>
      </w:r>
      <w:r w:rsidR="00B3299C">
        <w:rPr>
          <w:rFonts w:ascii="Calibri Light" w:hAnsi="Calibri Light" w:cs="Calibri Light"/>
          <w:sz w:val="24"/>
          <w:szCs w:val="24"/>
          <w:lang w:val="id-ID"/>
        </w:rPr>
        <w:fldChar w:fldCharType="begin" w:fldLock="1"/>
      </w:r>
      <w:r w:rsidR="00B3299C">
        <w:rPr>
          <w:rFonts w:ascii="Calibri Light" w:hAnsi="Calibri Light" w:cs="Calibri Light"/>
          <w:sz w:val="24"/>
          <w:szCs w:val="24"/>
          <w:lang w:val="id-ID"/>
        </w:rPr>
        <w:instrText>ADDIN CSL_CITATION {"citationItems":[{"id":"ITEM-1","itemData":{"author":[{"dropping-particle":"","family":"Hairi","given":"Prianter Jaya","non-dropping-particle":"","parse-names":false,"suffix":""}],"id":"ITEM-1","issued":{"date-parts":[["2022"]]},"title":"JUDICIARY REFORMATION","type":"article-journal"},"uris":["http://www.mendeley.com/documents/?uuid=e60459eb-3c32-4383-8859-047d8a4a4a8e"]}],"mendeley":{"formattedCitation":"(Hairi, 2022)","plainTextFormattedCitation":"(Hairi, 2022)","previouslyFormattedCitation":"(Hairi, 2022)"},"properties":{"noteIndex":0},"schema":"https://github.com/citation-style-language/schema/raw/master/csl-citation.json"}</w:instrText>
      </w:r>
      <w:r w:rsidR="00B3299C">
        <w:rPr>
          <w:rFonts w:ascii="Calibri Light" w:hAnsi="Calibri Light" w:cs="Calibri Light"/>
          <w:sz w:val="24"/>
          <w:szCs w:val="24"/>
          <w:lang w:val="id-ID"/>
        </w:rPr>
        <w:fldChar w:fldCharType="separate"/>
      </w:r>
      <w:r w:rsidR="00B3299C" w:rsidRPr="00750AA6">
        <w:rPr>
          <w:rFonts w:ascii="Calibri Light" w:hAnsi="Calibri Light" w:cs="Calibri Light"/>
          <w:noProof/>
          <w:sz w:val="24"/>
          <w:szCs w:val="24"/>
          <w:lang w:val="id-ID"/>
        </w:rPr>
        <w:t>(Hairi, 2022)</w:t>
      </w:r>
      <w:r w:rsidR="00B3299C">
        <w:rPr>
          <w:rFonts w:ascii="Calibri Light" w:hAnsi="Calibri Light" w:cs="Calibri Light"/>
          <w:sz w:val="24"/>
          <w:szCs w:val="24"/>
          <w:lang w:val="id-ID"/>
        </w:rPr>
        <w:fldChar w:fldCharType="end"/>
      </w:r>
      <w:r w:rsidR="00B3299C" w:rsidRPr="00750AA6">
        <w:rPr>
          <w:rFonts w:ascii="Calibri Light" w:hAnsi="Calibri Light" w:cs="Calibri Light"/>
          <w:sz w:val="24"/>
          <w:szCs w:val="24"/>
          <w:lang w:val="id-ID"/>
        </w:rPr>
        <w:t>.</w:t>
      </w:r>
    </w:p>
    <w:p w14:paraId="70D28A7C" w14:textId="77777777" w:rsidR="00B3299C" w:rsidRDefault="003F5A80" w:rsidP="00B3299C">
      <w:pPr>
        <w:spacing w:before="120" w:after="120"/>
        <w:ind w:left="440" w:right="-1" w:hanging="14"/>
        <w:jc w:val="both"/>
        <w:rPr>
          <w:rFonts w:ascii="Calibri Light" w:hAnsi="Calibri Light" w:cs="Calibri Light"/>
          <w:sz w:val="24"/>
          <w:szCs w:val="24"/>
          <w:lang w:val="id-ID"/>
        </w:rPr>
      </w:pPr>
      <w:r w:rsidRPr="003F5A80">
        <w:rPr>
          <w:rFonts w:ascii="Calibri Light" w:hAnsi="Calibri Light" w:cs="Calibri Light"/>
          <w:sz w:val="24"/>
          <w:szCs w:val="24"/>
          <w:lang w:val="id-ID"/>
        </w:rPr>
        <w:t xml:space="preserve">The 2022 murder case of </w:t>
      </w:r>
      <w:r w:rsidRPr="00085AC4">
        <w:rPr>
          <w:rFonts w:ascii="Calibri Light" w:hAnsi="Calibri Light" w:cs="Calibri Light"/>
          <w:i/>
          <w:iCs/>
          <w:sz w:val="24"/>
          <w:szCs w:val="24"/>
          <w:lang w:val="id-ID"/>
        </w:rPr>
        <w:t>Brigadier J</w:t>
      </w:r>
      <w:r w:rsidRPr="003F5A80">
        <w:rPr>
          <w:rFonts w:ascii="Calibri Light" w:hAnsi="Calibri Light" w:cs="Calibri Light"/>
          <w:sz w:val="24"/>
          <w:szCs w:val="24"/>
          <w:lang w:val="id-ID"/>
        </w:rPr>
        <w:t>, in which police officers were implicated, alongside subsequent attempts to conceal evidence, serves as yet another example of the moral and ethical failings within law enforcement institutions. Such incidents reinforce the ongoing integrity crisis in Indonesia’s legal system, underscoring the urgent need for reform to restore public trust</w:t>
      </w:r>
      <w:r>
        <w:rPr>
          <w:rFonts w:ascii="Calibri Light" w:hAnsi="Calibri Light" w:cs="Calibri Light"/>
          <w:sz w:val="24"/>
          <w:szCs w:val="24"/>
          <w:lang w:val="id-ID"/>
        </w:rPr>
        <w:t xml:space="preserve"> </w:t>
      </w:r>
      <w:r w:rsidR="00B3299C">
        <w:rPr>
          <w:rFonts w:ascii="Calibri Light" w:hAnsi="Calibri Light" w:cs="Calibri Light"/>
          <w:sz w:val="24"/>
          <w:szCs w:val="24"/>
          <w:lang w:val="id-ID"/>
        </w:rPr>
        <w:fldChar w:fldCharType="begin" w:fldLock="1"/>
      </w:r>
      <w:r w:rsidR="00B3299C">
        <w:rPr>
          <w:rFonts w:ascii="Calibri Light" w:hAnsi="Calibri Light" w:cs="Calibri Light"/>
          <w:sz w:val="24"/>
          <w:szCs w:val="24"/>
          <w:lang w:val="id-ID"/>
        </w:rPr>
        <w:instrText>ADDIN CSL_CITATION {"citationItems":[{"id":"ITEM-1","itemData":{"ISSN":"2622-7290","abstract":"Penelitian ini bertujuan untuk menemukan, menganalisis pelangaran kode etik profesi humas Polri ( studi kasus Ferdy Sambo). Metode yang digunakan dalam penelitian ini adalah metode deskriptif kualitatif dengan pengumpulan data yang peneliti lakukan melalui library research (studi kepustakaan). Teknik analisis data menggunakan pendekatan analisa data yaitu data collection, data reduction,&amp;nbsp; data display, conclusion drawing. Hasil penelitian ini bahwa pelenggaran kode etik profesi &amp;nbsp;dalam studi kasus Ferdy Sambo telah melanggar tujuh kode etik profesi; mencemarkan nama baik institusi Polri; merusak citra dan reputasi Polri. &amp;nbsp;Humas Polri mampu mengatasi masalah dengan cepat dengan meningkatkan peran humas pada expert prieciber; problem solving fasilitator; communication technisian ; communication fasilitator. Analisis kasus ini menjadikan pelajaran untuk publik bahwa dalam menjalankan profesi harus profesional tifak melibatkan perasaan emosional yang dampaknya&amp;nbsp; selain merugikan diri sendiri juga merugikan intansi dan publik.","author":[{"dropping-particle":"","family":"Rosmala","given":"","non-dropping-particle":"","parse-names":false,"suffix":""},{"dropping-particle":"","family":"Thoyyibah","given":"Imadah","non-dropping-particle":"","parse-names":false,"suffix":""}],"container-title":"Jurnal Ilmiah Ilmu Komunikasi Communique","id":"ITEM-1","issue":"2","issued":{"date-parts":[["2022"]]},"page":"161-172","title":"Analisis Pelanggaran Kode Etik Humas Polri (Studi Kasus Ferdy Sambo)","type":"article-journal","volume":"5"},"uris":["http://www.mendeley.com/documents/?uuid=d4c9df1d-35f0-4cd8-86b6-244856c4a865"]}],"mendeley":{"formattedCitation":"(Rosmala &amp; Thoyyibah, 2022)","plainTextFormattedCitation":"(Rosmala &amp; Thoyyibah, 2022)","previouslyFormattedCitation":"(Rosmala &amp; Thoyyibah, 2022)"},"properties":{"noteIndex":0},"schema":"https://github.com/citation-style-language/schema/raw/master/csl-citation.json"}</w:instrText>
      </w:r>
      <w:r w:rsidR="00B3299C">
        <w:rPr>
          <w:rFonts w:ascii="Calibri Light" w:hAnsi="Calibri Light" w:cs="Calibri Light"/>
          <w:sz w:val="24"/>
          <w:szCs w:val="24"/>
          <w:lang w:val="id-ID"/>
        </w:rPr>
        <w:fldChar w:fldCharType="separate"/>
      </w:r>
      <w:r w:rsidR="00B3299C" w:rsidRPr="00750AA6">
        <w:rPr>
          <w:rFonts w:ascii="Calibri Light" w:hAnsi="Calibri Light" w:cs="Calibri Light"/>
          <w:noProof/>
          <w:sz w:val="24"/>
          <w:szCs w:val="24"/>
          <w:lang w:val="id-ID"/>
        </w:rPr>
        <w:t>(Rosmala &amp; Thoyyibah, 2022)</w:t>
      </w:r>
      <w:r w:rsidR="00B3299C">
        <w:rPr>
          <w:rFonts w:ascii="Calibri Light" w:hAnsi="Calibri Light" w:cs="Calibri Light"/>
          <w:sz w:val="24"/>
          <w:szCs w:val="24"/>
          <w:lang w:val="id-ID"/>
        </w:rPr>
        <w:fldChar w:fldCharType="end"/>
      </w:r>
      <w:r w:rsidR="00B3299C">
        <w:rPr>
          <w:rFonts w:ascii="Calibri Light" w:hAnsi="Calibri Light" w:cs="Calibri Light"/>
          <w:sz w:val="24"/>
          <w:szCs w:val="24"/>
          <w:lang w:val="id-ID"/>
        </w:rPr>
        <w:t>.</w:t>
      </w:r>
    </w:p>
    <w:p w14:paraId="5817B0A8" w14:textId="77777777" w:rsidR="00B3299C" w:rsidRDefault="003F5A80" w:rsidP="00B3299C">
      <w:pPr>
        <w:spacing w:before="120" w:after="120"/>
        <w:ind w:left="440" w:right="-1" w:hanging="14"/>
        <w:jc w:val="both"/>
        <w:rPr>
          <w:rFonts w:ascii="Calibri Light" w:hAnsi="Calibri Light" w:cs="Calibri Light"/>
          <w:sz w:val="24"/>
          <w:szCs w:val="24"/>
          <w:lang w:val="id-ID"/>
        </w:rPr>
      </w:pPr>
      <w:r w:rsidRPr="003F5A80">
        <w:rPr>
          <w:rFonts w:ascii="Calibri Light" w:hAnsi="Calibri Light" w:cs="Calibri Light"/>
          <w:sz w:val="24"/>
          <w:szCs w:val="24"/>
          <w:lang w:val="id-ID"/>
        </w:rPr>
        <w:t>At its core, the moral decay of law enforcement is a fundamental driver of this crisis. The lack of ethical integrity among legal officials—manifested in dishonesty, partiality, and unjust practices—has created an environment that obstructs genuine and fair law enforcement. Consequently, public confidence in the legal system continues to decline, further weakening the rule of law and the principles of justice</w:t>
      </w:r>
      <w:r w:rsidR="00B3299C">
        <w:rPr>
          <w:rFonts w:ascii="Calibri Light" w:hAnsi="Calibri Light" w:cs="Calibri Light"/>
          <w:sz w:val="24"/>
          <w:szCs w:val="24"/>
          <w:lang w:val="id-ID"/>
        </w:rPr>
        <w:t>.</w:t>
      </w:r>
    </w:p>
    <w:p w14:paraId="1FE0EF61" w14:textId="77777777" w:rsidR="00B3299C" w:rsidRDefault="00B3299C" w:rsidP="00B3299C">
      <w:pPr>
        <w:spacing w:before="120" w:after="120"/>
        <w:ind w:left="440" w:right="-1" w:hanging="14"/>
        <w:jc w:val="both"/>
        <w:rPr>
          <w:rFonts w:ascii="Calibri Light" w:hAnsi="Calibri Light" w:cs="Calibri Light"/>
          <w:b/>
          <w:bCs/>
          <w:sz w:val="24"/>
          <w:szCs w:val="24"/>
          <w:lang w:val="id-ID"/>
        </w:rPr>
      </w:pPr>
      <w:r w:rsidRPr="00BE6AEE">
        <w:rPr>
          <w:rFonts w:ascii="Calibri Light" w:hAnsi="Calibri Light" w:cs="Calibri Light"/>
          <w:b/>
          <w:bCs/>
          <w:sz w:val="24"/>
          <w:szCs w:val="24"/>
          <w:lang w:val="id-ID"/>
        </w:rPr>
        <w:t>Root Causes of Law Enforcement Decadence in Indonesia</w:t>
      </w:r>
    </w:p>
    <w:p w14:paraId="134C279F" w14:textId="77777777" w:rsidR="00B3299C" w:rsidRDefault="003F5A80" w:rsidP="00B3299C">
      <w:pPr>
        <w:spacing w:before="120" w:after="120"/>
        <w:ind w:left="440" w:right="-1" w:hanging="14"/>
        <w:jc w:val="both"/>
        <w:rPr>
          <w:rFonts w:ascii="Calibri Light" w:hAnsi="Calibri Light" w:cs="Calibri Light"/>
          <w:sz w:val="24"/>
          <w:szCs w:val="24"/>
          <w:lang w:val="id-ID"/>
        </w:rPr>
      </w:pPr>
      <w:r w:rsidRPr="003F5A80">
        <w:rPr>
          <w:rFonts w:ascii="Calibri Light" w:hAnsi="Calibri Light" w:cs="Calibri Light"/>
          <w:sz w:val="24"/>
          <w:szCs w:val="24"/>
          <w:lang w:val="id-ID"/>
        </w:rPr>
        <w:t>The decline of law enforcement in Indonesia is not solely the result of structural and institutional deficiencies but is also deeply influenced by moral and religious ethical factors. The ongoing moral crisis among law enforcement officials—such as police officers, prosecutors, and judges—has compromised their ability to uphold justice and integrity in carrying out their duties. Consequently, law enforcement in Indonesia has become ineffective, often leading to widespread injustice in society</w:t>
      </w:r>
      <w:r>
        <w:rPr>
          <w:rFonts w:ascii="Calibri Light" w:hAnsi="Calibri Light" w:cs="Calibri Light"/>
          <w:sz w:val="24"/>
          <w:szCs w:val="24"/>
          <w:lang w:val="id-ID"/>
        </w:rPr>
        <w:t xml:space="preserve"> </w:t>
      </w:r>
      <w:r w:rsidR="00B3299C">
        <w:rPr>
          <w:rFonts w:ascii="Calibri Light" w:hAnsi="Calibri Light" w:cs="Calibri Light"/>
          <w:sz w:val="24"/>
          <w:szCs w:val="24"/>
          <w:lang w:val="id-ID"/>
        </w:rPr>
        <w:fldChar w:fldCharType="begin" w:fldLock="1"/>
      </w:r>
      <w:r w:rsidR="00B3299C">
        <w:rPr>
          <w:rFonts w:ascii="Calibri Light" w:hAnsi="Calibri Light" w:cs="Calibri Light"/>
          <w:sz w:val="24"/>
          <w:szCs w:val="24"/>
          <w:lang w:val="id-ID"/>
        </w:rPr>
        <w:instrText>ADDIN CSL_CITATION {"citationItems":[{"id":"ITEM-1","itemData":{"DOI":"10.37200/IJPR/V24I4/PR201435","ISSN":"14757192","author":[{"dropping-particle":"","family":"Hamzani","given":"Achmad Irwan","non-dropping-particle":"","parse-names":false,"suffix":""},{"dropping-particle":"","family":"-","given":"Sanusi","non-dropping-particle":"","parse-names":false,"suffix":""},{"dropping-particle":"","family":"Asmarudin","given":"Imam","non-dropping-particle":"","parse-names":false,"suffix":""},{"dropping-particle":"","family":"Rahayu","given":"Kanti","non-dropping-particle":"","parse-names":false,"suffix":""},{"dropping-particle":"","family":"Aravik","given":"Havis","non-dropping-particle":"","parse-names":false,"suffix":""}],"container-title":"International Journal of Psychosocial Rehabilitation","id":"ITEM-1","issue":"04","issued":{"date-parts":[["2020","2","28"]]},"page":"3244-3254","title":"Law Enforcement Problems and Impacts of the Law Development in Indonesia","type":"article-journal","volume":"24"},"uris":["http://www.mendeley.com/documents/?uuid=bf68b8ea-36d9-4d85-a6fb-937d94355517"]}],"mendeley":{"formattedCitation":"(Hamzani et al., 2020)","plainTextFormattedCitation":"(Hamzani et al., 2020)","previouslyFormattedCitation":"(Hamzani et al., 2020)"},"properties":{"noteIndex":0},"schema":"https://github.com/citation-style-language/schema/raw/master/csl-citation.json"}</w:instrText>
      </w:r>
      <w:r w:rsidR="00B3299C">
        <w:rPr>
          <w:rFonts w:ascii="Calibri Light" w:hAnsi="Calibri Light" w:cs="Calibri Light"/>
          <w:sz w:val="24"/>
          <w:szCs w:val="24"/>
          <w:lang w:val="id-ID"/>
        </w:rPr>
        <w:fldChar w:fldCharType="separate"/>
      </w:r>
      <w:r w:rsidR="00B3299C" w:rsidRPr="00057F94">
        <w:rPr>
          <w:rFonts w:ascii="Calibri Light" w:hAnsi="Calibri Light" w:cs="Calibri Light"/>
          <w:noProof/>
          <w:sz w:val="24"/>
          <w:szCs w:val="24"/>
          <w:lang w:val="id-ID"/>
        </w:rPr>
        <w:t>(Hamzani et al., 2020)</w:t>
      </w:r>
      <w:r w:rsidR="00B3299C">
        <w:rPr>
          <w:rFonts w:ascii="Calibri Light" w:hAnsi="Calibri Light" w:cs="Calibri Light"/>
          <w:sz w:val="24"/>
          <w:szCs w:val="24"/>
          <w:lang w:val="id-ID"/>
        </w:rPr>
        <w:fldChar w:fldCharType="end"/>
      </w:r>
      <w:r w:rsidR="00B3299C" w:rsidRPr="00BE6AEE">
        <w:rPr>
          <w:rFonts w:ascii="Calibri Light" w:hAnsi="Calibri Light" w:cs="Calibri Light"/>
          <w:sz w:val="24"/>
          <w:szCs w:val="24"/>
          <w:lang w:val="id-ID"/>
        </w:rPr>
        <w:t>.</w:t>
      </w:r>
    </w:p>
    <w:p w14:paraId="6B98A7E5" w14:textId="77777777" w:rsidR="00B3299C" w:rsidRDefault="003F5A80" w:rsidP="00B3299C">
      <w:pPr>
        <w:spacing w:before="120" w:after="120"/>
        <w:ind w:left="440" w:right="-1" w:hanging="14"/>
        <w:jc w:val="both"/>
        <w:rPr>
          <w:rFonts w:ascii="Calibri Light" w:hAnsi="Calibri Light" w:cs="Calibri Light"/>
          <w:sz w:val="24"/>
          <w:szCs w:val="24"/>
          <w:lang w:val="id-ID"/>
        </w:rPr>
      </w:pPr>
      <w:r w:rsidRPr="003F5A80">
        <w:rPr>
          <w:rFonts w:ascii="Calibri Light" w:hAnsi="Calibri Light" w:cs="Calibri Light"/>
          <w:sz w:val="24"/>
          <w:szCs w:val="24"/>
          <w:lang w:val="id-ID"/>
        </w:rPr>
        <w:t>From a moral standpoint, law enforcement should be guided by universal principles of justice, with legal officials demonstrating strong personal integrity and moral responsibility. Legal morality encompasses an individual’s awareness of their duty to uphold justice and resist the temptations of corruption, collusion, and nepotism</w:t>
      </w:r>
      <w:r>
        <w:rPr>
          <w:rFonts w:ascii="Calibri Light" w:hAnsi="Calibri Light" w:cs="Calibri Light"/>
          <w:sz w:val="24"/>
          <w:szCs w:val="24"/>
          <w:lang w:val="id-ID"/>
        </w:rPr>
        <w:t xml:space="preserve"> </w:t>
      </w:r>
      <w:r w:rsidR="00B3299C">
        <w:rPr>
          <w:rFonts w:ascii="Calibri Light" w:hAnsi="Calibri Light" w:cs="Calibri Light"/>
          <w:sz w:val="24"/>
          <w:szCs w:val="24"/>
          <w:lang w:val="id-ID"/>
        </w:rPr>
        <w:fldChar w:fldCharType="begin" w:fldLock="1"/>
      </w:r>
      <w:r w:rsidR="00B3299C">
        <w:rPr>
          <w:rFonts w:ascii="Calibri Light" w:hAnsi="Calibri Light" w:cs="Calibri Light"/>
          <w:sz w:val="24"/>
          <w:szCs w:val="24"/>
          <w:lang w:val="id-ID"/>
        </w:rPr>
        <w:instrText>ADDIN CSL_CITATION {"citationItems":[{"id":"ITEM-1","itemData":{"DOI":"10.1163/15718093-bja10073","ISSN":"0929-0273","abstract":"This article analyses the role that ‘ ordre public ’ and morality exceptions can play in the granting of patents on inventions in the field of human germline editing and the consequences of this policy option. In order to provide the context for such an analysis, the article will, first, provide an overview of the current patent landscape for relevant genome editing technologies, drawing attention to recent patent disputes and, second, examine ‘ ordre public ’ and morality exceptions under patent law in international, national and regional law, and the implications for innovation and access to novel treatments. The article argues that patent exceptions should not be used as a blunt policy instrument, nor interpreted in a way that is contrary to the patent system’s overall objectives. The ‘ ordre public ’ and morality based exceptions in the context of human germline editing should not be interpreted and applied in a way which results in outcomes counterproductive to the goal of balancing innovation with the protection of societal higher normative values. Instead, the application of the exception should be based on a sound understanding of both the underlying science as well as the broader ethical, social, and legal implications, thus enabling case-by-case decisions that provide the basis for patent claim amendments and nuanced purpose-bound protection. Further analysis and debate as to the role that such flexibilities can play in the context of genome editing technologies is therefore both necessary and desirable, and can be facilitated in the ways set out in this article.","author":[{"dropping-particle":"","family":"Matthews","given":"Duncan","non-dropping-particle":"","parse-names":false,"suffix":""},{"dropping-particle":"","family":"Minssen","given":"Timo","non-dropping-particle":"","parse-names":false,"suffix":""},{"dropping-particle":"","family":"Nordberg","given":"Ana","non-dropping-particle":"","parse-names":false,"suffix":""}],"container-title":"European Journal of Health Law","id":"ITEM-1","issue":"3-5","issued":{"date-parts":[["2022","4","8"]]},"page":"562-588","title":"Balancing Innovation, ‘Ordre Public’ and Morality in Human Germline Editing: A Call for More Nuanced Approaches in Patent Law","type":"article-journal","volume":"29"},"uris":["http://www.mendeley.com/documents/?uuid=5f4723de-6754-4201-bc83-7fbf363f51c0"]}],"mendeley":{"formattedCitation":"(Matthews et al., 2022)","plainTextFormattedCitation":"(Matthews et al., 2022)","previouslyFormattedCitation":"(Matthews et al., 2022)"},"properties":{"noteIndex":0},"schema":"https://github.com/citation-style-language/schema/raw/master/csl-citation.json"}</w:instrText>
      </w:r>
      <w:r w:rsidR="00B3299C">
        <w:rPr>
          <w:rFonts w:ascii="Calibri Light" w:hAnsi="Calibri Light" w:cs="Calibri Light"/>
          <w:sz w:val="24"/>
          <w:szCs w:val="24"/>
          <w:lang w:val="id-ID"/>
        </w:rPr>
        <w:fldChar w:fldCharType="separate"/>
      </w:r>
      <w:r w:rsidR="00B3299C" w:rsidRPr="00057F94">
        <w:rPr>
          <w:rFonts w:ascii="Calibri Light" w:hAnsi="Calibri Light" w:cs="Calibri Light"/>
          <w:noProof/>
          <w:sz w:val="24"/>
          <w:szCs w:val="24"/>
          <w:lang w:val="id-ID"/>
        </w:rPr>
        <w:t>(Matthews et al., 2022)</w:t>
      </w:r>
      <w:r w:rsidR="00B3299C">
        <w:rPr>
          <w:rFonts w:ascii="Calibri Light" w:hAnsi="Calibri Light" w:cs="Calibri Light"/>
          <w:sz w:val="24"/>
          <w:szCs w:val="24"/>
          <w:lang w:val="id-ID"/>
        </w:rPr>
        <w:fldChar w:fldCharType="end"/>
      </w:r>
      <w:r w:rsidR="00B3299C" w:rsidRPr="00BE6AEE">
        <w:rPr>
          <w:rFonts w:ascii="Calibri Light" w:hAnsi="Calibri Light" w:cs="Calibri Light"/>
          <w:sz w:val="24"/>
          <w:szCs w:val="24"/>
          <w:lang w:val="id-ID"/>
        </w:rPr>
        <w:t xml:space="preserve">. </w:t>
      </w:r>
      <w:r w:rsidRPr="003F5A80">
        <w:rPr>
          <w:rFonts w:ascii="Calibri Light" w:hAnsi="Calibri Light" w:cs="Calibri Light"/>
          <w:sz w:val="24"/>
          <w:szCs w:val="24"/>
          <w:lang w:val="id-ID"/>
        </w:rPr>
        <w:t>However, in practice, moral considerations in Indonesian law enforcement are often neglected. Many legal officials prioritize personal or political interests over objective and impartial application of the law</w:t>
      </w:r>
      <w:r>
        <w:rPr>
          <w:rFonts w:ascii="Calibri Light" w:hAnsi="Calibri Light" w:cs="Calibri Light"/>
          <w:sz w:val="24"/>
          <w:szCs w:val="24"/>
          <w:lang w:val="id-ID"/>
        </w:rPr>
        <w:t xml:space="preserve"> </w:t>
      </w:r>
      <w:r w:rsidR="00B3299C">
        <w:rPr>
          <w:rFonts w:ascii="Calibri Light" w:hAnsi="Calibri Light" w:cs="Calibri Light"/>
          <w:sz w:val="24"/>
          <w:szCs w:val="24"/>
          <w:lang w:val="id-ID"/>
        </w:rPr>
        <w:fldChar w:fldCharType="begin" w:fldLock="1"/>
      </w:r>
      <w:r w:rsidR="00B3299C">
        <w:rPr>
          <w:rFonts w:ascii="Calibri Light" w:hAnsi="Calibri Light" w:cs="Calibri Light"/>
          <w:sz w:val="24"/>
          <w:szCs w:val="24"/>
          <w:lang w:val="id-ID"/>
        </w:rPr>
        <w:instrText>ADDIN CSL_CITATION {"citationItems":[{"id":"ITEM-1","itemData":{"DOI":"10.1093/oso/9780198870340.001.0001","ISBN":"0198870345","author":[{"dropping-particle":"","family":"Televantos","given":"Andreas","non-dropping-particle":"","parse-names":false,"suffix":""}],"id":"ITEM-1","issued":{"date-parts":[["2020","12","3"]]},"publisher":"Oxford University PressOxford","title":"Capitalism Before Corporations","type":"book"},"uris":["http://www.mendeley.com/documents/?uuid=26fbf4e7-c688-4905-831e-894f1791f4b6"]}],"mendeley":{"formattedCitation":"(Televantos, 2020)","plainTextFormattedCitation":"(Televantos, 2020)","previouslyFormattedCitation":"(Televantos, 2020)"},"properties":{"noteIndex":0},"schema":"https://github.com/citation-style-language/schema/raw/master/csl-citation.json"}</w:instrText>
      </w:r>
      <w:r w:rsidR="00B3299C">
        <w:rPr>
          <w:rFonts w:ascii="Calibri Light" w:hAnsi="Calibri Light" w:cs="Calibri Light"/>
          <w:sz w:val="24"/>
          <w:szCs w:val="24"/>
          <w:lang w:val="id-ID"/>
        </w:rPr>
        <w:fldChar w:fldCharType="separate"/>
      </w:r>
      <w:r w:rsidR="00B3299C" w:rsidRPr="00DC0F22">
        <w:rPr>
          <w:rFonts w:ascii="Calibri Light" w:hAnsi="Calibri Light" w:cs="Calibri Light"/>
          <w:noProof/>
          <w:sz w:val="24"/>
          <w:szCs w:val="24"/>
          <w:lang w:val="id-ID"/>
        </w:rPr>
        <w:t>(Televantos, 2020)</w:t>
      </w:r>
      <w:r w:rsidR="00B3299C">
        <w:rPr>
          <w:rFonts w:ascii="Calibri Light" w:hAnsi="Calibri Light" w:cs="Calibri Light"/>
          <w:sz w:val="24"/>
          <w:szCs w:val="24"/>
          <w:lang w:val="id-ID"/>
        </w:rPr>
        <w:fldChar w:fldCharType="end"/>
      </w:r>
      <w:r w:rsidR="00B3299C" w:rsidRPr="00BE6AEE">
        <w:rPr>
          <w:rFonts w:ascii="Calibri Light" w:hAnsi="Calibri Light" w:cs="Calibri Light"/>
          <w:sz w:val="24"/>
          <w:szCs w:val="24"/>
          <w:lang w:val="id-ID"/>
        </w:rPr>
        <w:t>.</w:t>
      </w:r>
    </w:p>
    <w:p w14:paraId="5A6DF1AD" w14:textId="77777777" w:rsidR="00B3299C" w:rsidRPr="00BE6AEE" w:rsidRDefault="003F5A80" w:rsidP="00B3299C">
      <w:pPr>
        <w:spacing w:before="120" w:after="120"/>
        <w:ind w:left="440" w:right="-1" w:hanging="14"/>
        <w:jc w:val="both"/>
        <w:rPr>
          <w:rFonts w:ascii="Calibri Light" w:hAnsi="Calibri Light" w:cs="Calibri Light"/>
          <w:sz w:val="24"/>
          <w:szCs w:val="24"/>
          <w:lang w:val="id-ID"/>
        </w:rPr>
      </w:pPr>
      <w:r w:rsidRPr="003F5A80">
        <w:rPr>
          <w:rFonts w:ascii="Calibri Light" w:hAnsi="Calibri Light" w:cs="Calibri Light"/>
          <w:sz w:val="24"/>
          <w:szCs w:val="24"/>
          <w:lang w:val="id-ID"/>
        </w:rPr>
        <w:t>One of the primary causes of this moral decay is the lack of character education and moral value inculcation among law enforcement officers from an early stage</w:t>
      </w:r>
      <w:r>
        <w:rPr>
          <w:rFonts w:ascii="Calibri Light" w:hAnsi="Calibri Light" w:cs="Calibri Light"/>
          <w:sz w:val="24"/>
          <w:szCs w:val="24"/>
          <w:lang w:val="id-ID"/>
        </w:rPr>
        <w:t xml:space="preserve"> </w:t>
      </w:r>
      <w:r w:rsidR="00B3299C">
        <w:rPr>
          <w:rFonts w:ascii="Calibri Light" w:hAnsi="Calibri Light" w:cs="Calibri Light"/>
          <w:sz w:val="24"/>
          <w:szCs w:val="24"/>
          <w:lang w:val="id-ID"/>
        </w:rPr>
        <w:fldChar w:fldCharType="begin" w:fldLock="1"/>
      </w:r>
      <w:r w:rsidR="00B3299C">
        <w:rPr>
          <w:rFonts w:ascii="Calibri Light" w:hAnsi="Calibri Light" w:cs="Calibri Light"/>
          <w:sz w:val="24"/>
          <w:szCs w:val="24"/>
          <w:lang w:val="id-ID"/>
        </w:rPr>
        <w:instrText>ADDIN CSL_CITATION {"citationItems":[{"id":"ITEM-1","itemData":{"DOI":"10.1093/jiplp/jpac012","ISSN":"1747-1532","author":[{"dropping-particle":"","family":"Donk","given":"Berdien","non-dropping-particle":"van der","parse-names":false,"suffix":""}],"container-title":"Journal of Intellectual Property Law &amp; Practice","id":"ITEM-1","issue":"3","issued":{"date-parts":[["2022","4","6"]]},"page":"303-307","title":"Cannabis, corona and the latest morality developments in European trade mark law","type":"article-journal","volume":"17"},"uris":["http://www.mendeley.com/documents/?uuid=0e1dfefb-5246-4cc1-b14f-107ba7e582fc"]}],"mendeley":{"formattedCitation":"(van der Donk, 2022)","plainTextFormattedCitation":"(van der Donk, 2022)","previouslyFormattedCitation":"(van der Donk, 2022)"},"properties":{"noteIndex":0},"schema":"https://github.com/citation-style-language/schema/raw/master/csl-citation.json"}</w:instrText>
      </w:r>
      <w:r w:rsidR="00B3299C">
        <w:rPr>
          <w:rFonts w:ascii="Calibri Light" w:hAnsi="Calibri Light" w:cs="Calibri Light"/>
          <w:sz w:val="24"/>
          <w:szCs w:val="24"/>
          <w:lang w:val="id-ID"/>
        </w:rPr>
        <w:fldChar w:fldCharType="separate"/>
      </w:r>
      <w:r w:rsidR="00B3299C" w:rsidRPr="00DC0F22">
        <w:rPr>
          <w:rFonts w:ascii="Calibri Light" w:hAnsi="Calibri Light" w:cs="Calibri Light"/>
          <w:noProof/>
          <w:sz w:val="24"/>
          <w:szCs w:val="24"/>
          <w:lang w:val="id-ID"/>
        </w:rPr>
        <w:t>(van der Donk, 2022)</w:t>
      </w:r>
      <w:r w:rsidR="00B3299C">
        <w:rPr>
          <w:rFonts w:ascii="Calibri Light" w:hAnsi="Calibri Light" w:cs="Calibri Light"/>
          <w:sz w:val="24"/>
          <w:szCs w:val="24"/>
          <w:lang w:val="id-ID"/>
        </w:rPr>
        <w:fldChar w:fldCharType="end"/>
      </w:r>
      <w:r w:rsidR="00B3299C" w:rsidRPr="00BE6AEE">
        <w:rPr>
          <w:rFonts w:ascii="Calibri Light" w:hAnsi="Calibri Light" w:cs="Calibri Light"/>
          <w:sz w:val="24"/>
          <w:szCs w:val="24"/>
          <w:lang w:val="id-ID"/>
        </w:rPr>
        <w:t xml:space="preserve">. </w:t>
      </w:r>
      <w:r w:rsidRPr="003F5A80">
        <w:rPr>
          <w:rFonts w:ascii="Calibri Light" w:hAnsi="Calibri Light" w:cs="Calibri Light"/>
          <w:sz w:val="24"/>
          <w:szCs w:val="24"/>
          <w:lang w:val="id-ID"/>
        </w:rPr>
        <w:t xml:space="preserve">While technical and professional training is emphasized, religious and ethics-based moral education is often overlooked. Yet, religious ethics plays a crucial role in shaping the moral integrity of legal officials. Religious values—such as honesty, justice, responsibility, and respect for human rights—can provide a strong foundation for addressing the moral decline in the legal system </w:t>
      </w:r>
      <w:r w:rsidR="00B3299C">
        <w:rPr>
          <w:rFonts w:ascii="Calibri Light" w:hAnsi="Calibri Light" w:cs="Calibri Light"/>
          <w:sz w:val="24"/>
          <w:szCs w:val="24"/>
          <w:lang w:val="id-ID"/>
        </w:rPr>
        <w:fldChar w:fldCharType="begin" w:fldLock="1"/>
      </w:r>
      <w:r w:rsidR="00B3299C">
        <w:rPr>
          <w:rFonts w:ascii="Calibri Light" w:hAnsi="Calibri Light" w:cs="Calibri Light"/>
          <w:sz w:val="24"/>
          <w:szCs w:val="24"/>
          <w:lang w:val="id-ID"/>
        </w:rPr>
        <w:instrText>ADDIN CSL_CITATION {"citationItems":[{"id":"ITEM-1","itemData":{"DOI":"10.15294/ijel.v1i2.58136","ISSN":"2829-9590","abstract":"Apart from prohibiting causing damage to the earth, Islam also has an obligation to protect the environment and respect the universe which includes the universe which includes humans, plants, animals, other living things, and non-living things. Preservation of nature and the environment is inseparable from the role of humans, environmental damage is a reflection of the decline in the level of human faith. This study discusses the discourse of Islamic law in environmental protection and environmental sustainability. This study uses a comparative approach and legal interpretation, especially in the context of Islamic law which relates to obligations regarding environmental protection. This study found that, in many literatures and the views of Muslim experts, it is emphasized that protecting the environment is the same as protecting property. God provides humans with treasures to live life on earth, and wealth is not only money, but also earth, trees and plants are treasures. This study highlighted that Quran Surah Al-Araf verse 56, \"and do not make any damage on earth after Allah has repaired it and pray to Him with fear and hope. Indeed, Allah's mercy is very close to those who do good”, used as a proof of Islamic values on environmental protection. In this interpretation it is emphasized that this verse is an affirmation of the prohibition of all forms of damage. Therefore, efforts to preserve the environment are not only at the conceptual level, but also manifest in Muslim life.","author":[{"dropping-particle":"","family":"Rohman","given":"Agus Taufiqur","non-dropping-particle":"","parse-names":false,"suffix":""},{"dropping-particle":"","family":"Ibrahim","given":"Aminullah","non-dropping-particle":"","parse-names":false,"suffix":""}],"container-title":"Indonesian Journal of Environmental Law and Sustainable Development","id":"ITEM-1","issue":"2","issued":{"date-parts":[["2022","7","31"]]},"page":"139-164","title":"A Discourse of Islamic Law on Environmental Protection and Sustanability: How are religious values transferred into Indonesian Environmental Law?","type":"article-journal","volume":"1"},"uris":["http://www.mendeley.com/documents/?uuid=7c876b11-bd50-41a2-94e2-1f9329de6bc3"]}],"mendeley":{"formattedCitation":"(Rohman &amp; Ibrahim, 2022)","plainTextFormattedCitation":"(Rohman &amp; Ibrahim, 2022)","previouslyFormattedCitation":"(Rohman &amp; Ibrahim, 2022)"},"properties":{"noteIndex":0},"schema":"https://github.com/citation-style-language/schema/raw/master/csl-citation.json"}</w:instrText>
      </w:r>
      <w:r w:rsidR="00B3299C">
        <w:rPr>
          <w:rFonts w:ascii="Calibri Light" w:hAnsi="Calibri Light" w:cs="Calibri Light"/>
          <w:sz w:val="24"/>
          <w:szCs w:val="24"/>
          <w:lang w:val="id-ID"/>
        </w:rPr>
        <w:fldChar w:fldCharType="separate"/>
      </w:r>
      <w:r w:rsidR="00B3299C" w:rsidRPr="00DC0F22">
        <w:rPr>
          <w:rFonts w:ascii="Calibri Light" w:hAnsi="Calibri Light" w:cs="Calibri Light"/>
          <w:noProof/>
          <w:sz w:val="24"/>
          <w:szCs w:val="24"/>
          <w:lang w:val="id-ID"/>
        </w:rPr>
        <w:t>(Rohman &amp; Ibrahim, 2022)</w:t>
      </w:r>
      <w:r w:rsidR="00B3299C">
        <w:rPr>
          <w:rFonts w:ascii="Calibri Light" w:hAnsi="Calibri Light" w:cs="Calibri Light"/>
          <w:sz w:val="24"/>
          <w:szCs w:val="24"/>
          <w:lang w:val="id-ID"/>
        </w:rPr>
        <w:fldChar w:fldCharType="end"/>
      </w:r>
      <w:r w:rsidR="00B3299C" w:rsidRPr="00BE6AEE">
        <w:rPr>
          <w:rFonts w:ascii="Calibri Light" w:hAnsi="Calibri Light" w:cs="Calibri Light"/>
          <w:sz w:val="24"/>
          <w:szCs w:val="24"/>
          <w:lang w:val="id-ID"/>
        </w:rPr>
        <w:t>.</w:t>
      </w:r>
    </w:p>
    <w:p w14:paraId="46DD72DB" w14:textId="77777777" w:rsidR="00B3299C" w:rsidRDefault="00B3299C" w:rsidP="00B3299C">
      <w:pPr>
        <w:spacing w:before="120" w:after="120"/>
        <w:ind w:left="440" w:right="-1" w:hanging="14"/>
        <w:jc w:val="both"/>
        <w:rPr>
          <w:rFonts w:ascii="Calibri Light" w:hAnsi="Calibri Light" w:cs="Calibri Light"/>
          <w:sz w:val="24"/>
          <w:szCs w:val="24"/>
          <w:lang w:val="id-ID"/>
        </w:rPr>
      </w:pPr>
      <w:r w:rsidRPr="00BE6AEE">
        <w:rPr>
          <w:rFonts w:ascii="Calibri Light" w:hAnsi="Calibri Light" w:cs="Calibri Light"/>
          <w:sz w:val="24"/>
          <w:szCs w:val="24"/>
          <w:lang w:val="id-ID"/>
        </w:rPr>
        <w:t>In the perspective of religious ethics, the Indonesian legal system should not only uphold positive law, but also reflect moral and ethical values derived from religious teachings</w:t>
      </w:r>
      <w:r w:rsidR="003F5A80">
        <w:rPr>
          <w:rFonts w:ascii="Calibri Light" w:hAnsi="Calibri Light" w:cs="Calibri Light"/>
          <w:sz w:val="24"/>
          <w:szCs w:val="24"/>
          <w:lang w:val="id-ID"/>
        </w:rPr>
        <w:t xml:space="preserve"> </w:t>
      </w:r>
      <w:r>
        <w:rPr>
          <w:rFonts w:ascii="Calibri Light" w:hAnsi="Calibri Light" w:cs="Calibri Light"/>
          <w:sz w:val="24"/>
          <w:szCs w:val="24"/>
          <w:lang w:val="id-ID"/>
        </w:rPr>
        <w:fldChar w:fldCharType="begin" w:fldLock="1"/>
      </w:r>
      <w:r>
        <w:rPr>
          <w:rFonts w:ascii="Calibri Light" w:hAnsi="Calibri Light" w:cs="Calibri Light"/>
          <w:sz w:val="24"/>
          <w:szCs w:val="24"/>
          <w:lang w:val="id-ID"/>
        </w:rPr>
        <w:instrText>ADDIN CSL_CITATION {"citationItems":[{"id":"ITEM-1","itemData":{"DOI":"10.1163/22124810-2021J002","ISSN":"2212-6465","abstract":"In ruling T-1022/01, the Colombian Constitutional Court responded to a claim brought by a member of the United Pentecostal Church of Colombia against the Yanacona Indigenous Council. The claimants alleged the violation of their rights to freedom of conscience, worship, and dissemination of thought based on two facts: (a) the refusal of their petition to carry out a “Spiritual Renewal Day” in the main square of the indigenous reservation of Caquiona, and (b) the interruption of the religious gatherings of the United Pentecostal Church of Colombia, as well as the prohibition of their pastors entering the indigenous reservation territory. The Court found no violation of the rights alleged. The purpose of this comment is to explore the understanding by the Colombian Constitutional Court of the right to cultural identity of indigenous communities, focusing particularly on whether it encompasses the right to be free from religious proselytism.","author":[{"dropping-particle":"","family":"Aguilar","given":"Trilce Gabriela Valdivia","non-dropping-particle":"","parse-names":false,"suffix":""}],"container-title":"Journal of Law, Religion and State","id":"ITEM-1","issue":"2-3","issued":{"date-parts":[["2021","7","28"]]},"page":"299-307","title":"Case Comment: Do Indigenous Peoples Have a Right to Limit Religious Proselytism Activities in Their Territories?","type":"article-journal","volume":"9"},"uris":["http://www.mendeley.com/documents/?uuid=97b02cf2-47dd-47c2-880f-1b292750a903"]}],"mendeley":{"formattedCitation":"(Aguilar, 2021)","plainTextFormattedCitation":"(Aguilar, 2021)","previouslyFormattedCitation":"(Aguilar, 2021)"},"properties":{"noteIndex":0},"schema":"https://github.com/citation-style-language/schema/raw/master/csl-citation.json"}</w:instrText>
      </w:r>
      <w:r>
        <w:rPr>
          <w:rFonts w:ascii="Calibri Light" w:hAnsi="Calibri Light" w:cs="Calibri Light"/>
          <w:sz w:val="24"/>
          <w:szCs w:val="24"/>
          <w:lang w:val="id-ID"/>
        </w:rPr>
        <w:fldChar w:fldCharType="separate"/>
      </w:r>
      <w:r w:rsidRPr="00DC0F22">
        <w:rPr>
          <w:rFonts w:ascii="Calibri Light" w:hAnsi="Calibri Light" w:cs="Calibri Light"/>
          <w:noProof/>
          <w:sz w:val="24"/>
          <w:szCs w:val="24"/>
          <w:lang w:val="id-ID"/>
        </w:rPr>
        <w:t>(Aguilar, 2021)</w:t>
      </w:r>
      <w:r>
        <w:rPr>
          <w:rFonts w:ascii="Calibri Light" w:hAnsi="Calibri Light" w:cs="Calibri Light"/>
          <w:sz w:val="24"/>
          <w:szCs w:val="24"/>
          <w:lang w:val="id-ID"/>
        </w:rPr>
        <w:fldChar w:fldCharType="end"/>
      </w:r>
      <w:r w:rsidRPr="00BE6AEE">
        <w:rPr>
          <w:rFonts w:ascii="Calibri Light" w:hAnsi="Calibri Light" w:cs="Calibri Light"/>
          <w:sz w:val="24"/>
          <w:szCs w:val="24"/>
          <w:lang w:val="id-ID"/>
        </w:rPr>
        <w:t xml:space="preserve">. </w:t>
      </w:r>
      <w:r w:rsidR="003F5A80" w:rsidRPr="003F5A80">
        <w:rPr>
          <w:rFonts w:ascii="Calibri Light" w:hAnsi="Calibri Light" w:cs="Calibri Light"/>
          <w:sz w:val="24"/>
          <w:szCs w:val="24"/>
          <w:lang w:val="id-ID"/>
        </w:rPr>
        <w:t>The various religions practiced by Indonesia’s majority population—including Islam, Christianity, Hinduism, and Buddhism—emphasize justice, honesty, and service to the community. These ethical foundations should serve as guiding principles for the character and professionalism of law enforcement officials</w:t>
      </w:r>
      <w:r w:rsidR="003F5A80">
        <w:rPr>
          <w:rFonts w:ascii="Calibri Light" w:hAnsi="Calibri Light" w:cs="Calibri Light"/>
          <w:sz w:val="24"/>
          <w:szCs w:val="24"/>
          <w:lang w:val="id-ID"/>
        </w:rPr>
        <w:t xml:space="preserve"> </w:t>
      </w:r>
      <w:r>
        <w:rPr>
          <w:rFonts w:ascii="Calibri Light" w:hAnsi="Calibri Light" w:cs="Calibri Light"/>
          <w:sz w:val="24"/>
          <w:szCs w:val="24"/>
          <w:lang w:val="id-ID"/>
        </w:rPr>
        <w:fldChar w:fldCharType="begin" w:fldLock="1"/>
      </w:r>
      <w:r>
        <w:rPr>
          <w:rFonts w:ascii="Calibri Light" w:hAnsi="Calibri Light" w:cs="Calibri Light"/>
          <w:sz w:val="24"/>
          <w:szCs w:val="24"/>
          <w:lang w:val="id-ID"/>
        </w:rPr>
        <w:instrText>ADDIN CSL_CITATION {"citationItems":[{"id":"ITEM-1","itemData":{"DOI":"10.24260/jil.v3i2.848","ISSN":"2721-5040","abstract":"The relationship between state law and religion (Islamic law) is still problematic in its implementation. This problem occurs in practising divorce outside the court in Situbondo, Indonesia. Its case is interesting because it is still considered legal by the community and religious leaders according to religious law even though the divorce decision has not been received from the court. This legal phenomenon is contrary to positive law in Indonesia. This article aims to explain the practice of divorce outside the court in Situbondo and the authority problem between state law and Islamic law. After conducting intensive field research for three months with perpetrators of out-of-court divorce, religious leaders, and the Head of the Office of Religious Affairs, the authors found that the widespread practice of divorce outside the court was caused by the influence of religious leaders’ understanding and public understanding. This understanding becomes the doctrine that divorce in Islamic law is legal without having to await a divorce decision from the religious court. The authors stated that the dominance of the authority of Islamic law over state law in the practice of divorce in Muslim societies has negative implications for the rights of children and ex-wives.","author":[{"dropping-particle":"","family":"Karim Faiz","given":"Abd.","non-dropping-particle":"","parse-names":false,"suffix":""},{"dropping-particle":"","family":"AR","given":"Zulfahmi","non-dropping-particle":"","parse-names":false,"suffix":""},{"dropping-particle":"","family":"Izzuddin","given":"Ahmad","non-dropping-particle":"","parse-names":false,"suffix":""}],"container-title":"JIL: Journal of Islamic Law","id":"ITEM-1","issue":"2","issued":{"date-parts":[["2022","8","31"]]},"page":"176-192","title":"Between State Law and Islamic Law: The Practice of Divorce Outside the Situbondo Religious Courts, Indonesia","type":"article-journal","volume":"3"},"uris":["http://www.mendeley.com/documents/?uuid=68878d21-5fac-4cfb-b789-b4e4b4964aab"]}],"mendeley":{"formattedCitation":"(Karim Faiz et al., 2022)","plainTextFormattedCitation":"(Karim Faiz et al., 2022)","previouslyFormattedCitation":"(Karim Faiz et al., 2022)"},"properties":{"noteIndex":0},"schema":"https://github.com/citation-style-language/schema/raw/master/csl-citation.json"}</w:instrText>
      </w:r>
      <w:r>
        <w:rPr>
          <w:rFonts w:ascii="Calibri Light" w:hAnsi="Calibri Light" w:cs="Calibri Light"/>
          <w:sz w:val="24"/>
          <w:szCs w:val="24"/>
          <w:lang w:val="id-ID"/>
        </w:rPr>
        <w:fldChar w:fldCharType="separate"/>
      </w:r>
      <w:r w:rsidRPr="00DC0F22">
        <w:rPr>
          <w:rFonts w:ascii="Calibri Light" w:hAnsi="Calibri Light" w:cs="Calibri Light"/>
          <w:noProof/>
          <w:sz w:val="24"/>
          <w:szCs w:val="24"/>
          <w:lang w:val="id-ID"/>
        </w:rPr>
        <w:t>(Karim Faiz et al., 2022)</w:t>
      </w:r>
      <w:r>
        <w:rPr>
          <w:rFonts w:ascii="Calibri Light" w:hAnsi="Calibri Light" w:cs="Calibri Light"/>
          <w:sz w:val="24"/>
          <w:szCs w:val="24"/>
          <w:lang w:val="id-ID"/>
        </w:rPr>
        <w:fldChar w:fldCharType="end"/>
      </w:r>
      <w:r>
        <w:rPr>
          <w:rFonts w:ascii="Calibri Light" w:hAnsi="Calibri Light" w:cs="Calibri Light"/>
          <w:sz w:val="24"/>
          <w:szCs w:val="24"/>
          <w:lang w:val="id-ID"/>
        </w:rPr>
        <w:t>.</w:t>
      </w:r>
    </w:p>
    <w:p w14:paraId="388C22D0" w14:textId="77777777" w:rsidR="00B3299C" w:rsidRPr="00BE6AEE" w:rsidRDefault="00340803" w:rsidP="00B3299C">
      <w:pPr>
        <w:spacing w:before="120" w:after="120"/>
        <w:ind w:left="440" w:right="-1" w:hanging="14"/>
        <w:jc w:val="both"/>
        <w:rPr>
          <w:rFonts w:ascii="Calibri Light" w:hAnsi="Calibri Light" w:cs="Calibri Light"/>
          <w:sz w:val="24"/>
          <w:szCs w:val="24"/>
          <w:lang w:val="id-ID"/>
        </w:rPr>
      </w:pPr>
      <w:r w:rsidRPr="00340803">
        <w:rPr>
          <w:rFonts w:ascii="Calibri Light" w:hAnsi="Calibri Light" w:cs="Calibri Light"/>
          <w:sz w:val="24"/>
          <w:szCs w:val="24"/>
          <w:lang w:val="id-ID"/>
        </w:rPr>
        <w:lastRenderedPageBreak/>
        <w:t xml:space="preserve">The moral and ethical crisis is further exacerbated by the unequal application of the law, which enables corruption and abuse of power. Corruption cases involving high-ranking public officials—including those within law enforcement institutions—illustrate how legal authorities often stray from their moral responsibilities. The prevalence of judicial mafia practices and the abuse of power by law enforcement personnel have further deteriorated the credibility of the Indonesian legal system. As a result, public trust in the legal process has eroded, with the judiciary increasingly perceived as unfair and riddled with irregularities </w:t>
      </w:r>
      <w:r w:rsidR="00B3299C">
        <w:rPr>
          <w:rFonts w:ascii="Calibri Light" w:hAnsi="Calibri Light" w:cs="Calibri Light"/>
          <w:sz w:val="24"/>
          <w:szCs w:val="24"/>
          <w:lang w:val="id-ID"/>
        </w:rPr>
        <w:fldChar w:fldCharType="begin" w:fldLock="1"/>
      </w:r>
      <w:r w:rsidR="00B3299C">
        <w:rPr>
          <w:rFonts w:ascii="Calibri Light" w:hAnsi="Calibri Light" w:cs="Calibri Light"/>
          <w:sz w:val="24"/>
          <w:szCs w:val="24"/>
          <w:lang w:val="id-ID"/>
        </w:rPr>
        <w:instrText>ADDIN CSL_CITATION {"citationItems":[{"id":"ITEM-1","itemData":{"DOI":"10.1515/til-2021-0004","ISSN":"1565-1509","abstract":"According to an influential and intuitively appealing argument (the Continuity Argument), (1) morality is usually continuous, namely, a gradual change in one morally significant factor triggers a gradual change in another; (2) the law should usually track morality; (3) therefore, the law should often be continuous. This argument is illustrated by cases such as the following example: since the moral difference between a defensive action that is reasonable and one that is just short of being reasonable is small, the law should not impose a severe punishment when the action is almost reasonable and no punishment at all when the action is reasonable (as positive law sometimes does). In this Article, I consider two doubts regarding this argument. First, the premise that morality is continuous in such cases is incompatible with the common view that the moral status of actions is not continuous since there is an important difference between actions that are permissible and actions that are wrong— even if this difference is due to a difference that is very small, such as the one between an action whose consequences are the best and an action whose consequences are just slightly less good. This view extends also to the overall moral status of agents given the common assumption that it depends on the moral status of their actions. This is an important challenge that the Continuity Argument should confront. However, I argue that the best account of morality is more scalar than the common view in these respects. Therefore, I conclude that the first premise of the Continuity Argument is correct in this regard, although it is based on a minority view. The second doubt concerns the scope of the second premise: since there are reasons both in favor and against legal continuity, and the applicability and force of these reasons depend not only on various moral propositions but also on contingent non-moral facts, we often lack the evidence to determine the degree to which the law, at a certain place and time, should be continuous, and specifically that it should often be continuous .","author":[{"dropping-particle":"","family":"Segev","given":"Re’em","non-dropping-particle":"","parse-names":false,"suffix":""}],"container-title":"Theoretical Inquiries in Law","id":"ITEM-1","issue":"1","issued":{"date-parts":[["2021","1","27"]]},"page":"45-85","title":"Continuity in Morality and Law","type":"article-journal","volume":"22"},"uris":["http://www.mendeley.com/documents/?uuid=48018a18-42dc-4fea-9364-cb8172239253"]}],"mendeley":{"formattedCitation":"(Segev, 2021)","plainTextFormattedCitation":"(Segev, 2021)","previouslyFormattedCitation":"(Segev, 2021)"},"properties":{"noteIndex":0},"schema":"https://github.com/citation-style-language/schema/raw/master/csl-citation.json"}</w:instrText>
      </w:r>
      <w:r w:rsidR="00B3299C">
        <w:rPr>
          <w:rFonts w:ascii="Calibri Light" w:hAnsi="Calibri Light" w:cs="Calibri Light"/>
          <w:sz w:val="24"/>
          <w:szCs w:val="24"/>
          <w:lang w:val="id-ID"/>
        </w:rPr>
        <w:fldChar w:fldCharType="separate"/>
      </w:r>
      <w:r w:rsidR="00B3299C" w:rsidRPr="00DC0F22">
        <w:rPr>
          <w:rFonts w:ascii="Calibri Light" w:hAnsi="Calibri Light" w:cs="Calibri Light"/>
          <w:noProof/>
          <w:sz w:val="24"/>
          <w:szCs w:val="24"/>
          <w:lang w:val="id-ID"/>
        </w:rPr>
        <w:t>(Segev, 2021)</w:t>
      </w:r>
      <w:r w:rsidR="00B3299C">
        <w:rPr>
          <w:rFonts w:ascii="Calibri Light" w:hAnsi="Calibri Light" w:cs="Calibri Light"/>
          <w:sz w:val="24"/>
          <w:szCs w:val="24"/>
          <w:lang w:val="id-ID"/>
        </w:rPr>
        <w:fldChar w:fldCharType="end"/>
      </w:r>
      <w:r w:rsidR="00B3299C" w:rsidRPr="00BE6AEE">
        <w:rPr>
          <w:rFonts w:ascii="Calibri Light" w:hAnsi="Calibri Light" w:cs="Calibri Light"/>
          <w:sz w:val="24"/>
          <w:szCs w:val="24"/>
          <w:lang w:val="id-ID"/>
        </w:rPr>
        <w:t>.</w:t>
      </w:r>
    </w:p>
    <w:p w14:paraId="73204493" w14:textId="77777777" w:rsidR="00B3299C" w:rsidRDefault="00340803" w:rsidP="00B3299C">
      <w:pPr>
        <w:spacing w:before="120" w:after="120"/>
        <w:ind w:left="440" w:right="-1" w:hanging="14"/>
        <w:jc w:val="both"/>
        <w:rPr>
          <w:rFonts w:ascii="Calibri Light" w:hAnsi="Calibri Light" w:cs="Calibri Light"/>
          <w:sz w:val="24"/>
          <w:szCs w:val="24"/>
          <w:lang w:val="id-ID"/>
        </w:rPr>
      </w:pPr>
      <w:r w:rsidRPr="00340803">
        <w:rPr>
          <w:rFonts w:ascii="Calibri Light" w:hAnsi="Calibri Light" w:cs="Calibri Light"/>
          <w:sz w:val="24"/>
          <w:szCs w:val="24"/>
          <w:lang w:val="id-ID"/>
        </w:rPr>
        <w:t xml:space="preserve">Ultimately, the decline of law enforcement in Indonesia can be attributed to a profound crisis of morality and religious ethics </w:t>
      </w:r>
      <w:r w:rsidR="00B3299C">
        <w:rPr>
          <w:rFonts w:ascii="Calibri Light" w:hAnsi="Calibri Light" w:cs="Calibri Light"/>
          <w:sz w:val="24"/>
          <w:szCs w:val="24"/>
          <w:lang w:val="id-ID"/>
        </w:rPr>
        <w:fldChar w:fldCharType="begin" w:fldLock="1"/>
      </w:r>
      <w:r w:rsidR="00B3299C">
        <w:rPr>
          <w:rFonts w:ascii="Calibri Light" w:hAnsi="Calibri Light" w:cs="Calibri Light"/>
          <w:sz w:val="24"/>
          <w:szCs w:val="24"/>
          <w:lang w:val="id-ID"/>
        </w:rPr>
        <w:instrText>ADDIN CSL_CITATION {"citationItems":[{"id":"ITEM-1","itemData":{"DOI":"10.30965/23642807-bja10009","ISSN":"2365-3140","abstract":"This article examines the challenges which arise for Catholic canon law from the collision with secular law and the law of other religious communities. It begins by looking at the conditions provided by canon law itself in order to meet these challenges. Subsequently it addresses the specific challenges posed by secular law, especially human rights, and its general influence. Finally, it discusses the challenges posed by religious pluralism, first clarifying the church’s legal relationship with other religious communities and then addressing the very specific question of why church law also applies to non-members in certain cases. The conclusion is that catholic canon law is better equipped to face the current challenges than other religious laws. Nevertheless, there are fruitful tensions and inevitable breaks.","author":[{"dropping-particle":"","family":"Berkmann","given":"Burkhard Josef","non-dropping-particle":"","parse-names":false,"suffix":""},{"dropping-particle":"","family":"Fries","given":"Augustinus","non-dropping-particle":"","parse-names":false,"suffix":""}],"container-title":"Interdisciplinary Journal for Religion and Transformation in Contemporary Society","id":"ITEM-1","issue":"1","issued":{"date-parts":[["2021","7","8"]]},"page":"95-124","title":"Catholic Church Law: Challenges by Secular Law and Religious Pluralism","type":"article-journal","volume":"7"},"uris":["http://www.mendeley.com/documents/?uuid=c583948b-3983-405d-93c9-a17c270a9fb0"]}],"mendeley":{"formattedCitation":"(Berkmann &amp; Fries, 2021)","plainTextFormattedCitation":"(Berkmann &amp; Fries, 2021)","previouslyFormattedCitation":"(Berkmann &amp; Fries, 2021)"},"properties":{"noteIndex":0},"schema":"https://github.com/citation-style-language/schema/raw/master/csl-citation.json"}</w:instrText>
      </w:r>
      <w:r w:rsidR="00B3299C">
        <w:rPr>
          <w:rFonts w:ascii="Calibri Light" w:hAnsi="Calibri Light" w:cs="Calibri Light"/>
          <w:sz w:val="24"/>
          <w:szCs w:val="24"/>
          <w:lang w:val="id-ID"/>
        </w:rPr>
        <w:fldChar w:fldCharType="separate"/>
      </w:r>
      <w:r w:rsidR="00B3299C" w:rsidRPr="00DC0F22">
        <w:rPr>
          <w:rFonts w:ascii="Calibri Light" w:hAnsi="Calibri Light" w:cs="Calibri Light"/>
          <w:noProof/>
          <w:sz w:val="24"/>
          <w:szCs w:val="24"/>
          <w:lang w:val="id-ID"/>
        </w:rPr>
        <w:t>(Berkmann &amp; Fries, 2021)</w:t>
      </w:r>
      <w:r w:rsidR="00B3299C">
        <w:rPr>
          <w:rFonts w:ascii="Calibri Light" w:hAnsi="Calibri Light" w:cs="Calibri Light"/>
          <w:sz w:val="24"/>
          <w:szCs w:val="24"/>
          <w:lang w:val="id-ID"/>
        </w:rPr>
        <w:fldChar w:fldCharType="end"/>
      </w:r>
      <w:r w:rsidR="00B3299C" w:rsidRPr="00BE6AEE">
        <w:rPr>
          <w:rFonts w:ascii="Calibri Light" w:hAnsi="Calibri Light" w:cs="Calibri Light"/>
          <w:sz w:val="24"/>
          <w:szCs w:val="24"/>
          <w:lang w:val="id-ID"/>
        </w:rPr>
        <w:t xml:space="preserve">. </w:t>
      </w:r>
      <w:r w:rsidRPr="00340803">
        <w:rPr>
          <w:rFonts w:ascii="Calibri Light" w:hAnsi="Calibri Light" w:cs="Calibri Light"/>
          <w:sz w:val="24"/>
          <w:szCs w:val="24"/>
          <w:lang w:val="id-ID"/>
        </w:rPr>
        <w:t xml:space="preserve">The root of this problem lies in the insufficient emphasis on </w:t>
      </w:r>
      <w:r>
        <w:rPr>
          <w:rFonts w:ascii="Calibri Light" w:hAnsi="Calibri Light" w:cs="Calibri Light"/>
          <w:sz w:val="24"/>
          <w:szCs w:val="24"/>
          <w:lang w:val="id-ID"/>
        </w:rPr>
        <w:t>religion</w:t>
      </w:r>
      <w:r w:rsidRPr="00340803">
        <w:rPr>
          <w:rFonts w:ascii="Calibri Light" w:hAnsi="Calibri Light" w:cs="Calibri Light"/>
          <w:sz w:val="24"/>
          <w:szCs w:val="24"/>
          <w:lang w:val="id-ID"/>
        </w:rPr>
        <w:t xml:space="preserve">-based moral education in shaping the character of law enforcement officers, as well as the absence of religious values in legal reform efforts. Addressing this crisis requires a concerted effort to integrate morality and religious ethics into law enforcement practices. This can be achieved by strengthening character education rooted in religious principles, enhancing the oversight and accountability mechanisms for legal officials, and promoting legal reforms that align with fundamental and universal principles of justice </w:t>
      </w:r>
      <w:r w:rsidR="00B3299C">
        <w:rPr>
          <w:rFonts w:ascii="Calibri Light" w:hAnsi="Calibri Light" w:cs="Calibri Light"/>
          <w:sz w:val="24"/>
          <w:szCs w:val="24"/>
          <w:lang w:val="id-ID"/>
        </w:rPr>
        <w:fldChar w:fldCharType="begin" w:fldLock="1"/>
      </w:r>
      <w:r w:rsidR="00B3299C">
        <w:rPr>
          <w:rFonts w:ascii="Calibri Light" w:hAnsi="Calibri Light" w:cs="Calibri Light"/>
          <w:sz w:val="24"/>
          <w:szCs w:val="24"/>
          <w:lang w:val="id-ID"/>
        </w:rPr>
        <w:instrText>ADDIN CSL_CITATION {"citationItems":[{"id":"ITEM-1","itemData":{"DOI":"10.1093/ojlr/rwac009","ISSN":"2047-0770","container-title":"Oxford Journal of Law and Religion","id":"ITEM-1","issue":"1","issued":{"date-parts":[["2023","2","11"]]},"page":"175-175","title":"Correction to: Indonesia's Supreme Court Judgment on Religious Clothing: Failing Women and Girls in Public Schools?","type":"article-journal","volume":"11"},"uris":["http://www.mendeley.com/documents/?uuid=c66a0081-bfbe-4552-b5e8-0619f6666611"]}],"mendeley":{"formattedCitation":"(“Correction to: Indonesia’s Supreme Court Judgment on Religious Clothing: Failing Women and Girls in Public Schools?,” 2023)","plainTextFormattedCitation":"(“Correction to: Indonesia’s Supreme Court Judgment on Religious Clothing: Failing Women and Girls in Public Schools?,” 2023)","previouslyFormattedCitation":"(“Correction to: Indonesia’s Supreme Court Judgment on Religious Clothing: Failing Women and Girls in Public Schools?,” 2023)"},"properties":{"noteIndex":0},"schema":"https://github.com/citation-style-language/schema/raw/master/csl-citation.json"}</w:instrText>
      </w:r>
      <w:r w:rsidR="00B3299C">
        <w:rPr>
          <w:rFonts w:ascii="Calibri Light" w:hAnsi="Calibri Light" w:cs="Calibri Light"/>
          <w:sz w:val="24"/>
          <w:szCs w:val="24"/>
          <w:lang w:val="id-ID"/>
        </w:rPr>
        <w:fldChar w:fldCharType="separate"/>
      </w:r>
      <w:r w:rsidR="00B3299C" w:rsidRPr="00900EAA">
        <w:rPr>
          <w:rFonts w:ascii="Calibri Light" w:hAnsi="Calibri Light" w:cs="Calibri Light"/>
          <w:noProof/>
          <w:sz w:val="24"/>
          <w:szCs w:val="24"/>
          <w:lang w:val="id-ID"/>
        </w:rPr>
        <w:t>(“Correction to: Indonesia’s Supreme Court Judgment on Religious Clothing: Failing Women and Girls in Public Schools?,” 2023)</w:t>
      </w:r>
      <w:r w:rsidR="00B3299C">
        <w:rPr>
          <w:rFonts w:ascii="Calibri Light" w:hAnsi="Calibri Light" w:cs="Calibri Light"/>
          <w:sz w:val="24"/>
          <w:szCs w:val="24"/>
          <w:lang w:val="id-ID"/>
        </w:rPr>
        <w:fldChar w:fldCharType="end"/>
      </w:r>
      <w:r w:rsidR="00B3299C">
        <w:rPr>
          <w:rFonts w:ascii="Calibri Light" w:hAnsi="Calibri Light" w:cs="Calibri Light"/>
          <w:sz w:val="24"/>
          <w:szCs w:val="24"/>
          <w:lang w:val="id-ID"/>
        </w:rPr>
        <w:t>.</w:t>
      </w:r>
    </w:p>
    <w:p w14:paraId="37F3B264" w14:textId="77777777" w:rsidR="00B3299C" w:rsidRDefault="00B3299C" w:rsidP="00B3299C">
      <w:pPr>
        <w:spacing w:before="120" w:after="120"/>
        <w:ind w:left="440" w:right="-1" w:hanging="14"/>
        <w:jc w:val="both"/>
        <w:rPr>
          <w:rFonts w:ascii="Calibri Light" w:hAnsi="Calibri Light" w:cs="Calibri Light"/>
          <w:b/>
          <w:bCs/>
          <w:sz w:val="24"/>
          <w:szCs w:val="24"/>
          <w:lang w:val="id-ID"/>
        </w:rPr>
      </w:pPr>
      <w:r w:rsidRPr="007617C8">
        <w:rPr>
          <w:rFonts w:ascii="Calibri Light" w:hAnsi="Calibri Light" w:cs="Calibri Light"/>
          <w:b/>
          <w:bCs/>
          <w:sz w:val="24"/>
          <w:szCs w:val="24"/>
          <w:lang w:val="id-ID"/>
        </w:rPr>
        <w:t>The Impact of Law Enforcement Decadence: A Religious Morality and Ethics Perspective</w:t>
      </w:r>
    </w:p>
    <w:p w14:paraId="1B0F6AE4" w14:textId="77777777" w:rsidR="00B3299C" w:rsidRPr="00A77709" w:rsidRDefault="00BB2E21" w:rsidP="00B3299C">
      <w:pPr>
        <w:spacing w:before="120" w:after="120"/>
        <w:ind w:left="440" w:right="-1" w:hanging="14"/>
        <w:jc w:val="both"/>
        <w:rPr>
          <w:rFonts w:ascii="Calibri Light" w:hAnsi="Calibri Light" w:cs="Calibri Light"/>
          <w:sz w:val="24"/>
          <w:szCs w:val="24"/>
          <w:lang w:val="id-ID"/>
        </w:rPr>
      </w:pPr>
      <w:r w:rsidRPr="00BB2E21">
        <w:rPr>
          <w:rFonts w:ascii="Calibri Light" w:hAnsi="Calibri Light" w:cs="Calibri Light"/>
          <w:sz w:val="24"/>
          <w:szCs w:val="24"/>
          <w:lang w:val="id-ID"/>
        </w:rPr>
        <w:t>Law enforcement serves as a fundamental pillar in maintaining order and justice within society. However, when law enforcement deteriorates, the consequences extend beyond legal and political realms, affecting moral and ethical foundations as well. The decline of law enforcement—often marked by corruption, nepotism, and a lack of integrity among legal officials—undermines the principles of fairness and justice that should be upheld</w:t>
      </w:r>
      <w:r>
        <w:rPr>
          <w:rFonts w:ascii="Calibri Light" w:hAnsi="Calibri Light" w:cs="Calibri Light"/>
          <w:sz w:val="24"/>
          <w:szCs w:val="24"/>
          <w:lang w:val="id-ID"/>
        </w:rPr>
        <w:t xml:space="preserve"> </w:t>
      </w:r>
      <w:r w:rsidR="00B3299C">
        <w:rPr>
          <w:rFonts w:ascii="Calibri Light" w:hAnsi="Calibri Light" w:cs="Calibri Light"/>
          <w:sz w:val="24"/>
          <w:szCs w:val="24"/>
          <w:lang w:val="id-ID"/>
        </w:rPr>
        <w:fldChar w:fldCharType="begin" w:fldLock="1"/>
      </w:r>
      <w:r w:rsidR="00B3299C">
        <w:rPr>
          <w:rFonts w:ascii="Calibri Light" w:hAnsi="Calibri Light" w:cs="Calibri Light"/>
          <w:sz w:val="24"/>
          <w:szCs w:val="24"/>
          <w:lang w:val="id-ID"/>
        </w:rPr>
        <w:instrText>ADDIN CSL_CITATION {"citationItems":[{"id":"ITEM-1","itemData":{"DOI":"10.1017/jlr.2021.44","ISSN":"0748-0814","abstract":"This article explores one tumultuous encounter between a religious legal tradition and the modern principle of equality—an encounter that also has the potential to shed light on a much wider cluster of questions. The author tracks the ways that the responsa written by prominent Conservative rabbis on the subject of female rabbinic ordination and gender equality implicitly (but unambiguously) reflect the push toward increased equality that weighed on the movement's trajectory, showing that the debate about the ordination of female rabbis reveals two principal trends in Conservative legal rulings, which differ in their responses to the challenge of egalitarianism and their visions of the law, and notes two outlier responsa that cannot be neatly classified within either trend. The author then examines the deep-seated historical, ideational, and sociological processes concurrent with the rise of what some have called the egalitarian age, which have produced these diverging responses and visions, and it determines an appropriate framework to understand them. The author shows that the fight for increased gender equality is situated within an intricate social context that imbues it with meaning and shapes its outcomes and modes of expression. In concluding, the author suggests applying the insights gained in the course of the analysis to other circumstances in which gender egalitarianism clashes with religious tradition. The framework by which the ordination of women in the Conservative movement is analyzed also proves useful, mutatis mutandis , in understanding and comparing the responses of other faith communities as they deal with challenges caused by the egalitarian age.","author":[{"dropping-particle":"","family":"Bloch","given":"Emmanuel","non-dropping-particle":"","parse-names":false,"suffix":""}],"container-title":"Journal of Law and Religion","id":"ITEM-1","issue":"2","issued":{"date-parts":[["2021","8","26"]]},"page":"255-277","title":"GENDER EQUALITY AND RELIGIOUS LAW: THE ORDINATION OF WOMEN AS RABBIS IN THE CONSERVATIVE MOVEMENT AS A CASE STUDY","type":"article-journal","volume":"36"},"uris":["http://www.mendeley.com/documents/?uuid=eba6ad96-8fbf-4b74-8599-4b8568684365"]}],"mendeley":{"formattedCitation":"(Bloch, 2021)","plainTextFormattedCitation":"(Bloch, 2021)","previouslyFormattedCitation":"(Bloch, 2021)"},"properties":{"noteIndex":0},"schema":"https://github.com/citation-style-language/schema/raw/master/csl-citation.json"}</w:instrText>
      </w:r>
      <w:r w:rsidR="00B3299C">
        <w:rPr>
          <w:rFonts w:ascii="Calibri Light" w:hAnsi="Calibri Light" w:cs="Calibri Light"/>
          <w:sz w:val="24"/>
          <w:szCs w:val="24"/>
          <w:lang w:val="id-ID"/>
        </w:rPr>
        <w:fldChar w:fldCharType="separate"/>
      </w:r>
      <w:r w:rsidR="00B3299C" w:rsidRPr="00900EAA">
        <w:rPr>
          <w:rFonts w:ascii="Calibri Light" w:hAnsi="Calibri Light" w:cs="Calibri Light"/>
          <w:noProof/>
          <w:sz w:val="24"/>
          <w:szCs w:val="24"/>
          <w:lang w:val="id-ID"/>
        </w:rPr>
        <w:t>(Bloch, 2021)</w:t>
      </w:r>
      <w:r w:rsidR="00B3299C">
        <w:rPr>
          <w:rFonts w:ascii="Calibri Light" w:hAnsi="Calibri Light" w:cs="Calibri Light"/>
          <w:sz w:val="24"/>
          <w:szCs w:val="24"/>
          <w:lang w:val="id-ID"/>
        </w:rPr>
        <w:fldChar w:fldCharType="end"/>
      </w:r>
      <w:r w:rsidR="00B3299C" w:rsidRPr="00A77709">
        <w:rPr>
          <w:rFonts w:ascii="Calibri Light" w:hAnsi="Calibri Light" w:cs="Calibri Light"/>
          <w:sz w:val="24"/>
          <w:szCs w:val="24"/>
          <w:lang w:val="id-ID"/>
        </w:rPr>
        <w:t xml:space="preserve">. </w:t>
      </w:r>
      <w:r w:rsidRPr="00BB2E21">
        <w:rPr>
          <w:rFonts w:ascii="Calibri Light" w:hAnsi="Calibri Light" w:cs="Calibri Light"/>
          <w:sz w:val="24"/>
          <w:szCs w:val="24"/>
          <w:lang w:val="id-ID"/>
        </w:rPr>
        <w:t>From the perspective of morality and religious ethics, this situation presents a profound challenge to the values of honesty, integrity, and social responsibility</w:t>
      </w:r>
      <w:r w:rsidR="00B3299C" w:rsidRPr="00A77709">
        <w:rPr>
          <w:rFonts w:ascii="Calibri Light" w:hAnsi="Calibri Light" w:cs="Calibri Light"/>
          <w:sz w:val="24"/>
          <w:szCs w:val="24"/>
          <w:lang w:val="id-ID"/>
        </w:rPr>
        <w:t>.</w:t>
      </w:r>
    </w:p>
    <w:p w14:paraId="39846806" w14:textId="728F8B94" w:rsidR="00B3299C" w:rsidRPr="00A77709" w:rsidRDefault="00BB2E21" w:rsidP="00B3299C">
      <w:pPr>
        <w:spacing w:before="120" w:after="120"/>
        <w:ind w:left="440" w:right="-1" w:hanging="14"/>
        <w:jc w:val="both"/>
        <w:rPr>
          <w:rFonts w:ascii="Calibri Light" w:hAnsi="Calibri Light" w:cs="Calibri Light"/>
          <w:sz w:val="24"/>
          <w:szCs w:val="24"/>
        </w:rPr>
      </w:pPr>
      <w:r w:rsidRPr="00BB2E21">
        <w:rPr>
          <w:rFonts w:ascii="Calibri Light" w:hAnsi="Calibri Light" w:cs="Calibri Light"/>
          <w:sz w:val="24"/>
          <w:szCs w:val="24"/>
        </w:rPr>
        <w:t>One of the most significant consequences of weak law enforcement is the erosion of public morality</w:t>
      </w:r>
      <w:r w:rsidR="00CB2E20">
        <w:rPr>
          <w:rFonts w:ascii="Calibri Light" w:hAnsi="Calibri Light" w:cs="Calibri Light"/>
          <w:sz w:val="24"/>
          <w:szCs w:val="24"/>
        </w:rPr>
        <w:fldChar w:fldCharType="begin" w:fldLock="1"/>
      </w:r>
      <w:r w:rsidR="00CB2E20">
        <w:rPr>
          <w:rFonts w:ascii="Calibri Light" w:hAnsi="Calibri Light" w:cs="Calibri Light"/>
          <w:sz w:val="24"/>
          <w:szCs w:val="24"/>
        </w:rPr>
        <w:instrText>ADDIN CSL_CITATION {"citationItems":[{"id":"ITEM-1","itemData":{"DOI":"10.15408/ajis.v24i2.36070","ISSN":"24078646","abstract":"This study explores the culture of Abhakalan in Madura in the context of early marriage, analyzing its intersections with customary law, religion, and the state. While aimed at preserving family honor, this practice often prioritizes the principle of ḍarran (harm), leading to gender inequality and injustices toward women. The research seeks to evaluate the implications of this cultural practice on women's rights and gender equality, using an empirical legal method grounded in conflict theory and social change, combined with Islamic concepts of ‘urf (accepted custom), naf'an (benefit), and ḍarran (harm). Findings indicate that Abhakalan culture denies women agency in marriage decisions, perpetuating stereotypes of female inferiority and limiting their opportunities for empowerment and education. This study highlights the need for cultural reform through gender advocacy, mindset shifts, and family economic empowerment. By fostering dialogue among customary law, religion, and state policies, the research underscores pathways to equitable and sustainable gender equality.","author":[{"dropping-particle":"","family":"Setiyawan","given":"Deni","non-dropping-particle":"","parse-names":false,"suffix":""},{"dropping-particle":"","family":"Wahyuningsih","given":"Sri Endah","non-dropping-particle":"","parse-names":false,"suffix":""},{"dropping-particle":"","family":"Hafidz","given":"Jawade","non-dropping-particle":"","parse-names":false,"suffix":""},{"dropping-particle":"","family":"Mashdurohatun","given":"Anis","non-dropping-particle":"","parse-names":false,"suffix":""},{"dropping-particle":"","family":"Benseghir","given":"Mourad","non-dropping-particle":"","parse-names":false,"suffix":""}],"container-title":"Ahkam: Jurnal Ilmu Syariah","id":"ITEM-1","issue":"2","issued":{"date-parts":[["2024"]]},"page":"345-364","title":"Exploring Abhakalan Culture (Early Marriage) in Madura: A Dialogue of Customary Law, Religion, and The State","type":"article-journal","volume":"24"},"uris":["http://www.mendeley.com/documents/?uuid=ae7e7120-a556-41a9-bd85-6faed800b13c"]}],"mendeley":{"formattedCitation":"(Setiyawan et al., 2024)","plainTextFormattedCitation":"(Setiyawan et al., 2024)"},"properties":{"noteIndex":0},"schema":"https://github.com/citation-style-language/schema/raw/master/csl-citation.json"}</w:instrText>
      </w:r>
      <w:r w:rsidR="00CB2E20">
        <w:rPr>
          <w:rFonts w:ascii="Calibri Light" w:hAnsi="Calibri Light" w:cs="Calibri Light"/>
          <w:sz w:val="24"/>
          <w:szCs w:val="24"/>
        </w:rPr>
        <w:fldChar w:fldCharType="separate"/>
      </w:r>
      <w:r w:rsidR="00CB2E20" w:rsidRPr="00CB2E20">
        <w:rPr>
          <w:rFonts w:ascii="Calibri Light" w:hAnsi="Calibri Light" w:cs="Calibri Light"/>
          <w:noProof/>
          <w:sz w:val="24"/>
          <w:szCs w:val="24"/>
        </w:rPr>
        <w:t>(Setiyawan et al., 2024)</w:t>
      </w:r>
      <w:r w:rsidR="00CB2E20">
        <w:rPr>
          <w:rFonts w:ascii="Calibri Light" w:hAnsi="Calibri Light" w:cs="Calibri Light"/>
          <w:sz w:val="24"/>
          <w:szCs w:val="24"/>
        </w:rPr>
        <w:fldChar w:fldCharType="end"/>
      </w:r>
      <w:r w:rsidRPr="00BB2E21">
        <w:rPr>
          <w:rFonts w:ascii="Calibri Light" w:hAnsi="Calibri Light" w:cs="Calibri Light"/>
          <w:sz w:val="24"/>
          <w:szCs w:val="24"/>
        </w:rPr>
        <w:t>. When laws are not applied fairly and transparently, public trust in the legal system diminishes. As a result, individuals may begin to disregard moral principles in their daily lives. If people witness the law being manipulated by those with power and resources, the broader societal commitment to honesty and justice weakens. From a religious standpoint, such injustice contradicts fundamental teachings that emphasize truth and righteousness</w:t>
      </w:r>
      <w:r>
        <w:rPr>
          <w:rFonts w:ascii="Calibri Light" w:hAnsi="Calibri Light" w:cs="Calibri Light"/>
          <w:sz w:val="24"/>
          <w:szCs w:val="24"/>
        </w:rPr>
        <w:t xml:space="preserve"> </w:t>
      </w:r>
      <w:r w:rsidR="00B3299C">
        <w:rPr>
          <w:rFonts w:ascii="Calibri Light" w:hAnsi="Calibri Light" w:cs="Calibri Light"/>
          <w:sz w:val="24"/>
          <w:szCs w:val="24"/>
        </w:rPr>
        <w:fldChar w:fldCharType="begin" w:fldLock="1"/>
      </w:r>
      <w:r w:rsidR="00B3299C">
        <w:rPr>
          <w:rFonts w:ascii="Calibri Light" w:hAnsi="Calibri Light" w:cs="Calibri Light"/>
          <w:sz w:val="24"/>
          <w:szCs w:val="24"/>
        </w:rPr>
        <w:instrText>ADDIN CSL_CITATION {"citationItems":[{"id":"ITEM-1","itemData":{"DOI":"10.57096/edunity.v1i05.39","ISSN":"2964-8653","abstract":"Law enforcement has a strategic role in determining the quality of law enforcement in a country. In Indonesia, the performance of law enforcers is often considered unsatisfactory. This public dissatisfaction is a sign of weak law enforcement in Indonesia. The law which is considered a way to seek justice for society gives a sense of injustice. One of the causes of weak law enforcement in Indonesia is the quality of law enforcement. The low level of morality results in a lack of professionalism and unwillingness to enforce law enforcement. This morality is also related to corruption by law enforcement officers (judicial corruption). Law enforcers who are supposed to enforce the law are involved in corrupt practices. This low mortality causes law enforcement in Indonesia to be weak. Law enforcement will be strong and respected if law enforcers act professionally, and honestly and apply the principles of good governance. One example of weak law enforcement fines for drivers who violate traffic rules. Not a few motorists who do not want to be tried in court and choose the \"peaceful place\" route. This has been happening for years so it has become an open secret. As a result, there is public distrust of law enforcement. If not resolved immediately, this public distrust can lead to vigilante action. People who don't trust law enforcement may prefer to solve problems with violence or their way. A legal expert Leon Duguit said that the law is a rule of public behavior that must be obeyed as a guarantee of the common interest, which if violated will lead to criticism as a reaction. Meanwhile, law enforcement is a system in which there is a government or state institution that acts in an organized manner to ensure justice and order by using instruments or tools of power.","author":[{"dropping-particle":"","family":"Sakti Koeswanto","given":"Eka","non-dropping-particle":"","parse-names":false,"suffix":""},{"dropping-particle":"","family":"Riswandi","given":"Riswandi","non-dropping-particle":"","parse-names":false,"suffix":""},{"dropping-particle":"","family":"Redi","given":"Ahmad","non-dropping-particle":"","parse-names":false,"suffix":""}],"container-title":"Edunity Kajian Ilmu Sosial dan Pendidikan","id":"ITEM-1","issue":"1","issued":{"date-parts":[["2023","1","15"]]},"page":"78-86","title":"Implications of Public Trust Due to Weak Law Enforcement Morality","type":"article-journal","volume":"2"},"uris":["http://www.mendeley.com/documents/?uuid=b226304d-7905-410d-9f65-27dfc0f4c5a2"]}],"mendeley":{"formattedCitation":"(Sakti Koeswanto et al., 2023)","plainTextFormattedCitation":"(Sakti Koeswanto et al., 2023)","previouslyFormattedCitation":"(Sakti Koeswanto et al., 2023)"},"properties":{"noteIndex":0},"schema":"https://github.com/citation-style-language/schema/raw/master/csl-citation.json"}</w:instrText>
      </w:r>
      <w:r w:rsidR="00B3299C">
        <w:rPr>
          <w:rFonts w:ascii="Calibri Light" w:hAnsi="Calibri Light" w:cs="Calibri Light"/>
          <w:sz w:val="24"/>
          <w:szCs w:val="24"/>
        </w:rPr>
        <w:fldChar w:fldCharType="separate"/>
      </w:r>
      <w:r w:rsidR="00B3299C" w:rsidRPr="00900EAA">
        <w:rPr>
          <w:rFonts w:ascii="Calibri Light" w:hAnsi="Calibri Light" w:cs="Calibri Light"/>
          <w:noProof/>
          <w:sz w:val="24"/>
          <w:szCs w:val="24"/>
        </w:rPr>
        <w:t>(Sakti Koeswanto et al., 2023)</w:t>
      </w:r>
      <w:r w:rsidR="00B3299C">
        <w:rPr>
          <w:rFonts w:ascii="Calibri Light" w:hAnsi="Calibri Light" w:cs="Calibri Light"/>
          <w:sz w:val="24"/>
          <w:szCs w:val="24"/>
        </w:rPr>
        <w:fldChar w:fldCharType="end"/>
      </w:r>
      <w:r w:rsidR="00B3299C" w:rsidRPr="00A77709">
        <w:rPr>
          <w:rFonts w:ascii="Calibri Light" w:hAnsi="Calibri Light" w:cs="Calibri Light"/>
          <w:sz w:val="24"/>
          <w:szCs w:val="24"/>
        </w:rPr>
        <w:t>.</w:t>
      </w:r>
    </w:p>
    <w:p w14:paraId="279774B0" w14:textId="77777777" w:rsidR="00B3299C" w:rsidRPr="00A77709" w:rsidRDefault="00BB2E21" w:rsidP="00B3299C">
      <w:pPr>
        <w:spacing w:before="120" w:after="120"/>
        <w:ind w:left="440" w:right="-1" w:hanging="14"/>
        <w:jc w:val="both"/>
        <w:rPr>
          <w:rFonts w:ascii="Calibri Light" w:hAnsi="Calibri Light" w:cs="Calibri Light"/>
          <w:sz w:val="24"/>
          <w:szCs w:val="24"/>
        </w:rPr>
      </w:pPr>
      <w:r w:rsidRPr="00BB2E21">
        <w:rPr>
          <w:rFonts w:ascii="Calibri Light" w:hAnsi="Calibri Light" w:cs="Calibri Light"/>
          <w:sz w:val="24"/>
          <w:szCs w:val="24"/>
        </w:rPr>
        <w:t xml:space="preserve">Another troubling aspect of law enforcement decadence is the abuse of authority by legal officials. Corruption, bribery, and discriminatory practices become commonplace in a system where ethical standards are compromised. From a religious ethical perspective, such actions constitute a betrayal of the moral and legal responsibility entrusted to those in power. Instead of serving as guardians of justice, corrupt officials contribute to a culture where unethical behavior is normalized </w:t>
      </w:r>
      <w:r w:rsidR="00B3299C">
        <w:rPr>
          <w:rFonts w:ascii="Calibri Light" w:hAnsi="Calibri Light" w:cs="Calibri Light"/>
          <w:sz w:val="24"/>
          <w:szCs w:val="24"/>
        </w:rPr>
        <w:fldChar w:fldCharType="begin" w:fldLock="1"/>
      </w:r>
      <w:r w:rsidR="00B3299C">
        <w:rPr>
          <w:rFonts w:ascii="Calibri Light" w:hAnsi="Calibri Light" w:cs="Calibri Light"/>
          <w:sz w:val="24"/>
          <w:szCs w:val="24"/>
        </w:rPr>
        <w:instrText>ADDIN CSL_CITATION {"citationItems":[{"id":"ITEM-1","itemData":{"DOI":"10.1007/978-3-030-64163-4_1","author":[{"dropping-particle":"","family":"Masferrer","given":"Aniceto","non-dropping-particle":"","parse-names":false,"suffix":""}],"id":"ITEM-1","issued":{"date-parts":[["2020"]]},"page":"1-27","title":"Criminal Law and Morality Revisited: Interdisciplinary Perspectives","type":"chapter"},"uris":["http://www.mendeley.com/documents/?uuid=981d8260-4d85-461d-a8df-78454e82cb9f"]}],"mendeley":{"formattedCitation":"(Masferrer, 2020)","plainTextFormattedCitation":"(Masferrer, 2020)","previouslyFormattedCitation":"(Masferrer, 2020)"},"properties":{"noteIndex":0},"schema":"https://github.com/citation-style-language/schema/raw/master/csl-citation.json"}</w:instrText>
      </w:r>
      <w:r w:rsidR="00B3299C">
        <w:rPr>
          <w:rFonts w:ascii="Calibri Light" w:hAnsi="Calibri Light" w:cs="Calibri Light"/>
          <w:sz w:val="24"/>
          <w:szCs w:val="24"/>
        </w:rPr>
        <w:fldChar w:fldCharType="separate"/>
      </w:r>
      <w:r w:rsidR="00B3299C" w:rsidRPr="00900EAA">
        <w:rPr>
          <w:rFonts w:ascii="Calibri Light" w:hAnsi="Calibri Light" w:cs="Calibri Light"/>
          <w:noProof/>
          <w:sz w:val="24"/>
          <w:szCs w:val="24"/>
        </w:rPr>
        <w:t>(Masferrer, 2020)</w:t>
      </w:r>
      <w:r w:rsidR="00B3299C">
        <w:rPr>
          <w:rFonts w:ascii="Calibri Light" w:hAnsi="Calibri Light" w:cs="Calibri Light"/>
          <w:sz w:val="24"/>
          <w:szCs w:val="24"/>
        </w:rPr>
        <w:fldChar w:fldCharType="end"/>
      </w:r>
      <w:r w:rsidR="00B3299C" w:rsidRPr="00A77709">
        <w:rPr>
          <w:rFonts w:ascii="Calibri Light" w:hAnsi="Calibri Light" w:cs="Calibri Light"/>
          <w:sz w:val="24"/>
          <w:szCs w:val="24"/>
        </w:rPr>
        <w:t>.</w:t>
      </w:r>
    </w:p>
    <w:p w14:paraId="78645ADA" w14:textId="77777777" w:rsidR="00B3299C" w:rsidRPr="00A77709" w:rsidRDefault="00BB2E21" w:rsidP="00B3299C">
      <w:pPr>
        <w:spacing w:before="120" w:after="120"/>
        <w:ind w:left="440" w:right="-1" w:hanging="14"/>
        <w:jc w:val="both"/>
        <w:rPr>
          <w:rFonts w:ascii="Calibri Light" w:hAnsi="Calibri Light" w:cs="Calibri Light"/>
          <w:sz w:val="24"/>
          <w:szCs w:val="24"/>
        </w:rPr>
      </w:pPr>
      <w:r w:rsidRPr="00BB2E21">
        <w:rPr>
          <w:rFonts w:ascii="Calibri Light" w:hAnsi="Calibri Light" w:cs="Calibri Light"/>
          <w:sz w:val="24"/>
          <w:szCs w:val="24"/>
        </w:rPr>
        <w:t xml:space="preserve">Social injustice is another direct outcome of a weakened legal system. In a corrupt framework, those with wealth and influence often receive preferential treatment, while marginalized communities struggle to obtain fair legal protection. The concepts of al-‘adl </w:t>
      </w:r>
      <w:r w:rsidRPr="00BB2E21">
        <w:rPr>
          <w:rFonts w:ascii="Calibri Light" w:hAnsi="Calibri Light" w:cs="Calibri Light"/>
          <w:sz w:val="24"/>
          <w:szCs w:val="24"/>
        </w:rPr>
        <w:lastRenderedPageBreak/>
        <w:t>(justice) and ihsan (benevolence) emphasize that laws should be applied equitably, without bias based on social or economic status</w:t>
      </w:r>
      <w:r>
        <w:rPr>
          <w:rFonts w:ascii="Calibri Light" w:hAnsi="Calibri Light" w:cs="Calibri Light"/>
          <w:sz w:val="24"/>
          <w:szCs w:val="24"/>
        </w:rPr>
        <w:t xml:space="preserve"> </w:t>
      </w:r>
      <w:r w:rsidR="00B3299C">
        <w:rPr>
          <w:rFonts w:ascii="Calibri Light" w:hAnsi="Calibri Light" w:cs="Calibri Light"/>
          <w:sz w:val="24"/>
          <w:szCs w:val="24"/>
        </w:rPr>
        <w:fldChar w:fldCharType="begin" w:fldLock="1"/>
      </w:r>
      <w:r w:rsidR="00B3299C">
        <w:rPr>
          <w:rFonts w:ascii="Calibri Light" w:hAnsi="Calibri Light" w:cs="Calibri Light"/>
          <w:sz w:val="24"/>
          <w:szCs w:val="24"/>
        </w:rPr>
        <w:instrText>ADDIN CSL_CITATION {"citationItems":[{"id":"ITEM-1","itemData":{"DOI":"10.2307/jj.8441774.11","author":[{"dropping-particle":"","family":"Teubner","given":"Gunther","non-dropping-particle":"","parse-names":false,"suffix":""}],"container-title":"Habermas on Law and Democracy","id":"ITEM-1","issued":{"date-parts":[["2023","11","10"]]},"page":"173-189","publisher":"University of California Press","title":"De Collisione Discursuum:","type":"chapter"},"uris":["http://www.mendeley.com/documents/?uuid=6dfa837d-64e4-4c64-bd4e-0405b26ccdbc"]}],"mendeley":{"formattedCitation":"(Teubner, 2023)","plainTextFormattedCitation":"(Teubner, 2023)","previouslyFormattedCitation":"(Teubner, 2023)"},"properties":{"noteIndex":0},"schema":"https://github.com/citation-style-language/schema/raw/master/csl-citation.json"}</w:instrText>
      </w:r>
      <w:r w:rsidR="00B3299C">
        <w:rPr>
          <w:rFonts w:ascii="Calibri Light" w:hAnsi="Calibri Light" w:cs="Calibri Light"/>
          <w:sz w:val="24"/>
          <w:szCs w:val="24"/>
        </w:rPr>
        <w:fldChar w:fldCharType="separate"/>
      </w:r>
      <w:r w:rsidR="00B3299C" w:rsidRPr="00900EAA">
        <w:rPr>
          <w:rFonts w:ascii="Calibri Light" w:hAnsi="Calibri Light" w:cs="Calibri Light"/>
          <w:noProof/>
          <w:sz w:val="24"/>
          <w:szCs w:val="24"/>
        </w:rPr>
        <w:t>(Teubner, 2023)</w:t>
      </w:r>
      <w:r w:rsidR="00B3299C">
        <w:rPr>
          <w:rFonts w:ascii="Calibri Light" w:hAnsi="Calibri Light" w:cs="Calibri Light"/>
          <w:sz w:val="24"/>
          <w:szCs w:val="24"/>
        </w:rPr>
        <w:fldChar w:fldCharType="end"/>
      </w:r>
      <w:r w:rsidR="00B3299C" w:rsidRPr="00A77709">
        <w:rPr>
          <w:rFonts w:ascii="Calibri Light" w:hAnsi="Calibri Light" w:cs="Calibri Light"/>
          <w:sz w:val="24"/>
          <w:szCs w:val="24"/>
        </w:rPr>
        <w:t>.</w:t>
      </w:r>
      <w:r>
        <w:rPr>
          <w:rFonts w:ascii="Calibri Light" w:hAnsi="Calibri Light" w:cs="Calibri Light"/>
          <w:sz w:val="24"/>
          <w:szCs w:val="24"/>
        </w:rPr>
        <w:t xml:space="preserve"> </w:t>
      </w:r>
      <w:r w:rsidRPr="00BB2E21">
        <w:rPr>
          <w:rFonts w:ascii="Calibri Light" w:hAnsi="Calibri Light" w:cs="Calibri Light"/>
          <w:sz w:val="24"/>
          <w:szCs w:val="24"/>
        </w:rPr>
        <w:t>Yet, when legal systems fail to uphold these principles, societal divisions deepen, and faith in institutions erodes.</w:t>
      </w:r>
    </w:p>
    <w:p w14:paraId="3CFE5202" w14:textId="77777777" w:rsidR="00B3299C" w:rsidRPr="00A77709" w:rsidRDefault="00BB2E21" w:rsidP="00B3299C">
      <w:pPr>
        <w:spacing w:before="120" w:after="120"/>
        <w:ind w:left="440" w:right="-1" w:hanging="14"/>
        <w:jc w:val="both"/>
        <w:rPr>
          <w:rFonts w:ascii="Calibri Light" w:hAnsi="Calibri Light" w:cs="Calibri Light"/>
          <w:sz w:val="24"/>
          <w:szCs w:val="24"/>
        </w:rPr>
      </w:pPr>
      <w:r w:rsidRPr="00BB2E21">
        <w:rPr>
          <w:rFonts w:ascii="Calibri Light" w:hAnsi="Calibri Light" w:cs="Calibri Light"/>
          <w:sz w:val="24"/>
          <w:szCs w:val="24"/>
          <w:lang w:val="id-ID"/>
        </w:rPr>
        <w:t>Furthermore, the breakdown of law enforcement weakens the collective sense of responsibility in upholding justice. When individuals see that legal mechanisms are ineffective or compromised, they may feel disengaged from the moral duty to maintain order and fairness. Religious teachings emphasize the necessity of standing against wrongdoing—such as the Islamic principle of amar ma’ruf nahi munkar (enjoining good and forbidding evil). However, when the legal system no longer functions as a reliable instrument of justice, these ethical responsibilities are increasingly neglected, contributing to rising crime and societal instability</w:t>
      </w:r>
      <w:r>
        <w:rPr>
          <w:rFonts w:ascii="Calibri Light" w:hAnsi="Calibri Light" w:cs="Calibri Light"/>
          <w:sz w:val="24"/>
          <w:szCs w:val="24"/>
          <w:lang w:val="id-ID"/>
        </w:rPr>
        <w:t xml:space="preserve"> </w:t>
      </w:r>
      <w:r w:rsidR="00B3299C">
        <w:rPr>
          <w:rFonts w:ascii="Calibri Light" w:hAnsi="Calibri Light" w:cs="Calibri Light"/>
          <w:sz w:val="24"/>
          <w:szCs w:val="24"/>
          <w:lang w:val="id-ID"/>
        </w:rPr>
        <w:fldChar w:fldCharType="begin" w:fldLock="1"/>
      </w:r>
      <w:r w:rsidR="00B3299C">
        <w:rPr>
          <w:rFonts w:ascii="Calibri Light" w:hAnsi="Calibri Light" w:cs="Calibri Light"/>
          <w:sz w:val="24"/>
          <w:szCs w:val="24"/>
          <w:lang w:val="id-ID"/>
        </w:rPr>
        <w:instrText>ADDIN CSL_CITATION {"citationItems":[{"id":"ITEM-1","itemData":{"DOI":"10.1080/01416200.2022.2080357","ISSN":"0141-6200","author":[{"dropping-particle":"","family":"Fancourt","given":"Nigel","non-dropping-particle":"","parse-names":false,"suffix":""},{"dropping-particle":"","family":"Hendek","given":"Abdurrahman","non-dropping-particle":"","parse-names":false,"suffix":""}],"container-title":"British Journal of Religious Education","id":"ITEM-1","issue":"4","issued":{"date-parts":[["2022","6","7"]]},"page":"411-419","title":"National, international and supranational perspectives on religious education, law and the judiciary: past, present and future","type":"article-journal","volume":"44"},"uris":["http://www.mendeley.com/documents/?uuid=ec283af1-e3c4-4518-9d2b-249d9953d0a0"]}],"mendeley":{"formattedCitation":"(Fancourt &amp; Hendek, 2022)","plainTextFormattedCitation":"(Fancourt &amp; Hendek, 2022)","previouslyFormattedCitation":"(Fancourt &amp; Hendek, 2022)"},"properties":{"noteIndex":0},"schema":"https://github.com/citation-style-language/schema/raw/master/csl-citation.json"}</w:instrText>
      </w:r>
      <w:r w:rsidR="00B3299C">
        <w:rPr>
          <w:rFonts w:ascii="Calibri Light" w:hAnsi="Calibri Light" w:cs="Calibri Light"/>
          <w:sz w:val="24"/>
          <w:szCs w:val="24"/>
          <w:lang w:val="id-ID"/>
        </w:rPr>
        <w:fldChar w:fldCharType="separate"/>
      </w:r>
      <w:r w:rsidR="00B3299C" w:rsidRPr="004602E8">
        <w:rPr>
          <w:rFonts w:ascii="Calibri Light" w:hAnsi="Calibri Light" w:cs="Calibri Light"/>
          <w:noProof/>
          <w:sz w:val="24"/>
          <w:szCs w:val="24"/>
          <w:lang w:val="id-ID"/>
        </w:rPr>
        <w:t>(Fancourt &amp; Hendek, 2022)</w:t>
      </w:r>
      <w:r w:rsidR="00B3299C">
        <w:rPr>
          <w:rFonts w:ascii="Calibri Light" w:hAnsi="Calibri Light" w:cs="Calibri Light"/>
          <w:sz w:val="24"/>
          <w:szCs w:val="24"/>
          <w:lang w:val="id-ID"/>
        </w:rPr>
        <w:fldChar w:fldCharType="end"/>
      </w:r>
      <w:r w:rsidR="00B3299C" w:rsidRPr="00A77709">
        <w:rPr>
          <w:rFonts w:ascii="Calibri Light" w:hAnsi="Calibri Light" w:cs="Calibri Light"/>
          <w:sz w:val="24"/>
          <w:szCs w:val="24"/>
        </w:rPr>
        <w:t>.</w:t>
      </w:r>
    </w:p>
    <w:p w14:paraId="039CF777" w14:textId="77777777" w:rsidR="00B3299C" w:rsidRPr="00A77709" w:rsidRDefault="00BB2E21" w:rsidP="00B3299C">
      <w:pPr>
        <w:spacing w:before="120" w:after="120"/>
        <w:ind w:left="440" w:right="-1" w:hanging="14"/>
        <w:jc w:val="both"/>
        <w:rPr>
          <w:rFonts w:ascii="Calibri Light" w:hAnsi="Calibri Light" w:cs="Calibri Light"/>
          <w:sz w:val="24"/>
          <w:szCs w:val="24"/>
          <w:lang w:val="id-ID"/>
        </w:rPr>
      </w:pPr>
      <w:r w:rsidRPr="00BB2E21">
        <w:rPr>
          <w:rFonts w:ascii="Calibri Light" w:hAnsi="Calibri Light" w:cs="Calibri Light"/>
          <w:sz w:val="24"/>
          <w:szCs w:val="24"/>
        </w:rPr>
        <w:t xml:space="preserve">Ultimately, the decline of law enforcement has far-reaching moral and ethical implications. It weakens public trust, normalizes corruption, deepens social inequality, and diminishes the collective will to uphold justice </w:t>
      </w:r>
      <w:r w:rsidR="00B3299C">
        <w:rPr>
          <w:rFonts w:ascii="Calibri Light" w:hAnsi="Calibri Light" w:cs="Calibri Light"/>
          <w:sz w:val="24"/>
          <w:szCs w:val="24"/>
        </w:rPr>
        <w:fldChar w:fldCharType="begin" w:fldLock="1"/>
      </w:r>
      <w:r w:rsidR="00B3299C">
        <w:rPr>
          <w:rFonts w:ascii="Calibri Light" w:hAnsi="Calibri Light" w:cs="Calibri Light"/>
          <w:sz w:val="24"/>
          <w:szCs w:val="24"/>
        </w:rPr>
        <w:instrText>ADDIN CSL_CITATION {"citationItems":[{"id":"ITEM-1","itemData":{"DOI":"10.19184/jseahr.v8i1.34051","ISSN":"2599-2147","abstract":"This research delves into the nuanced interplay between religious freedom and legal norms in Indonesia, with a specific focus on the Sikh practice of carrying the kirpan. This ceremonial dagger, integral to Sikh faith and identity, presents a unique challenge within Indonesia's diverse legal and socio-cultural landscape, marked by the country's commitment to Pancasila, which emphasizes religious freedom, unity in diversity, and social justice. By employing a normative juridical approach, this study scrutinizes the tension between the kirpan as a manifestation of religious expression and public safety concerns, utilizing comparative analysis to explore international perspectives and solutions. The investigation reveals a critical need for Indonesia to refine its legal and policy frameworks to more effectively accommodate religious practices like the kirpan. Drawing lessons from countries such as India, the UK, Canada, the US, and Sweden, the research advocates for inclusive legal reforms, enhanced public education, and robust intercultural dialogue. These strategies aim to reconcile the practice of carrying the kirpan with public safety imperatives, reflecting a deeper understanding and respect for religious diversity. The findings underscore the significance of integrating Indonesia's foundational principles of Pancasila into the contemporary discourse on religious freedom and minority rights. The study posits that respecting the kirpan within this ideological framework not only aligns with Indonesia's commitment to diversity and tolerance but also strengthens national unity and social harmony. This research contributes to the broader discourse on balancing religious expression and public safety in pluralistic societies, offering a comprehensive blueprint for policy and legal reforms that honor both religious freedom and collective well-being. It emphasizes the importance of dialogue, education, and legal inclusivity in fostering a society that upholds the dignity and rights of all individuals, irrespective of their religious practices. Keywords: Kirpan, Sikh, Freedom of Religion and Human Rights (FoRB), Criminal Law, Indonesia","author":[{"dropping-particle":"","family":"Sinaga","given":"Lestari Victoria","non-dropping-particle":"","parse-names":false,"suffix":""},{"dropping-particle":"","family":"Fernando","given":"Zico Junius","non-dropping-particle":"","parse-names":false,"suffix":""},{"dropping-particle":"","family":"Sidauruk","given":"Jupenris","non-dropping-particle":"","parse-names":false,"suffix":""}],"container-title":"Journal of Southeast Asian Human Rights","id":"ITEM-1","issue":"1","issued":{"date-parts":[["2024","6","29"]]},"page":"57","title":"Kirpan Sikh in Indonesian Legal Context","type":"article-journal","volume":"8"},"uris":["http://www.mendeley.com/documents/?uuid=c8b37378-e450-4048-aa0e-e7ab61a47b22"]}],"mendeley":{"formattedCitation":"(Sinaga et al., 2024)","plainTextFormattedCitation":"(Sinaga et al., 2024)","previouslyFormattedCitation":"(Sinaga et al., 2024)"},"properties":{"noteIndex":0},"schema":"https://github.com/citation-style-language/schema/raw/master/csl-citation.json"}</w:instrText>
      </w:r>
      <w:r w:rsidR="00B3299C">
        <w:rPr>
          <w:rFonts w:ascii="Calibri Light" w:hAnsi="Calibri Light" w:cs="Calibri Light"/>
          <w:sz w:val="24"/>
          <w:szCs w:val="24"/>
        </w:rPr>
        <w:fldChar w:fldCharType="separate"/>
      </w:r>
      <w:r w:rsidR="00B3299C" w:rsidRPr="004602E8">
        <w:rPr>
          <w:rFonts w:ascii="Calibri Light" w:hAnsi="Calibri Light" w:cs="Calibri Light"/>
          <w:noProof/>
          <w:sz w:val="24"/>
          <w:szCs w:val="24"/>
        </w:rPr>
        <w:t>(Sinaga et al., 2024)</w:t>
      </w:r>
      <w:r w:rsidR="00B3299C">
        <w:rPr>
          <w:rFonts w:ascii="Calibri Light" w:hAnsi="Calibri Light" w:cs="Calibri Light"/>
          <w:sz w:val="24"/>
          <w:szCs w:val="24"/>
        </w:rPr>
        <w:fldChar w:fldCharType="end"/>
      </w:r>
      <w:r w:rsidR="00B3299C" w:rsidRPr="00A77709">
        <w:rPr>
          <w:rFonts w:ascii="Calibri Light" w:hAnsi="Calibri Light" w:cs="Calibri Light"/>
          <w:sz w:val="24"/>
          <w:szCs w:val="24"/>
        </w:rPr>
        <w:t xml:space="preserve">. </w:t>
      </w:r>
      <w:r w:rsidRPr="00BB2E21">
        <w:rPr>
          <w:rFonts w:ascii="Calibri Light" w:hAnsi="Calibri Light" w:cs="Calibri Light"/>
          <w:sz w:val="24"/>
          <w:szCs w:val="24"/>
        </w:rPr>
        <w:t>Addressing this crisis requires legal reforms grounded in moral integrity and ethical principles. To restore justice, honesty, transparency, and accountability must be prioritized in law enforcement institutions. A just and civilized legal system can only be achieved when the rule of law is upheld with fairness, and ethical values are deeply embedded within legal structures.</w:t>
      </w:r>
    </w:p>
    <w:p w14:paraId="37CE3073" w14:textId="77777777" w:rsidR="00B3299C" w:rsidRPr="00BE6AEE" w:rsidRDefault="00B3299C" w:rsidP="00B3299C">
      <w:pPr>
        <w:spacing w:before="120" w:after="120"/>
        <w:ind w:left="440" w:right="-1" w:hanging="14"/>
        <w:jc w:val="both"/>
        <w:rPr>
          <w:rFonts w:ascii="Calibri Light" w:hAnsi="Calibri Light" w:cs="Calibri Light"/>
          <w:b/>
          <w:bCs/>
          <w:sz w:val="24"/>
          <w:szCs w:val="24"/>
          <w:lang w:val="id-ID"/>
        </w:rPr>
      </w:pPr>
      <w:r w:rsidRPr="00BE6AEE">
        <w:rPr>
          <w:rFonts w:ascii="Calibri Light" w:hAnsi="Calibri Light" w:cs="Calibri Light"/>
          <w:b/>
          <w:bCs/>
          <w:sz w:val="24"/>
          <w:szCs w:val="24"/>
          <w:lang w:val="id-ID"/>
        </w:rPr>
        <w:t>The Synergy of Morality and Religious Ethics in Law Enforcement</w:t>
      </w:r>
    </w:p>
    <w:p w14:paraId="7C2589A9" w14:textId="77777777" w:rsidR="00B3299C" w:rsidRPr="0069432D" w:rsidRDefault="00BB2E21" w:rsidP="00B3299C">
      <w:pPr>
        <w:spacing w:before="120" w:after="120"/>
        <w:ind w:left="440" w:right="-1" w:hanging="14"/>
        <w:jc w:val="both"/>
        <w:rPr>
          <w:rFonts w:ascii="Calibri Light" w:hAnsi="Calibri Light" w:cs="Calibri Light"/>
          <w:sz w:val="24"/>
          <w:szCs w:val="24"/>
        </w:rPr>
      </w:pPr>
      <w:r w:rsidRPr="00BB2E21">
        <w:rPr>
          <w:rFonts w:ascii="Calibri Light" w:hAnsi="Calibri Light" w:cs="Calibri Light"/>
          <w:sz w:val="24"/>
          <w:szCs w:val="24"/>
          <w:lang w:val="id-ID"/>
        </w:rPr>
        <w:t>Law plays a crucial role in institutionalizing moral values and religious ethics, ensuring they are systematically applied within society</w:t>
      </w:r>
      <w:r>
        <w:rPr>
          <w:rFonts w:ascii="Calibri Light" w:hAnsi="Calibri Light" w:cs="Calibri Light"/>
          <w:sz w:val="24"/>
          <w:szCs w:val="24"/>
          <w:lang w:val="id-ID"/>
        </w:rPr>
        <w:t xml:space="preserve"> </w:t>
      </w:r>
      <w:r w:rsidR="00B3299C">
        <w:rPr>
          <w:rFonts w:ascii="Calibri Light" w:hAnsi="Calibri Light" w:cs="Calibri Light"/>
          <w:sz w:val="24"/>
          <w:szCs w:val="24"/>
          <w:lang w:val="id-ID"/>
        </w:rPr>
        <w:fldChar w:fldCharType="begin" w:fldLock="1"/>
      </w:r>
      <w:r w:rsidR="00B3299C">
        <w:rPr>
          <w:rFonts w:ascii="Calibri Light" w:hAnsi="Calibri Light" w:cs="Calibri Light"/>
          <w:sz w:val="24"/>
          <w:szCs w:val="24"/>
          <w:lang w:val="id-ID"/>
        </w:rPr>
        <w:instrText>ADDIN CSL_CITATION {"citationItems":[{"id":"ITEM-1","itemData":{"DOI":"10.18290/rf24723.11","ISSN":"0035-7685","abstract":"After explaining legal moralism, this paper introduces the so-called “Hart-Devlin debate” on sexual morality in the philosophy of law. First, it reviews Hart’s revisions of Mill’s no-harm principle to cope with some counterexamples that favor the legal enforcement of morality even in the presence of consent or the absence of physical harm. Then, the paper examines the main arguments for both the disintegration and conservative theses of the legal moralists Devlin and Stephen, together with Hart’s replies to them. Furthermore, it relates the Hart-Devlin debate, reframed as a controversy between “thin” and “thick” legal moralists, to different conceptions of social morality Oxford philosophy of the 1950s and 1960s. Finally, the paper indicates why a qualified moral conservatism, also with regard to sexual morality, is warranted if the very notion of morality is given due consideration.","author":[{"dropping-particle":"","family":"Cuypers","given":"Stefaan E.","non-dropping-particle":"","parse-names":false,"suffix":""}],"container-title":"Roczniki Filozoficzne","id":"ITEM-1","issue":"3","issued":{"date-parts":[["2024","9","27"]]},"page":"239-257","title":"H.L.A. Hart on Legal Moralism and Social Morality","type":"article-journal","volume":"72"},"uris":["http://www.mendeley.com/documents/?uuid=2949b9b8-5ca3-4f62-b8dd-15e80507e132"]}],"mendeley":{"formattedCitation":"(Cuypers, 2024)","plainTextFormattedCitation":"(Cuypers, 2024)","previouslyFormattedCitation":"(Cuypers, 2024)"},"properties":{"noteIndex":0},"schema":"https://github.com/citation-style-language/schema/raw/master/csl-citation.json"}</w:instrText>
      </w:r>
      <w:r w:rsidR="00B3299C">
        <w:rPr>
          <w:rFonts w:ascii="Calibri Light" w:hAnsi="Calibri Light" w:cs="Calibri Light"/>
          <w:sz w:val="24"/>
          <w:szCs w:val="24"/>
          <w:lang w:val="id-ID"/>
        </w:rPr>
        <w:fldChar w:fldCharType="separate"/>
      </w:r>
      <w:r w:rsidR="00B3299C" w:rsidRPr="004602E8">
        <w:rPr>
          <w:rFonts w:ascii="Calibri Light" w:hAnsi="Calibri Light" w:cs="Calibri Light"/>
          <w:noProof/>
          <w:sz w:val="24"/>
          <w:szCs w:val="24"/>
          <w:lang w:val="id-ID"/>
        </w:rPr>
        <w:t>(Cuypers, 2024)</w:t>
      </w:r>
      <w:r w:rsidR="00B3299C">
        <w:rPr>
          <w:rFonts w:ascii="Calibri Light" w:hAnsi="Calibri Light" w:cs="Calibri Light"/>
          <w:sz w:val="24"/>
          <w:szCs w:val="24"/>
          <w:lang w:val="id-ID"/>
        </w:rPr>
        <w:fldChar w:fldCharType="end"/>
      </w:r>
      <w:r w:rsidR="00B3299C" w:rsidRPr="006D18C1">
        <w:rPr>
          <w:rFonts w:ascii="Calibri Light" w:hAnsi="Calibri Light" w:cs="Calibri Light"/>
          <w:sz w:val="24"/>
          <w:szCs w:val="24"/>
          <w:lang w:val="id-ID"/>
        </w:rPr>
        <w:t xml:space="preserve">. </w:t>
      </w:r>
      <w:r w:rsidRPr="00BB2E21">
        <w:rPr>
          <w:rFonts w:ascii="Calibri Light" w:hAnsi="Calibri Light" w:cs="Calibri Light"/>
          <w:sz w:val="24"/>
          <w:szCs w:val="24"/>
          <w:lang w:val="id-ID"/>
        </w:rPr>
        <w:t>Hart, in his theory of law as a system of rules, explains that law consists of both primary rules, which regulate behavior, and secondary rules, which define how these primary rules are applied. Within this framework, morality and religious ethics can serve as the foundation for primary rules, while law functions as a mechanism to enforce compliance</w:t>
      </w:r>
      <w:r>
        <w:rPr>
          <w:rFonts w:ascii="Calibri Light" w:hAnsi="Calibri Light" w:cs="Calibri Light"/>
          <w:sz w:val="24"/>
          <w:szCs w:val="24"/>
          <w:lang w:val="id-ID"/>
        </w:rPr>
        <w:t xml:space="preserve"> </w:t>
      </w:r>
      <w:r w:rsidR="00B3299C">
        <w:rPr>
          <w:rFonts w:ascii="Calibri Light" w:hAnsi="Calibri Light" w:cs="Calibri Light"/>
          <w:sz w:val="24"/>
          <w:szCs w:val="24"/>
          <w:lang w:val="id-ID"/>
        </w:rPr>
        <w:fldChar w:fldCharType="begin" w:fldLock="1"/>
      </w:r>
      <w:r w:rsidR="00B3299C">
        <w:rPr>
          <w:rFonts w:ascii="Calibri Light" w:hAnsi="Calibri Light" w:cs="Calibri Light"/>
          <w:sz w:val="24"/>
          <w:szCs w:val="24"/>
          <w:lang w:val="id-ID"/>
        </w:rPr>
        <w:instrText>ADDIN CSL_CITATION {"citationItems":[{"id":"ITEM-1","itemData":{"DOI":"10.7202/1058151ar","ISSN":"2561-4665","abstract":"Dans cet article, je reviens sur les origines du chapitre sur la peine de mort de Questions de vie ou de mort de J. Glover, à savoir un article de 1957 de Hart, Murder and the Principles of Punishment : England and the United States. Dans cet article, Hart défend, comme Glover, l’abolition de la peine de mort en s’appuyant sur une stratégie utilitariste consistant, notamment, à renverser le fardeau de la preuve : tant que nous n’aurons pas la preuve que la peine de mort permet de sauver davantage de vies que la prison, nous ne serons pas autorisés à y recourir, dans la mesure où elle est prima facie un mal plus grand que la prison. En effet, elle cause un préjudice plus important, elle est davantage coûteuse et elle n’est pas rémissible. Plus de cinquante ans après la publication de cet article, nous n’avons toujours pas la preuve d’une plus grande efficacité de la peine de mort. Certaines études suggèrent même que la peine de mort pourrait être nocive et avoir un effet de brutalisation. Tout au long de l’article, j’explore les forces et les faiblesses de l’approche utilitariste de la sanction pénale, que j’oppose, suivant Hart et Glover, à deux autres approches : l’approche pacifiste et l’approche rétributiviste.","author":[{"dropping-particle":"","family":"Nayfeld","given":"Nicolas","non-dropping-particle":"","parse-names":false,"suffix":""}],"container-title":"Canadian Journal of Bioethics","id":"ITEM-1","issue":"1","issued":{"date-parts":[["2019","3","20"]]},"page":"47-56","title":"H.L.A. Hart et J. Glover : un point de vue utilitariste contre la peine de mort","type":"article-journal","volume":"2"},"uris":["http://www.mendeley.com/documents/?uuid=6b5bde23-6d61-4001-9e8a-a18ed83539f4"]}],"mendeley":{"formattedCitation":"(Nayfeld, 2019)","plainTextFormattedCitation":"(Nayfeld, 2019)","previouslyFormattedCitation":"(Nayfeld, 2019)"},"properties":{"noteIndex":0},"schema":"https://github.com/citation-style-language/schema/raw/master/csl-citation.json"}</w:instrText>
      </w:r>
      <w:r w:rsidR="00B3299C">
        <w:rPr>
          <w:rFonts w:ascii="Calibri Light" w:hAnsi="Calibri Light" w:cs="Calibri Light"/>
          <w:sz w:val="24"/>
          <w:szCs w:val="24"/>
          <w:lang w:val="id-ID"/>
        </w:rPr>
        <w:fldChar w:fldCharType="separate"/>
      </w:r>
      <w:r w:rsidR="00B3299C" w:rsidRPr="004602E8">
        <w:rPr>
          <w:rFonts w:ascii="Calibri Light" w:hAnsi="Calibri Light" w:cs="Calibri Light"/>
          <w:noProof/>
          <w:sz w:val="24"/>
          <w:szCs w:val="24"/>
          <w:lang w:val="id-ID"/>
        </w:rPr>
        <w:t>(Nayfeld, 2019)</w:t>
      </w:r>
      <w:r w:rsidR="00B3299C">
        <w:rPr>
          <w:rFonts w:ascii="Calibri Light" w:hAnsi="Calibri Light" w:cs="Calibri Light"/>
          <w:sz w:val="24"/>
          <w:szCs w:val="24"/>
          <w:lang w:val="id-ID"/>
        </w:rPr>
        <w:fldChar w:fldCharType="end"/>
      </w:r>
      <w:r w:rsidR="00B3299C" w:rsidRPr="0069432D">
        <w:rPr>
          <w:rFonts w:ascii="Calibri Light" w:hAnsi="Calibri Light" w:cs="Calibri Light"/>
          <w:sz w:val="24"/>
          <w:szCs w:val="24"/>
        </w:rPr>
        <w:t>.</w:t>
      </w:r>
    </w:p>
    <w:p w14:paraId="471F0916" w14:textId="77777777" w:rsidR="00B3299C" w:rsidRPr="00325829" w:rsidRDefault="00BB2E21" w:rsidP="00B3299C">
      <w:pPr>
        <w:spacing w:before="120" w:after="120"/>
        <w:ind w:left="440" w:right="-1" w:hanging="14"/>
        <w:jc w:val="both"/>
        <w:rPr>
          <w:rFonts w:ascii="Calibri Light" w:hAnsi="Calibri Light" w:cs="Calibri Light"/>
          <w:sz w:val="24"/>
          <w:szCs w:val="24"/>
        </w:rPr>
      </w:pPr>
      <w:r w:rsidRPr="00BB2E21">
        <w:rPr>
          <w:rFonts w:ascii="Calibri Light" w:hAnsi="Calibri Light" w:cs="Calibri Light"/>
          <w:sz w:val="24"/>
          <w:szCs w:val="24"/>
          <w:lang w:val="id-ID"/>
        </w:rPr>
        <w:t xml:space="preserve">However, the relationship between law, morality, and religious ethics is not always straightforward. In his famous debate with Lord Devlin, Hart argued that not all moral values should be enforced through law </w:t>
      </w:r>
      <w:r w:rsidR="00B3299C">
        <w:rPr>
          <w:rFonts w:ascii="Calibri Light" w:hAnsi="Calibri Light" w:cs="Calibri Light"/>
          <w:sz w:val="24"/>
          <w:szCs w:val="24"/>
          <w:lang w:val="id-ID"/>
        </w:rPr>
        <w:fldChar w:fldCharType="begin" w:fldLock="1"/>
      </w:r>
      <w:r w:rsidR="00B3299C">
        <w:rPr>
          <w:rFonts w:ascii="Calibri Light" w:hAnsi="Calibri Light" w:cs="Calibri Light"/>
          <w:sz w:val="24"/>
          <w:szCs w:val="24"/>
          <w:lang w:val="id-ID"/>
        </w:rPr>
        <w:instrText>ADDIN CSL_CITATION {"citationItems":[{"id":"ITEM-1","itemData":{"DOI":"10.3917/leph.232.0031","ISSN":"0014-2166","abstract":"Le texte cherche à souligner plusieurs correspondances entre les philosophies pratiques de H. L. A. Hart et de J. Rawls. Il montre comment, sur plusieurs thématiques, leur réflexion cherche à éviter une fondation métaphysique de la normativité, en puisant dans les ressources du langage ordinaire et de sa philosophie. Il commence par évoquer la réflexion commune de Hart et de Rawls sur le concept de règles sociales, avant d’analyser le statut épistémologique des principes normatifs qu’ils avancent. Il s’intéresse ensuite à la manière dont les deux auteurs envisagent l’autonomie des agents, et à l’articulation qu’ils imaginent entre autonomie individuelle et normativité sociale. Il conclut en évoquant la justification philosophique des droits, que Hart et Rawls cherchent tous deux à aborder à partir de lectures non métaphysiques de Kant, en cherchant à s’appuyer sur les différentes manières dont le langage ordinaire rend compte du fait « d’avoir un droit ».","author":[{"dropping-particle":"","family":"Guillarme","given":"Bertrand","non-dropping-particle":"","parse-names":false,"suffix":""}],"container-title":"Les Études philosophiques","id":"ITEM-1","issue":"2","issued":{"date-parts":[["2023","4","25"]]},"page":"31-46","title":"H. L. A. Hart et J. Rawls : langage ordinaire et abstention métaphysique en philosophie politique","type":"article-journal","volume":"N° 145"},"uris":["http://www.mendeley.com/documents/?uuid=54816ab6-682a-421b-82db-03dfb01b2b7c"]}],"mendeley":{"formattedCitation":"(Guillarme, 2023)","plainTextFormattedCitation":"(Guillarme, 2023)","previouslyFormattedCitation":"(Guillarme, 2023)"},"properties":{"noteIndex":0},"schema":"https://github.com/citation-style-language/schema/raw/master/csl-citation.json"}</w:instrText>
      </w:r>
      <w:r w:rsidR="00B3299C">
        <w:rPr>
          <w:rFonts w:ascii="Calibri Light" w:hAnsi="Calibri Light" w:cs="Calibri Light"/>
          <w:sz w:val="24"/>
          <w:szCs w:val="24"/>
          <w:lang w:val="id-ID"/>
        </w:rPr>
        <w:fldChar w:fldCharType="separate"/>
      </w:r>
      <w:r w:rsidR="00B3299C" w:rsidRPr="004602E8">
        <w:rPr>
          <w:rFonts w:ascii="Calibri Light" w:hAnsi="Calibri Light" w:cs="Calibri Light"/>
          <w:noProof/>
          <w:sz w:val="24"/>
          <w:szCs w:val="24"/>
          <w:lang w:val="id-ID"/>
        </w:rPr>
        <w:t>(Guillarme, 2023)</w:t>
      </w:r>
      <w:r w:rsidR="00B3299C">
        <w:rPr>
          <w:rFonts w:ascii="Calibri Light" w:hAnsi="Calibri Light" w:cs="Calibri Light"/>
          <w:sz w:val="24"/>
          <w:szCs w:val="24"/>
          <w:lang w:val="id-ID"/>
        </w:rPr>
        <w:fldChar w:fldCharType="end"/>
      </w:r>
      <w:r w:rsidR="00B3299C" w:rsidRPr="006D18C1">
        <w:rPr>
          <w:rFonts w:ascii="Calibri Light" w:hAnsi="Calibri Light" w:cs="Calibri Light"/>
          <w:sz w:val="24"/>
          <w:szCs w:val="24"/>
          <w:lang w:val="id-ID"/>
        </w:rPr>
        <w:t xml:space="preserve">. </w:t>
      </w:r>
      <w:r w:rsidRPr="00BB2E21">
        <w:rPr>
          <w:rFonts w:ascii="Calibri Light" w:hAnsi="Calibri Light" w:cs="Calibri Light"/>
          <w:sz w:val="24"/>
          <w:szCs w:val="24"/>
          <w:lang w:val="id-ID"/>
        </w:rPr>
        <w:t>He believed that law should only regulate behaviors that directly threaten public interest, whereas Lord Devlin contended that law must protect public morality to preserve social cohesion</w:t>
      </w:r>
      <w:r>
        <w:rPr>
          <w:rFonts w:ascii="Calibri Light" w:hAnsi="Calibri Light" w:cs="Calibri Light"/>
          <w:sz w:val="24"/>
          <w:szCs w:val="24"/>
          <w:lang w:val="id-ID"/>
        </w:rPr>
        <w:t xml:space="preserve"> </w:t>
      </w:r>
      <w:r w:rsidR="00B3299C">
        <w:rPr>
          <w:rFonts w:ascii="Calibri Light" w:hAnsi="Calibri Light" w:cs="Calibri Light"/>
          <w:sz w:val="24"/>
          <w:szCs w:val="24"/>
          <w:lang w:val="id-ID"/>
        </w:rPr>
        <w:fldChar w:fldCharType="begin" w:fldLock="1"/>
      </w:r>
      <w:r w:rsidR="00B3299C">
        <w:rPr>
          <w:rFonts w:ascii="Calibri Light" w:hAnsi="Calibri Light" w:cs="Calibri Light"/>
          <w:sz w:val="24"/>
          <w:szCs w:val="24"/>
          <w:lang w:val="id-ID"/>
        </w:rPr>
        <w:instrText>ADDIN CSL_CITATION {"citationItems":[{"id":"ITEM-1","itemData":{"DOI":"10.1093/ajj/auae015","ISSN":"0065-8995","abstract":"This introductory essay accompanies the publication of H.L.A. Hart’s “Policies, Principles, and Adjudication,” which I uncovered amongst Ronald Dworkin’s papers at Yale. Hart’s previously unpublished paper was composed between 1977 and 1982 and delivered at a seminar at Oxford. It offers an extended critique of Dworkin’s conception of “policies” in his Taking Rights Seriously. This critique is not reproduced elsewhere in Hart’s published work. The paper also provides an expanded version of Hart’s thoughts, in his “Postscript” to The Concept of Law, on judicial reasoning by analogy and the phenomenology of judicial decision-making. Hart’s essay adds significantly to our understanding of the so-called “Hart-Dworkin debate,” around which much of contemporary Anglophone jurisprudence continues to be structured.","author":[{"dropping-particle":"","family":"Burry","given":"Samuel","non-dropping-particle":"","parse-names":false,"suffix":""}],"container-title":"The American Journal of Jurisprudence","id":"ITEM-1","issue":"2","issued":{"date-parts":[["2024","10","1"]]},"page":"135-140","title":"H.L.A. Hart's Lost Essay on Policies, Principles, and Adjudication","type":"article-journal","volume":"69"},"uris":["http://www.mendeley.com/documents/?uuid=3f800e1d-87af-405c-9131-3318b5e8af1a"]}],"mendeley":{"formattedCitation":"(Burry, 2024)","plainTextFormattedCitation":"(Burry, 2024)","previouslyFormattedCitation":"(Burry, 2024)"},"properties":{"noteIndex":0},"schema":"https://github.com/citation-style-language/schema/raw/master/csl-citation.json"}</w:instrText>
      </w:r>
      <w:r w:rsidR="00B3299C">
        <w:rPr>
          <w:rFonts w:ascii="Calibri Light" w:hAnsi="Calibri Light" w:cs="Calibri Light"/>
          <w:sz w:val="24"/>
          <w:szCs w:val="24"/>
          <w:lang w:val="id-ID"/>
        </w:rPr>
        <w:fldChar w:fldCharType="separate"/>
      </w:r>
      <w:r w:rsidR="00B3299C" w:rsidRPr="004602E8">
        <w:rPr>
          <w:rFonts w:ascii="Calibri Light" w:hAnsi="Calibri Light" w:cs="Calibri Light"/>
          <w:noProof/>
          <w:sz w:val="24"/>
          <w:szCs w:val="24"/>
          <w:lang w:val="id-ID"/>
        </w:rPr>
        <w:t>(Burry, 2024)</w:t>
      </w:r>
      <w:r w:rsidR="00B3299C">
        <w:rPr>
          <w:rFonts w:ascii="Calibri Light" w:hAnsi="Calibri Light" w:cs="Calibri Light"/>
          <w:sz w:val="24"/>
          <w:szCs w:val="24"/>
          <w:lang w:val="id-ID"/>
        </w:rPr>
        <w:fldChar w:fldCharType="end"/>
      </w:r>
      <w:r w:rsidR="00B3299C" w:rsidRPr="0069432D">
        <w:rPr>
          <w:rFonts w:ascii="Calibri Light" w:hAnsi="Calibri Light" w:cs="Calibri Light"/>
          <w:sz w:val="24"/>
          <w:szCs w:val="24"/>
        </w:rPr>
        <w:t>.</w:t>
      </w:r>
      <w:r w:rsidRPr="00BB2E21">
        <w:rPr>
          <w:rFonts w:ascii="Calibri Light" w:hAnsi="Calibri Light" w:cs="Calibri Light"/>
          <w:sz w:val="24"/>
          <w:szCs w:val="24"/>
        </w:rPr>
        <w:t xml:space="preserve"> This debate highlights the ongoing tension between legal enforcement and moral obligations.</w:t>
      </w:r>
    </w:p>
    <w:p w14:paraId="0CAC7207" w14:textId="77777777" w:rsidR="00B3299C" w:rsidRPr="00EA7D80" w:rsidRDefault="00BB2E21" w:rsidP="00B3299C">
      <w:pPr>
        <w:spacing w:before="120" w:after="120"/>
        <w:ind w:left="440" w:right="-1" w:hanging="14"/>
        <w:jc w:val="both"/>
        <w:rPr>
          <w:rFonts w:ascii="Calibri Light" w:hAnsi="Calibri Light" w:cs="Calibri Light"/>
          <w:sz w:val="24"/>
          <w:szCs w:val="24"/>
        </w:rPr>
      </w:pPr>
      <w:r w:rsidRPr="00BB2E21">
        <w:rPr>
          <w:rFonts w:ascii="Calibri Light" w:hAnsi="Calibri Light" w:cs="Calibri Light"/>
          <w:sz w:val="24"/>
          <w:szCs w:val="24"/>
        </w:rPr>
        <w:t xml:space="preserve">From the perspective of natural law theory, as articulated by Thomas Aquinas, morality is a universal principle that forms the foundation of positive law. Aquinas asserted that just laws must be rooted in universal moral principles that aim to achieve the common good. In this view, morality serves as both a guide for legal formulation and a standard for evaluating the fairness of a legal system </w:t>
      </w:r>
      <w:r w:rsidR="00B3299C">
        <w:rPr>
          <w:rFonts w:ascii="Calibri Light" w:hAnsi="Calibri Light" w:cs="Calibri Light"/>
          <w:sz w:val="24"/>
          <w:szCs w:val="24"/>
        </w:rPr>
        <w:fldChar w:fldCharType="begin" w:fldLock="1"/>
      </w:r>
      <w:r w:rsidR="00B3299C">
        <w:rPr>
          <w:rFonts w:ascii="Calibri Light" w:hAnsi="Calibri Light" w:cs="Calibri Light"/>
          <w:sz w:val="24"/>
          <w:szCs w:val="24"/>
        </w:rPr>
        <w:instrText>ADDIN CSL_CITATION {"citationItems":[{"id":"ITEM-1","itemData":{"DOI":"10.1484/J.SE.5.119452","ISSN":"0771-7776","author":[{"dropping-particle":"","family":"Smith","given":"Innocent","non-dropping-particle":"","parse-names":false,"suffix":""}],"container-title":"Sacris Erudiri","id":"ITEM-1","issued":{"date-parts":[["2019","1"]]},"page":"203-219","title":"1 Timothy 2, 1 and the Expositiones Missae of Thomas Aquinas","type":"article-journal","volume":"58"},"uris":["http://www.mendeley.com/documents/?uuid=dc2aa72f-5f4a-4576-8331-8538ef4670ee"]}],"mendeley":{"formattedCitation":"(Smith, 2019)","plainTextFormattedCitation":"(Smith, 2019)","previouslyFormattedCitation":"(Smith, 2019)"},"properties":{"noteIndex":0},"schema":"https://github.com/citation-style-language/schema/raw/master/csl-citation.json"}</w:instrText>
      </w:r>
      <w:r w:rsidR="00B3299C">
        <w:rPr>
          <w:rFonts w:ascii="Calibri Light" w:hAnsi="Calibri Light" w:cs="Calibri Light"/>
          <w:sz w:val="24"/>
          <w:szCs w:val="24"/>
        </w:rPr>
        <w:fldChar w:fldCharType="separate"/>
      </w:r>
      <w:r w:rsidR="00B3299C" w:rsidRPr="004602E8">
        <w:rPr>
          <w:rFonts w:ascii="Calibri Light" w:hAnsi="Calibri Light" w:cs="Calibri Light"/>
          <w:noProof/>
          <w:sz w:val="24"/>
          <w:szCs w:val="24"/>
        </w:rPr>
        <w:t>(Smith, 2019)</w:t>
      </w:r>
      <w:r w:rsidR="00B3299C">
        <w:rPr>
          <w:rFonts w:ascii="Calibri Light" w:hAnsi="Calibri Light" w:cs="Calibri Light"/>
          <w:sz w:val="24"/>
          <w:szCs w:val="24"/>
        </w:rPr>
        <w:fldChar w:fldCharType="end"/>
      </w:r>
      <w:r w:rsidR="00B3299C" w:rsidRPr="00EA7D80">
        <w:rPr>
          <w:rFonts w:ascii="Calibri Light" w:hAnsi="Calibri Light" w:cs="Calibri Light"/>
          <w:sz w:val="24"/>
          <w:szCs w:val="24"/>
        </w:rPr>
        <w:t>.</w:t>
      </w:r>
    </w:p>
    <w:p w14:paraId="4E9F32A3" w14:textId="77777777" w:rsidR="00B3299C" w:rsidRPr="00EA7D80" w:rsidRDefault="00C12FC9" w:rsidP="00B3299C">
      <w:pPr>
        <w:spacing w:before="120" w:after="120"/>
        <w:ind w:left="440" w:right="-1" w:hanging="14"/>
        <w:jc w:val="both"/>
        <w:rPr>
          <w:rFonts w:ascii="Calibri Light" w:hAnsi="Calibri Light" w:cs="Calibri Light"/>
          <w:sz w:val="24"/>
          <w:szCs w:val="24"/>
        </w:rPr>
      </w:pPr>
      <w:r w:rsidRPr="00C12FC9">
        <w:rPr>
          <w:rFonts w:ascii="Calibri Light" w:hAnsi="Calibri Light" w:cs="Calibri Light"/>
          <w:sz w:val="24"/>
          <w:szCs w:val="24"/>
          <w:lang w:val="id-ID"/>
        </w:rPr>
        <w:t>Building on this idea, John Finnis, a contemporary natural law theorist, argued that morality is essential for the sustainability of law. He introduced the concept of "basic human values," which include life, knowledge, play, aesthetics, friendship, religion, and practical reason. According to Finnis, these values should inform legal structures so that laws function not merely as tools for control but as instruments for achieving substantive justice</w:t>
      </w:r>
      <w:r>
        <w:rPr>
          <w:rFonts w:ascii="Calibri Light" w:hAnsi="Calibri Light" w:cs="Calibri Light"/>
          <w:sz w:val="24"/>
          <w:szCs w:val="24"/>
          <w:lang w:val="id-ID"/>
        </w:rPr>
        <w:t xml:space="preserve"> </w:t>
      </w:r>
      <w:r w:rsidR="00B3299C">
        <w:rPr>
          <w:rFonts w:ascii="Calibri Light" w:hAnsi="Calibri Light" w:cs="Calibri Light"/>
          <w:sz w:val="24"/>
          <w:szCs w:val="24"/>
          <w:lang w:val="id-ID"/>
        </w:rPr>
        <w:fldChar w:fldCharType="begin" w:fldLock="1"/>
      </w:r>
      <w:r w:rsidR="00B3299C">
        <w:rPr>
          <w:rFonts w:ascii="Calibri Light" w:hAnsi="Calibri Light" w:cs="Calibri Light"/>
          <w:sz w:val="24"/>
          <w:szCs w:val="24"/>
          <w:lang w:val="id-ID"/>
        </w:rPr>
        <w:instrText>ADDIN CSL_CITATION {"citationItems":[{"id":"ITEM-1","itemData":{"DOI":"10.5294/dika.2023.32.1.15","ISSN":"01208942","abstract":"Los derechos son un fenómeno en disputa cuya comprensión se encuentra oscurecida en los discursos jurídicos y políticos. Así, es común apelar a ellos sin considerar cuáles son sus elementos constitutivos, los fines que persiguen y su relación con el bien común. En este sentido, se abordarán dichos interrogantes recurriendo a la noción de derechos que se desprende de la teoría de los bienes humanos básicos de John Finnis. Se resaltará la importancia de concebir una noción de los derechos objetiva, realista y sólida, que no dependa exclusivamente de la voluntad de legisladores o jueces. De este modo, se abordará el problema de la abstracción que afecta a los derechos; los elementos que los constituyen; la relación que existe entre derechos, bienes humanos básicos y bien común; y, en último lugar, cómo esta imbricación limita la voluntad de los agentes jurídicos y políticos. Se arribará a la conclusión de que las nociones de bienes humanos fundamentales y de bien común son presupuestos imprescindibles para concebir una noción respetuosa de los derechos.","author":[{"dropping-particle":"","family":"Tejeda","given":"Erman","non-dropping-particle":"","parse-names":false,"suffix":""}],"container-title":"Díkaion","id":"ITEM-1","issue":"1","issued":{"date-parts":[["2023","5","18"]]},"page":"1-21","title":"Un abordaje de los derechos a partir de la noción de bienes humanos básicos de John Finnis","type":"article-journal","volume":"32"},"uris":["http://www.mendeley.com/documents/?uuid=660a0a33-1510-4268-a99e-6d4dcb6dd547"]}],"mendeley":{"formattedCitation":"(Tejeda, 2023)","plainTextFormattedCitation":"(Tejeda, 2023)","previouslyFormattedCitation":"(Tejeda, 2023)"},"properties":{"noteIndex":0},"schema":"https://github.com/citation-style-language/schema/raw/master/csl-citation.json"}</w:instrText>
      </w:r>
      <w:r w:rsidR="00B3299C">
        <w:rPr>
          <w:rFonts w:ascii="Calibri Light" w:hAnsi="Calibri Light" w:cs="Calibri Light"/>
          <w:sz w:val="24"/>
          <w:szCs w:val="24"/>
          <w:lang w:val="id-ID"/>
        </w:rPr>
        <w:fldChar w:fldCharType="separate"/>
      </w:r>
      <w:r w:rsidR="00B3299C" w:rsidRPr="002036F0">
        <w:rPr>
          <w:rFonts w:ascii="Calibri Light" w:hAnsi="Calibri Light" w:cs="Calibri Light"/>
          <w:noProof/>
          <w:sz w:val="24"/>
          <w:szCs w:val="24"/>
          <w:lang w:val="id-ID"/>
        </w:rPr>
        <w:t>(Tejeda, 2023)</w:t>
      </w:r>
      <w:r w:rsidR="00B3299C">
        <w:rPr>
          <w:rFonts w:ascii="Calibri Light" w:hAnsi="Calibri Light" w:cs="Calibri Light"/>
          <w:sz w:val="24"/>
          <w:szCs w:val="24"/>
          <w:lang w:val="id-ID"/>
        </w:rPr>
        <w:fldChar w:fldCharType="end"/>
      </w:r>
      <w:r w:rsidR="00B3299C" w:rsidRPr="00EA7D80">
        <w:rPr>
          <w:rFonts w:ascii="Calibri Light" w:hAnsi="Calibri Light" w:cs="Calibri Light"/>
          <w:sz w:val="24"/>
          <w:szCs w:val="24"/>
        </w:rPr>
        <w:t>.</w:t>
      </w:r>
    </w:p>
    <w:p w14:paraId="4C66649E" w14:textId="77777777" w:rsidR="00B3299C" w:rsidRPr="00325829" w:rsidRDefault="00C12FC9" w:rsidP="00B3299C">
      <w:pPr>
        <w:spacing w:before="120" w:after="120"/>
        <w:ind w:left="440" w:right="-1" w:hanging="14"/>
        <w:jc w:val="both"/>
        <w:rPr>
          <w:rFonts w:ascii="Calibri Light" w:hAnsi="Calibri Light" w:cs="Calibri Light"/>
          <w:sz w:val="24"/>
          <w:szCs w:val="24"/>
        </w:rPr>
      </w:pPr>
      <w:r w:rsidRPr="00C12FC9">
        <w:rPr>
          <w:rFonts w:ascii="Calibri Light" w:hAnsi="Calibri Light" w:cs="Calibri Light"/>
          <w:sz w:val="24"/>
          <w:szCs w:val="24"/>
        </w:rPr>
        <w:lastRenderedPageBreak/>
        <w:t xml:space="preserve">Religious ethics further complement morality by offering normative guidance rooted in spiritual teachings. Max Weber’s theory of "Protestant ethics" illustrates how religious values influence legal and social order. He argued that principles such as honesty, hard work, and moral responsibility contribute to the development of a stable and trustworthy legal system. In this sense, religious ethics serve as a form of social control, limiting legal abuses while reinforcing moral integrity </w:t>
      </w:r>
      <w:r w:rsidR="00B3299C">
        <w:rPr>
          <w:rFonts w:ascii="Calibri Light" w:hAnsi="Calibri Light" w:cs="Calibri Light"/>
          <w:sz w:val="24"/>
          <w:szCs w:val="24"/>
        </w:rPr>
        <w:fldChar w:fldCharType="begin" w:fldLock="1"/>
      </w:r>
      <w:r w:rsidR="00B3299C">
        <w:rPr>
          <w:rFonts w:ascii="Calibri Light" w:hAnsi="Calibri Light" w:cs="Calibri Light"/>
          <w:sz w:val="24"/>
          <w:szCs w:val="24"/>
        </w:rPr>
        <w:instrText>ADDIN CSL_CITATION {"citationItems":[{"id":"ITEM-1","itemData":{"DOI":"10.1016/j.jdeveco.2022.102974","ISSN":"03043878","author":[{"dropping-particle":"","family":"Mehmood","given":"Sultan","non-dropping-particle":"","parse-names":false,"suffix":""},{"dropping-particle":"","family":"Seror","given":"Avner","non-dropping-particle":"","parse-names":false,"suffix":""}],"container-title":"Journal of Development Economics","id":"ITEM-1","issued":{"date-parts":[["2023","1"]]},"page":"102974","title":"Religious leaders and rule of law","type":"article-journal","volume":"160"},"uris":["http://www.mendeley.com/documents/?uuid=64bb8f30-58cf-4649-9c03-5d9cf86f9cab"]}],"mendeley":{"formattedCitation":"(Mehmood &amp; Seror, 2023)","plainTextFormattedCitation":"(Mehmood &amp; Seror, 2023)","previouslyFormattedCitation":"(Mehmood &amp; Seror, 2023)"},"properties":{"noteIndex":0},"schema":"https://github.com/citation-style-language/schema/raw/master/csl-citation.json"}</w:instrText>
      </w:r>
      <w:r w:rsidR="00B3299C">
        <w:rPr>
          <w:rFonts w:ascii="Calibri Light" w:hAnsi="Calibri Light" w:cs="Calibri Light"/>
          <w:sz w:val="24"/>
          <w:szCs w:val="24"/>
        </w:rPr>
        <w:fldChar w:fldCharType="separate"/>
      </w:r>
      <w:r w:rsidR="00B3299C" w:rsidRPr="002036F0">
        <w:rPr>
          <w:rFonts w:ascii="Calibri Light" w:hAnsi="Calibri Light" w:cs="Calibri Light"/>
          <w:noProof/>
          <w:sz w:val="24"/>
          <w:szCs w:val="24"/>
        </w:rPr>
        <w:t>(Mehmood &amp; Seror, 2023)</w:t>
      </w:r>
      <w:r w:rsidR="00B3299C">
        <w:rPr>
          <w:rFonts w:ascii="Calibri Light" w:hAnsi="Calibri Light" w:cs="Calibri Light"/>
          <w:sz w:val="24"/>
          <w:szCs w:val="24"/>
        </w:rPr>
        <w:fldChar w:fldCharType="end"/>
      </w:r>
      <w:r w:rsidR="00B3299C" w:rsidRPr="00325829">
        <w:rPr>
          <w:rFonts w:ascii="Calibri Light" w:hAnsi="Calibri Light" w:cs="Calibri Light"/>
          <w:sz w:val="24"/>
          <w:szCs w:val="24"/>
        </w:rPr>
        <w:t>.</w:t>
      </w:r>
    </w:p>
    <w:p w14:paraId="0F2ECD3B" w14:textId="77777777" w:rsidR="00C12FC9" w:rsidRPr="00C12FC9" w:rsidRDefault="00C12FC9" w:rsidP="00C12FC9">
      <w:pPr>
        <w:spacing w:before="120" w:after="120"/>
        <w:ind w:left="440" w:right="-1" w:hanging="14"/>
        <w:jc w:val="both"/>
        <w:rPr>
          <w:rFonts w:ascii="Calibri Light" w:hAnsi="Calibri Light" w:cs="Calibri Light"/>
          <w:sz w:val="24"/>
          <w:szCs w:val="24"/>
          <w:lang w:val="id-ID"/>
        </w:rPr>
      </w:pPr>
      <w:r w:rsidRPr="00C12FC9">
        <w:rPr>
          <w:rFonts w:ascii="Calibri Light" w:hAnsi="Calibri Light" w:cs="Calibri Light"/>
          <w:sz w:val="24"/>
          <w:szCs w:val="24"/>
          <w:lang w:val="id-ID"/>
        </w:rPr>
        <w:t>In Indonesia, morality and religious ethics play a fundamental role in shaping a just and inclusive legal system</w:t>
      </w:r>
      <w:r>
        <w:rPr>
          <w:rFonts w:ascii="Calibri Light" w:hAnsi="Calibri Light" w:cs="Calibri Light"/>
          <w:sz w:val="24"/>
          <w:szCs w:val="24"/>
          <w:lang w:val="id-ID"/>
        </w:rPr>
        <w:t xml:space="preserve"> </w:t>
      </w:r>
      <w:r w:rsidR="00B3299C">
        <w:rPr>
          <w:rFonts w:ascii="Calibri Light" w:hAnsi="Calibri Light" w:cs="Calibri Light"/>
          <w:sz w:val="24"/>
          <w:szCs w:val="24"/>
          <w:lang w:val="id-ID"/>
        </w:rPr>
        <w:fldChar w:fldCharType="begin" w:fldLock="1"/>
      </w:r>
      <w:r w:rsidR="00B3299C">
        <w:rPr>
          <w:rFonts w:ascii="Calibri Light" w:hAnsi="Calibri Light" w:cs="Calibri Light"/>
          <w:sz w:val="24"/>
          <w:szCs w:val="24"/>
          <w:lang w:val="id-ID"/>
        </w:rPr>
        <w:instrText>ADDIN CSL_CITATION {"citationItems":[{"id":"ITEM-1","itemData":{"DOI":"10.20885/millah.vol21.iss1.art4","ISSN":"14120992","abstract":"Islam is a religion that regulates everything in the life of Muslims. No exception in the case of adoption, the jurisdiction of the court up to the adoption of a minor. in the case of child adoption. Today, Islam applies limitations in some matters, such as the prohibition of lineage, the establishment of non-mahram relationships to the issue of inheritance and guardianship. In addition to that field, there is the authority of the judge in the Religious Court to be ijtihad to determine the best decision for the child of the findings as the extent of its authority is based on Law No. 3 of 2006 on Religious Justice. The purpose of this study is to analyze how the legal impact on the adoption status of the findings based on the rationale maqasidus syar'i and its relevance to the development of Islamic law. Research methods use the study of literature through its sources of reference through primary law, both derived from religious sources and from positive legal sources that apply in Indonesia. In addition, the researcher used jurisprudence from the relevant judicial decisions used.The results of this research are (1) through the approach of maqasid al shari'ah doruriyah that children (including children of discovery) must be protected their rights, both their right to life (an nafs) and their intellect (al aql), the right of lineage, religion, as well as paying attention to his rights, including his right to obtain the obligatory will/right of inheritance from the parents who raised him (al maal), (2) The legal impact is, the child is found as a person, he is an orphan so the religious treatment is the same as an orphan. While the adopted child then the legal status can be assessed through recognition by the adoptive parents such as the child of guardianship, then the adopted child has the right to be guarded by his adoptive parents due to the absence of a lineage guardian. (3) While the relevance to the development of Islamic law is that in maintenance (other than the issue of lineage and inheritance), then the child has the same protection and education status of both adoptive parents. There is a need for efforts from various related parties to prioritize the benefits to protect from unwanted things and save the lives of children.","author":[{"dropping-particle":"","family":"Muniroh","given":"Siti","non-dropping-particle":"","parse-names":false,"suffix":""},{"dropping-particle":"","family":"Nasution","given":"Khoiruddin","non-dropping-particle":"","parse-names":false,"suffix":""}],"container-title":"Millah","id":"ITEM-1","issue":"1","issued":{"date-parts":[["2021","8"]]},"page":"89-112","title":"The Adoption of Found Child According to Islamic Law and Law No. 3 of 2006 on Religious Courts in the Perspective of Maqasid Al-Shari'ah","type":"article-journal","volume":"21"},"uris":["http://www.mendeley.com/documents/?uuid=ee9dcc76-bc9c-4eb6-a170-d3caaa7cc422"]}],"mendeley":{"formattedCitation":"(Muniroh &amp; Nasution, 2021)","plainTextFormattedCitation":"(Muniroh &amp; Nasution, 2021)","previouslyFormattedCitation":"(Muniroh &amp; Nasution, 2021)"},"properties":{"noteIndex":0},"schema":"https://github.com/citation-style-language/schema/raw/master/csl-citation.json"}</w:instrText>
      </w:r>
      <w:r w:rsidR="00B3299C">
        <w:rPr>
          <w:rFonts w:ascii="Calibri Light" w:hAnsi="Calibri Light" w:cs="Calibri Light"/>
          <w:sz w:val="24"/>
          <w:szCs w:val="24"/>
          <w:lang w:val="id-ID"/>
        </w:rPr>
        <w:fldChar w:fldCharType="separate"/>
      </w:r>
      <w:r w:rsidR="00B3299C" w:rsidRPr="002036F0">
        <w:rPr>
          <w:rFonts w:ascii="Calibri Light" w:hAnsi="Calibri Light" w:cs="Calibri Light"/>
          <w:noProof/>
          <w:sz w:val="24"/>
          <w:szCs w:val="24"/>
          <w:lang w:val="id-ID"/>
        </w:rPr>
        <w:t>(Muniroh &amp; Nasution, 2021)</w:t>
      </w:r>
      <w:r w:rsidR="00B3299C">
        <w:rPr>
          <w:rFonts w:ascii="Calibri Light" w:hAnsi="Calibri Light" w:cs="Calibri Light"/>
          <w:sz w:val="24"/>
          <w:szCs w:val="24"/>
          <w:lang w:val="id-ID"/>
        </w:rPr>
        <w:fldChar w:fldCharType="end"/>
      </w:r>
      <w:r w:rsidR="00B3299C" w:rsidRPr="006D18C1">
        <w:rPr>
          <w:rFonts w:ascii="Calibri Light" w:hAnsi="Calibri Light" w:cs="Calibri Light"/>
          <w:sz w:val="24"/>
          <w:szCs w:val="24"/>
          <w:lang w:val="id-ID"/>
        </w:rPr>
        <w:t xml:space="preserve">. </w:t>
      </w:r>
      <w:r w:rsidRPr="00C12FC9">
        <w:rPr>
          <w:rFonts w:ascii="Calibri Light" w:hAnsi="Calibri Light" w:cs="Calibri Light"/>
          <w:sz w:val="24"/>
          <w:szCs w:val="24"/>
          <w:lang w:val="id-ID"/>
        </w:rPr>
        <w:t>Pancasila, the nation's ideological foundation, integrates moral and religious values to promote social justice. It emphasizes that all individuals, particularly law enforcement officers, have a moral duty to serve society with fairness, integrity, and honesty.</w:t>
      </w:r>
    </w:p>
    <w:p w14:paraId="1183FD05" w14:textId="77777777" w:rsidR="00B3299C" w:rsidRPr="00325829" w:rsidRDefault="00C12FC9" w:rsidP="00C12FC9">
      <w:pPr>
        <w:spacing w:before="120" w:after="120"/>
        <w:ind w:left="440" w:right="-1" w:hanging="14"/>
        <w:jc w:val="both"/>
        <w:rPr>
          <w:rFonts w:ascii="Calibri Light" w:hAnsi="Calibri Light" w:cs="Calibri Light"/>
          <w:sz w:val="24"/>
          <w:szCs w:val="24"/>
        </w:rPr>
      </w:pPr>
      <w:r w:rsidRPr="00C12FC9">
        <w:rPr>
          <w:rFonts w:ascii="Calibri Light" w:hAnsi="Calibri Light" w:cs="Calibri Light"/>
          <w:sz w:val="24"/>
          <w:szCs w:val="24"/>
          <w:lang w:val="id-ID"/>
        </w:rPr>
        <w:t xml:space="preserve">To build a more just and dignified legal system, a synergy between morality and religious ethics is essential. While morality provides universal principles of justice and integrity, religious ethics reinforce these values with spiritual and cultural depth. This combination not only strengthens the moral character of individual law enforcement officers but also fosters a legal system that upholds human dignity and true justice </w:t>
      </w:r>
      <w:r w:rsidR="00B3299C">
        <w:rPr>
          <w:rFonts w:ascii="Calibri Light" w:hAnsi="Calibri Light" w:cs="Calibri Light"/>
          <w:sz w:val="24"/>
          <w:szCs w:val="24"/>
          <w:lang w:val="id-ID"/>
        </w:rPr>
        <w:fldChar w:fldCharType="begin" w:fldLock="1"/>
      </w:r>
      <w:r w:rsidR="00B3299C">
        <w:rPr>
          <w:rFonts w:ascii="Calibri Light" w:hAnsi="Calibri Light" w:cs="Calibri Light"/>
          <w:sz w:val="24"/>
          <w:szCs w:val="24"/>
          <w:lang w:val="id-ID"/>
        </w:rPr>
        <w:instrText>ADDIN CSL_CITATION {"citationItems":[{"id":"ITEM-1","itemData":{"DOI":"10.1017/S1744137419000730","ISSN":"1744-1374","abstract":"The background conditions for the emergence of the rule of law are important but underdeveloped. This paper discusses current theories of the origin of the rule of law, arguing that they are useful but incomplete. In addition to those theories, the Jewish and Christian concept of all human beings as God's image bearers is an important contributor to the rule of law in Western civilization. The formulation of universal human equality is not, however, a sufficient condition for the emergence of the rule of law. The concept has taken centuries of articulation in different institutions and social settings. It only reached full fruition when it was joined with an understanding of appropriate legal and political systems as expressed by political theorists such as Locke, Montesquieu, and Madison.","author":[{"dropping-particle":"","family":"Hill","given":"Peter J.","non-dropping-particle":"","parse-names":false,"suffix":""}],"container-title":"Journal of Institutional Economics","id":"ITEM-1","issue":"3","issued":{"date-parts":[["2020","6","20"]]},"page":"305-318","title":"The religious origins of the rule of law","type":"article-journal","volume":"16"},"uris":["http://www.mendeley.com/documents/?uuid=e1f8bfc5-0b4d-4e53-b62a-2eb6f414bda8"]}],"mendeley":{"formattedCitation":"(Hill, 2020)","plainTextFormattedCitation":"(Hill, 2020)","previouslyFormattedCitation":"(Hill, 2020)"},"properties":{"noteIndex":0},"schema":"https://github.com/citation-style-language/schema/raw/master/csl-citation.json"}</w:instrText>
      </w:r>
      <w:r w:rsidR="00B3299C">
        <w:rPr>
          <w:rFonts w:ascii="Calibri Light" w:hAnsi="Calibri Light" w:cs="Calibri Light"/>
          <w:sz w:val="24"/>
          <w:szCs w:val="24"/>
          <w:lang w:val="id-ID"/>
        </w:rPr>
        <w:fldChar w:fldCharType="separate"/>
      </w:r>
      <w:r w:rsidR="00B3299C" w:rsidRPr="002036F0">
        <w:rPr>
          <w:rFonts w:ascii="Calibri Light" w:hAnsi="Calibri Light" w:cs="Calibri Light"/>
          <w:noProof/>
          <w:sz w:val="24"/>
          <w:szCs w:val="24"/>
          <w:lang w:val="id-ID"/>
        </w:rPr>
        <w:t>(Hill, 2020)</w:t>
      </w:r>
      <w:r w:rsidR="00B3299C">
        <w:rPr>
          <w:rFonts w:ascii="Calibri Light" w:hAnsi="Calibri Light" w:cs="Calibri Light"/>
          <w:sz w:val="24"/>
          <w:szCs w:val="24"/>
          <w:lang w:val="id-ID"/>
        </w:rPr>
        <w:fldChar w:fldCharType="end"/>
      </w:r>
      <w:r w:rsidR="00B3299C" w:rsidRPr="00325829">
        <w:rPr>
          <w:rFonts w:ascii="Calibri Light" w:hAnsi="Calibri Light" w:cs="Calibri Light"/>
          <w:sz w:val="24"/>
          <w:szCs w:val="24"/>
        </w:rPr>
        <w:t>.</w:t>
      </w:r>
    </w:p>
    <w:p w14:paraId="0F8E5F38" w14:textId="77777777" w:rsidR="00B3299C" w:rsidRDefault="00B3299C" w:rsidP="00B3299C">
      <w:pPr>
        <w:spacing w:before="120" w:after="120"/>
        <w:ind w:left="440" w:right="-1" w:hanging="14"/>
        <w:jc w:val="both"/>
        <w:rPr>
          <w:rFonts w:ascii="Calibri Light" w:hAnsi="Calibri Light" w:cs="Calibri Light"/>
          <w:b/>
          <w:bCs/>
          <w:sz w:val="24"/>
          <w:szCs w:val="24"/>
          <w:lang w:val="id-ID"/>
        </w:rPr>
      </w:pPr>
      <w:r w:rsidRPr="00BE6AEE">
        <w:rPr>
          <w:rFonts w:ascii="Calibri Light" w:hAnsi="Calibri Light" w:cs="Calibri Light"/>
          <w:b/>
          <w:bCs/>
          <w:sz w:val="24"/>
          <w:szCs w:val="24"/>
          <w:lang w:val="id-ID"/>
        </w:rPr>
        <w:t>Law Enforcement Solutions Based on Morality and Religious Ethic</w:t>
      </w:r>
    </w:p>
    <w:p w14:paraId="63E795DF" w14:textId="77777777" w:rsidR="00B3299C" w:rsidRDefault="00C12FC9" w:rsidP="00B3299C">
      <w:pPr>
        <w:spacing w:before="120" w:after="120"/>
        <w:ind w:left="440" w:right="-1" w:hanging="14"/>
        <w:jc w:val="both"/>
        <w:rPr>
          <w:rFonts w:ascii="Calibri Light" w:hAnsi="Calibri Light" w:cs="Calibri Light"/>
          <w:sz w:val="24"/>
          <w:szCs w:val="24"/>
          <w:lang w:val="id-ID"/>
        </w:rPr>
      </w:pPr>
      <w:r w:rsidRPr="00C12FC9">
        <w:rPr>
          <w:rFonts w:ascii="Calibri Light" w:hAnsi="Calibri Light" w:cs="Calibri Light"/>
          <w:sz w:val="24"/>
          <w:szCs w:val="24"/>
          <w:lang w:val="id-ID"/>
        </w:rPr>
        <w:t>Ensuring fair law enforcement with integrity requires more than just structural improvements to the legal system. Addressing the deterioration of law enforcement in Indonesia demands solutions rooted in morality and religious ethics. This approach can enhance the quality of law enforcement, strengthen the integrity of law officers, and rebuild public trust in the legal system</w:t>
      </w:r>
      <w:r>
        <w:rPr>
          <w:rFonts w:ascii="Calibri Light" w:hAnsi="Calibri Light" w:cs="Calibri Light"/>
          <w:sz w:val="24"/>
          <w:szCs w:val="24"/>
          <w:lang w:val="id-ID"/>
        </w:rPr>
        <w:t xml:space="preserve"> </w:t>
      </w:r>
      <w:r w:rsidR="00B3299C">
        <w:rPr>
          <w:rFonts w:ascii="Calibri Light" w:hAnsi="Calibri Light" w:cs="Calibri Light"/>
          <w:sz w:val="24"/>
          <w:szCs w:val="24"/>
          <w:lang w:val="id-ID"/>
        </w:rPr>
        <w:fldChar w:fldCharType="begin" w:fldLock="1"/>
      </w:r>
      <w:r w:rsidR="00B3299C">
        <w:rPr>
          <w:rFonts w:ascii="Calibri Light" w:hAnsi="Calibri Light" w:cs="Calibri Light"/>
          <w:sz w:val="24"/>
          <w:szCs w:val="24"/>
          <w:lang w:val="id-ID"/>
        </w:rPr>
        <w:instrText>ADDIN CSL_CITATION {"citationItems":[{"id":"ITEM-1","itemData":{"DOI":"10.15294/pandecta.v17i1.35812","ISSN":"2337-5418","abstract":"Reforming the criminal application legislation in the national legal system is critical. This research uses the paradigm of legal constructivism and the type of research used is juridical-sociological. Criminal law enforcement regulations are currently still scattered in various laws and regulations, it is not impossible that they will disrupt the law enforcement system, especially in the implementation of criminal decisions/actions. Character building is an effort to establish a conservation value system to achieve the value of justice, the value of certainty and the value of benefit in law enforcement for the implementation of criminal law. Therefore, efforts are needed to enforce the law on the implementation of criminal law through a juridical-scientific-religious approach that is oriented (guided) on “science” (criminal implementation law) and “God’s guidance”. The juridical-scientific religious approach is realized as a concrete effort to reform the law through reforming the substance and culture of the law. In reforming the legal substance, the religious approach is carried out by making religious teachings a source of motivation, inspiration, and creative evaluation source in building legal people with noble character, so that concrete efforts must be developed in the content of national legal development policies.","author":[{"dropping-particle":"","family":"Widyawati","given":"Anis","non-dropping-particle":"","parse-names":false,"suffix":""},{"dropping-particle":"","family":"Latifiani","given":"Dian","non-dropping-particle":"","parse-names":false,"suffix":""},{"dropping-particle":"","family":"Fibrianti","given":"Nurul","non-dropping-particle":"","parse-names":false,"suffix":""},{"dropping-particle":"","family":"Arifin","given":"Ridwan","non-dropping-particle":"","parse-names":false,"suffix":""},{"dropping-particle":"","family":"Rohmat","given":"Rohmat","non-dropping-particle":"","parse-names":false,"suffix":""}],"container-title":"Pandecta Research Law Journal","id":"ITEM-1","issue":"1","issued":{"date-parts":[["2022","6","4"]]},"page":"146-157","title":"Application of The Juridic-Scientific Religious Approach Model in Execution of Penal Law Enforcement","type":"article-journal","volume":"17"},"uris":["http://www.mendeley.com/documents/?uuid=5399e7cb-ddde-44e3-9716-c54834d48859"]}],"mendeley":{"formattedCitation":"(Widyawati et al., 2022)","plainTextFormattedCitation":"(Widyawati et al., 2022)","previouslyFormattedCitation":"(Widyawati et al., 2022)"},"properties":{"noteIndex":0},"schema":"https://github.com/citation-style-language/schema/raw/master/csl-citation.json"}</w:instrText>
      </w:r>
      <w:r w:rsidR="00B3299C">
        <w:rPr>
          <w:rFonts w:ascii="Calibri Light" w:hAnsi="Calibri Light" w:cs="Calibri Light"/>
          <w:sz w:val="24"/>
          <w:szCs w:val="24"/>
          <w:lang w:val="id-ID"/>
        </w:rPr>
        <w:fldChar w:fldCharType="separate"/>
      </w:r>
      <w:r w:rsidR="00B3299C" w:rsidRPr="008B4CB2">
        <w:rPr>
          <w:rFonts w:ascii="Calibri Light" w:hAnsi="Calibri Light" w:cs="Calibri Light"/>
          <w:noProof/>
          <w:sz w:val="24"/>
          <w:szCs w:val="24"/>
          <w:lang w:val="id-ID"/>
        </w:rPr>
        <w:t>(Widyawati et al., 2022)</w:t>
      </w:r>
      <w:r w:rsidR="00B3299C">
        <w:rPr>
          <w:rFonts w:ascii="Calibri Light" w:hAnsi="Calibri Light" w:cs="Calibri Light"/>
          <w:sz w:val="24"/>
          <w:szCs w:val="24"/>
          <w:lang w:val="id-ID"/>
        </w:rPr>
        <w:fldChar w:fldCharType="end"/>
      </w:r>
      <w:r w:rsidR="00B3299C" w:rsidRPr="00BE6AEE">
        <w:rPr>
          <w:rFonts w:ascii="Calibri Light" w:hAnsi="Calibri Light" w:cs="Calibri Light"/>
          <w:sz w:val="24"/>
          <w:szCs w:val="24"/>
          <w:lang w:val="id-ID"/>
        </w:rPr>
        <w:t xml:space="preserve">. </w:t>
      </w:r>
      <w:r w:rsidRPr="00C12FC9">
        <w:rPr>
          <w:rFonts w:ascii="Calibri Light" w:hAnsi="Calibri Light" w:cs="Calibri Light"/>
          <w:sz w:val="24"/>
          <w:szCs w:val="24"/>
          <w:lang w:val="id-ID"/>
        </w:rPr>
        <w:t xml:space="preserve">In this context, three key solutions can be implemented: faith-based moral education, legal policy reform, and </w:t>
      </w:r>
      <w:bookmarkStart w:id="0" w:name="_Hlk189225850"/>
      <w:r w:rsidRPr="00C12FC9">
        <w:rPr>
          <w:rFonts w:ascii="Calibri Light" w:hAnsi="Calibri Light" w:cs="Calibri Light"/>
          <w:sz w:val="24"/>
          <w:szCs w:val="24"/>
          <w:lang w:val="id-ID"/>
        </w:rPr>
        <w:t>community empowerment through ethical value-based legal oversight</w:t>
      </w:r>
      <w:r>
        <w:rPr>
          <w:rFonts w:ascii="Calibri Light" w:hAnsi="Calibri Light" w:cs="Calibri Light"/>
          <w:sz w:val="24"/>
          <w:szCs w:val="24"/>
          <w:lang w:val="id-ID"/>
        </w:rPr>
        <w:t xml:space="preserve"> </w:t>
      </w:r>
      <w:bookmarkEnd w:id="0"/>
      <w:r w:rsidR="00B3299C">
        <w:rPr>
          <w:rFonts w:ascii="Calibri Light" w:hAnsi="Calibri Light" w:cs="Calibri Light"/>
          <w:sz w:val="24"/>
          <w:szCs w:val="24"/>
          <w:lang w:val="id-ID"/>
        </w:rPr>
        <w:fldChar w:fldCharType="begin" w:fldLock="1"/>
      </w:r>
      <w:r w:rsidR="00B3299C">
        <w:rPr>
          <w:rFonts w:ascii="Calibri Light" w:hAnsi="Calibri Light" w:cs="Calibri Light"/>
          <w:sz w:val="24"/>
          <w:szCs w:val="24"/>
          <w:lang w:val="id-ID"/>
        </w:rPr>
        <w:instrText>ADDIN CSL_CITATION {"citationItems":[{"id":"ITEM-1","itemData":{"DOI":"10.24260/jil.v2i2.329","ISSN":"2721-5040","abstract":"Hukum Perkawinan Indonesia mengatur bahwa ayah biologis berhak menjadi wali nikah bagi anak yang lahir kurang dari enam bulan usia perkawinan orang tuanya. Faktanya, Kantor Urusan Agama (KUA) Idi Rayeuk memberikan kewenangan kepada wali hakim untuk menggantikan kedudukan ayah kandung untuk menikahkan anak perempuannya. Artikel ini bertujuan untuk mengetahui bagaimana Hukum Perkawinan Indonesia dan hukum Islam dikompromikan dan dinegosiasikan di KUA Idi Rayeuk dalam penetapan wali nikah bagi anak yang lahir kurang dari enam bulan usia perkawinan orang tuanya. Penelitian ini merupakan penelitian normatif-empiris dengan menjadikan wawancara dan dokumentasi yang dikumpulkan selama Juli-Desember 2019 sebagai sumber datanya. Hasil penelitian menunjukkan bahwa penetapan wali hakim di KUA Idi Rayeuk bagi perempuan yang lahir kurang dari enam bulan usia perkawinan orang tuanya merupakan hasil dari kompromi dan negosiasi antara hukum positif dengan hukum Islam, khususnya fikih Syafi’i. KUA Idi Rayeuk dan tokoh agama sepakat menggunakan fikih Syafi’i untuk menunjuk wali hakim sebagai wali nikah bagi anak yang lahir kurang dari enam bulan usia perkawinan orang tuanya. Hasil dari negosiasi tersebut ialah praktik pernikahan yang diberikan ke wali hakim sesuai dengan praktik penghulu mewakilkan wali nasab dalam perkawinan (wakilah wali) dan tidak dicantumkan nama wali hakim dalam dokumen-dokumen yang berkaitan dengan pernikahan tersebut.","author":[{"dropping-particle":"","family":"Fadli","given":"Fadli","non-dropping-particle":"","parse-names":false,"suffix":""},{"dropping-particle":"","family":"Juliandi","given":"Budi","non-dropping-particle":"","parse-names":false,"suffix":""}],"container-title":"JIL: Journal of Islamic Law","id":"ITEM-1","issue":"2","issued":{"date-parts":[["2021","8","26"]]},"page":"268-283","title":"Negosiasi antara Hukum Positif dengan Hukum Islam: Penetapan Wali Nikah di Kantor Urusan Agama Idi Rayeuk, Aceh, Indonesia","type":"article-journal","volume":"2"},"uris":["http://www.mendeley.com/documents/?uuid=19bdd519-b1d1-4118-a10a-02ab792b99cd"]}],"mendeley":{"formattedCitation":"(Fadli &amp; Juliandi, 2021)","plainTextFormattedCitation":"(Fadli &amp; Juliandi, 2021)","previouslyFormattedCitation":"(Fadli &amp; Juliandi, 2021)"},"properties":{"noteIndex":0},"schema":"https://github.com/citation-style-language/schema/raw/master/csl-citation.json"}</w:instrText>
      </w:r>
      <w:r w:rsidR="00B3299C">
        <w:rPr>
          <w:rFonts w:ascii="Calibri Light" w:hAnsi="Calibri Light" w:cs="Calibri Light"/>
          <w:sz w:val="24"/>
          <w:szCs w:val="24"/>
          <w:lang w:val="id-ID"/>
        </w:rPr>
        <w:fldChar w:fldCharType="separate"/>
      </w:r>
      <w:r w:rsidR="00B3299C" w:rsidRPr="008B4CB2">
        <w:rPr>
          <w:rFonts w:ascii="Calibri Light" w:hAnsi="Calibri Light" w:cs="Calibri Light"/>
          <w:noProof/>
          <w:sz w:val="24"/>
          <w:szCs w:val="24"/>
          <w:lang w:val="id-ID"/>
        </w:rPr>
        <w:t>(Fadli &amp; Juliandi, 2021)</w:t>
      </w:r>
      <w:r w:rsidR="00B3299C">
        <w:rPr>
          <w:rFonts w:ascii="Calibri Light" w:hAnsi="Calibri Light" w:cs="Calibri Light"/>
          <w:sz w:val="24"/>
          <w:szCs w:val="24"/>
          <w:lang w:val="id-ID"/>
        </w:rPr>
        <w:fldChar w:fldCharType="end"/>
      </w:r>
      <w:r w:rsidR="00B3299C" w:rsidRPr="00BE6AEE">
        <w:rPr>
          <w:rFonts w:ascii="Calibri Light" w:hAnsi="Calibri Light" w:cs="Calibri Light"/>
          <w:sz w:val="24"/>
          <w:szCs w:val="24"/>
          <w:lang w:val="id-ID"/>
        </w:rPr>
        <w:t>.</w:t>
      </w:r>
    </w:p>
    <w:p w14:paraId="466D847F" w14:textId="77777777" w:rsidR="00C12FC9" w:rsidRPr="00C12FC9" w:rsidRDefault="00C12FC9" w:rsidP="00C12FC9">
      <w:pPr>
        <w:spacing w:before="120" w:after="120"/>
        <w:ind w:left="440" w:right="-1" w:hanging="14"/>
        <w:jc w:val="both"/>
        <w:rPr>
          <w:rFonts w:ascii="Calibri Light" w:hAnsi="Calibri Light" w:cs="Calibri Light"/>
          <w:sz w:val="24"/>
          <w:szCs w:val="24"/>
          <w:lang w:val="id-ID"/>
        </w:rPr>
      </w:pPr>
      <w:r>
        <w:rPr>
          <w:rFonts w:ascii="Calibri Light" w:hAnsi="Calibri Light" w:cs="Calibri Light"/>
          <w:sz w:val="24"/>
          <w:szCs w:val="24"/>
          <w:lang w:val="id-ID"/>
        </w:rPr>
        <w:t>First, o</w:t>
      </w:r>
      <w:r w:rsidRPr="00C12FC9">
        <w:rPr>
          <w:rFonts w:ascii="Calibri Light" w:hAnsi="Calibri Light" w:cs="Calibri Light"/>
          <w:sz w:val="24"/>
          <w:szCs w:val="24"/>
          <w:lang w:val="id-ID"/>
        </w:rPr>
        <w:t>ne of the most effective ways to improve law enforcement in Indonesia is by incorporating religious values into moral education. This approach can be integrated into the training curriculum for future judges, prosecutors, police officers, and advocates. The curriculum should emphasize personal integrity, justice, and moral responsibility in carrying out legal duties. A faith-based education provides a spiritual foundation that reinforces an officer’s understanding of their role—not only as enforcers of state law but also as individuals accountable to moral and religious principles.</w:t>
      </w:r>
    </w:p>
    <w:p w14:paraId="7280D8F8" w14:textId="77777777" w:rsidR="00B3299C" w:rsidRDefault="00C12FC9" w:rsidP="00C12FC9">
      <w:pPr>
        <w:spacing w:before="120" w:after="120"/>
        <w:ind w:left="440" w:right="-1" w:hanging="14"/>
        <w:jc w:val="both"/>
        <w:rPr>
          <w:rFonts w:ascii="Calibri Light" w:hAnsi="Calibri Light" w:cs="Calibri Light"/>
          <w:sz w:val="24"/>
          <w:szCs w:val="24"/>
          <w:lang w:val="id-ID"/>
        </w:rPr>
      </w:pPr>
      <w:r w:rsidRPr="00C12FC9">
        <w:rPr>
          <w:rFonts w:ascii="Calibri Light" w:hAnsi="Calibri Light" w:cs="Calibri Light"/>
          <w:sz w:val="24"/>
          <w:szCs w:val="24"/>
          <w:lang w:val="id-ID"/>
        </w:rPr>
        <w:t>This approach can draw upon the core values of Indonesia’s major religions, such as Islam, Christianity, Hinduism, and Buddhism. For example, Islamic teachings highlight the principles of justice (‘</w:t>
      </w:r>
      <w:r w:rsidRPr="00C12FC9">
        <w:rPr>
          <w:rFonts w:ascii="Calibri Light" w:hAnsi="Calibri Light" w:cs="Calibri Light"/>
          <w:i/>
          <w:iCs/>
          <w:sz w:val="24"/>
          <w:szCs w:val="24"/>
          <w:lang w:val="id-ID"/>
        </w:rPr>
        <w:t>adl</w:t>
      </w:r>
      <w:r w:rsidRPr="00C12FC9">
        <w:rPr>
          <w:rFonts w:ascii="Calibri Light" w:hAnsi="Calibri Light" w:cs="Calibri Light"/>
          <w:sz w:val="24"/>
          <w:szCs w:val="24"/>
          <w:lang w:val="id-ID"/>
        </w:rPr>
        <w:t>) and trust (</w:t>
      </w:r>
      <w:r w:rsidRPr="00C12FC9">
        <w:rPr>
          <w:rFonts w:ascii="Calibri Light" w:hAnsi="Calibri Light" w:cs="Calibri Light"/>
          <w:i/>
          <w:iCs/>
          <w:sz w:val="24"/>
          <w:szCs w:val="24"/>
          <w:lang w:val="id-ID"/>
        </w:rPr>
        <w:t>amanah</w:t>
      </w:r>
      <w:r w:rsidRPr="00C12FC9">
        <w:rPr>
          <w:rFonts w:ascii="Calibri Light" w:hAnsi="Calibri Light" w:cs="Calibri Light"/>
          <w:sz w:val="24"/>
          <w:szCs w:val="24"/>
          <w:lang w:val="id-ID"/>
        </w:rPr>
        <w:t>), which can serve as foundational values in shaping the ethical character of law enforcement officials. By internalizing these values, law officers will not only enforce the law effectively but also uphold it with a strong moral conscience, fostering a legal system that is both fair and honorable.</w:t>
      </w:r>
    </w:p>
    <w:p w14:paraId="5410A451" w14:textId="77777777" w:rsidR="00514DAA" w:rsidRDefault="00C12FC9" w:rsidP="00514DAA">
      <w:pPr>
        <w:spacing w:before="120" w:after="120"/>
        <w:ind w:left="440" w:right="-1" w:hanging="14"/>
        <w:jc w:val="both"/>
        <w:rPr>
          <w:rFonts w:ascii="Calibri Light" w:hAnsi="Calibri Light" w:cs="Calibri Light"/>
          <w:sz w:val="24"/>
          <w:szCs w:val="24"/>
          <w:lang w:val="id-ID"/>
        </w:rPr>
      </w:pPr>
      <w:r>
        <w:rPr>
          <w:rFonts w:ascii="Calibri Light" w:hAnsi="Calibri Light" w:cs="Calibri Light"/>
          <w:sz w:val="24"/>
          <w:szCs w:val="24"/>
          <w:lang w:val="id-ID"/>
        </w:rPr>
        <w:t xml:space="preserve">Second, </w:t>
      </w:r>
      <w:r w:rsidR="00514DAA">
        <w:rPr>
          <w:rFonts w:ascii="Calibri Light" w:hAnsi="Calibri Light" w:cs="Calibri Light"/>
          <w:sz w:val="24"/>
          <w:szCs w:val="24"/>
          <w:lang w:val="id-ID"/>
        </w:rPr>
        <w:t xml:space="preserve">in addition to </w:t>
      </w:r>
      <w:r w:rsidR="00B3299C" w:rsidRPr="00464C42">
        <w:rPr>
          <w:rFonts w:ascii="Calibri Light" w:hAnsi="Calibri Light" w:cs="Calibri Light"/>
          <w:sz w:val="24"/>
          <w:szCs w:val="24"/>
          <w:lang w:val="id-ID"/>
        </w:rPr>
        <w:t xml:space="preserve">education, </w:t>
      </w:r>
      <w:r w:rsidRPr="00C12FC9">
        <w:rPr>
          <w:rFonts w:ascii="Calibri Light" w:hAnsi="Calibri Light" w:cs="Calibri Light"/>
          <w:sz w:val="24"/>
          <w:szCs w:val="24"/>
          <w:lang w:val="id-ID"/>
        </w:rPr>
        <w:t>legal policy reform that integrates moral and religious principles is crucial</w:t>
      </w:r>
      <w:r w:rsidR="00B3299C" w:rsidRPr="00464C42">
        <w:rPr>
          <w:rFonts w:ascii="Calibri Light" w:hAnsi="Calibri Light" w:cs="Calibri Light"/>
          <w:sz w:val="24"/>
          <w:szCs w:val="24"/>
          <w:lang w:val="id-ID"/>
        </w:rPr>
        <w:t xml:space="preserve">. </w:t>
      </w:r>
      <w:r w:rsidRPr="00C12FC9">
        <w:rPr>
          <w:rFonts w:ascii="Calibri Light" w:hAnsi="Calibri Light" w:cs="Calibri Light"/>
          <w:sz w:val="24"/>
          <w:szCs w:val="24"/>
          <w:lang w:val="id-ID"/>
        </w:rPr>
        <w:t xml:space="preserve">Reform should go beyond regulatory changes and structural improvements; it must also ensure that legal principles reflect ethical and religious values. </w:t>
      </w:r>
      <w:r w:rsidRPr="00C12FC9">
        <w:rPr>
          <w:rFonts w:ascii="Calibri Light" w:hAnsi="Calibri Light" w:cs="Calibri Light"/>
          <w:sz w:val="24"/>
          <w:szCs w:val="24"/>
          <w:lang w:val="id-ID"/>
        </w:rPr>
        <w:lastRenderedPageBreak/>
        <w:t>This alignment strengthens the law’s fundamental purpose: to uphold justice and promote the well-being of all people.</w:t>
      </w:r>
    </w:p>
    <w:p w14:paraId="1D7CABF1" w14:textId="77777777" w:rsidR="00C12FC9" w:rsidRPr="00C12FC9" w:rsidRDefault="00C12FC9" w:rsidP="00514DAA">
      <w:pPr>
        <w:spacing w:before="120" w:after="120"/>
        <w:ind w:left="440" w:right="-1" w:hanging="14"/>
        <w:jc w:val="both"/>
        <w:rPr>
          <w:rFonts w:ascii="Calibri Light" w:hAnsi="Calibri Light" w:cs="Calibri Light"/>
          <w:sz w:val="24"/>
          <w:szCs w:val="24"/>
          <w:lang w:val="id-ID"/>
        </w:rPr>
      </w:pPr>
      <w:r w:rsidRPr="00C12FC9">
        <w:rPr>
          <w:rFonts w:ascii="Calibri Light" w:hAnsi="Calibri Light" w:cs="Calibri Light"/>
          <w:sz w:val="24"/>
          <w:szCs w:val="24"/>
          <w:lang w:val="id-ID"/>
        </w:rPr>
        <w:t>One way to achieve this is by ensuring that laws and policies incorporate the ethical and religious principles that are deeply embedded in society. For instance, criminal law, family law, and labor law should take into account values such as social justice, equality, and respect for human dignity. This integration fosters harmony between state law and the moral values that shape community life, ultimately enhancing both public confidence in the legal system and the moral integrity of law enforcement.</w:t>
      </w:r>
    </w:p>
    <w:p w14:paraId="52DD0156" w14:textId="77777777" w:rsidR="00B3299C" w:rsidRPr="00464C42" w:rsidRDefault="00C12FC9" w:rsidP="00C12FC9">
      <w:pPr>
        <w:spacing w:before="120" w:after="120"/>
        <w:ind w:left="440" w:right="-1" w:hanging="14"/>
        <w:jc w:val="both"/>
        <w:rPr>
          <w:rFonts w:ascii="Calibri Light" w:hAnsi="Calibri Light" w:cs="Calibri Light"/>
          <w:sz w:val="24"/>
          <w:szCs w:val="24"/>
        </w:rPr>
      </w:pPr>
      <w:r w:rsidRPr="00C12FC9">
        <w:rPr>
          <w:rFonts w:ascii="Calibri Light" w:hAnsi="Calibri Light" w:cs="Calibri Light"/>
          <w:sz w:val="24"/>
          <w:szCs w:val="24"/>
          <w:lang w:val="id-ID"/>
        </w:rPr>
        <w:t>Moreover, law enforcement officers should be given the flexibility to interpret regulations while considering the religious and ethical values prevalent in society. This approach not only strengthens law enforcement but also deepens officers’ understanding of their moral duty in serving the public.</w:t>
      </w:r>
    </w:p>
    <w:p w14:paraId="03891058" w14:textId="77777777" w:rsidR="00C12FC9" w:rsidRPr="00C12FC9" w:rsidRDefault="00C12FC9" w:rsidP="00514DAA">
      <w:pPr>
        <w:spacing w:before="120" w:after="120"/>
        <w:ind w:left="440" w:right="-1" w:hanging="14"/>
        <w:jc w:val="both"/>
        <w:rPr>
          <w:rFonts w:ascii="Calibri Light" w:hAnsi="Calibri Light" w:cs="Calibri Light"/>
          <w:sz w:val="24"/>
          <w:szCs w:val="24"/>
          <w:lang w:val="id-ID"/>
        </w:rPr>
      </w:pPr>
      <w:r>
        <w:rPr>
          <w:rFonts w:ascii="Calibri Light" w:hAnsi="Calibri Light" w:cs="Calibri Light"/>
          <w:sz w:val="24"/>
          <w:szCs w:val="24"/>
          <w:lang w:val="id-ID"/>
        </w:rPr>
        <w:t xml:space="preserve">Third, </w:t>
      </w:r>
      <w:r w:rsidR="00514DAA" w:rsidRPr="00514DAA">
        <w:rPr>
          <w:rFonts w:ascii="Calibri Light" w:hAnsi="Calibri Light" w:cs="Calibri Light"/>
          <w:sz w:val="24"/>
          <w:szCs w:val="24"/>
          <w:lang w:val="id-ID"/>
        </w:rPr>
        <w:t>community empowerment through ethical value-based legal oversight</w:t>
      </w:r>
      <w:r w:rsidR="00514DAA">
        <w:rPr>
          <w:rFonts w:ascii="Calibri Light" w:hAnsi="Calibri Light" w:cs="Calibri Light"/>
          <w:sz w:val="24"/>
          <w:szCs w:val="24"/>
          <w:lang w:val="id-ID"/>
        </w:rPr>
        <w:t xml:space="preserve"> is crucial for ensuring law enforcement</w:t>
      </w:r>
      <w:r w:rsidRPr="00C12FC9">
        <w:rPr>
          <w:rFonts w:ascii="Calibri Light" w:hAnsi="Calibri Light" w:cs="Calibri Light"/>
          <w:sz w:val="24"/>
          <w:szCs w:val="24"/>
          <w:lang w:val="id-ID"/>
        </w:rPr>
        <w:t>. Since communities are directly affected by legal policies, they play a vital role in ensuring transparency, fairness, and accountability in law enforcement. Therefore, empowering communities to take part in ethical value-based legal oversight is essential.</w:t>
      </w:r>
      <w:r w:rsidR="00514DAA">
        <w:rPr>
          <w:rFonts w:ascii="Calibri Light" w:hAnsi="Calibri Light" w:cs="Calibri Light"/>
          <w:sz w:val="24"/>
          <w:szCs w:val="24"/>
          <w:lang w:val="id-ID"/>
        </w:rPr>
        <w:t xml:space="preserve"> </w:t>
      </w:r>
      <w:r w:rsidRPr="00C12FC9">
        <w:rPr>
          <w:rFonts w:ascii="Calibri Light" w:hAnsi="Calibri Light" w:cs="Calibri Light"/>
          <w:sz w:val="24"/>
          <w:szCs w:val="24"/>
          <w:lang w:val="id-ID"/>
        </w:rPr>
        <w:t>One way to achieve this is through independent watchdog organizations and community forums dedicated to monitoring legal processes. These groups should be guided by ethical and religious principles such as honesty, justice, and transparency. Their role would be to ensure that law enforcement officers not only adhere to legal standards but also consider moral and ethical dimensions in their decisions.</w:t>
      </w:r>
    </w:p>
    <w:p w14:paraId="3C44BA1D" w14:textId="77777777" w:rsidR="00C12FC9" w:rsidRPr="00C12FC9" w:rsidRDefault="00C12FC9" w:rsidP="00C12FC9">
      <w:pPr>
        <w:spacing w:before="120" w:after="120"/>
        <w:ind w:left="440" w:right="-1" w:hanging="14"/>
        <w:jc w:val="both"/>
        <w:rPr>
          <w:rFonts w:ascii="Calibri Light" w:hAnsi="Calibri Light" w:cs="Calibri Light"/>
          <w:sz w:val="24"/>
          <w:szCs w:val="24"/>
          <w:lang w:val="id-ID"/>
        </w:rPr>
      </w:pPr>
      <w:r w:rsidRPr="00C12FC9">
        <w:rPr>
          <w:rFonts w:ascii="Calibri Light" w:hAnsi="Calibri Light" w:cs="Calibri Light"/>
          <w:sz w:val="24"/>
          <w:szCs w:val="24"/>
          <w:lang w:val="id-ID"/>
        </w:rPr>
        <w:t>Additionally, public education on legal rights and procedures is key to fostering community involvement. When people are aware of their rights, they are better equipped to demand justice and hold legal authorities accountable. An informed and engaged society can help create a legal system that is more responsive, impartial, and aligned with the principles of fairness and integrity.</w:t>
      </w:r>
    </w:p>
    <w:p w14:paraId="33A4C294" w14:textId="77777777" w:rsidR="00B3299C" w:rsidRPr="00464C42" w:rsidRDefault="00C12FC9" w:rsidP="00C12FC9">
      <w:pPr>
        <w:spacing w:before="120" w:after="120"/>
        <w:ind w:left="440" w:right="-1" w:hanging="14"/>
        <w:jc w:val="both"/>
        <w:rPr>
          <w:rFonts w:ascii="Calibri Light" w:hAnsi="Calibri Light" w:cs="Calibri Light"/>
          <w:sz w:val="24"/>
          <w:szCs w:val="24"/>
        </w:rPr>
      </w:pPr>
      <w:r w:rsidRPr="00C12FC9">
        <w:rPr>
          <w:rFonts w:ascii="Calibri Light" w:hAnsi="Calibri Light" w:cs="Calibri Light"/>
          <w:sz w:val="24"/>
          <w:szCs w:val="24"/>
          <w:lang w:val="id-ID"/>
        </w:rPr>
        <w:t>By implementing these three strategies—faith-based moral education, legal policy reform, and community empowerment—Indonesia can build a legal system that is not only effective but also deeply rooted in ethical and religious values. This holistic approach ensures that law enforcement operates with integrity, fairness, and a strong moral foundation, ultimately fostering a just and dignified society</w:t>
      </w:r>
      <w:r w:rsidR="00B3299C" w:rsidRPr="00464C42">
        <w:rPr>
          <w:rFonts w:ascii="Calibri Light" w:hAnsi="Calibri Light" w:cs="Calibri Light"/>
          <w:sz w:val="24"/>
          <w:szCs w:val="24"/>
        </w:rPr>
        <w:t>.</w:t>
      </w:r>
    </w:p>
    <w:p w14:paraId="52C96BA6" w14:textId="77777777" w:rsidR="00B3299C" w:rsidRPr="00122F5F" w:rsidRDefault="00B3299C" w:rsidP="00622BCC">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14:paraId="1433AEE0" w14:textId="77777777" w:rsidR="00B3299C" w:rsidRPr="00ED6B8A" w:rsidRDefault="00B3299C" w:rsidP="00B3299C">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14:paraId="1DC88C9C" w14:textId="77777777" w:rsidR="00514DAA" w:rsidRDefault="00B3299C" w:rsidP="00514DAA">
      <w:pPr>
        <w:pStyle w:val="ListParagraph"/>
        <w:spacing w:before="240"/>
        <w:ind w:left="426" w:right="-1"/>
        <w:jc w:val="both"/>
        <w:rPr>
          <w:rFonts w:ascii="Calibri Light" w:hAnsi="Calibri Light" w:cs="Calibri Light"/>
          <w:sz w:val="24"/>
          <w:szCs w:val="24"/>
          <w:lang w:val="en-US"/>
        </w:rPr>
      </w:pPr>
      <w:r w:rsidRPr="00BD360A">
        <w:rPr>
          <w:rFonts w:ascii="Calibri Light" w:hAnsi="Calibri Light" w:cs="Calibri Light"/>
          <w:sz w:val="24"/>
          <w:szCs w:val="24"/>
          <w:lang w:val="en-US"/>
        </w:rPr>
        <w:t xml:space="preserve">The </w:t>
      </w:r>
      <w:r w:rsidR="00514DAA">
        <w:rPr>
          <w:rFonts w:ascii="Calibri Light" w:hAnsi="Calibri Light" w:cs="Calibri Light"/>
          <w:sz w:val="24"/>
          <w:szCs w:val="24"/>
          <w:lang w:val="en-US"/>
        </w:rPr>
        <w:t xml:space="preserve">decadence </w:t>
      </w:r>
      <w:r w:rsidRPr="00BD360A">
        <w:rPr>
          <w:rFonts w:ascii="Calibri Light" w:hAnsi="Calibri Light" w:cs="Calibri Light"/>
          <w:sz w:val="24"/>
          <w:szCs w:val="24"/>
          <w:lang w:val="en-US"/>
        </w:rPr>
        <w:t>of law enforcement in Indonesia is an important issue caused by various factors including rampant corruption, abuse of power, and unfairness in the application of the law. Corruption, which is often perceived as a culture within legal institutions, undermines the credibility of the legal system and creates injustice. Abuse of power, whether in the form of coercion, intimidation or manipulation, also contributes to this deterioration. Unfairness in the application of the law, often based on discrimination against certain groups, further exacerbates the problem.</w:t>
      </w:r>
    </w:p>
    <w:p w14:paraId="31C71038" w14:textId="77777777" w:rsidR="00514DAA" w:rsidRDefault="00514DAA" w:rsidP="00514DAA">
      <w:pPr>
        <w:pStyle w:val="ListParagraph"/>
        <w:spacing w:before="240"/>
        <w:ind w:left="426" w:right="-1"/>
        <w:jc w:val="both"/>
        <w:rPr>
          <w:rFonts w:ascii="Calibri Light" w:hAnsi="Calibri Light" w:cs="Calibri Light"/>
          <w:sz w:val="24"/>
          <w:szCs w:val="24"/>
          <w:lang w:val="en-US"/>
        </w:rPr>
      </w:pPr>
      <w:r w:rsidRPr="00514DAA">
        <w:rPr>
          <w:rFonts w:ascii="Calibri Light" w:hAnsi="Calibri Light" w:cs="Calibri Light"/>
          <w:sz w:val="24"/>
          <w:szCs w:val="24"/>
          <w:lang w:val="en-US"/>
        </w:rPr>
        <w:lastRenderedPageBreak/>
        <w:t xml:space="preserve">Moral decadence among law enforcement officers is another pressing concern, as evidenced by cases of high-ranking officials involved in corruption, abuse of authority, and illegal activities. The 2022 murder case involving police officers against </w:t>
      </w:r>
      <w:r w:rsidR="00085AC4">
        <w:rPr>
          <w:rFonts w:ascii="Calibri Light" w:hAnsi="Calibri Light" w:cs="Calibri Light"/>
          <w:i/>
          <w:iCs/>
          <w:sz w:val="24"/>
          <w:szCs w:val="24"/>
          <w:lang w:val="en-US"/>
        </w:rPr>
        <w:t>Brigadier</w:t>
      </w:r>
      <w:r w:rsidRPr="00514DAA">
        <w:rPr>
          <w:rFonts w:ascii="Calibri Light" w:hAnsi="Calibri Light" w:cs="Calibri Light"/>
          <w:sz w:val="24"/>
          <w:szCs w:val="24"/>
          <w:lang w:val="en-US"/>
        </w:rPr>
        <w:t xml:space="preserve"> </w:t>
      </w:r>
      <w:r w:rsidRPr="00085AC4">
        <w:rPr>
          <w:rFonts w:ascii="Calibri Light" w:hAnsi="Calibri Light" w:cs="Calibri Light"/>
          <w:i/>
          <w:iCs/>
          <w:sz w:val="24"/>
          <w:szCs w:val="24"/>
          <w:lang w:val="en-US"/>
        </w:rPr>
        <w:t>J</w:t>
      </w:r>
      <w:r w:rsidRPr="00514DAA">
        <w:rPr>
          <w:rFonts w:ascii="Calibri Light" w:hAnsi="Calibri Light" w:cs="Calibri Light"/>
          <w:sz w:val="24"/>
          <w:szCs w:val="24"/>
          <w:lang w:val="en-US"/>
        </w:rPr>
        <w:t xml:space="preserve"> is a stark example of the declining morality and ethics among those entrusted with upholding the law. This crisis stems from a lack of moral education, insufficient character development, and the neglect of religious ethics in the training and professional lives of law enforcement officers</w:t>
      </w:r>
      <w:r w:rsidR="00B3299C" w:rsidRPr="00BD360A">
        <w:rPr>
          <w:rFonts w:ascii="Calibri Light" w:hAnsi="Calibri Light" w:cs="Calibri Light"/>
          <w:sz w:val="24"/>
          <w:szCs w:val="24"/>
          <w:lang w:val="en-US"/>
        </w:rPr>
        <w:t>.</w:t>
      </w:r>
    </w:p>
    <w:p w14:paraId="3CC5FC20" w14:textId="77777777" w:rsidR="00514DAA" w:rsidRDefault="00B3299C" w:rsidP="00514DAA">
      <w:pPr>
        <w:pStyle w:val="ListParagraph"/>
        <w:spacing w:before="240"/>
        <w:ind w:left="426" w:right="-1"/>
        <w:jc w:val="both"/>
        <w:rPr>
          <w:rFonts w:ascii="Calibri Light" w:hAnsi="Calibri Light" w:cs="Calibri Light"/>
          <w:sz w:val="24"/>
          <w:szCs w:val="24"/>
          <w:lang w:val="en-US"/>
        </w:rPr>
      </w:pPr>
      <w:r w:rsidRPr="00BD360A">
        <w:rPr>
          <w:rFonts w:ascii="Calibri Light" w:hAnsi="Calibri Light" w:cs="Calibri Light"/>
          <w:sz w:val="24"/>
          <w:szCs w:val="24"/>
          <w:lang w:val="en-US"/>
        </w:rPr>
        <w:t>The impact of this moral decadence is far-reaching, including the erosion of community morality, the normalisation of immoral behaviour among law enforcement officers, social injustice, and the loss of collective responsibility in upholding goodness. Therefore, legal reform based on moral values and religious ethics is needed to create a more just and civilised legal system.</w:t>
      </w:r>
    </w:p>
    <w:p w14:paraId="24DDF868" w14:textId="4D63E63F" w:rsidR="00E97B1C" w:rsidRDefault="00B3299C" w:rsidP="00CB2E20">
      <w:pPr>
        <w:pStyle w:val="ListParagraph"/>
        <w:spacing w:before="240"/>
        <w:ind w:left="426" w:right="-1"/>
        <w:jc w:val="both"/>
        <w:rPr>
          <w:rFonts w:ascii="Calibri Light" w:hAnsi="Calibri Light" w:cs="Calibri Light"/>
          <w:sz w:val="24"/>
          <w:szCs w:val="24"/>
          <w:lang w:val="en-US"/>
        </w:rPr>
      </w:pPr>
      <w:r w:rsidRPr="00BD360A">
        <w:rPr>
          <w:rFonts w:ascii="Calibri Light" w:hAnsi="Calibri Light" w:cs="Calibri Light"/>
          <w:sz w:val="24"/>
          <w:szCs w:val="24"/>
          <w:lang w:val="en-US"/>
        </w:rPr>
        <w:t>The synergy between morality and religious ethics in law enforcement is very important. Law serves to institutionalise moral values and religious ethics, and although the relationship between the three is not always harmonious, they can complement each other in creating a more just and dignified legal system. To improve law enforcement in Indonesia, solutions based on morality and religious ethics are needed. These solutions include faith-based moral education, legal policy reform, and community empowerment through ethical value-based legal supervision. By implementing these solutions, the quality of law enforcement can be improved, the integrity of law enforcement officers increased, and public trust in the legal system can be restored</w:t>
      </w:r>
      <w:r w:rsidRPr="00ED6B8A">
        <w:rPr>
          <w:rFonts w:ascii="Calibri Light" w:hAnsi="Calibri Light" w:cs="Calibri Light"/>
          <w:sz w:val="24"/>
          <w:szCs w:val="24"/>
          <w:lang w:val="en-US"/>
        </w:rPr>
        <w:t>.</w:t>
      </w:r>
    </w:p>
    <w:p w14:paraId="60EB2713" w14:textId="77777777" w:rsidR="00CB2E20" w:rsidRPr="00CB2E20" w:rsidRDefault="00CB2E20" w:rsidP="00CB2E20">
      <w:pPr>
        <w:pStyle w:val="ListParagraph"/>
        <w:spacing w:before="240"/>
        <w:ind w:left="426" w:right="-1"/>
        <w:jc w:val="both"/>
        <w:rPr>
          <w:rFonts w:ascii="Calibri Light" w:hAnsi="Calibri Light" w:cs="Calibri Light"/>
          <w:sz w:val="24"/>
          <w:szCs w:val="24"/>
          <w:lang w:val="en-US"/>
        </w:rPr>
      </w:pPr>
    </w:p>
    <w:p w14:paraId="3E8ECC99" w14:textId="19CC9DED" w:rsidR="00CB2E20" w:rsidRPr="00CB2E20" w:rsidRDefault="00B3299C" w:rsidP="0079701E">
      <w:pPr>
        <w:numPr>
          <w:ilvl w:val="0"/>
          <w:numId w:val="28"/>
        </w:numPr>
        <w:autoSpaceDE/>
        <w:autoSpaceDN/>
        <w:spacing w:after="240" w:line="240" w:lineRule="atLeast"/>
        <w:ind w:left="426" w:hanging="426"/>
        <w:rPr>
          <w:rFonts w:ascii="Calibri Light" w:hAnsi="Calibri Light" w:cs="Calibri Light"/>
          <w:b/>
          <w:color w:val="7030A0"/>
          <w:sz w:val="24"/>
          <w:szCs w:val="24"/>
        </w:rPr>
      </w:pPr>
      <w:r w:rsidRPr="00122F5F">
        <w:rPr>
          <w:rFonts w:ascii="Calibri Light" w:hAnsi="Calibri Light" w:cs="Calibri Light"/>
          <w:b/>
          <w:sz w:val="24"/>
          <w:szCs w:val="24"/>
        </w:rPr>
        <w:t>REFERENCES</w:t>
      </w:r>
      <w:r w:rsidRPr="00122F5F">
        <w:rPr>
          <w:rFonts w:ascii="Calibri Light" w:hAnsi="Calibri Light" w:cs="Calibri Light"/>
          <w:b/>
          <w:color w:val="7030A0"/>
          <w:sz w:val="24"/>
          <w:szCs w:val="24"/>
        </w:rPr>
        <w:t xml:space="preserve"> </w:t>
      </w:r>
    </w:p>
    <w:p w14:paraId="4FDEB20E" w14:textId="2C1F2C31" w:rsidR="00CB2E20" w:rsidRPr="00CB2E20" w:rsidRDefault="00B3299C" w:rsidP="00CB2E20">
      <w:pPr>
        <w:numPr>
          <w:ilvl w:val="0"/>
          <w:numId w:val="31"/>
        </w:numPr>
        <w:tabs>
          <w:tab w:val="left" w:pos="1117"/>
        </w:tabs>
        <w:autoSpaceDE/>
        <w:autoSpaceDN/>
        <w:spacing w:line="243" w:lineRule="auto"/>
        <w:ind w:left="1134" w:right="-1" w:hanging="702"/>
        <w:jc w:val="both"/>
        <w:rPr>
          <w:rFonts w:ascii="Calibri Light" w:hAnsi="Calibri Light" w:cs="Calibri Light"/>
          <w:noProof/>
          <w:sz w:val="24"/>
        </w:rPr>
      </w:pPr>
      <w:r w:rsidRPr="008B4CB2">
        <w:rPr>
          <w:rFonts w:ascii="Calibri Light" w:hAnsi="Calibri Light" w:cs="Calibri Light"/>
          <w:noProof/>
          <w:sz w:val="24"/>
        </w:rPr>
        <w:fldChar w:fldCharType="begin" w:fldLock="1"/>
      </w:r>
      <w:r w:rsidRPr="00CB2E20">
        <w:rPr>
          <w:rFonts w:ascii="Calibri Light" w:hAnsi="Calibri Light" w:cs="Calibri Light"/>
          <w:noProof/>
          <w:sz w:val="24"/>
        </w:rPr>
        <w:instrText xml:space="preserve">ADDIN Mendeley Bibliography CSL_BIBLIOGRAPHY </w:instrText>
      </w:r>
      <w:r w:rsidRPr="008B4CB2">
        <w:rPr>
          <w:rFonts w:ascii="Calibri Light" w:hAnsi="Calibri Light" w:cs="Calibri Light"/>
          <w:noProof/>
          <w:sz w:val="24"/>
        </w:rPr>
        <w:fldChar w:fldCharType="separate"/>
      </w:r>
      <w:r w:rsidR="00CB2E20" w:rsidRPr="00CB2E20">
        <w:rPr>
          <w:rFonts w:ascii="Calibri Light" w:hAnsi="Calibri Light" w:cs="Calibri Light"/>
          <w:noProof/>
          <w:sz w:val="24"/>
        </w:rPr>
        <w:t xml:space="preserve">Aguilar, T. G. V. (2021). Case Comment: Do Indigenous Peoples Have a Right to Limit Religious Proselytism Activities in Their Territories? </w:t>
      </w:r>
      <w:r w:rsidR="00CB2E20" w:rsidRPr="00CB2E20">
        <w:rPr>
          <w:rFonts w:ascii="Calibri Light" w:hAnsi="Calibri Light" w:cs="Calibri Light"/>
          <w:i/>
          <w:iCs/>
          <w:noProof/>
          <w:sz w:val="24"/>
        </w:rPr>
        <w:t>Journal of Law, Religion and State</w:t>
      </w:r>
      <w:r w:rsidR="00CB2E20" w:rsidRPr="00CB2E20">
        <w:rPr>
          <w:rFonts w:ascii="Calibri Light" w:hAnsi="Calibri Light" w:cs="Calibri Light"/>
          <w:noProof/>
          <w:sz w:val="24"/>
        </w:rPr>
        <w:t xml:space="preserve">, </w:t>
      </w:r>
      <w:r w:rsidR="00CB2E20" w:rsidRPr="00CB2E20">
        <w:rPr>
          <w:rFonts w:ascii="Calibri Light" w:hAnsi="Calibri Light" w:cs="Calibri Light"/>
          <w:i/>
          <w:iCs/>
          <w:noProof/>
          <w:sz w:val="24"/>
        </w:rPr>
        <w:t>9</w:t>
      </w:r>
      <w:r w:rsidR="00CB2E20" w:rsidRPr="00CB2E20">
        <w:rPr>
          <w:rFonts w:ascii="Calibri Light" w:hAnsi="Calibri Light" w:cs="Calibri Light"/>
          <w:noProof/>
          <w:sz w:val="24"/>
        </w:rPr>
        <w:t>(2–3), 299–307. https://doi.org/10.1163/22124810-2021J002</w:t>
      </w:r>
    </w:p>
    <w:p w14:paraId="2D619F2D" w14:textId="77777777" w:rsidR="00CB2E20" w:rsidRPr="00CB2E20" w:rsidRDefault="00CB2E20" w:rsidP="00CB2E20">
      <w:pPr>
        <w:numPr>
          <w:ilvl w:val="0"/>
          <w:numId w:val="31"/>
        </w:numPr>
        <w:tabs>
          <w:tab w:val="left" w:pos="1117"/>
        </w:tabs>
        <w:autoSpaceDE/>
        <w:autoSpaceDN/>
        <w:spacing w:line="243" w:lineRule="auto"/>
        <w:ind w:left="1134" w:right="-1" w:hanging="702"/>
        <w:jc w:val="both"/>
        <w:rPr>
          <w:rFonts w:ascii="Calibri Light" w:hAnsi="Calibri Light" w:cs="Calibri Light"/>
          <w:noProof/>
          <w:sz w:val="24"/>
        </w:rPr>
      </w:pPr>
      <w:r w:rsidRPr="00CB2E20">
        <w:rPr>
          <w:rFonts w:ascii="Calibri Light" w:hAnsi="Calibri Light" w:cs="Calibri Light"/>
          <w:noProof/>
          <w:sz w:val="24"/>
        </w:rPr>
        <w:t xml:space="preserve">Baker, D. J. (2009). The Moral Limits of Consent as a Defense in the Criminal Law. </w:t>
      </w:r>
      <w:r w:rsidRPr="00CB2E20">
        <w:rPr>
          <w:rFonts w:ascii="Calibri Light" w:hAnsi="Calibri Light" w:cs="Calibri Light"/>
          <w:i/>
          <w:iCs/>
          <w:noProof/>
          <w:sz w:val="24"/>
        </w:rPr>
        <w:t>New Criminal Law Review</w:t>
      </w:r>
      <w:r w:rsidRPr="00CB2E20">
        <w:rPr>
          <w:rFonts w:ascii="Calibri Light" w:hAnsi="Calibri Light" w:cs="Calibri Light"/>
          <w:noProof/>
          <w:sz w:val="24"/>
        </w:rPr>
        <w:t xml:space="preserve">, </w:t>
      </w:r>
      <w:r w:rsidRPr="00CB2E20">
        <w:rPr>
          <w:rFonts w:ascii="Calibri Light" w:hAnsi="Calibri Light" w:cs="Calibri Light"/>
          <w:i/>
          <w:iCs/>
          <w:noProof/>
          <w:sz w:val="24"/>
        </w:rPr>
        <w:t>12</w:t>
      </w:r>
      <w:r w:rsidRPr="00CB2E20">
        <w:rPr>
          <w:rFonts w:ascii="Calibri Light" w:hAnsi="Calibri Light" w:cs="Calibri Light"/>
          <w:noProof/>
          <w:sz w:val="24"/>
        </w:rPr>
        <w:t>(1), 93–121. https://doi.org/10.1525/nclr.2009.12.1.93</w:t>
      </w:r>
    </w:p>
    <w:p w14:paraId="15243DE5" w14:textId="77777777" w:rsidR="00CB2E20" w:rsidRPr="00CB2E20" w:rsidRDefault="00CB2E20" w:rsidP="00CB2E20">
      <w:pPr>
        <w:numPr>
          <w:ilvl w:val="0"/>
          <w:numId w:val="31"/>
        </w:numPr>
        <w:tabs>
          <w:tab w:val="left" w:pos="1117"/>
        </w:tabs>
        <w:autoSpaceDE/>
        <w:autoSpaceDN/>
        <w:spacing w:line="243" w:lineRule="auto"/>
        <w:ind w:left="1134" w:right="-1" w:hanging="702"/>
        <w:jc w:val="both"/>
        <w:rPr>
          <w:rFonts w:ascii="Calibri Light" w:hAnsi="Calibri Light" w:cs="Calibri Light"/>
          <w:noProof/>
          <w:sz w:val="24"/>
        </w:rPr>
      </w:pPr>
      <w:r w:rsidRPr="00CB2E20">
        <w:rPr>
          <w:rFonts w:ascii="Calibri Light" w:hAnsi="Calibri Light" w:cs="Calibri Light"/>
          <w:noProof/>
          <w:sz w:val="24"/>
        </w:rPr>
        <w:t xml:space="preserve">Benuf, K., Mahmudah, S., &amp; Priyono, E. A. (2019). Perlindungan Hukum Terhadap Keamanan Data Konsumen Financial Technology Di Indonesia. </w:t>
      </w:r>
      <w:r w:rsidRPr="00CB2E20">
        <w:rPr>
          <w:rFonts w:ascii="Calibri Light" w:hAnsi="Calibri Light" w:cs="Calibri Light"/>
          <w:i/>
          <w:iCs/>
          <w:noProof/>
          <w:sz w:val="24"/>
        </w:rPr>
        <w:t>Refleksi Hukum: Jurnal Ilmu Hukum</w:t>
      </w:r>
      <w:r w:rsidRPr="00CB2E20">
        <w:rPr>
          <w:rFonts w:ascii="Calibri Light" w:hAnsi="Calibri Light" w:cs="Calibri Light"/>
          <w:noProof/>
          <w:sz w:val="24"/>
        </w:rPr>
        <w:t xml:space="preserve">, </w:t>
      </w:r>
      <w:r w:rsidRPr="00CB2E20">
        <w:rPr>
          <w:rFonts w:ascii="Calibri Light" w:hAnsi="Calibri Light" w:cs="Calibri Light"/>
          <w:i/>
          <w:iCs/>
          <w:noProof/>
          <w:sz w:val="24"/>
        </w:rPr>
        <w:t>3</w:t>
      </w:r>
      <w:r w:rsidRPr="00CB2E20">
        <w:rPr>
          <w:rFonts w:ascii="Calibri Light" w:hAnsi="Calibri Light" w:cs="Calibri Light"/>
          <w:noProof/>
          <w:sz w:val="24"/>
        </w:rPr>
        <w:t>(2), 145–160. https://doi.org/10.24246/jrh.2019.v3.i2.p145-160</w:t>
      </w:r>
    </w:p>
    <w:p w14:paraId="2A6724AD" w14:textId="77777777" w:rsidR="00CB2E20" w:rsidRPr="00CB2E20" w:rsidRDefault="00CB2E20" w:rsidP="00CB2E20">
      <w:pPr>
        <w:numPr>
          <w:ilvl w:val="0"/>
          <w:numId w:val="31"/>
        </w:numPr>
        <w:tabs>
          <w:tab w:val="left" w:pos="1117"/>
        </w:tabs>
        <w:autoSpaceDE/>
        <w:autoSpaceDN/>
        <w:spacing w:line="243" w:lineRule="auto"/>
        <w:ind w:left="1134" w:right="-1" w:hanging="702"/>
        <w:jc w:val="both"/>
        <w:rPr>
          <w:rFonts w:ascii="Calibri Light" w:hAnsi="Calibri Light" w:cs="Calibri Light"/>
          <w:noProof/>
          <w:sz w:val="24"/>
        </w:rPr>
      </w:pPr>
      <w:r w:rsidRPr="00CB2E20">
        <w:rPr>
          <w:rFonts w:ascii="Calibri Light" w:hAnsi="Calibri Light" w:cs="Calibri Light"/>
          <w:noProof/>
          <w:sz w:val="24"/>
        </w:rPr>
        <w:t xml:space="preserve">Berk, R. A. (2021). Artificial Intelligence, Predictive Policing, and Risk Assessment for Law Enforcement. </w:t>
      </w:r>
      <w:r w:rsidRPr="00CB2E20">
        <w:rPr>
          <w:rFonts w:ascii="Calibri Light" w:hAnsi="Calibri Light" w:cs="Calibri Light"/>
          <w:i/>
          <w:iCs/>
          <w:noProof/>
          <w:sz w:val="24"/>
        </w:rPr>
        <w:t>Annual Review of Criminology</w:t>
      </w:r>
      <w:r w:rsidRPr="00CB2E20">
        <w:rPr>
          <w:rFonts w:ascii="Calibri Light" w:hAnsi="Calibri Light" w:cs="Calibri Light"/>
          <w:noProof/>
          <w:sz w:val="24"/>
        </w:rPr>
        <w:t xml:space="preserve">, </w:t>
      </w:r>
      <w:r w:rsidRPr="00CB2E20">
        <w:rPr>
          <w:rFonts w:ascii="Calibri Light" w:hAnsi="Calibri Light" w:cs="Calibri Light"/>
          <w:i/>
          <w:iCs/>
          <w:noProof/>
          <w:sz w:val="24"/>
        </w:rPr>
        <w:t>4</w:t>
      </w:r>
      <w:r w:rsidRPr="00CB2E20">
        <w:rPr>
          <w:rFonts w:ascii="Calibri Light" w:hAnsi="Calibri Light" w:cs="Calibri Light"/>
          <w:noProof/>
          <w:sz w:val="24"/>
        </w:rPr>
        <w:t>(1), 209–237. https://doi.org/10.1146/annurev-criminol-051520-012342</w:t>
      </w:r>
    </w:p>
    <w:p w14:paraId="51F6DA50" w14:textId="77777777" w:rsidR="00CB2E20" w:rsidRPr="00CB2E20" w:rsidRDefault="00CB2E20" w:rsidP="00CB2E20">
      <w:pPr>
        <w:numPr>
          <w:ilvl w:val="0"/>
          <w:numId w:val="31"/>
        </w:numPr>
        <w:tabs>
          <w:tab w:val="left" w:pos="1117"/>
        </w:tabs>
        <w:autoSpaceDE/>
        <w:autoSpaceDN/>
        <w:spacing w:line="243" w:lineRule="auto"/>
        <w:ind w:left="1134" w:right="-1" w:hanging="702"/>
        <w:jc w:val="both"/>
        <w:rPr>
          <w:rFonts w:ascii="Calibri Light" w:hAnsi="Calibri Light" w:cs="Calibri Light"/>
          <w:noProof/>
          <w:sz w:val="24"/>
        </w:rPr>
      </w:pPr>
      <w:r w:rsidRPr="00CB2E20">
        <w:rPr>
          <w:rFonts w:ascii="Calibri Light" w:hAnsi="Calibri Light" w:cs="Calibri Light"/>
          <w:noProof/>
          <w:sz w:val="24"/>
        </w:rPr>
        <w:t xml:space="preserve">Berkmann, B. J., &amp; Fries, A. (2021). Catholic Church Law: Challenges by Secular Law and Religious Pluralism. </w:t>
      </w:r>
      <w:r w:rsidRPr="00CB2E20">
        <w:rPr>
          <w:rFonts w:ascii="Calibri Light" w:hAnsi="Calibri Light" w:cs="Calibri Light"/>
          <w:i/>
          <w:iCs/>
          <w:noProof/>
          <w:sz w:val="24"/>
        </w:rPr>
        <w:t>Interdisciplinary Journal for Religion and Transformation in Contemporary Society</w:t>
      </w:r>
      <w:r w:rsidRPr="00CB2E20">
        <w:rPr>
          <w:rFonts w:ascii="Calibri Light" w:hAnsi="Calibri Light" w:cs="Calibri Light"/>
          <w:noProof/>
          <w:sz w:val="24"/>
        </w:rPr>
        <w:t xml:space="preserve">, </w:t>
      </w:r>
      <w:r w:rsidRPr="00CB2E20">
        <w:rPr>
          <w:rFonts w:ascii="Calibri Light" w:hAnsi="Calibri Light" w:cs="Calibri Light"/>
          <w:i/>
          <w:iCs/>
          <w:noProof/>
          <w:sz w:val="24"/>
        </w:rPr>
        <w:t>7</w:t>
      </w:r>
      <w:r w:rsidRPr="00CB2E20">
        <w:rPr>
          <w:rFonts w:ascii="Calibri Light" w:hAnsi="Calibri Light" w:cs="Calibri Light"/>
          <w:noProof/>
          <w:sz w:val="24"/>
        </w:rPr>
        <w:t>(1), 95–124. https://doi.org/10.30965/23642807-bja10009</w:t>
      </w:r>
    </w:p>
    <w:p w14:paraId="06220443" w14:textId="2ED1A711" w:rsidR="00CB2E20" w:rsidRPr="00CB2E20" w:rsidRDefault="00CB2E20" w:rsidP="00CB2E20">
      <w:pPr>
        <w:numPr>
          <w:ilvl w:val="0"/>
          <w:numId w:val="31"/>
        </w:numPr>
        <w:tabs>
          <w:tab w:val="left" w:pos="1117"/>
        </w:tabs>
        <w:autoSpaceDE/>
        <w:autoSpaceDN/>
        <w:spacing w:line="243" w:lineRule="auto"/>
        <w:ind w:left="1134" w:right="-1" w:hanging="702"/>
        <w:jc w:val="both"/>
        <w:rPr>
          <w:rFonts w:ascii="Calibri Light" w:hAnsi="Calibri Light" w:cs="Calibri Light"/>
          <w:noProof/>
          <w:sz w:val="24"/>
        </w:rPr>
      </w:pPr>
      <w:r w:rsidRPr="00CB2E20">
        <w:rPr>
          <w:rFonts w:ascii="Calibri Light" w:hAnsi="Calibri Light" w:cs="Calibri Light"/>
          <w:noProof/>
          <w:sz w:val="24"/>
        </w:rPr>
        <w:lastRenderedPageBreak/>
        <w:t xml:space="preserve">Bloch, E. (2021). Gender Equality And Religious Law: The Ordination Of Women As Rabbis In The Conservative Movement As A Case Study. </w:t>
      </w:r>
      <w:r w:rsidRPr="00CB2E20">
        <w:rPr>
          <w:rFonts w:ascii="Calibri Light" w:hAnsi="Calibri Light" w:cs="Calibri Light"/>
          <w:i/>
          <w:iCs/>
          <w:noProof/>
          <w:sz w:val="24"/>
        </w:rPr>
        <w:t>Journal of Law and Religion</w:t>
      </w:r>
      <w:r w:rsidRPr="00CB2E20">
        <w:rPr>
          <w:rFonts w:ascii="Calibri Light" w:hAnsi="Calibri Light" w:cs="Calibri Light"/>
          <w:noProof/>
          <w:sz w:val="24"/>
        </w:rPr>
        <w:t xml:space="preserve">, </w:t>
      </w:r>
      <w:r w:rsidRPr="00CB2E20">
        <w:rPr>
          <w:rFonts w:ascii="Calibri Light" w:hAnsi="Calibri Light" w:cs="Calibri Light"/>
          <w:i/>
          <w:iCs/>
          <w:noProof/>
          <w:sz w:val="24"/>
        </w:rPr>
        <w:t>36</w:t>
      </w:r>
      <w:r w:rsidRPr="00CB2E20">
        <w:rPr>
          <w:rFonts w:ascii="Calibri Light" w:hAnsi="Calibri Light" w:cs="Calibri Light"/>
          <w:noProof/>
          <w:sz w:val="24"/>
        </w:rPr>
        <w:t>(2), 255–277. https://doi.org/10.1017/jlr.2021.44</w:t>
      </w:r>
    </w:p>
    <w:p w14:paraId="620A1F9B" w14:textId="77777777" w:rsidR="00CB2E20" w:rsidRPr="00CB2E20" w:rsidRDefault="00CB2E20" w:rsidP="00CB2E20">
      <w:pPr>
        <w:numPr>
          <w:ilvl w:val="0"/>
          <w:numId w:val="31"/>
        </w:numPr>
        <w:tabs>
          <w:tab w:val="left" w:pos="1117"/>
        </w:tabs>
        <w:autoSpaceDE/>
        <w:autoSpaceDN/>
        <w:spacing w:line="243" w:lineRule="auto"/>
        <w:ind w:left="1134" w:right="-1" w:hanging="702"/>
        <w:jc w:val="both"/>
        <w:rPr>
          <w:rFonts w:ascii="Calibri Light" w:hAnsi="Calibri Light" w:cs="Calibri Light"/>
          <w:noProof/>
          <w:sz w:val="24"/>
        </w:rPr>
      </w:pPr>
      <w:r w:rsidRPr="00CB2E20">
        <w:rPr>
          <w:rFonts w:ascii="Calibri Light" w:hAnsi="Calibri Light" w:cs="Calibri Light"/>
          <w:noProof/>
          <w:sz w:val="24"/>
        </w:rPr>
        <w:t xml:space="preserve">Burry, S. (2024). H.L.A. Hart’s Lost Essay on Policies, Principles, and Adjudication. </w:t>
      </w:r>
      <w:r w:rsidRPr="00CB2E20">
        <w:rPr>
          <w:rFonts w:ascii="Calibri Light" w:hAnsi="Calibri Light" w:cs="Calibri Light"/>
          <w:i/>
          <w:iCs/>
          <w:noProof/>
          <w:sz w:val="24"/>
        </w:rPr>
        <w:t>The American Journal of Jurisprudence</w:t>
      </w:r>
      <w:r w:rsidRPr="00CB2E20">
        <w:rPr>
          <w:rFonts w:ascii="Calibri Light" w:hAnsi="Calibri Light" w:cs="Calibri Light"/>
          <w:noProof/>
          <w:sz w:val="24"/>
        </w:rPr>
        <w:t xml:space="preserve">, </w:t>
      </w:r>
      <w:r w:rsidRPr="00CB2E20">
        <w:rPr>
          <w:rFonts w:ascii="Calibri Light" w:hAnsi="Calibri Light" w:cs="Calibri Light"/>
          <w:i/>
          <w:iCs/>
          <w:noProof/>
          <w:sz w:val="24"/>
        </w:rPr>
        <w:t>69</w:t>
      </w:r>
      <w:r w:rsidRPr="00CB2E20">
        <w:rPr>
          <w:rFonts w:ascii="Calibri Light" w:hAnsi="Calibri Light" w:cs="Calibri Light"/>
          <w:noProof/>
          <w:sz w:val="24"/>
        </w:rPr>
        <w:t>(2), 135–140. https://doi.org/10.1093/ajj/auae015</w:t>
      </w:r>
    </w:p>
    <w:p w14:paraId="396B7006" w14:textId="77777777" w:rsidR="00CB2E20" w:rsidRPr="00CB2E20" w:rsidRDefault="00CB2E20" w:rsidP="00CB2E20">
      <w:pPr>
        <w:numPr>
          <w:ilvl w:val="0"/>
          <w:numId w:val="31"/>
        </w:numPr>
        <w:tabs>
          <w:tab w:val="left" w:pos="1117"/>
        </w:tabs>
        <w:autoSpaceDE/>
        <w:autoSpaceDN/>
        <w:spacing w:line="243" w:lineRule="auto"/>
        <w:ind w:left="1134" w:right="-1" w:hanging="702"/>
        <w:jc w:val="both"/>
        <w:rPr>
          <w:rFonts w:ascii="Calibri Light" w:hAnsi="Calibri Light" w:cs="Calibri Light"/>
          <w:noProof/>
          <w:sz w:val="24"/>
        </w:rPr>
      </w:pPr>
      <w:r w:rsidRPr="00CB2E20">
        <w:rPr>
          <w:rFonts w:ascii="Calibri Light" w:hAnsi="Calibri Light" w:cs="Calibri Light"/>
          <w:noProof/>
          <w:sz w:val="24"/>
        </w:rPr>
        <w:t xml:space="preserve">Chaturvedula, N. (2016). On the Precipice of Ruin: Consumption, Sumptuary Laws, and Decadence in Early Modern Portuguese India. </w:t>
      </w:r>
      <w:r w:rsidRPr="00CB2E20">
        <w:rPr>
          <w:rFonts w:ascii="Calibri Light" w:hAnsi="Calibri Light" w:cs="Calibri Light"/>
          <w:i/>
          <w:iCs/>
          <w:noProof/>
          <w:sz w:val="24"/>
        </w:rPr>
        <w:t>Journal of World History</w:t>
      </w:r>
      <w:r w:rsidRPr="00CB2E20">
        <w:rPr>
          <w:rFonts w:ascii="Calibri Light" w:hAnsi="Calibri Light" w:cs="Calibri Light"/>
          <w:noProof/>
          <w:sz w:val="24"/>
        </w:rPr>
        <w:t xml:space="preserve">, </w:t>
      </w:r>
      <w:r w:rsidRPr="00CB2E20">
        <w:rPr>
          <w:rFonts w:ascii="Calibri Light" w:hAnsi="Calibri Light" w:cs="Calibri Light"/>
          <w:i/>
          <w:iCs/>
          <w:noProof/>
          <w:sz w:val="24"/>
        </w:rPr>
        <w:t>26</w:t>
      </w:r>
      <w:r w:rsidRPr="00CB2E20">
        <w:rPr>
          <w:rFonts w:ascii="Calibri Light" w:hAnsi="Calibri Light" w:cs="Calibri Light"/>
          <w:noProof/>
          <w:sz w:val="24"/>
        </w:rPr>
        <w:t>(2), 355–384. https://doi.org/10.1353/jwh.2016.0033</w:t>
      </w:r>
    </w:p>
    <w:p w14:paraId="69B5738A" w14:textId="77777777" w:rsidR="00CB2E20" w:rsidRPr="00CB2E20" w:rsidRDefault="00CB2E20" w:rsidP="00CB2E20">
      <w:pPr>
        <w:numPr>
          <w:ilvl w:val="0"/>
          <w:numId w:val="31"/>
        </w:numPr>
        <w:tabs>
          <w:tab w:val="left" w:pos="1117"/>
        </w:tabs>
        <w:autoSpaceDE/>
        <w:autoSpaceDN/>
        <w:spacing w:line="243" w:lineRule="auto"/>
        <w:ind w:left="1134" w:right="-1" w:hanging="702"/>
        <w:jc w:val="both"/>
        <w:rPr>
          <w:rFonts w:ascii="Calibri Light" w:hAnsi="Calibri Light" w:cs="Calibri Light"/>
          <w:noProof/>
          <w:sz w:val="24"/>
        </w:rPr>
      </w:pPr>
      <w:r w:rsidRPr="00CB2E20">
        <w:rPr>
          <w:rFonts w:ascii="Calibri Light" w:hAnsi="Calibri Light" w:cs="Calibri Light"/>
          <w:noProof/>
          <w:sz w:val="24"/>
        </w:rPr>
        <w:t xml:space="preserve">Correction to: Indonesia’s Supreme Court Judgment on Religious Clothing: Failing Women and Girls in Public Schools? (2023). </w:t>
      </w:r>
      <w:r w:rsidRPr="00CB2E20">
        <w:rPr>
          <w:rFonts w:ascii="Calibri Light" w:hAnsi="Calibri Light" w:cs="Calibri Light"/>
          <w:i/>
          <w:iCs/>
          <w:noProof/>
          <w:sz w:val="24"/>
        </w:rPr>
        <w:t>Oxford Journal of Law and Religion</w:t>
      </w:r>
      <w:r w:rsidRPr="00CB2E20">
        <w:rPr>
          <w:rFonts w:ascii="Calibri Light" w:hAnsi="Calibri Light" w:cs="Calibri Light"/>
          <w:noProof/>
          <w:sz w:val="24"/>
        </w:rPr>
        <w:t xml:space="preserve">, </w:t>
      </w:r>
      <w:r w:rsidRPr="00CB2E20">
        <w:rPr>
          <w:rFonts w:ascii="Calibri Light" w:hAnsi="Calibri Light" w:cs="Calibri Light"/>
          <w:i/>
          <w:iCs/>
          <w:noProof/>
          <w:sz w:val="24"/>
        </w:rPr>
        <w:t>11</w:t>
      </w:r>
      <w:r w:rsidRPr="00CB2E20">
        <w:rPr>
          <w:rFonts w:ascii="Calibri Light" w:hAnsi="Calibri Light" w:cs="Calibri Light"/>
          <w:noProof/>
          <w:sz w:val="24"/>
        </w:rPr>
        <w:t>(1), 175–175. https://doi.org/10.1093/ojlr/rwac009</w:t>
      </w:r>
    </w:p>
    <w:p w14:paraId="711E5B68" w14:textId="77777777" w:rsidR="00CB2E20" w:rsidRPr="00CB2E20" w:rsidRDefault="00CB2E20" w:rsidP="00CB2E20">
      <w:pPr>
        <w:numPr>
          <w:ilvl w:val="0"/>
          <w:numId w:val="31"/>
        </w:numPr>
        <w:tabs>
          <w:tab w:val="left" w:pos="1117"/>
        </w:tabs>
        <w:autoSpaceDE/>
        <w:autoSpaceDN/>
        <w:spacing w:line="243" w:lineRule="auto"/>
        <w:ind w:left="1134" w:right="-1" w:hanging="702"/>
        <w:jc w:val="both"/>
        <w:rPr>
          <w:rFonts w:ascii="Calibri Light" w:hAnsi="Calibri Light" w:cs="Calibri Light"/>
          <w:noProof/>
          <w:sz w:val="24"/>
        </w:rPr>
      </w:pPr>
      <w:r w:rsidRPr="00CB2E20">
        <w:rPr>
          <w:rFonts w:ascii="Calibri Light" w:hAnsi="Calibri Light" w:cs="Calibri Light"/>
          <w:noProof/>
          <w:sz w:val="24"/>
        </w:rPr>
        <w:t xml:space="preserve">Cuypers, S. E. (2024). H.L.A. Hart on Legal Moralism and Social Morality. </w:t>
      </w:r>
      <w:r w:rsidRPr="00CB2E20">
        <w:rPr>
          <w:rFonts w:ascii="Calibri Light" w:hAnsi="Calibri Light" w:cs="Calibri Light"/>
          <w:i/>
          <w:iCs/>
          <w:noProof/>
          <w:sz w:val="24"/>
        </w:rPr>
        <w:t>Roczniki Filozoficzne</w:t>
      </w:r>
      <w:r w:rsidRPr="00CB2E20">
        <w:rPr>
          <w:rFonts w:ascii="Calibri Light" w:hAnsi="Calibri Light" w:cs="Calibri Light"/>
          <w:noProof/>
          <w:sz w:val="24"/>
        </w:rPr>
        <w:t xml:space="preserve">, </w:t>
      </w:r>
      <w:r w:rsidRPr="00CB2E20">
        <w:rPr>
          <w:rFonts w:ascii="Calibri Light" w:hAnsi="Calibri Light" w:cs="Calibri Light"/>
          <w:i/>
          <w:iCs/>
          <w:noProof/>
          <w:sz w:val="24"/>
        </w:rPr>
        <w:t>72</w:t>
      </w:r>
      <w:r w:rsidRPr="00CB2E20">
        <w:rPr>
          <w:rFonts w:ascii="Calibri Light" w:hAnsi="Calibri Light" w:cs="Calibri Light"/>
          <w:noProof/>
          <w:sz w:val="24"/>
        </w:rPr>
        <w:t>(3), 239–257. https://doi.org/10.18290/rf24723.11</w:t>
      </w:r>
    </w:p>
    <w:p w14:paraId="34A5A2A9" w14:textId="77777777" w:rsidR="00CB2E20" w:rsidRPr="00CB2E20" w:rsidRDefault="00CB2E20" w:rsidP="00CB2E20">
      <w:pPr>
        <w:numPr>
          <w:ilvl w:val="0"/>
          <w:numId w:val="31"/>
        </w:numPr>
        <w:tabs>
          <w:tab w:val="left" w:pos="1117"/>
        </w:tabs>
        <w:autoSpaceDE/>
        <w:autoSpaceDN/>
        <w:spacing w:line="243" w:lineRule="auto"/>
        <w:ind w:left="1134" w:right="-1" w:hanging="702"/>
        <w:jc w:val="both"/>
        <w:rPr>
          <w:rFonts w:ascii="Calibri Light" w:hAnsi="Calibri Light" w:cs="Calibri Light"/>
          <w:noProof/>
          <w:sz w:val="24"/>
        </w:rPr>
      </w:pPr>
      <w:r w:rsidRPr="00CB2E20">
        <w:rPr>
          <w:rFonts w:ascii="Calibri Light" w:hAnsi="Calibri Light" w:cs="Calibri Light"/>
          <w:noProof/>
          <w:sz w:val="24"/>
        </w:rPr>
        <w:t xml:space="preserve">Durkheim, É. (2020). An Unpublished Manuscript by Durkheim. </w:t>
      </w:r>
      <w:r w:rsidRPr="00CB2E20">
        <w:rPr>
          <w:rFonts w:ascii="Calibri Light" w:hAnsi="Calibri Light" w:cs="Calibri Light"/>
          <w:i/>
          <w:iCs/>
          <w:noProof/>
          <w:sz w:val="24"/>
        </w:rPr>
        <w:t>Durkheimian Studies</w:t>
      </w:r>
      <w:r w:rsidRPr="00CB2E20">
        <w:rPr>
          <w:rFonts w:ascii="Calibri Light" w:hAnsi="Calibri Light" w:cs="Calibri Light"/>
          <w:noProof/>
          <w:sz w:val="24"/>
        </w:rPr>
        <w:t xml:space="preserve">, </w:t>
      </w:r>
      <w:r w:rsidRPr="00CB2E20">
        <w:rPr>
          <w:rFonts w:ascii="Calibri Light" w:hAnsi="Calibri Light" w:cs="Calibri Light"/>
          <w:i/>
          <w:iCs/>
          <w:noProof/>
          <w:sz w:val="24"/>
        </w:rPr>
        <w:t>24</w:t>
      </w:r>
      <w:r w:rsidRPr="00CB2E20">
        <w:rPr>
          <w:rFonts w:ascii="Calibri Light" w:hAnsi="Calibri Light" w:cs="Calibri Light"/>
          <w:noProof/>
          <w:sz w:val="24"/>
        </w:rPr>
        <w:t>(1), 45–56. https://doi.org/10.3167/ds.2020.240104</w:t>
      </w:r>
    </w:p>
    <w:p w14:paraId="515E0D3A" w14:textId="77777777" w:rsidR="00CB2E20" w:rsidRPr="00CB2E20" w:rsidRDefault="00CB2E20" w:rsidP="00CB2E20">
      <w:pPr>
        <w:numPr>
          <w:ilvl w:val="0"/>
          <w:numId w:val="31"/>
        </w:numPr>
        <w:tabs>
          <w:tab w:val="left" w:pos="1117"/>
        </w:tabs>
        <w:autoSpaceDE/>
        <w:autoSpaceDN/>
        <w:spacing w:line="243" w:lineRule="auto"/>
        <w:ind w:left="1134" w:right="-1" w:hanging="702"/>
        <w:jc w:val="both"/>
        <w:rPr>
          <w:rFonts w:ascii="Calibri Light" w:hAnsi="Calibri Light" w:cs="Calibri Light"/>
          <w:noProof/>
          <w:sz w:val="24"/>
        </w:rPr>
      </w:pPr>
      <w:r w:rsidRPr="00CB2E20">
        <w:rPr>
          <w:rFonts w:ascii="Calibri Light" w:hAnsi="Calibri Light" w:cs="Calibri Light"/>
          <w:noProof/>
          <w:sz w:val="24"/>
        </w:rPr>
        <w:t xml:space="preserve">Fadli, F., &amp; Juliandi, B. (2021). Negosiasi antara Hukum Positif dengan Hukum Islam: Penetapan Wali Nikah di Kantor Urusan Agama Idi Rayeuk, Aceh, Indonesia. </w:t>
      </w:r>
      <w:r w:rsidRPr="00CB2E20">
        <w:rPr>
          <w:rFonts w:ascii="Calibri Light" w:hAnsi="Calibri Light" w:cs="Calibri Light"/>
          <w:i/>
          <w:iCs/>
          <w:noProof/>
          <w:sz w:val="24"/>
        </w:rPr>
        <w:t>JIL: Journal of Islamic Law</w:t>
      </w:r>
      <w:r w:rsidRPr="00CB2E20">
        <w:rPr>
          <w:rFonts w:ascii="Calibri Light" w:hAnsi="Calibri Light" w:cs="Calibri Light"/>
          <w:noProof/>
          <w:sz w:val="24"/>
        </w:rPr>
        <w:t xml:space="preserve">, </w:t>
      </w:r>
      <w:r w:rsidRPr="00CB2E20">
        <w:rPr>
          <w:rFonts w:ascii="Calibri Light" w:hAnsi="Calibri Light" w:cs="Calibri Light"/>
          <w:i/>
          <w:iCs/>
          <w:noProof/>
          <w:sz w:val="24"/>
        </w:rPr>
        <w:t>2</w:t>
      </w:r>
      <w:r w:rsidRPr="00CB2E20">
        <w:rPr>
          <w:rFonts w:ascii="Calibri Light" w:hAnsi="Calibri Light" w:cs="Calibri Light"/>
          <w:noProof/>
          <w:sz w:val="24"/>
        </w:rPr>
        <w:t>(2), 268–283. https://doi.org/10.24260/jil.v2i2.329</w:t>
      </w:r>
    </w:p>
    <w:p w14:paraId="202E5020" w14:textId="77777777" w:rsidR="00CB2E20" w:rsidRPr="00CB2E20" w:rsidRDefault="00CB2E20" w:rsidP="00CB2E20">
      <w:pPr>
        <w:numPr>
          <w:ilvl w:val="0"/>
          <w:numId w:val="31"/>
        </w:numPr>
        <w:tabs>
          <w:tab w:val="left" w:pos="1117"/>
        </w:tabs>
        <w:autoSpaceDE/>
        <w:autoSpaceDN/>
        <w:spacing w:line="243" w:lineRule="auto"/>
        <w:ind w:left="1134" w:right="-1" w:hanging="702"/>
        <w:jc w:val="both"/>
        <w:rPr>
          <w:rFonts w:ascii="Calibri Light" w:hAnsi="Calibri Light" w:cs="Calibri Light"/>
          <w:noProof/>
          <w:sz w:val="24"/>
        </w:rPr>
      </w:pPr>
      <w:r w:rsidRPr="00CB2E20">
        <w:rPr>
          <w:rFonts w:ascii="Calibri Light" w:hAnsi="Calibri Light" w:cs="Calibri Light"/>
          <w:noProof/>
          <w:sz w:val="24"/>
        </w:rPr>
        <w:t xml:space="preserve">Fancourt, N., &amp; Hendek, A. (2022). National, international and supranational perspectives on religious education, law and the judiciary: past, present and future. </w:t>
      </w:r>
      <w:r w:rsidRPr="00CB2E20">
        <w:rPr>
          <w:rFonts w:ascii="Calibri Light" w:hAnsi="Calibri Light" w:cs="Calibri Light"/>
          <w:i/>
          <w:iCs/>
          <w:noProof/>
          <w:sz w:val="24"/>
        </w:rPr>
        <w:t>British Journal of Religious Education</w:t>
      </w:r>
      <w:r w:rsidRPr="00CB2E20">
        <w:rPr>
          <w:rFonts w:ascii="Calibri Light" w:hAnsi="Calibri Light" w:cs="Calibri Light"/>
          <w:noProof/>
          <w:sz w:val="24"/>
        </w:rPr>
        <w:t xml:space="preserve">, </w:t>
      </w:r>
      <w:r w:rsidRPr="00CB2E20">
        <w:rPr>
          <w:rFonts w:ascii="Calibri Light" w:hAnsi="Calibri Light" w:cs="Calibri Light"/>
          <w:i/>
          <w:iCs/>
          <w:noProof/>
          <w:sz w:val="24"/>
        </w:rPr>
        <w:t>44</w:t>
      </w:r>
      <w:r w:rsidRPr="00CB2E20">
        <w:rPr>
          <w:rFonts w:ascii="Calibri Light" w:hAnsi="Calibri Light" w:cs="Calibri Light"/>
          <w:noProof/>
          <w:sz w:val="24"/>
        </w:rPr>
        <w:t>(4), 411–419. https://doi.org/10.1080/01416200.2022.2080357</w:t>
      </w:r>
    </w:p>
    <w:p w14:paraId="2BC49E3D" w14:textId="77777777" w:rsidR="00CB2E20" w:rsidRPr="00CB2E20" w:rsidRDefault="00CB2E20" w:rsidP="00CB2E20">
      <w:pPr>
        <w:numPr>
          <w:ilvl w:val="0"/>
          <w:numId w:val="31"/>
        </w:numPr>
        <w:tabs>
          <w:tab w:val="left" w:pos="1117"/>
        </w:tabs>
        <w:autoSpaceDE/>
        <w:autoSpaceDN/>
        <w:spacing w:line="243" w:lineRule="auto"/>
        <w:ind w:left="1134" w:right="-1" w:hanging="702"/>
        <w:jc w:val="both"/>
        <w:rPr>
          <w:rFonts w:ascii="Calibri Light" w:hAnsi="Calibri Light" w:cs="Calibri Light"/>
          <w:noProof/>
          <w:sz w:val="24"/>
        </w:rPr>
      </w:pPr>
      <w:r w:rsidRPr="00CB2E20">
        <w:rPr>
          <w:rFonts w:ascii="Calibri Light" w:hAnsi="Calibri Light" w:cs="Calibri Light"/>
          <w:noProof/>
          <w:sz w:val="24"/>
        </w:rPr>
        <w:t xml:space="preserve">Fitri Yani, A., Kusnadi, K., &amp; Assoboru, S. (2024). Bimbingan Konseling Islam Dengan Metode Al-Hikmah Untuk Memperbaiki Moralitas Remaja. </w:t>
      </w:r>
      <w:r w:rsidRPr="00CB2E20">
        <w:rPr>
          <w:rFonts w:ascii="Calibri Light" w:hAnsi="Calibri Light" w:cs="Calibri Light"/>
          <w:i/>
          <w:iCs/>
          <w:noProof/>
          <w:sz w:val="24"/>
        </w:rPr>
        <w:t>Social Science and Contemporary Issues Journal</w:t>
      </w:r>
      <w:r w:rsidRPr="00CB2E20">
        <w:rPr>
          <w:rFonts w:ascii="Calibri Light" w:hAnsi="Calibri Light" w:cs="Calibri Light"/>
          <w:noProof/>
          <w:sz w:val="24"/>
        </w:rPr>
        <w:t xml:space="preserve">, </w:t>
      </w:r>
      <w:r w:rsidRPr="00CB2E20">
        <w:rPr>
          <w:rFonts w:ascii="Calibri Light" w:hAnsi="Calibri Light" w:cs="Calibri Light"/>
          <w:i/>
          <w:iCs/>
          <w:noProof/>
          <w:sz w:val="24"/>
        </w:rPr>
        <w:t>2</w:t>
      </w:r>
      <w:r w:rsidRPr="00CB2E20">
        <w:rPr>
          <w:rFonts w:ascii="Calibri Light" w:hAnsi="Calibri Light" w:cs="Calibri Light"/>
          <w:noProof/>
          <w:sz w:val="24"/>
        </w:rPr>
        <w:t>(1), 89–96. https://doi.org/10.59388/sscij.v2i1.433</w:t>
      </w:r>
    </w:p>
    <w:p w14:paraId="30F74FFF" w14:textId="77777777" w:rsidR="00CB2E20" w:rsidRPr="00CB2E20" w:rsidRDefault="00CB2E20" w:rsidP="00CB2E20">
      <w:pPr>
        <w:numPr>
          <w:ilvl w:val="0"/>
          <w:numId w:val="31"/>
        </w:numPr>
        <w:tabs>
          <w:tab w:val="left" w:pos="1117"/>
        </w:tabs>
        <w:autoSpaceDE/>
        <w:autoSpaceDN/>
        <w:spacing w:line="243" w:lineRule="auto"/>
        <w:ind w:left="1134" w:right="-1" w:hanging="702"/>
        <w:jc w:val="both"/>
        <w:rPr>
          <w:rFonts w:ascii="Calibri Light" w:hAnsi="Calibri Light" w:cs="Calibri Light"/>
          <w:noProof/>
          <w:sz w:val="24"/>
        </w:rPr>
      </w:pPr>
      <w:r w:rsidRPr="00CB2E20">
        <w:rPr>
          <w:rFonts w:ascii="Calibri Light" w:hAnsi="Calibri Light" w:cs="Calibri Light"/>
          <w:noProof/>
          <w:sz w:val="24"/>
        </w:rPr>
        <w:t xml:space="preserve">Fletcher, G. P. (1987). Law and Morality: A Kantian Perspective. </w:t>
      </w:r>
      <w:r w:rsidRPr="00CB2E20">
        <w:rPr>
          <w:rFonts w:ascii="Calibri Light" w:hAnsi="Calibri Light" w:cs="Calibri Light"/>
          <w:i/>
          <w:iCs/>
          <w:noProof/>
          <w:sz w:val="24"/>
        </w:rPr>
        <w:t>Columbia Law Review</w:t>
      </w:r>
      <w:r w:rsidRPr="00CB2E20">
        <w:rPr>
          <w:rFonts w:ascii="Calibri Light" w:hAnsi="Calibri Light" w:cs="Calibri Light"/>
          <w:noProof/>
          <w:sz w:val="24"/>
        </w:rPr>
        <w:t xml:space="preserve">, </w:t>
      </w:r>
      <w:r w:rsidRPr="00CB2E20">
        <w:rPr>
          <w:rFonts w:ascii="Calibri Light" w:hAnsi="Calibri Light" w:cs="Calibri Light"/>
          <w:i/>
          <w:iCs/>
          <w:noProof/>
          <w:sz w:val="24"/>
        </w:rPr>
        <w:t>87</w:t>
      </w:r>
      <w:r w:rsidRPr="00CB2E20">
        <w:rPr>
          <w:rFonts w:ascii="Calibri Light" w:hAnsi="Calibri Light" w:cs="Calibri Light"/>
          <w:noProof/>
          <w:sz w:val="24"/>
        </w:rPr>
        <w:t>(3), 533. https://doi.org/10.2307/1122670</w:t>
      </w:r>
    </w:p>
    <w:p w14:paraId="1AC4A834" w14:textId="77777777" w:rsidR="00CB2E20" w:rsidRPr="00CB2E20" w:rsidRDefault="00CB2E20" w:rsidP="00CB2E20">
      <w:pPr>
        <w:numPr>
          <w:ilvl w:val="0"/>
          <w:numId w:val="31"/>
        </w:numPr>
        <w:tabs>
          <w:tab w:val="left" w:pos="1117"/>
        </w:tabs>
        <w:autoSpaceDE/>
        <w:autoSpaceDN/>
        <w:spacing w:line="243" w:lineRule="auto"/>
        <w:ind w:left="1134" w:right="-1" w:hanging="702"/>
        <w:jc w:val="both"/>
        <w:rPr>
          <w:rFonts w:ascii="Calibri Light" w:hAnsi="Calibri Light" w:cs="Calibri Light"/>
          <w:noProof/>
          <w:sz w:val="24"/>
        </w:rPr>
      </w:pPr>
      <w:r w:rsidRPr="00CB2E20">
        <w:rPr>
          <w:rFonts w:ascii="Calibri Light" w:hAnsi="Calibri Light" w:cs="Calibri Light"/>
          <w:noProof/>
          <w:sz w:val="24"/>
        </w:rPr>
        <w:t xml:space="preserve">Guillarme, B. (2023). H. L. A. Hart et J. Rawls : langage ordinaire et abstention métaphysique en philosophie politique. </w:t>
      </w:r>
      <w:r w:rsidRPr="00CB2E20">
        <w:rPr>
          <w:rFonts w:ascii="Calibri Light" w:hAnsi="Calibri Light" w:cs="Calibri Light"/>
          <w:i/>
          <w:iCs/>
          <w:noProof/>
          <w:sz w:val="24"/>
        </w:rPr>
        <w:t>Les Études Philosophiques</w:t>
      </w:r>
      <w:r w:rsidRPr="00CB2E20">
        <w:rPr>
          <w:rFonts w:ascii="Calibri Light" w:hAnsi="Calibri Light" w:cs="Calibri Light"/>
          <w:noProof/>
          <w:sz w:val="24"/>
        </w:rPr>
        <w:t xml:space="preserve">, </w:t>
      </w:r>
      <w:r w:rsidRPr="00CB2E20">
        <w:rPr>
          <w:rFonts w:ascii="Calibri Light" w:hAnsi="Calibri Light" w:cs="Calibri Light"/>
          <w:i/>
          <w:iCs/>
          <w:noProof/>
          <w:sz w:val="24"/>
        </w:rPr>
        <w:t>N° 145</w:t>
      </w:r>
      <w:r w:rsidRPr="00CB2E20">
        <w:rPr>
          <w:rFonts w:ascii="Calibri Light" w:hAnsi="Calibri Light" w:cs="Calibri Light"/>
          <w:noProof/>
          <w:sz w:val="24"/>
        </w:rPr>
        <w:t>(2), 31–46. https://doi.org/10.3917/leph.232.0031</w:t>
      </w:r>
    </w:p>
    <w:p w14:paraId="0575A012" w14:textId="0DCBE8A2" w:rsidR="00CB2E20" w:rsidRPr="00CB2E20" w:rsidRDefault="00CB2E20" w:rsidP="00CB2E20">
      <w:pPr>
        <w:numPr>
          <w:ilvl w:val="0"/>
          <w:numId w:val="31"/>
        </w:numPr>
        <w:tabs>
          <w:tab w:val="left" w:pos="1117"/>
        </w:tabs>
        <w:autoSpaceDE/>
        <w:autoSpaceDN/>
        <w:spacing w:line="243" w:lineRule="auto"/>
        <w:ind w:left="1134" w:right="-1" w:hanging="702"/>
        <w:jc w:val="both"/>
        <w:rPr>
          <w:rFonts w:ascii="Calibri Light" w:hAnsi="Calibri Light" w:cs="Calibri Light"/>
          <w:noProof/>
          <w:sz w:val="24"/>
        </w:rPr>
      </w:pPr>
      <w:r w:rsidRPr="00CB2E20">
        <w:rPr>
          <w:rFonts w:ascii="Calibri Light" w:hAnsi="Calibri Light" w:cs="Calibri Light"/>
          <w:noProof/>
          <w:sz w:val="24"/>
        </w:rPr>
        <w:t xml:space="preserve">Hairi, P. J. (2022). </w:t>
      </w:r>
      <w:r w:rsidRPr="00CB2E20">
        <w:rPr>
          <w:rFonts w:ascii="Calibri Light" w:hAnsi="Calibri Light" w:cs="Calibri Light"/>
          <w:i/>
          <w:iCs/>
          <w:noProof/>
          <w:sz w:val="24"/>
        </w:rPr>
        <w:t>Judiciary Reformation</w:t>
      </w:r>
      <w:r w:rsidRPr="00CB2E20">
        <w:rPr>
          <w:rFonts w:ascii="Calibri Light" w:hAnsi="Calibri Light" w:cs="Calibri Light"/>
          <w:noProof/>
          <w:sz w:val="24"/>
        </w:rPr>
        <w:t>.</w:t>
      </w:r>
    </w:p>
    <w:p w14:paraId="0C8A8977" w14:textId="77777777" w:rsidR="00CB2E20" w:rsidRPr="00CB2E20" w:rsidRDefault="00CB2E20" w:rsidP="00CB2E20">
      <w:pPr>
        <w:numPr>
          <w:ilvl w:val="0"/>
          <w:numId w:val="31"/>
        </w:numPr>
        <w:tabs>
          <w:tab w:val="left" w:pos="1117"/>
        </w:tabs>
        <w:autoSpaceDE/>
        <w:autoSpaceDN/>
        <w:spacing w:line="243" w:lineRule="auto"/>
        <w:ind w:left="1134" w:right="-1" w:hanging="702"/>
        <w:jc w:val="both"/>
        <w:rPr>
          <w:rFonts w:ascii="Calibri Light" w:hAnsi="Calibri Light" w:cs="Calibri Light"/>
          <w:noProof/>
          <w:sz w:val="24"/>
        </w:rPr>
      </w:pPr>
      <w:r w:rsidRPr="00CB2E20">
        <w:rPr>
          <w:rFonts w:ascii="Calibri Light" w:hAnsi="Calibri Light" w:cs="Calibri Light"/>
          <w:noProof/>
          <w:sz w:val="24"/>
        </w:rPr>
        <w:t xml:space="preserve">Hamzani, A. I., -, S., Asmarudin, I., Rahayu, K., &amp; Aravik, H. (2020). Law Enforcement Problems and Impacts of the Law Development in Indonesia. </w:t>
      </w:r>
      <w:r w:rsidRPr="00CB2E20">
        <w:rPr>
          <w:rFonts w:ascii="Calibri Light" w:hAnsi="Calibri Light" w:cs="Calibri Light"/>
          <w:i/>
          <w:iCs/>
          <w:noProof/>
          <w:sz w:val="24"/>
        </w:rPr>
        <w:t>International Journal of Psychosocial Rehabilitation</w:t>
      </w:r>
      <w:r w:rsidRPr="00CB2E20">
        <w:rPr>
          <w:rFonts w:ascii="Calibri Light" w:hAnsi="Calibri Light" w:cs="Calibri Light"/>
          <w:noProof/>
          <w:sz w:val="24"/>
        </w:rPr>
        <w:t xml:space="preserve">, </w:t>
      </w:r>
      <w:r w:rsidRPr="00CB2E20">
        <w:rPr>
          <w:rFonts w:ascii="Calibri Light" w:hAnsi="Calibri Light" w:cs="Calibri Light"/>
          <w:i/>
          <w:iCs/>
          <w:noProof/>
          <w:sz w:val="24"/>
        </w:rPr>
        <w:t>24</w:t>
      </w:r>
      <w:r w:rsidRPr="00CB2E20">
        <w:rPr>
          <w:rFonts w:ascii="Calibri Light" w:hAnsi="Calibri Light" w:cs="Calibri Light"/>
          <w:noProof/>
          <w:sz w:val="24"/>
        </w:rPr>
        <w:t>(04), 3244–3254. https://doi.org/10.37200/IJPR/V24I4/PR201435</w:t>
      </w:r>
    </w:p>
    <w:p w14:paraId="39C8532D" w14:textId="77777777" w:rsidR="00CB2E20" w:rsidRPr="00CB2E20" w:rsidRDefault="00CB2E20" w:rsidP="00CB2E20">
      <w:pPr>
        <w:numPr>
          <w:ilvl w:val="0"/>
          <w:numId w:val="31"/>
        </w:numPr>
        <w:tabs>
          <w:tab w:val="left" w:pos="1117"/>
        </w:tabs>
        <w:autoSpaceDE/>
        <w:autoSpaceDN/>
        <w:spacing w:line="243" w:lineRule="auto"/>
        <w:ind w:left="1134" w:right="-1" w:hanging="702"/>
        <w:jc w:val="both"/>
        <w:rPr>
          <w:rFonts w:ascii="Calibri Light" w:hAnsi="Calibri Light" w:cs="Calibri Light"/>
          <w:noProof/>
          <w:sz w:val="24"/>
        </w:rPr>
      </w:pPr>
      <w:r w:rsidRPr="00CB2E20">
        <w:rPr>
          <w:rFonts w:ascii="Calibri Light" w:hAnsi="Calibri Light" w:cs="Calibri Light"/>
          <w:noProof/>
          <w:sz w:val="24"/>
        </w:rPr>
        <w:t xml:space="preserve">Hill, P. J. (2020). The religious origins of the rule of law. </w:t>
      </w:r>
      <w:r w:rsidRPr="00CB2E20">
        <w:rPr>
          <w:rFonts w:ascii="Calibri Light" w:hAnsi="Calibri Light" w:cs="Calibri Light"/>
          <w:i/>
          <w:iCs/>
          <w:noProof/>
          <w:sz w:val="24"/>
        </w:rPr>
        <w:t>Journal of Institutional Economics</w:t>
      </w:r>
      <w:r w:rsidRPr="00CB2E20">
        <w:rPr>
          <w:rFonts w:ascii="Calibri Light" w:hAnsi="Calibri Light" w:cs="Calibri Light"/>
          <w:noProof/>
          <w:sz w:val="24"/>
        </w:rPr>
        <w:t xml:space="preserve">, </w:t>
      </w:r>
      <w:r w:rsidRPr="00CB2E20">
        <w:rPr>
          <w:rFonts w:ascii="Calibri Light" w:hAnsi="Calibri Light" w:cs="Calibri Light"/>
          <w:i/>
          <w:iCs/>
          <w:noProof/>
          <w:sz w:val="24"/>
        </w:rPr>
        <w:t>16</w:t>
      </w:r>
      <w:r w:rsidRPr="00CB2E20">
        <w:rPr>
          <w:rFonts w:ascii="Calibri Light" w:hAnsi="Calibri Light" w:cs="Calibri Light"/>
          <w:noProof/>
          <w:sz w:val="24"/>
        </w:rPr>
        <w:t>(3), 305–318. https://doi.org/10.1017/S1744137419000730</w:t>
      </w:r>
    </w:p>
    <w:p w14:paraId="552BC0FC" w14:textId="77777777" w:rsidR="00CB2E20" w:rsidRPr="00CB2E20" w:rsidRDefault="00CB2E20" w:rsidP="00CB2E20">
      <w:pPr>
        <w:numPr>
          <w:ilvl w:val="0"/>
          <w:numId w:val="31"/>
        </w:numPr>
        <w:tabs>
          <w:tab w:val="left" w:pos="1117"/>
        </w:tabs>
        <w:autoSpaceDE/>
        <w:autoSpaceDN/>
        <w:spacing w:line="243" w:lineRule="auto"/>
        <w:ind w:left="1134" w:right="-1" w:hanging="702"/>
        <w:jc w:val="both"/>
        <w:rPr>
          <w:rFonts w:ascii="Calibri Light" w:hAnsi="Calibri Light" w:cs="Calibri Light"/>
          <w:noProof/>
          <w:sz w:val="24"/>
        </w:rPr>
      </w:pPr>
      <w:r w:rsidRPr="00CB2E20">
        <w:rPr>
          <w:rFonts w:ascii="Calibri Light" w:hAnsi="Calibri Light" w:cs="Calibri Light"/>
          <w:noProof/>
          <w:sz w:val="24"/>
        </w:rPr>
        <w:t xml:space="preserve">Jeffrey Young. (n.d.). </w:t>
      </w:r>
      <w:r w:rsidRPr="00CB2E20">
        <w:rPr>
          <w:rFonts w:ascii="Calibri Light" w:hAnsi="Calibri Light" w:cs="Calibri Light"/>
          <w:i/>
          <w:iCs/>
          <w:noProof/>
          <w:sz w:val="24"/>
        </w:rPr>
        <w:t>Indonesia’s Anti-corruption Commission Draws Fire</w:t>
      </w:r>
      <w:r w:rsidRPr="00CB2E20">
        <w:rPr>
          <w:rFonts w:ascii="Calibri Light" w:hAnsi="Calibri Light" w:cs="Calibri Light"/>
          <w:noProof/>
          <w:sz w:val="24"/>
        </w:rPr>
        <w:t>. VOA. https://www.voanews.com/a/indonesia-anti-corruption-commission-draws-fire/2708609.html</w:t>
      </w:r>
    </w:p>
    <w:p w14:paraId="0A976302" w14:textId="77777777" w:rsidR="00CB2E20" w:rsidRPr="00CB2E20" w:rsidRDefault="00CB2E20" w:rsidP="00CB2E20">
      <w:pPr>
        <w:numPr>
          <w:ilvl w:val="0"/>
          <w:numId w:val="31"/>
        </w:numPr>
        <w:tabs>
          <w:tab w:val="left" w:pos="1117"/>
        </w:tabs>
        <w:autoSpaceDE/>
        <w:autoSpaceDN/>
        <w:spacing w:line="243" w:lineRule="auto"/>
        <w:ind w:left="1134" w:right="-1" w:hanging="702"/>
        <w:jc w:val="both"/>
        <w:rPr>
          <w:rFonts w:ascii="Calibri Light" w:hAnsi="Calibri Light" w:cs="Calibri Light"/>
          <w:noProof/>
          <w:sz w:val="24"/>
        </w:rPr>
      </w:pPr>
      <w:r w:rsidRPr="00CB2E20">
        <w:rPr>
          <w:rFonts w:ascii="Calibri Light" w:hAnsi="Calibri Light" w:cs="Calibri Light"/>
          <w:noProof/>
          <w:sz w:val="24"/>
        </w:rPr>
        <w:t xml:space="preserve">Jhingan, D. (2024). </w:t>
      </w:r>
      <w:r w:rsidRPr="00CB2E20">
        <w:rPr>
          <w:rFonts w:ascii="Calibri Light" w:hAnsi="Calibri Light" w:cs="Calibri Light"/>
          <w:i/>
          <w:iCs/>
          <w:noProof/>
          <w:sz w:val="24"/>
        </w:rPr>
        <w:t>AI wars: When R2D2 meets Judge Dredd - The moral saga of artificial intelligence in law and morality (1)</w:t>
      </w:r>
      <w:r w:rsidRPr="00CB2E20">
        <w:rPr>
          <w:rFonts w:ascii="Calibri Light" w:hAnsi="Calibri Light" w:cs="Calibri Light"/>
          <w:noProof/>
          <w:sz w:val="24"/>
        </w:rPr>
        <w:t>. 040001. https://doi.org/10.1063/5.0235232</w:t>
      </w:r>
    </w:p>
    <w:p w14:paraId="6CBE06EF" w14:textId="77777777" w:rsidR="00CB2E20" w:rsidRPr="00CB2E20" w:rsidRDefault="00CB2E20" w:rsidP="00CB2E20">
      <w:pPr>
        <w:numPr>
          <w:ilvl w:val="0"/>
          <w:numId w:val="31"/>
        </w:numPr>
        <w:tabs>
          <w:tab w:val="left" w:pos="1117"/>
        </w:tabs>
        <w:autoSpaceDE/>
        <w:autoSpaceDN/>
        <w:spacing w:line="243" w:lineRule="auto"/>
        <w:ind w:left="1134" w:right="-1" w:hanging="702"/>
        <w:jc w:val="both"/>
        <w:rPr>
          <w:rFonts w:ascii="Calibri Light" w:hAnsi="Calibri Light" w:cs="Calibri Light"/>
          <w:noProof/>
          <w:sz w:val="24"/>
        </w:rPr>
      </w:pPr>
      <w:r w:rsidRPr="00CB2E20">
        <w:rPr>
          <w:rFonts w:ascii="Calibri Light" w:hAnsi="Calibri Light" w:cs="Calibri Light"/>
          <w:noProof/>
          <w:sz w:val="24"/>
        </w:rPr>
        <w:lastRenderedPageBreak/>
        <w:t xml:space="preserve">Karim Faiz, A., AR, Z., &amp; Izzuddin, A. (2022). Between State Law and Islamic Law: The Practice of Divorce Outside the Situbondo Religious Courts, Indonesia. </w:t>
      </w:r>
      <w:r w:rsidRPr="00CB2E20">
        <w:rPr>
          <w:rFonts w:ascii="Calibri Light" w:hAnsi="Calibri Light" w:cs="Calibri Light"/>
          <w:i/>
          <w:iCs/>
          <w:noProof/>
          <w:sz w:val="24"/>
        </w:rPr>
        <w:t>JIL: Journal of Islamic Law</w:t>
      </w:r>
      <w:r w:rsidRPr="00CB2E20">
        <w:rPr>
          <w:rFonts w:ascii="Calibri Light" w:hAnsi="Calibri Light" w:cs="Calibri Light"/>
          <w:noProof/>
          <w:sz w:val="24"/>
        </w:rPr>
        <w:t xml:space="preserve">, </w:t>
      </w:r>
      <w:r w:rsidRPr="00CB2E20">
        <w:rPr>
          <w:rFonts w:ascii="Calibri Light" w:hAnsi="Calibri Light" w:cs="Calibri Light"/>
          <w:i/>
          <w:iCs/>
          <w:noProof/>
          <w:sz w:val="24"/>
        </w:rPr>
        <w:t>3</w:t>
      </w:r>
      <w:r w:rsidRPr="00CB2E20">
        <w:rPr>
          <w:rFonts w:ascii="Calibri Light" w:hAnsi="Calibri Light" w:cs="Calibri Light"/>
          <w:noProof/>
          <w:sz w:val="24"/>
        </w:rPr>
        <w:t>(2), 176–192. https://doi.org/10.24260/jil.v3i2.848</w:t>
      </w:r>
    </w:p>
    <w:p w14:paraId="511CFC67" w14:textId="77777777" w:rsidR="00CB2E20" w:rsidRPr="00CB2E20" w:rsidRDefault="00CB2E20" w:rsidP="00CB2E20">
      <w:pPr>
        <w:numPr>
          <w:ilvl w:val="0"/>
          <w:numId w:val="31"/>
        </w:numPr>
        <w:tabs>
          <w:tab w:val="left" w:pos="1117"/>
        </w:tabs>
        <w:autoSpaceDE/>
        <w:autoSpaceDN/>
        <w:spacing w:line="243" w:lineRule="auto"/>
        <w:ind w:left="1134" w:right="-1" w:hanging="702"/>
        <w:jc w:val="both"/>
        <w:rPr>
          <w:rFonts w:ascii="Calibri Light" w:hAnsi="Calibri Light" w:cs="Calibri Light"/>
          <w:noProof/>
          <w:sz w:val="24"/>
        </w:rPr>
      </w:pPr>
      <w:r w:rsidRPr="00CB2E20">
        <w:rPr>
          <w:rFonts w:ascii="Calibri Light" w:hAnsi="Calibri Light" w:cs="Calibri Light"/>
          <w:noProof/>
          <w:sz w:val="24"/>
        </w:rPr>
        <w:t xml:space="preserve">Kruis, N. E., &amp; Merlo, A. V. (2021). A Preliminary Assessment of Stigma in Law Enforcement Officers’ Responses to Opioid Overdoses. </w:t>
      </w:r>
      <w:r w:rsidRPr="00CB2E20">
        <w:rPr>
          <w:rFonts w:ascii="Calibri Light" w:hAnsi="Calibri Light" w:cs="Calibri Light"/>
          <w:i/>
          <w:iCs/>
          <w:noProof/>
          <w:sz w:val="24"/>
        </w:rPr>
        <w:t>Journal of Drug Issues</w:t>
      </w:r>
      <w:r w:rsidRPr="00CB2E20">
        <w:rPr>
          <w:rFonts w:ascii="Calibri Light" w:hAnsi="Calibri Light" w:cs="Calibri Light"/>
          <w:noProof/>
          <w:sz w:val="24"/>
        </w:rPr>
        <w:t xml:space="preserve">, </w:t>
      </w:r>
      <w:r w:rsidRPr="00CB2E20">
        <w:rPr>
          <w:rFonts w:ascii="Calibri Light" w:hAnsi="Calibri Light" w:cs="Calibri Light"/>
          <w:i/>
          <w:iCs/>
          <w:noProof/>
          <w:sz w:val="24"/>
        </w:rPr>
        <w:t>51</w:t>
      </w:r>
      <w:r w:rsidRPr="00CB2E20">
        <w:rPr>
          <w:rFonts w:ascii="Calibri Light" w:hAnsi="Calibri Light" w:cs="Calibri Light"/>
          <w:noProof/>
          <w:sz w:val="24"/>
        </w:rPr>
        <w:t>(2), 301–322. https://doi.org/10.1177/0022042620974076</w:t>
      </w:r>
    </w:p>
    <w:p w14:paraId="600BE5BD" w14:textId="77777777" w:rsidR="00CB2E20" w:rsidRPr="00CB2E20" w:rsidRDefault="00CB2E20" w:rsidP="00CB2E20">
      <w:pPr>
        <w:numPr>
          <w:ilvl w:val="0"/>
          <w:numId w:val="31"/>
        </w:numPr>
        <w:tabs>
          <w:tab w:val="left" w:pos="1117"/>
        </w:tabs>
        <w:autoSpaceDE/>
        <w:autoSpaceDN/>
        <w:spacing w:line="243" w:lineRule="auto"/>
        <w:ind w:left="1134" w:right="-1" w:hanging="702"/>
        <w:jc w:val="both"/>
        <w:rPr>
          <w:rFonts w:ascii="Calibri Light" w:hAnsi="Calibri Light" w:cs="Calibri Light"/>
          <w:noProof/>
          <w:sz w:val="24"/>
        </w:rPr>
      </w:pPr>
      <w:r w:rsidRPr="00CB2E20">
        <w:rPr>
          <w:rFonts w:ascii="Calibri Light" w:hAnsi="Calibri Light" w:cs="Calibri Light"/>
          <w:noProof/>
          <w:sz w:val="24"/>
        </w:rPr>
        <w:t xml:space="preserve">Lankford, A., Adkins, K. G., &amp; Madfis, E. (2019). Are the Deadliest Mass Shootings Preventable? An Assessment of Leakage, Information Reported to Law Enforcement, and Firearms Acquisition Prior to Attacks in the United States. </w:t>
      </w:r>
      <w:r w:rsidRPr="00CB2E20">
        <w:rPr>
          <w:rFonts w:ascii="Calibri Light" w:hAnsi="Calibri Light" w:cs="Calibri Light"/>
          <w:i/>
          <w:iCs/>
          <w:noProof/>
          <w:sz w:val="24"/>
        </w:rPr>
        <w:t>Journal of Contemporary Criminal Justice</w:t>
      </w:r>
      <w:r w:rsidRPr="00CB2E20">
        <w:rPr>
          <w:rFonts w:ascii="Calibri Light" w:hAnsi="Calibri Light" w:cs="Calibri Light"/>
          <w:noProof/>
          <w:sz w:val="24"/>
        </w:rPr>
        <w:t xml:space="preserve">, </w:t>
      </w:r>
      <w:r w:rsidRPr="00CB2E20">
        <w:rPr>
          <w:rFonts w:ascii="Calibri Light" w:hAnsi="Calibri Light" w:cs="Calibri Light"/>
          <w:i/>
          <w:iCs/>
          <w:noProof/>
          <w:sz w:val="24"/>
        </w:rPr>
        <w:t>35</w:t>
      </w:r>
      <w:r w:rsidRPr="00CB2E20">
        <w:rPr>
          <w:rFonts w:ascii="Calibri Light" w:hAnsi="Calibri Light" w:cs="Calibri Light"/>
          <w:noProof/>
          <w:sz w:val="24"/>
        </w:rPr>
        <w:t>(3), 315–341. https://doi.org/10.1177/1043986219840231</w:t>
      </w:r>
    </w:p>
    <w:p w14:paraId="43797A32" w14:textId="77777777" w:rsidR="00CB2E20" w:rsidRPr="00CB2E20" w:rsidRDefault="00CB2E20" w:rsidP="00CB2E20">
      <w:pPr>
        <w:numPr>
          <w:ilvl w:val="0"/>
          <w:numId w:val="31"/>
        </w:numPr>
        <w:tabs>
          <w:tab w:val="left" w:pos="1117"/>
        </w:tabs>
        <w:autoSpaceDE/>
        <w:autoSpaceDN/>
        <w:spacing w:line="243" w:lineRule="auto"/>
        <w:ind w:left="1134" w:right="-1" w:hanging="702"/>
        <w:jc w:val="both"/>
        <w:rPr>
          <w:rFonts w:ascii="Calibri Light" w:hAnsi="Calibri Light" w:cs="Calibri Light"/>
          <w:noProof/>
          <w:sz w:val="24"/>
        </w:rPr>
      </w:pPr>
      <w:r w:rsidRPr="00CB2E20">
        <w:rPr>
          <w:rFonts w:ascii="Calibri Light" w:hAnsi="Calibri Light" w:cs="Calibri Light"/>
          <w:noProof/>
          <w:sz w:val="24"/>
        </w:rPr>
        <w:t xml:space="preserve">Luo, A. (2023). Animals, Film, Audiences: Regulating Cruelty and Morality through Science and Law in Interwar Britain. </w:t>
      </w:r>
      <w:r w:rsidRPr="00CB2E20">
        <w:rPr>
          <w:rFonts w:ascii="Calibri Light" w:hAnsi="Calibri Light" w:cs="Calibri Light"/>
          <w:i/>
          <w:iCs/>
          <w:noProof/>
          <w:sz w:val="24"/>
        </w:rPr>
        <w:t>Isis</w:t>
      </w:r>
      <w:r w:rsidRPr="00CB2E20">
        <w:rPr>
          <w:rFonts w:ascii="Calibri Light" w:hAnsi="Calibri Light" w:cs="Calibri Light"/>
          <w:noProof/>
          <w:sz w:val="24"/>
        </w:rPr>
        <w:t xml:space="preserve">, </w:t>
      </w:r>
      <w:r w:rsidRPr="00CB2E20">
        <w:rPr>
          <w:rFonts w:ascii="Calibri Light" w:hAnsi="Calibri Light" w:cs="Calibri Light"/>
          <w:i/>
          <w:iCs/>
          <w:noProof/>
          <w:sz w:val="24"/>
        </w:rPr>
        <w:t>114</w:t>
      </w:r>
      <w:r w:rsidRPr="00CB2E20">
        <w:rPr>
          <w:rFonts w:ascii="Calibri Light" w:hAnsi="Calibri Light" w:cs="Calibri Light"/>
          <w:noProof/>
          <w:sz w:val="24"/>
        </w:rPr>
        <w:t>(3), 490–512. https://doi.org/10.1086/726206</w:t>
      </w:r>
    </w:p>
    <w:p w14:paraId="2651B7A4" w14:textId="77777777" w:rsidR="00CB2E20" w:rsidRPr="00CB2E20" w:rsidRDefault="00CB2E20" w:rsidP="00CB2E20">
      <w:pPr>
        <w:numPr>
          <w:ilvl w:val="0"/>
          <w:numId w:val="31"/>
        </w:numPr>
        <w:tabs>
          <w:tab w:val="left" w:pos="1117"/>
        </w:tabs>
        <w:autoSpaceDE/>
        <w:autoSpaceDN/>
        <w:spacing w:line="243" w:lineRule="auto"/>
        <w:ind w:left="1134" w:right="-1" w:hanging="702"/>
        <w:jc w:val="both"/>
        <w:rPr>
          <w:rFonts w:ascii="Calibri Light" w:hAnsi="Calibri Light" w:cs="Calibri Light"/>
          <w:noProof/>
          <w:sz w:val="24"/>
        </w:rPr>
      </w:pPr>
      <w:r w:rsidRPr="00CB2E20">
        <w:rPr>
          <w:rFonts w:ascii="Calibri Light" w:hAnsi="Calibri Light" w:cs="Calibri Light"/>
          <w:noProof/>
          <w:sz w:val="24"/>
        </w:rPr>
        <w:t xml:space="preserve">Marjuni, A. (2021). Karakteristik Nilai Dan Moralitas Kepemimpinan Pendidikan Islam. </w:t>
      </w:r>
      <w:r w:rsidRPr="00CB2E20">
        <w:rPr>
          <w:rFonts w:ascii="Calibri Light" w:hAnsi="Calibri Light" w:cs="Calibri Light"/>
          <w:i/>
          <w:iCs/>
          <w:noProof/>
          <w:sz w:val="24"/>
        </w:rPr>
        <w:t>Al Asma : Journal of Islamic Education</w:t>
      </w:r>
      <w:r w:rsidRPr="00CB2E20">
        <w:rPr>
          <w:rFonts w:ascii="Calibri Light" w:hAnsi="Calibri Light" w:cs="Calibri Light"/>
          <w:noProof/>
          <w:sz w:val="24"/>
        </w:rPr>
        <w:t xml:space="preserve">, </w:t>
      </w:r>
      <w:r w:rsidRPr="00CB2E20">
        <w:rPr>
          <w:rFonts w:ascii="Calibri Light" w:hAnsi="Calibri Light" w:cs="Calibri Light"/>
          <w:i/>
          <w:iCs/>
          <w:noProof/>
          <w:sz w:val="24"/>
        </w:rPr>
        <w:t>3</w:t>
      </w:r>
      <w:r w:rsidRPr="00CB2E20">
        <w:rPr>
          <w:rFonts w:ascii="Calibri Light" w:hAnsi="Calibri Light" w:cs="Calibri Light"/>
          <w:noProof/>
          <w:sz w:val="24"/>
        </w:rPr>
        <w:t>(1), 1. https://doi.org/10.24252/asma.v3i1.19046</w:t>
      </w:r>
    </w:p>
    <w:p w14:paraId="27FEE280" w14:textId="77777777" w:rsidR="00CB2E20" w:rsidRPr="00CB2E20" w:rsidRDefault="00CB2E20" w:rsidP="00CB2E20">
      <w:pPr>
        <w:numPr>
          <w:ilvl w:val="0"/>
          <w:numId w:val="31"/>
        </w:numPr>
        <w:tabs>
          <w:tab w:val="left" w:pos="1117"/>
        </w:tabs>
        <w:autoSpaceDE/>
        <w:autoSpaceDN/>
        <w:spacing w:line="243" w:lineRule="auto"/>
        <w:ind w:left="1134" w:right="-1" w:hanging="702"/>
        <w:jc w:val="both"/>
        <w:rPr>
          <w:rFonts w:ascii="Calibri Light" w:hAnsi="Calibri Light" w:cs="Calibri Light"/>
          <w:noProof/>
          <w:sz w:val="24"/>
        </w:rPr>
      </w:pPr>
      <w:r w:rsidRPr="00CB2E20">
        <w:rPr>
          <w:rFonts w:ascii="Calibri Light" w:hAnsi="Calibri Light" w:cs="Calibri Light"/>
          <w:noProof/>
          <w:sz w:val="24"/>
        </w:rPr>
        <w:t xml:space="preserve">Masferrer, A. (2020). </w:t>
      </w:r>
      <w:r w:rsidRPr="00CB2E20">
        <w:rPr>
          <w:rFonts w:ascii="Calibri Light" w:hAnsi="Calibri Light" w:cs="Calibri Light"/>
          <w:i/>
          <w:iCs/>
          <w:noProof/>
          <w:sz w:val="24"/>
        </w:rPr>
        <w:t>Criminal Law and Morality Revisited: Interdisciplinary Perspectives</w:t>
      </w:r>
      <w:r w:rsidRPr="00CB2E20">
        <w:rPr>
          <w:rFonts w:ascii="Calibri Light" w:hAnsi="Calibri Light" w:cs="Calibri Light"/>
          <w:noProof/>
          <w:sz w:val="24"/>
        </w:rPr>
        <w:t xml:space="preserve"> (pp. 1–27). https://doi.org/10.1007/978-3-030-64163-4_1</w:t>
      </w:r>
    </w:p>
    <w:p w14:paraId="78440CC2" w14:textId="77777777" w:rsidR="00CB2E20" w:rsidRPr="00CB2E20" w:rsidRDefault="00CB2E20" w:rsidP="00CB2E20">
      <w:pPr>
        <w:numPr>
          <w:ilvl w:val="0"/>
          <w:numId w:val="31"/>
        </w:numPr>
        <w:tabs>
          <w:tab w:val="left" w:pos="1117"/>
        </w:tabs>
        <w:autoSpaceDE/>
        <w:autoSpaceDN/>
        <w:spacing w:line="243" w:lineRule="auto"/>
        <w:ind w:left="1134" w:right="-1" w:hanging="702"/>
        <w:jc w:val="both"/>
        <w:rPr>
          <w:rFonts w:ascii="Calibri Light" w:hAnsi="Calibri Light" w:cs="Calibri Light"/>
          <w:noProof/>
          <w:sz w:val="24"/>
        </w:rPr>
      </w:pPr>
      <w:r w:rsidRPr="00CB2E20">
        <w:rPr>
          <w:rFonts w:ascii="Calibri Light" w:hAnsi="Calibri Light" w:cs="Calibri Light"/>
          <w:noProof/>
          <w:sz w:val="24"/>
        </w:rPr>
        <w:t xml:space="preserve">Matthews, D., Minssen, T., &amp; Nordberg, A. (2022). Balancing Innovation, ‘Ordre Public’ and Morality in Human Germline Editing: A Call for More Nuanced Approaches in Patent Law. </w:t>
      </w:r>
      <w:r w:rsidRPr="00CB2E20">
        <w:rPr>
          <w:rFonts w:ascii="Calibri Light" w:hAnsi="Calibri Light" w:cs="Calibri Light"/>
          <w:i/>
          <w:iCs/>
          <w:noProof/>
          <w:sz w:val="24"/>
        </w:rPr>
        <w:t>European Journal of Health Law</w:t>
      </w:r>
      <w:r w:rsidRPr="00CB2E20">
        <w:rPr>
          <w:rFonts w:ascii="Calibri Light" w:hAnsi="Calibri Light" w:cs="Calibri Light"/>
          <w:noProof/>
          <w:sz w:val="24"/>
        </w:rPr>
        <w:t xml:space="preserve">, </w:t>
      </w:r>
      <w:r w:rsidRPr="00CB2E20">
        <w:rPr>
          <w:rFonts w:ascii="Calibri Light" w:hAnsi="Calibri Light" w:cs="Calibri Light"/>
          <w:i/>
          <w:iCs/>
          <w:noProof/>
          <w:sz w:val="24"/>
        </w:rPr>
        <w:t>29</w:t>
      </w:r>
      <w:r w:rsidRPr="00CB2E20">
        <w:rPr>
          <w:rFonts w:ascii="Calibri Light" w:hAnsi="Calibri Light" w:cs="Calibri Light"/>
          <w:noProof/>
          <w:sz w:val="24"/>
        </w:rPr>
        <w:t>(3–5), 562–588. https://doi.org/10.1163/15718093-bja10073</w:t>
      </w:r>
    </w:p>
    <w:p w14:paraId="65AA5A85" w14:textId="77777777" w:rsidR="00CB2E20" w:rsidRPr="00CB2E20" w:rsidRDefault="00CB2E20" w:rsidP="00CB2E20">
      <w:pPr>
        <w:numPr>
          <w:ilvl w:val="0"/>
          <w:numId w:val="31"/>
        </w:numPr>
        <w:tabs>
          <w:tab w:val="left" w:pos="1117"/>
        </w:tabs>
        <w:autoSpaceDE/>
        <w:autoSpaceDN/>
        <w:spacing w:line="243" w:lineRule="auto"/>
        <w:ind w:left="1134" w:right="-1" w:hanging="702"/>
        <w:jc w:val="both"/>
        <w:rPr>
          <w:rFonts w:ascii="Calibri Light" w:hAnsi="Calibri Light" w:cs="Calibri Light"/>
          <w:noProof/>
          <w:sz w:val="24"/>
        </w:rPr>
      </w:pPr>
      <w:r w:rsidRPr="00CB2E20">
        <w:rPr>
          <w:rFonts w:ascii="Calibri Light" w:hAnsi="Calibri Light" w:cs="Calibri Light"/>
          <w:noProof/>
          <w:sz w:val="24"/>
        </w:rPr>
        <w:t xml:space="preserve">Mehmood, S., &amp; Seror, A. (2023). Religious leaders and rule of law. </w:t>
      </w:r>
      <w:r w:rsidRPr="00CB2E20">
        <w:rPr>
          <w:rFonts w:ascii="Calibri Light" w:hAnsi="Calibri Light" w:cs="Calibri Light"/>
          <w:i/>
          <w:iCs/>
          <w:noProof/>
          <w:sz w:val="24"/>
        </w:rPr>
        <w:t>Journal of Development Economics</w:t>
      </w:r>
      <w:r w:rsidRPr="00CB2E20">
        <w:rPr>
          <w:rFonts w:ascii="Calibri Light" w:hAnsi="Calibri Light" w:cs="Calibri Light"/>
          <w:noProof/>
          <w:sz w:val="24"/>
        </w:rPr>
        <w:t xml:space="preserve">, </w:t>
      </w:r>
      <w:r w:rsidRPr="00CB2E20">
        <w:rPr>
          <w:rFonts w:ascii="Calibri Light" w:hAnsi="Calibri Light" w:cs="Calibri Light"/>
          <w:i/>
          <w:iCs/>
          <w:noProof/>
          <w:sz w:val="24"/>
        </w:rPr>
        <w:t>160</w:t>
      </w:r>
      <w:r w:rsidRPr="00CB2E20">
        <w:rPr>
          <w:rFonts w:ascii="Calibri Light" w:hAnsi="Calibri Light" w:cs="Calibri Light"/>
          <w:noProof/>
          <w:sz w:val="24"/>
        </w:rPr>
        <w:t>, 102974. https://doi.org/10.1016/j.jdeveco.2022.102974</w:t>
      </w:r>
    </w:p>
    <w:p w14:paraId="535F9DD2" w14:textId="77777777" w:rsidR="00CB2E20" w:rsidRPr="00CB2E20" w:rsidRDefault="00CB2E20" w:rsidP="00CB2E20">
      <w:pPr>
        <w:numPr>
          <w:ilvl w:val="0"/>
          <w:numId w:val="31"/>
        </w:numPr>
        <w:tabs>
          <w:tab w:val="left" w:pos="1117"/>
        </w:tabs>
        <w:autoSpaceDE/>
        <w:autoSpaceDN/>
        <w:spacing w:line="243" w:lineRule="auto"/>
        <w:ind w:left="1134" w:right="-1" w:hanging="702"/>
        <w:jc w:val="both"/>
        <w:rPr>
          <w:rFonts w:ascii="Calibri Light" w:hAnsi="Calibri Light" w:cs="Calibri Light"/>
          <w:noProof/>
          <w:sz w:val="24"/>
        </w:rPr>
      </w:pPr>
      <w:r w:rsidRPr="00CB2E20">
        <w:rPr>
          <w:rFonts w:ascii="Calibri Light" w:hAnsi="Calibri Light" w:cs="Calibri Light"/>
          <w:noProof/>
          <w:sz w:val="24"/>
        </w:rPr>
        <w:t xml:space="preserve">Miswardi, Nasfi, &amp; Antoni. (2021). Etika, Moralitas Dan Penegak Hukum. </w:t>
      </w:r>
      <w:r w:rsidRPr="00CB2E20">
        <w:rPr>
          <w:rFonts w:ascii="Calibri Light" w:hAnsi="Calibri Light" w:cs="Calibri Light"/>
          <w:i/>
          <w:iCs/>
          <w:noProof/>
          <w:sz w:val="24"/>
        </w:rPr>
        <w:t>Menara Ilmu</w:t>
      </w:r>
      <w:r w:rsidRPr="00CB2E20">
        <w:rPr>
          <w:rFonts w:ascii="Calibri Light" w:hAnsi="Calibri Light" w:cs="Calibri Light"/>
          <w:noProof/>
          <w:sz w:val="24"/>
        </w:rPr>
        <w:t xml:space="preserve">, </w:t>
      </w:r>
      <w:r w:rsidRPr="00CB2E20">
        <w:rPr>
          <w:rFonts w:ascii="Calibri Light" w:hAnsi="Calibri Light" w:cs="Calibri Light"/>
          <w:i/>
          <w:iCs/>
          <w:noProof/>
          <w:sz w:val="24"/>
        </w:rPr>
        <w:t>15</w:t>
      </w:r>
      <w:r w:rsidRPr="00CB2E20">
        <w:rPr>
          <w:rFonts w:ascii="Calibri Light" w:hAnsi="Calibri Light" w:cs="Calibri Light"/>
          <w:noProof/>
          <w:sz w:val="24"/>
        </w:rPr>
        <w:t>(2), 26.</w:t>
      </w:r>
    </w:p>
    <w:p w14:paraId="163664A6" w14:textId="77777777" w:rsidR="00CB2E20" w:rsidRPr="00CB2E20" w:rsidRDefault="00CB2E20" w:rsidP="00CB2E20">
      <w:pPr>
        <w:numPr>
          <w:ilvl w:val="0"/>
          <w:numId w:val="31"/>
        </w:numPr>
        <w:tabs>
          <w:tab w:val="left" w:pos="1117"/>
        </w:tabs>
        <w:autoSpaceDE/>
        <w:autoSpaceDN/>
        <w:spacing w:line="243" w:lineRule="auto"/>
        <w:ind w:left="1134" w:right="-1" w:hanging="702"/>
        <w:jc w:val="both"/>
        <w:rPr>
          <w:rFonts w:ascii="Calibri Light" w:hAnsi="Calibri Light" w:cs="Calibri Light"/>
          <w:noProof/>
          <w:sz w:val="24"/>
        </w:rPr>
      </w:pPr>
      <w:r w:rsidRPr="00CB2E20">
        <w:rPr>
          <w:rFonts w:ascii="Calibri Light" w:hAnsi="Calibri Light" w:cs="Calibri Light"/>
          <w:noProof/>
          <w:sz w:val="24"/>
        </w:rPr>
        <w:t xml:space="preserve">Muniroh, S., &amp; Nasution, K. (2021). The Adoption of Found Child According to Islamic Law and Law No. 3 of 2006 on Religious Courts in the Perspective of Maqasid Al-Shari’ah. </w:t>
      </w:r>
      <w:r w:rsidRPr="00CB2E20">
        <w:rPr>
          <w:rFonts w:ascii="Calibri Light" w:hAnsi="Calibri Light" w:cs="Calibri Light"/>
          <w:i/>
          <w:iCs/>
          <w:noProof/>
          <w:sz w:val="24"/>
        </w:rPr>
        <w:t>Millah</w:t>
      </w:r>
      <w:r w:rsidRPr="00CB2E20">
        <w:rPr>
          <w:rFonts w:ascii="Calibri Light" w:hAnsi="Calibri Light" w:cs="Calibri Light"/>
          <w:noProof/>
          <w:sz w:val="24"/>
        </w:rPr>
        <w:t xml:space="preserve">, </w:t>
      </w:r>
      <w:r w:rsidRPr="00CB2E20">
        <w:rPr>
          <w:rFonts w:ascii="Calibri Light" w:hAnsi="Calibri Light" w:cs="Calibri Light"/>
          <w:i/>
          <w:iCs/>
          <w:noProof/>
          <w:sz w:val="24"/>
        </w:rPr>
        <w:t>21</w:t>
      </w:r>
      <w:r w:rsidRPr="00CB2E20">
        <w:rPr>
          <w:rFonts w:ascii="Calibri Light" w:hAnsi="Calibri Light" w:cs="Calibri Light"/>
          <w:noProof/>
          <w:sz w:val="24"/>
        </w:rPr>
        <w:t>(1), 89–112. https://doi.org/10.20885/millah.vol21.iss1.art4</w:t>
      </w:r>
    </w:p>
    <w:p w14:paraId="3FBFE23C" w14:textId="77777777" w:rsidR="00CB2E20" w:rsidRPr="00CB2E20" w:rsidRDefault="00CB2E20" w:rsidP="00CB2E20">
      <w:pPr>
        <w:numPr>
          <w:ilvl w:val="0"/>
          <w:numId w:val="31"/>
        </w:numPr>
        <w:tabs>
          <w:tab w:val="left" w:pos="1117"/>
        </w:tabs>
        <w:autoSpaceDE/>
        <w:autoSpaceDN/>
        <w:spacing w:line="243" w:lineRule="auto"/>
        <w:ind w:left="1134" w:right="-1" w:hanging="702"/>
        <w:jc w:val="both"/>
        <w:rPr>
          <w:rFonts w:ascii="Calibri Light" w:hAnsi="Calibri Light" w:cs="Calibri Light"/>
          <w:noProof/>
          <w:sz w:val="24"/>
        </w:rPr>
      </w:pPr>
      <w:r w:rsidRPr="00CB2E20">
        <w:rPr>
          <w:rFonts w:ascii="Calibri Light" w:hAnsi="Calibri Light" w:cs="Calibri Light"/>
          <w:noProof/>
          <w:sz w:val="24"/>
        </w:rPr>
        <w:t xml:space="preserve">Nayfeld, N. (2019). H.L.A. Hart et J. Glover : un point de vue utilitariste contre la peine de mort. </w:t>
      </w:r>
      <w:r w:rsidRPr="00CB2E20">
        <w:rPr>
          <w:rFonts w:ascii="Calibri Light" w:hAnsi="Calibri Light" w:cs="Calibri Light"/>
          <w:i/>
          <w:iCs/>
          <w:noProof/>
          <w:sz w:val="24"/>
        </w:rPr>
        <w:t>Canadian Journal of Bioethics</w:t>
      </w:r>
      <w:r w:rsidRPr="00CB2E20">
        <w:rPr>
          <w:rFonts w:ascii="Calibri Light" w:hAnsi="Calibri Light" w:cs="Calibri Light"/>
          <w:noProof/>
          <w:sz w:val="24"/>
        </w:rPr>
        <w:t xml:space="preserve">, </w:t>
      </w:r>
      <w:r w:rsidRPr="00CB2E20">
        <w:rPr>
          <w:rFonts w:ascii="Calibri Light" w:hAnsi="Calibri Light" w:cs="Calibri Light"/>
          <w:i/>
          <w:iCs/>
          <w:noProof/>
          <w:sz w:val="24"/>
        </w:rPr>
        <w:t>2</w:t>
      </w:r>
      <w:r w:rsidRPr="00CB2E20">
        <w:rPr>
          <w:rFonts w:ascii="Calibri Light" w:hAnsi="Calibri Light" w:cs="Calibri Light"/>
          <w:noProof/>
          <w:sz w:val="24"/>
        </w:rPr>
        <w:t>(1), 47–56. https://doi.org/10.7202/1058151ar</w:t>
      </w:r>
    </w:p>
    <w:p w14:paraId="3F56FEE6" w14:textId="77777777" w:rsidR="00CB2E20" w:rsidRPr="00CB2E20" w:rsidRDefault="00CB2E20" w:rsidP="00CB2E20">
      <w:pPr>
        <w:numPr>
          <w:ilvl w:val="0"/>
          <w:numId w:val="31"/>
        </w:numPr>
        <w:tabs>
          <w:tab w:val="left" w:pos="1117"/>
        </w:tabs>
        <w:autoSpaceDE/>
        <w:autoSpaceDN/>
        <w:spacing w:line="243" w:lineRule="auto"/>
        <w:ind w:left="1134" w:right="-1" w:hanging="702"/>
        <w:jc w:val="both"/>
        <w:rPr>
          <w:rFonts w:ascii="Calibri Light" w:hAnsi="Calibri Light" w:cs="Calibri Light"/>
          <w:noProof/>
          <w:sz w:val="24"/>
        </w:rPr>
      </w:pPr>
      <w:r w:rsidRPr="00CB2E20">
        <w:rPr>
          <w:rFonts w:ascii="Calibri Light" w:hAnsi="Calibri Light" w:cs="Calibri Light"/>
          <w:noProof/>
          <w:sz w:val="24"/>
        </w:rPr>
        <w:t xml:space="preserve">Pila, J. (2020). Adapting the ordre public and morality exclusion of European patent law to accommodate emerging technologies. </w:t>
      </w:r>
      <w:r w:rsidRPr="00CB2E20">
        <w:rPr>
          <w:rFonts w:ascii="Calibri Light" w:hAnsi="Calibri Light" w:cs="Calibri Light"/>
          <w:i/>
          <w:iCs/>
          <w:noProof/>
          <w:sz w:val="24"/>
        </w:rPr>
        <w:t>Nature Biotechnology</w:t>
      </w:r>
      <w:r w:rsidRPr="00CB2E20">
        <w:rPr>
          <w:rFonts w:ascii="Calibri Light" w:hAnsi="Calibri Light" w:cs="Calibri Light"/>
          <w:noProof/>
          <w:sz w:val="24"/>
        </w:rPr>
        <w:t xml:space="preserve">, </w:t>
      </w:r>
      <w:r w:rsidRPr="00CB2E20">
        <w:rPr>
          <w:rFonts w:ascii="Calibri Light" w:hAnsi="Calibri Light" w:cs="Calibri Light"/>
          <w:i/>
          <w:iCs/>
          <w:noProof/>
          <w:sz w:val="24"/>
        </w:rPr>
        <w:t>38</w:t>
      </w:r>
      <w:r w:rsidRPr="00CB2E20">
        <w:rPr>
          <w:rFonts w:ascii="Calibri Light" w:hAnsi="Calibri Light" w:cs="Calibri Light"/>
          <w:noProof/>
          <w:sz w:val="24"/>
        </w:rPr>
        <w:t>(5), 555–557. https://doi.org/10.1038/s41587-020-0504-5</w:t>
      </w:r>
    </w:p>
    <w:p w14:paraId="077D9500" w14:textId="77777777" w:rsidR="00CB2E20" w:rsidRPr="00CB2E20" w:rsidRDefault="00CB2E20" w:rsidP="00CB2E20">
      <w:pPr>
        <w:numPr>
          <w:ilvl w:val="0"/>
          <w:numId w:val="31"/>
        </w:numPr>
        <w:tabs>
          <w:tab w:val="left" w:pos="1117"/>
        </w:tabs>
        <w:autoSpaceDE/>
        <w:autoSpaceDN/>
        <w:spacing w:line="243" w:lineRule="auto"/>
        <w:ind w:left="1134" w:right="-1" w:hanging="702"/>
        <w:jc w:val="both"/>
        <w:rPr>
          <w:rFonts w:ascii="Calibri Light" w:hAnsi="Calibri Light" w:cs="Calibri Light"/>
          <w:noProof/>
          <w:sz w:val="24"/>
        </w:rPr>
      </w:pPr>
      <w:r w:rsidRPr="00CB2E20">
        <w:rPr>
          <w:rFonts w:ascii="Calibri Light" w:hAnsi="Calibri Light" w:cs="Calibri Light"/>
          <w:noProof/>
          <w:sz w:val="24"/>
        </w:rPr>
        <w:t xml:space="preserve">Rohman, A. T., &amp; Ibrahim, A. (2022). A Discourse of Islamic Law on Environmental Protection and Sustanability: How are religious values transferred into Indonesian Environmental Law? </w:t>
      </w:r>
      <w:r w:rsidRPr="00CB2E20">
        <w:rPr>
          <w:rFonts w:ascii="Calibri Light" w:hAnsi="Calibri Light" w:cs="Calibri Light"/>
          <w:i/>
          <w:iCs/>
          <w:noProof/>
          <w:sz w:val="24"/>
        </w:rPr>
        <w:t>Indonesian Journal of Environmental Law and Sustainable Development</w:t>
      </w:r>
      <w:r w:rsidRPr="00CB2E20">
        <w:rPr>
          <w:rFonts w:ascii="Calibri Light" w:hAnsi="Calibri Light" w:cs="Calibri Light"/>
          <w:noProof/>
          <w:sz w:val="24"/>
        </w:rPr>
        <w:t xml:space="preserve">, </w:t>
      </w:r>
      <w:r w:rsidRPr="00CB2E20">
        <w:rPr>
          <w:rFonts w:ascii="Calibri Light" w:hAnsi="Calibri Light" w:cs="Calibri Light"/>
          <w:i/>
          <w:iCs/>
          <w:noProof/>
          <w:sz w:val="24"/>
        </w:rPr>
        <w:t>1</w:t>
      </w:r>
      <w:r w:rsidRPr="00CB2E20">
        <w:rPr>
          <w:rFonts w:ascii="Calibri Light" w:hAnsi="Calibri Light" w:cs="Calibri Light"/>
          <w:noProof/>
          <w:sz w:val="24"/>
        </w:rPr>
        <w:t>(2), 139–164. https://doi.org/10.15294/ijel.v1i2.58136</w:t>
      </w:r>
    </w:p>
    <w:p w14:paraId="77C9D380" w14:textId="77777777" w:rsidR="00CB2E20" w:rsidRPr="00CB2E20" w:rsidRDefault="00CB2E20" w:rsidP="00CB2E20">
      <w:pPr>
        <w:numPr>
          <w:ilvl w:val="0"/>
          <w:numId w:val="31"/>
        </w:numPr>
        <w:tabs>
          <w:tab w:val="left" w:pos="1117"/>
        </w:tabs>
        <w:autoSpaceDE/>
        <w:autoSpaceDN/>
        <w:spacing w:line="243" w:lineRule="auto"/>
        <w:ind w:left="1134" w:right="-1" w:hanging="702"/>
        <w:jc w:val="both"/>
        <w:rPr>
          <w:rFonts w:ascii="Calibri Light" w:hAnsi="Calibri Light" w:cs="Calibri Light"/>
          <w:noProof/>
          <w:sz w:val="24"/>
        </w:rPr>
      </w:pPr>
      <w:r w:rsidRPr="00CB2E20">
        <w:rPr>
          <w:rFonts w:ascii="Calibri Light" w:hAnsi="Calibri Light" w:cs="Calibri Light"/>
          <w:noProof/>
          <w:sz w:val="24"/>
        </w:rPr>
        <w:t xml:space="preserve">Romdoni, M., Fatma, M., Nurdiansyah, R., &amp; Fahmi Lubis, A. (2023). A critique and solution of justice, certainty, and usefulness in law enforcement in Indonesia. </w:t>
      </w:r>
      <w:r w:rsidRPr="00CB2E20">
        <w:rPr>
          <w:rFonts w:ascii="Calibri Light" w:hAnsi="Calibri Light" w:cs="Calibri Light"/>
          <w:i/>
          <w:iCs/>
          <w:noProof/>
          <w:sz w:val="24"/>
        </w:rPr>
        <w:t>Journal of Law Science</w:t>
      </w:r>
      <w:r w:rsidRPr="00CB2E20">
        <w:rPr>
          <w:rFonts w:ascii="Calibri Light" w:hAnsi="Calibri Light" w:cs="Calibri Light"/>
          <w:noProof/>
          <w:sz w:val="24"/>
        </w:rPr>
        <w:t xml:space="preserve">, </w:t>
      </w:r>
      <w:r w:rsidRPr="00CB2E20">
        <w:rPr>
          <w:rFonts w:ascii="Calibri Light" w:hAnsi="Calibri Light" w:cs="Calibri Light"/>
          <w:i/>
          <w:iCs/>
          <w:noProof/>
          <w:sz w:val="24"/>
        </w:rPr>
        <w:t>5</w:t>
      </w:r>
      <w:r w:rsidRPr="00CB2E20">
        <w:rPr>
          <w:rFonts w:ascii="Calibri Light" w:hAnsi="Calibri Light" w:cs="Calibri Light"/>
          <w:noProof/>
          <w:sz w:val="24"/>
        </w:rPr>
        <w:t>(4), 174–181. www.iocscience.org/ejournal/index.php/JLS</w:t>
      </w:r>
    </w:p>
    <w:p w14:paraId="14C3BFAD" w14:textId="77777777" w:rsidR="00CB2E20" w:rsidRPr="00CB2E20" w:rsidRDefault="00CB2E20" w:rsidP="00CB2E20">
      <w:pPr>
        <w:numPr>
          <w:ilvl w:val="0"/>
          <w:numId w:val="31"/>
        </w:numPr>
        <w:tabs>
          <w:tab w:val="left" w:pos="1117"/>
        </w:tabs>
        <w:autoSpaceDE/>
        <w:autoSpaceDN/>
        <w:spacing w:line="243" w:lineRule="auto"/>
        <w:ind w:left="1134" w:right="-1" w:hanging="702"/>
        <w:jc w:val="both"/>
        <w:rPr>
          <w:rFonts w:ascii="Calibri Light" w:hAnsi="Calibri Light" w:cs="Calibri Light"/>
          <w:noProof/>
          <w:sz w:val="24"/>
        </w:rPr>
      </w:pPr>
      <w:r w:rsidRPr="00CB2E20">
        <w:rPr>
          <w:rFonts w:ascii="Calibri Light" w:hAnsi="Calibri Light" w:cs="Calibri Light"/>
          <w:noProof/>
          <w:sz w:val="24"/>
        </w:rPr>
        <w:lastRenderedPageBreak/>
        <w:t xml:space="preserve">Rosenberg, R. (2024). </w:t>
      </w:r>
      <w:r w:rsidRPr="00CB2E20">
        <w:rPr>
          <w:rFonts w:ascii="Calibri Light" w:hAnsi="Calibri Light" w:cs="Calibri Light"/>
          <w:i/>
          <w:iCs/>
          <w:noProof/>
          <w:sz w:val="24"/>
        </w:rPr>
        <w:t>Act and Omission in Criminal Law</w:t>
      </w:r>
      <w:r w:rsidRPr="00CB2E20">
        <w:rPr>
          <w:rFonts w:ascii="Calibri Light" w:hAnsi="Calibri Light" w:cs="Calibri Light"/>
          <w:noProof/>
          <w:sz w:val="24"/>
        </w:rPr>
        <w:t>. Routledge. https://doi.org/10.4324/9781003380405</w:t>
      </w:r>
    </w:p>
    <w:p w14:paraId="349D1229" w14:textId="77777777" w:rsidR="00CB2E20" w:rsidRPr="00CB2E20" w:rsidRDefault="00CB2E20" w:rsidP="00CB2E20">
      <w:pPr>
        <w:numPr>
          <w:ilvl w:val="0"/>
          <w:numId w:val="31"/>
        </w:numPr>
        <w:tabs>
          <w:tab w:val="left" w:pos="1117"/>
        </w:tabs>
        <w:autoSpaceDE/>
        <w:autoSpaceDN/>
        <w:spacing w:line="243" w:lineRule="auto"/>
        <w:ind w:left="1134" w:right="-1" w:hanging="702"/>
        <w:jc w:val="both"/>
        <w:rPr>
          <w:rFonts w:ascii="Calibri Light" w:hAnsi="Calibri Light" w:cs="Calibri Light"/>
          <w:noProof/>
          <w:sz w:val="24"/>
        </w:rPr>
      </w:pPr>
      <w:r w:rsidRPr="00CB2E20">
        <w:rPr>
          <w:rFonts w:ascii="Calibri Light" w:hAnsi="Calibri Light" w:cs="Calibri Light"/>
          <w:noProof/>
          <w:sz w:val="24"/>
        </w:rPr>
        <w:t xml:space="preserve">Rosmala, &amp; Thoyyibah, I. (2022). Analisis Pelanggaran Kode Etik Humas Polri (Studi Kasus Ferdy Sambo). </w:t>
      </w:r>
      <w:r w:rsidRPr="00CB2E20">
        <w:rPr>
          <w:rFonts w:ascii="Calibri Light" w:hAnsi="Calibri Light" w:cs="Calibri Light"/>
          <w:i/>
          <w:iCs/>
          <w:noProof/>
          <w:sz w:val="24"/>
        </w:rPr>
        <w:t>Jurnal Ilmiah Ilmu Komunikasi Communique</w:t>
      </w:r>
      <w:r w:rsidRPr="00CB2E20">
        <w:rPr>
          <w:rFonts w:ascii="Calibri Light" w:hAnsi="Calibri Light" w:cs="Calibri Light"/>
          <w:noProof/>
          <w:sz w:val="24"/>
        </w:rPr>
        <w:t xml:space="preserve">, </w:t>
      </w:r>
      <w:r w:rsidRPr="00CB2E20">
        <w:rPr>
          <w:rFonts w:ascii="Calibri Light" w:hAnsi="Calibri Light" w:cs="Calibri Light"/>
          <w:i/>
          <w:iCs/>
          <w:noProof/>
          <w:sz w:val="24"/>
        </w:rPr>
        <w:t>5</w:t>
      </w:r>
      <w:r w:rsidRPr="00CB2E20">
        <w:rPr>
          <w:rFonts w:ascii="Calibri Light" w:hAnsi="Calibri Light" w:cs="Calibri Light"/>
          <w:noProof/>
          <w:sz w:val="24"/>
        </w:rPr>
        <w:t>(2), 161–172. https://ejurnal.stikpmedan.ac.id/index.php/JIKQ/article/view/140</w:t>
      </w:r>
    </w:p>
    <w:p w14:paraId="08CE7F39" w14:textId="77777777" w:rsidR="00CB2E20" w:rsidRPr="00CB2E20" w:rsidRDefault="00CB2E20" w:rsidP="00CB2E20">
      <w:pPr>
        <w:numPr>
          <w:ilvl w:val="0"/>
          <w:numId w:val="31"/>
        </w:numPr>
        <w:tabs>
          <w:tab w:val="left" w:pos="1117"/>
        </w:tabs>
        <w:autoSpaceDE/>
        <w:autoSpaceDN/>
        <w:spacing w:line="243" w:lineRule="auto"/>
        <w:ind w:left="1134" w:right="-1" w:hanging="702"/>
        <w:jc w:val="both"/>
        <w:rPr>
          <w:rFonts w:ascii="Calibri Light" w:hAnsi="Calibri Light" w:cs="Calibri Light"/>
          <w:noProof/>
          <w:sz w:val="24"/>
        </w:rPr>
      </w:pPr>
      <w:r w:rsidRPr="00CB2E20">
        <w:rPr>
          <w:rFonts w:ascii="Calibri Light" w:hAnsi="Calibri Light" w:cs="Calibri Light"/>
          <w:noProof/>
          <w:sz w:val="24"/>
        </w:rPr>
        <w:t xml:space="preserve">Rury Anjas Andita. (n.d.). </w:t>
      </w:r>
      <w:r w:rsidRPr="00CB2E20">
        <w:rPr>
          <w:rFonts w:ascii="Calibri Light" w:hAnsi="Calibri Light" w:cs="Calibri Light"/>
          <w:i/>
          <w:iCs/>
          <w:noProof/>
          <w:sz w:val="24"/>
        </w:rPr>
        <w:t>Matinya Nilai Etika dan Moral Bagi Penegakan Hukum Di Indonesia</w:t>
      </w:r>
      <w:r w:rsidRPr="00CB2E20">
        <w:rPr>
          <w:rFonts w:ascii="Calibri Light" w:hAnsi="Calibri Light" w:cs="Calibri Light"/>
          <w:noProof/>
          <w:sz w:val="24"/>
        </w:rPr>
        <w:t>. Lombok Post. https://lombokpost.jawapos.com/opini/1503347857/matinya-nilai-etika-dan-moral-bagi-penegakan-hukum-di-indonesia</w:t>
      </w:r>
    </w:p>
    <w:p w14:paraId="74F35664" w14:textId="77777777" w:rsidR="00CB2E20" w:rsidRPr="00CB2E20" w:rsidRDefault="00CB2E20" w:rsidP="00CB2E20">
      <w:pPr>
        <w:numPr>
          <w:ilvl w:val="0"/>
          <w:numId w:val="31"/>
        </w:numPr>
        <w:tabs>
          <w:tab w:val="left" w:pos="1117"/>
        </w:tabs>
        <w:autoSpaceDE/>
        <w:autoSpaceDN/>
        <w:spacing w:line="243" w:lineRule="auto"/>
        <w:ind w:left="1134" w:right="-1" w:hanging="702"/>
        <w:jc w:val="both"/>
        <w:rPr>
          <w:rFonts w:ascii="Calibri Light" w:hAnsi="Calibri Light" w:cs="Calibri Light"/>
          <w:noProof/>
          <w:sz w:val="24"/>
        </w:rPr>
      </w:pPr>
      <w:r w:rsidRPr="00CB2E20">
        <w:rPr>
          <w:rFonts w:ascii="Calibri Light" w:hAnsi="Calibri Light" w:cs="Calibri Light"/>
          <w:noProof/>
          <w:sz w:val="24"/>
        </w:rPr>
        <w:t xml:space="preserve">Sakti Koeswanto, E., Riswandi, R., &amp; Redi, A. (2023). Implications of Public Trust Due to Weak Law Enforcement Morality. </w:t>
      </w:r>
      <w:r w:rsidRPr="00CB2E20">
        <w:rPr>
          <w:rFonts w:ascii="Calibri Light" w:hAnsi="Calibri Light" w:cs="Calibri Light"/>
          <w:i/>
          <w:iCs/>
          <w:noProof/>
          <w:sz w:val="24"/>
        </w:rPr>
        <w:t>Edunity Kajian Ilmu Sosial Dan Pendidikan</w:t>
      </w:r>
      <w:r w:rsidRPr="00CB2E20">
        <w:rPr>
          <w:rFonts w:ascii="Calibri Light" w:hAnsi="Calibri Light" w:cs="Calibri Light"/>
          <w:noProof/>
          <w:sz w:val="24"/>
        </w:rPr>
        <w:t xml:space="preserve">, </w:t>
      </w:r>
      <w:r w:rsidRPr="00CB2E20">
        <w:rPr>
          <w:rFonts w:ascii="Calibri Light" w:hAnsi="Calibri Light" w:cs="Calibri Light"/>
          <w:i/>
          <w:iCs/>
          <w:noProof/>
          <w:sz w:val="24"/>
        </w:rPr>
        <w:t>2</w:t>
      </w:r>
      <w:r w:rsidRPr="00CB2E20">
        <w:rPr>
          <w:rFonts w:ascii="Calibri Light" w:hAnsi="Calibri Light" w:cs="Calibri Light"/>
          <w:noProof/>
          <w:sz w:val="24"/>
        </w:rPr>
        <w:t>(1), 78–86. https://doi.org/10.57096/edunity.v1i05.39</w:t>
      </w:r>
    </w:p>
    <w:p w14:paraId="36462C5F" w14:textId="77777777" w:rsidR="00CB2E20" w:rsidRPr="00CB2E20" w:rsidRDefault="00CB2E20" w:rsidP="00CB2E20">
      <w:pPr>
        <w:numPr>
          <w:ilvl w:val="0"/>
          <w:numId w:val="31"/>
        </w:numPr>
        <w:tabs>
          <w:tab w:val="left" w:pos="1117"/>
        </w:tabs>
        <w:autoSpaceDE/>
        <w:autoSpaceDN/>
        <w:spacing w:line="243" w:lineRule="auto"/>
        <w:ind w:left="1134" w:right="-1" w:hanging="702"/>
        <w:jc w:val="both"/>
        <w:rPr>
          <w:rFonts w:ascii="Calibri Light" w:hAnsi="Calibri Light" w:cs="Calibri Light"/>
          <w:noProof/>
          <w:sz w:val="24"/>
        </w:rPr>
      </w:pPr>
      <w:r w:rsidRPr="00CB2E20">
        <w:rPr>
          <w:rFonts w:ascii="Calibri Light" w:hAnsi="Calibri Light" w:cs="Calibri Light"/>
          <w:noProof/>
          <w:sz w:val="24"/>
        </w:rPr>
        <w:t xml:space="preserve">Segev, R. (2021). Continuity in Morality and Law. </w:t>
      </w:r>
      <w:r w:rsidRPr="00CB2E20">
        <w:rPr>
          <w:rFonts w:ascii="Calibri Light" w:hAnsi="Calibri Light" w:cs="Calibri Light"/>
          <w:i/>
          <w:iCs/>
          <w:noProof/>
          <w:sz w:val="24"/>
        </w:rPr>
        <w:t>Theoretical Inquiries in Law</w:t>
      </w:r>
      <w:r w:rsidRPr="00CB2E20">
        <w:rPr>
          <w:rFonts w:ascii="Calibri Light" w:hAnsi="Calibri Light" w:cs="Calibri Light"/>
          <w:noProof/>
          <w:sz w:val="24"/>
        </w:rPr>
        <w:t xml:space="preserve">, </w:t>
      </w:r>
      <w:r w:rsidRPr="00CB2E20">
        <w:rPr>
          <w:rFonts w:ascii="Calibri Light" w:hAnsi="Calibri Light" w:cs="Calibri Light"/>
          <w:i/>
          <w:iCs/>
          <w:noProof/>
          <w:sz w:val="24"/>
        </w:rPr>
        <w:t>22</w:t>
      </w:r>
      <w:r w:rsidRPr="00CB2E20">
        <w:rPr>
          <w:rFonts w:ascii="Calibri Light" w:hAnsi="Calibri Light" w:cs="Calibri Light"/>
          <w:noProof/>
          <w:sz w:val="24"/>
        </w:rPr>
        <w:t>(1), 45–85. https://doi.org/10.1515/til-2021-0004</w:t>
      </w:r>
    </w:p>
    <w:p w14:paraId="3D20FDAC" w14:textId="77777777" w:rsidR="00CB2E20" w:rsidRPr="00CB2E20" w:rsidRDefault="00CB2E20" w:rsidP="00CB2E20">
      <w:pPr>
        <w:numPr>
          <w:ilvl w:val="0"/>
          <w:numId w:val="31"/>
        </w:numPr>
        <w:tabs>
          <w:tab w:val="left" w:pos="1117"/>
        </w:tabs>
        <w:autoSpaceDE/>
        <w:autoSpaceDN/>
        <w:spacing w:line="243" w:lineRule="auto"/>
        <w:ind w:left="1134" w:right="-1" w:hanging="702"/>
        <w:jc w:val="both"/>
        <w:rPr>
          <w:rFonts w:ascii="Calibri Light" w:hAnsi="Calibri Light" w:cs="Calibri Light"/>
          <w:noProof/>
          <w:sz w:val="24"/>
        </w:rPr>
      </w:pPr>
      <w:r w:rsidRPr="00CB2E20">
        <w:rPr>
          <w:rFonts w:ascii="Calibri Light" w:hAnsi="Calibri Light" w:cs="Calibri Light"/>
          <w:noProof/>
          <w:sz w:val="24"/>
        </w:rPr>
        <w:t xml:space="preserve">Setiyawan, D., Wahyuningsih, S. E., Hafidz, J., Mashdurohatun, A., &amp; Benseghir, M. (2024). Exploring Abhakalan Culture (Early Marriage) in Madura: A Dialogue of Customary Law, Religion, and The State. </w:t>
      </w:r>
      <w:r w:rsidRPr="00CB2E20">
        <w:rPr>
          <w:rFonts w:ascii="Calibri Light" w:hAnsi="Calibri Light" w:cs="Calibri Light"/>
          <w:i/>
          <w:iCs/>
          <w:noProof/>
          <w:sz w:val="24"/>
        </w:rPr>
        <w:t>Ahkam: Jurnal Ilmu Syariah</w:t>
      </w:r>
      <w:r w:rsidRPr="00CB2E20">
        <w:rPr>
          <w:rFonts w:ascii="Calibri Light" w:hAnsi="Calibri Light" w:cs="Calibri Light"/>
          <w:noProof/>
          <w:sz w:val="24"/>
        </w:rPr>
        <w:t xml:space="preserve">, </w:t>
      </w:r>
      <w:r w:rsidRPr="00CB2E20">
        <w:rPr>
          <w:rFonts w:ascii="Calibri Light" w:hAnsi="Calibri Light" w:cs="Calibri Light"/>
          <w:i/>
          <w:iCs/>
          <w:noProof/>
          <w:sz w:val="24"/>
        </w:rPr>
        <w:t>24</w:t>
      </w:r>
      <w:r w:rsidRPr="00CB2E20">
        <w:rPr>
          <w:rFonts w:ascii="Calibri Light" w:hAnsi="Calibri Light" w:cs="Calibri Light"/>
          <w:noProof/>
          <w:sz w:val="24"/>
        </w:rPr>
        <w:t>(2), 345–364. https://doi.org/10.15408/ajis.v24i2.36070</w:t>
      </w:r>
    </w:p>
    <w:p w14:paraId="35B07C10" w14:textId="77777777" w:rsidR="00CB2E20" w:rsidRPr="00CB2E20" w:rsidRDefault="00CB2E20" w:rsidP="00CB2E20">
      <w:pPr>
        <w:numPr>
          <w:ilvl w:val="0"/>
          <w:numId w:val="31"/>
        </w:numPr>
        <w:tabs>
          <w:tab w:val="left" w:pos="1117"/>
        </w:tabs>
        <w:autoSpaceDE/>
        <w:autoSpaceDN/>
        <w:spacing w:line="243" w:lineRule="auto"/>
        <w:ind w:left="1134" w:right="-1" w:hanging="702"/>
        <w:jc w:val="both"/>
        <w:rPr>
          <w:rFonts w:ascii="Calibri Light" w:hAnsi="Calibri Light" w:cs="Calibri Light"/>
          <w:noProof/>
          <w:sz w:val="24"/>
        </w:rPr>
      </w:pPr>
      <w:r w:rsidRPr="00CB2E20">
        <w:rPr>
          <w:rFonts w:ascii="Calibri Light" w:hAnsi="Calibri Light" w:cs="Calibri Light"/>
          <w:noProof/>
          <w:sz w:val="24"/>
        </w:rPr>
        <w:t xml:space="preserve">Sinaga, L. V., Fernando, Z. J., &amp; Sidauruk, J. (2024). Kirpan Sikh in Indonesian Legal Context. </w:t>
      </w:r>
      <w:r w:rsidRPr="00CB2E20">
        <w:rPr>
          <w:rFonts w:ascii="Calibri Light" w:hAnsi="Calibri Light" w:cs="Calibri Light"/>
          <w:i/>
          <w:iCs/>
          <w:noProof/>
          <w:sz w:val="24"/>
        </w:rPr>
        <w:t>Journal of Southeast Asian Human Rights</w:t>
      </w:r>
      <w:r w:rsidRPr="00CB2E20">
        <w:rPr>
          <w:rFonts w:ascii="Calibri Light" w:hAnsi="Calibri Light" w:cs="Calibri Light"/>
          <w:noProof/>
          <w:sz w:val="24"/>
        </w:rPr>
        <w:t xml:space="preserve">, </w:t>
      </w:r>
      <w:r w:rsidRPr="00CB2E20">
        <w:rPr>
          <w:rFonts w:ascii="Calibri Light" w:hAnsi="Calibri Light" w:cs="Calibri Light"/>
          <w:i/>
          <w:iCs/>
          <w:noProof/>
          <w:sz w:val="24"/>
        </w:rPr>
        <w:t>8</w:t>
      </w:r>
      <w:r w:rsidRPr="00CB2E20">
        <w:rPr>
          <w:rFonts w:ascii="Calibri Light" w:hAnsi="Calibri Light" w:cs="Calibri Light"/>
          <w:noProof/>
          <w:sz w:val="24"/>
        </w:rPr>
        <w:t>(1), 57. https://doi.org/10.19184/jseahr.v8i1.34051</w:t>
      </w:r>
    </w:p>
    <w:p w14:paraId="4E943DB7" w14:textId="77777777" w:rsidR="00CB2E20" w:rsidRPr="00CB2E20" w:rsidRDefault="00CB2E20" w:rsidP="00CB2E20">
      <w:pPr>
        <w:numPr>
          <w:ilvl w:val="0"/>
          <w:numId w:val="31"/>
        </w:numPr>
        <w:tabs>
          <w:tab w:val="left" w:pos="1117"/>
        </w:tabs>
        <w:autoSpaceDE/>
        <w:autoSpaceDN/>
        <w:spacing w:line="243" w:lineRule="auto"/>
        <w:ind w:left="1134" w:right="-1" w:hanging="702"/>
        <w:jc w:val="both"/>
        <w:rPr>
          <w:rFonts w:ascii="Calibri Light" w:hAnsi="Calibri Light" w:cs="Calibri Light"/>
          <w:noProof/>
          <w:sz w:val="24"/>
        </w:rPr>
      </w:pPr>
      <w:r w:rsidRPr="00CB2E20">
        <w:rPr>
          <w:rFonts w:ascii="Calibri Light" w:hAnsi="Calibri Light" w:cs="Calibri Light"/>
          <w:noProof/>
          <w:sz w:val="24"/>
        </w:rPr>
        <w:t xml:space="preserve">Smith, I. (2019). 1 Timothy 2, 1 and the Expositiones Missae of Thomas Aquinas. </w:t>
      </w:r>
      <w:r w:rsidRPr="00CB2E20">
        <w:rPr>
          <w:rFonts w:ascii="Calibri Light" w:hAnsi="Calibri Light" w:cs="Calibri Light"/>
          <w:i/>
          <w:iCs/>
          <w:noProof/>
          <w:sz w:val="24"/>
        </w:rPr>
        <w:t>Sacris Erudiri</w:t>
      </w:r>
      <w:r w:rsidRPr="00CB2E20">
        <w:rPr>
          <w:rFonts w:ascii="Calibri Light" w:hAnsi="Calibri Light" w:cs="Calibri Light"/>
          <w:noProof/>
          <w:sz w:val="24"/>
        </w:rPr>
        <w:t xml:space="preserve">, </w:t>
      </w:r>
      <w:r w:rsidRPr="00CB2E20">
        <w:rPr>
          <w:rFonts w:ascii="Calibri Light" w:hAnsi="Calibri Light" w:cs="Calibri Light"/>
          <w:i/>
          <w:iCs/>
          <w:noProof/>
          <w:sz w:val="24"/>
        </w:rPr>
        <w:t>58</w:t>
      </w:r>
      <w:r w:rsidRPr="00CB2E20">
        <w:rPr>
          <w:rFonts w:ascii="Calibri Light" w:hAnsi="Calibri Light" w:cs="Calibri Light"/>
          <w:noProof/>
          <w:sz w:val="24"/>
        </w:rPr>
        <w:t>, 203–219. https://doi.org/10.1484/J.SE.5.119452</w:t>
      </w:r>
    </w:p>
    <w:p w14:paraId="28106F65" w14:textId="77777777" w:rsidR="00CB2E20" w:rsidRPr="00CB2E20" w:rsidRDefault="00CB2E20" w:rsidP="00CB2E20">
      <w:pPr>
        <w:numPr>
          <w:ilvl w:val="0"/>
          <w:numId w:val="31"/>
        </w:numPr>
        <w:tabs>
          <w:tab w:val="left" w:pos="1117"/>
        </w:tabs>
        <w:autoSpaceDE/>
        <w:autoSpaceDN/>
        <w:spacing w:line="243" w:lineRule="auto"/>
        <w:ind w:left="1134" w:right="-1" w:hanging="702"/>
        <w:jc w:val="both"/>
        <w:rPr>
          <w:rFonts w:ascii="Calibri Light" w:hAnsi="Calibri Light" w:cs="Calibri Light"/>
          <w:noProof/>
          <w:sz w:val="24"/>
        </w:rPr>
      </w:pPr>
      <w:r w:rsidRPr="00CB2E20">
        <w:rPr>
          <w:rFonts w:ascii="Calibri Light" w:hAnsi="Calibri Light" w:cs="Calibri Light"/>
          <w:noProof/>
          <w:sz w:val="24"/>
        </w:rPr>
        <w:t xml:space="preserve">Suwito, Setiyawan, D., Muhtar, M. H., &amp; Ahmad. (2023). Contemplating the Morality of Law Enforcement in Indonesia. </w:t>
      </w:r>
      <w:r w:rsidRPr="00CB2E20">
        <w:rPr>
          <w:rFonts w:ascii="Calibri Light" w:hAnsi="Calibri Light" w:cs="Calibri Light"/>
          <w:i/>
          <w:iCs/>
          <w:noProof/>
          <w:sz w:val="24"/>
        </w:rPr>
        <w:t>Journal of Law and Sustainable Development</w:t>
      </w:r>
      <w:r w:rsidRPr="00CB2E20">
        <w:rPr>
          <w:rFonts w:ascii="Calibri Light" w:hAnsi="Calibri Light" w:cs="Calibri Light"/>
          <w:noProof/>
          <w:sz w:val="24"/>
        </w:rPr>
        <w:t xml:space="preserve">, </w:t>
      </w:r>
      <w:r w:rsidRPr="00CB2E20">
        <w:rPr>
          <w:rFonts w:ascii="Calibri Light" w:hAnsi="Calibri Light" w:cs="Calibri Light"/>
          <w:i/>
          <w:iCs/>
          <w:noProof/>
          <w:sz w:val="24"/>
        </w:rPr>
        <w:t>11</w:t>
      </w:r>
      <w:r w:rsidRPr="00CB2E20">
        <w:rPr>
          <w:rFonts w:ascii="Calibri Light" w:hAnsi="Calibri Light" w:cs="Calibri Light"/>
          <w:noProof/>
          <w:sz w:val="24"/>
        </w:rPr>
        <w:t>(10), e1261. https://doi.org/10.55908/sdgs.v11i10.1261</w:t>
      </w:r>
    </w:p>
    <w:p w14:paraId="198E4E56" w14:textId="77777777" w:rsidR="00CB2E20" w:rsidRPr="00CB2E20" w:rsidRDefault="00CB2E20" w:rsidP="00CB2E20">
      <w:pPr>
        <w:numPr>
          <w:ilvl w:val="0"/>
          <w:numId w:val="31"/>
        </w:numPr>
        <w:tabs>
          <w:tab w:val="left" w:pos="1117"/>
        </w:tabs>
        <w:autoSpaceDE/>
        <w:autoSpaceDN/>
        <w:spacing w:line="243" w:lineRule="auto"/>
        <w:ind w:left="1134" w:right="-1" w:hanging="702"/>
        <w:jc w:val="both"/>
        <w:rPr>
          <w:rFonts w:ascii="Calibri Light" w:hAnsi="Calibri Light" w:cs="Calibri Light"/>
          <w:noProof/>
          <w:sz w:val="24"/>
        </w:rPr>
      </w:pPr>
      <w:r w:rsidRPr="00CB2E20">
        <w:rPr>
          <w:rFonts w:ascii="Calibri Light" w:hAnsi="Calibri Light" w:cs="Calibri Light"/>
          <w:noProof/>
          <w:sz w:val="24"/>
        </w:rPr>
        <w:t xml:space="preserve">Tejeda, E. (2023). Un abordaje de los derechos a partir de la noción de bienes humanos básicos de John Finnis. </w:t>
      </w:r>
      <w:r w:rsidRPr="00CB2E20">
        <w:rPr>
          <w:rFonts w:ascii="Calibri Light" w:hAnsi="Calibri Light" w:cs="Calibri Light"/>
          <w:i/>
          <w:iCs/>
          <w:noProof/>
          <w:sz w:val="24"/>
        </w:rPr>
        <w:t>Díkaion</w:t>
      </w:r>
      <w:r w:rsidRPr="00CB2E20">
        <w:rPr>
          <w:rFonts w:ascii="Calibri Light" w:hAnsi="Calibri Light" w:cs="Calibri Light"/>
          <w:noProof/>
          <w:sz w:val="24"/>
        </w:rPr>
        <w:t xml:space="preserve">, </w:t>
      </w:r>
      <w:r w:rsidRPr="00CB2E20">
        <w:rPr>
          <w:rFonts w:ascii="Calibri Light" w:hAnsi="Calibri Light" w:cs="Calibri Light"/>
          <w:i/>
          <w:iCs/>
          <w:noProof/>
          <w:sz w:val="24"/>
        </w:rPr>
        <w:t>32</w:t>
      </w:r>
      <w:r w:rsidRPr="00CB2E20">
        <w:rPr>
          <w:rFonts w:ascii="Calibri Light" w:hAnsi="Calibri Light" w:cs="Calibri Light"/>
          <w:noProof/>
          <w:sz w:val="24"/>
        </w:rPr>
        <w:t>(1), 1–21. https://doi.org/10.5294/dika.2023.32.1.15</w:t>
      </w:r>
    </w:p>
    <w:p w14:paraId="035FE827" w14:textId="77777777" w:rsidR="00CB2E20" w:rsidRPr="00CB2E20" w:rsidRDefault="00CB2E20" w:rsidP="00CB2E20">
      <w:pPr>
        <w:numPr>
          <w:ilvl w:val="0"/>
          <w:numId w:val="31"/>
        </w:numPr>
        <w:tabs>
          <w:tab w:val="left" w:pos="1117"/>
        </w:tabs>
        <w:autoSpaceDE/>
        <w:autoSpaceDN/>
        <w:spacing w:line="243" w:lineRule="auto"/>
        <w:ind w:left="1134" w:right="-1" w:hanging="702"/>
        <w:jc w:val="both"/>
        <w:rPr>
          <w:rFonts w:ascii="Calibri Light" w:hAnsi="Calibri Light" w:cs="Calibri Light"/>
          <w:noProof/>
          <w:sz w:val="24"/>
        </w:rPr>
      </w:pPr>
      <w:r w:rsidRPr="00CB2E20">
        <w:rPr>
          <w:rFonts w:ascii="Calibri Light" w:hAnsi="Calibri Light" w:cs="Calibri Light"/>
          <w:noProof/>
          <w:sz w:val="24"/>
        </w:rPr>
        <w:t xml:space="preserve">Televantos, A. (2020). </w:t>
      </w:r>
      <w:r w:rsidRPr="00CB2E20">
        <w:rPr>
          <w:rFonts w:ascii="Calibri Light" w:hAnsi="Calibri Light" w:cs="Calibri Light"/>
          <w:i/>
          <w:iCs/>
          <w:noProof/>
          <w:sz w:val="24"/>
        </w:rPr>
        <w:t>Capitalism Before Corporations</w:t>
      </w:r>
      <w:r w:rsidRPr="00CB2E20">
        <w:rPr>
          <w:rFonts w:ascii="Calibri Light" w:hAnsi="Calibri Light" w:cs="Calibri Light"/>
          <w:noProof/>
          <w:sz w:val="24"/>
        </w:rPr>
        <w:t>. Oxford University PressOxford. https://doi.org/10.1093/oso/9780198870340.001.0001</w:t>
      </w:r>
    </w:p>
    <w:p w14:paraId="1159C868" w14:textId="77777777" w:rsidR="00CB2E20" w:rsidRPr="00CB2E20" w:rsidRDefault="00CB2E20" w:rsidP="00CB2E20">
      <w:pPr>
        <w:numPr>
          <w:ilvl w:val="0"/>
          <w:numId w:val="31"/>
        </w:numPr>
        <w:tabs>
          <w:tab w:val="left" w:pos="1117"/>
        </w:tabs>
        <w:autoSpaceDE/>
        <w:autoSpaceDN/>
        <w:spacing w:line="243" w:lineRule="auto"/>
        <w:ind w:left="1134" w:right="-1" w:hanging="702"/>
        <w:jc w:val="both"/>
        <w:rPr>
          <w:rFonts w:ascii="Calibri Light" w:hAnsi="Calibri Light" w:cs="Calibri Light"/>
          <w:noProof/>
          <w:sz w:val="24"/>
        </w:rPr>
      </w:pPr>
      <w:r w:rsidRPr="00CB2E20">
        <w:rPr>
          <w:rFonts w:ascii="Calibri Light" w:hAnsi="Calibri Light" w:cs="Calibri Light"/>
          <w:noProof/>
          <w:sz w:val="24"/>
        </w:rPr>
        <w:t xml:space="preserve">Teubner, G. (2023). De Collisione Discursuum: In </w:t>
      </w:r>
      <w:r w:rsidRPr="00CB2E20">
        <w:rPr>
          <w:rFonts w:ascii="Calibri Light" w:hAnsi="Calibri Light" w:cs="Calibri Light"/>
          <w:i/>
          <w:iCs/>
          <w:noProof/>
          <w:sz w:val="24"/>
        </w:rPr>
        <w:t>Habermas on Law and Democracy</w:t>
      </w:r>
      <w:r w:rsidRPr="00CB2E20">
        <w:rPr>
          <w:rFonts w:ascii="Calibri Light" w:hAnsi="Calibri Light" w:cs="Calibri Light"/>
          <w:noProof/>
          <w:sz w:val="24"/>
        </w:rPr>
        <w:t xml:space="preserve"> (pp. 173–189). University of California Press. https://doi.org/10.2307/jj.8441774.11</w:t>
      </w:r>
    </w:p>
    <w:p w14:paraId="3C6A0603" w14:textId="77777777" w:rsidR="00CB2E20" w:rsidRPr="00CB2E20" w:rsidRDefault="00CB2E20" w:rsidP="00CB2E20">
      <w:pPr>
        <w:numPr>
          <w:ilvl w:val="0"/>
          <w:numId w:val="31"/>
        </w:numPr>
        <w:tabs>
          <w:tab w:val="left" w:pos="1117"/>
        </w:tabs>
        <w:autoSpaceDE/>
        <w:autoSpaceDN/>
        <w:spacing w:line="243" w:lineRule="auto"/>
        <w:ind w:left="1134" w:right="-1" w:hanging="702"/>
        <w:jc w:val="both"/>
        <w:rPr>
          <w:rFonts w:ascii="Calibri Light" w:hAnsi="Calibri Light" w:cs="Calibri Light"/>
          <w:noProof/>
          <w:sz w:val="24"/>
        </w:rPr>
      </w:pPr>
      <w:r w:rsidRPr="00CB2E20">
        <w:rPr>
          <w:rFonts w:ascii="Calibri Light" w:hAnsi="Calibri Light" w:cs="Calibri Light"/>
          <w:noProof/>
          <w:sz w:val="24"/>
        </w:rPr>
        <w:t xml:space="preserve">van der Donk, B. (2022). Cannabis, corona and the latest morality developments in European trade mark law. </w:t>
      </w:r>
      <w:r w:rsidRPr="00CB2E20">
        <w:rPr>
          <w:rFonts w:ascii="Calibri Light" w:hAnsi="Calibri Light" w:cs="Calibri Light"/>
          <w:i/>
          <w:iCs/>
          <w:noProof/>
          <w:sz w:val="24"/>
        </w:rPr>
        <w:t>Journal of Intellectual Property Law &amp; Practice</w:t>
      </w:r>
      <w:r w:rsidRPr="00CB2E20">
        <w:rPr>
          <w:rFonts w:ascii="Calibri Light" w:hAnsi="Calibri Light" w:cs="Calibri Light"/>
          <w:noProof/>
          <w:sz w:val="24"/>
        </w:rPr>
        <w:t xml:space="preserve">, </w:t>
      </w:r>
      <w:r w:rsidRPr="00CB2E20">
        <w:rPr>
          <w:rFonts w:ascii="Calibri Light" w:hAnsi="Calibri Light" w:cs="Calibri Light"/>
          <w:i/>
          <w:iCs/>
          <w:noProof/>
          <w:sz w:val="24"/>
        </w:rPr>
        <w:t>17</w:t>
      </w:r>
      <w:r w:rsidRPr="00CB2E20">
        <w:rPr>
          <w:rFonts w:ascii="Calibri Light" w:hAnsi="Calibri Light" w:cs="Calibri Light"/>
          <w:noProof/>
          <w:sz w:val="24"/>
        </w:rPr>
        <w:t>(3), 303–307. https://doi.org/10.1093/jiplp/jpac012</w:t>
      </w:r>
    </w:p>
    <w:p w14:paraId="4A757ED3" w14:textId="77777777" w:rsidR="00CB2E20" w:rsidRPr="00CB2E20" w:rsidRDefault="00CB2E20" w:rsidP="00CB2E20">
      <w:pPr>
        <w:numPr>
          <w:ilvl w:val="0"/>
          <w:numId w:val="31"/>
        </w:numPr>
        <w:tabs>
          <w:tab w:val="left" w:pos="1117"/>
        </w:tabs>
        <w:autoSpaceDE/>
        <w:autoSpaceDN/>
        <w:spacing w:line="243" w:lineRule="auto"/>
        <w:ind w:left="1134" w:right="-1" w:hanging="702"/>
        <w:jc w:val="both"/>
        <w:rPr>
          <w:rFonts w:ascii="Calibri Light" w:hAnsi="Calibri Light" w:cs="Calibri Light"/>
          <w:noProof/>
          <w:sz w:val="24"/>
        </w:rPr>
      </w:pPr>
      <w:r w:rsidRPr="00CB2E20">
        <w:rPr>
          <w:rFonts w:ascii="Calibri Light" w:hAnsi="Calibri Light" w:cs="Calibri Light"/>
          <w:noProof/>
          <w:sz w:val="24"/>
        </w:rPr>
        <w:t xml:space="preserve">Widyawati, A., Latifiani, D., Fibrianti, N., Arifin, R., &amp; Rohmat, R. (2022). Application of The Juridic-Scientific Religious Approach Model in Execution of Penal Law Enforcement. </w:t>
      </w:r>
      <w:r w:rsidRPr="00CB2E20">
        <w:rPr>
          <w:rFonts w:ascii="Calibri Light" w:hAnsi="Calibri Light" w:cs="Calibri Light"/>
          <w:i/>
          <w:iCs/>
          <w:noProof/>
          <w:sz w:val="24"/>
        </w:rPr>
        <w:t>Pandecta Research Law Journal</w:t>
      </w:r>
      <w:r w:rsidRPr="00CB2E20">
        <w:rPr>
          <w:rFonts w:ascii="Calibri Light" w:hAnsi="Calibri Light" w:cs="Calibri Light"/>
          <w:noProof/>
          <w:sz w:val="24"/>
        </w:rPr>
        <w:t xml:space="preserve">, </w:t>
      </w:r>
      <w:r w:rsidRPr="00CB2E20">
        <w:rPr>
          <w:rFonts w:ascii="Calibri Light" w:hAnsi="Calibri Light" w:cs="Calibri Light"/>
          <w:i/>
          <w:iCs/>
          <w:noProof/>
          <w:sz w:val="24"/>
        </w:rPr>
        <w:t>17</w:t>
      </w:r>
      <w:r w:rsidRPr="00CB2E20">
        <w:rPr>
          <w:rFonts w:ascii="Calibri Light" w:hAnsi="Calibri Light" w:cs="Calibri Light"/>
          <w:noProof/>
          <w:sz w:val="24"/>
        </w:rPr>
        <w:t>(1), 146–157. https://doi.org/10.15294/pandecta.v17i1.35812</w:t>
      </w:r>
    </w:p>
    <w:p w14:paraId="188F4769" w14:textId="77777777" w:rsidR="00CB2E20" w:rsidRPr="00CB2E20" w:rsidRDefault="00CB2E20" w:rsidP="00CB2E20">
      <w:pPr>
        <w:numPr>
          <w:ilvl w:val="0"/>
          <w:numId w:val="31"/>
        </w:numPr>
        <w:tabs>
          <w:tab w:val="left" w:pos="1117"/>
        </w:tabs>
        <w:autoSpaceDE/>
        <w:autoSpaceDN/>
        <w:spacing w:line="243" w:lineRule="auto"/>
        <w:ind w:left="1134" w:right="-1" w:hanging="702"/>
        <w:jc w:val="both"/>
        <w:rPr>
          <w:rFonts w:ascii="Calibri Light" w:hAnsi="Calibri Light" w:cs="Calibri Light"/>
          <w:noProof/>
          <w:sz w:val="24"/>
        </w:rPr>
      </w:pPr>
      <w:r w:rsidRPr="00CB2E20">
        <w:rPr>
          <w:rFonts w:ascii="Calibri Light" w:hAnsi="Calibri Light" w:cs="Calibri Light"/>
          <w:noProof/>
          <w:sz w:val="24"/>
        </w:rPr>
        <w:t xml:space="preserve">Yanita, K. V., Fortuna, A. R., Gayatri, A. L., Frizylia, D. V., &amp; Noor, A. M. (2022). Islam dan Globalisasi: Antara Moralitas dan Aktualitas di Era Society. </w:t>
      </w:r>
      <w:r w:rsidRPr="00CB2E20">
        <w:rPr>
          <w:rFonts w:ascii="Calibri Light" w:hAnsi="Calibri Light" w:cs="Calibri Light"/>
          <w:i/>
          <w:iCs/>
          <w:noProof/>
          <w:sz w:val="24"/>
        </w:rPr>
        <w:t>At-Tabayyun: Journal Islamic Studies</w:t>
      </w:r>
      <w:r w:rsidRPr="00CB2E20">
        <w:rPr>
          <w:rFonts w:ascii="Calibri Light" w:hAnsi="Calibri Light" w:cs="Calibri Light"/>
          <w:noProof/>
          <w:sz w:val="24"/>
        </w:rPr>
        <w:t xml:space="preserve">, </w:t>
      </w:r>
      <w:r w:rsidRPr="00CB2E20">
        <w:rPr>
          <w:rFonts w:ascii="Calibri Light" w:hAnsi="Calibri Light" w:cs="Calibri Light"/>
          <w:i/>
          <w:iCs/>
          <w:noProof/>
          <w:sz w:val="24"/>
        </w:rPr>
        <w:t>1</w:t>
      </w:r>
      <w:r w:rsidRPr="00CB2E20">
        <w:rPr>
          <w:rFonts w:ascii="Calibri Light" w:hAnsi="Calibri Light" w:cs="Calibri Light"/>
          <w:noProof/>
          <w:sz w:val="24"/>
        </w:rPr>
        <w:t>(1), 9–20.</w:t>
      </w:r>
    </w:p>
    <w:p w14:paraId="7725F56D" w14:textId="77777777" w:rsidR="00B3299C" w:rsidRPr="00540F02" w:rsidRDefault="00B3299C" w:rsidP="00B3299C">
      <w:pPr>
        <w:spacing w:line="240" w:lineRule="atLeast"/>
        <w:jc w:val="both"/>
        <w:rPr>
          <w:rFonts w:ascii="Calibri Light" w:hAnsi="Calibri Light" w:cs="Calibri Light"/>
          <w:color w:val="A6A6A6"/>
          <w:sz w:val="24"/>
          <w:szCs w:val="24"/>
        </w:rPr>
      </w:pPr>
      <w:r w:rsidRPr="008B4CB2">
        <w:rPr>
          <w:rFonts w:ascii="Calibri Light" w:hAnsi="Calibri Light" w:cs="Calibri Light"/>
          <w:sz w:val="24"/>
          <w:szCs w:val="24"/>
        </w:rPr>
        <w:lastRenderedPageBreak/>
        <w:fldChar w:fldCharType="end"/>
      </w:r>
    </w:p>
    <w:p w14:paraId="06453EFA" w14:textId="77777777" w:rsidR="00B3299C" w:rsidRPr="00540F02" w:rsidRDefault="00B3299C" w:rsidP="00B3299C">
      <w:pPr>
        <w:pStyle w:val="ListParagraph"/>
        <w:tabs>
          <w:tab w:val="left" w:pos="1134"/>
        </w:tabs>
        <w:spacing w:before="120" w:after="120" w:line="240" w:lineRule="auto"/>
        <w:ind w:left="1134" w:right="-1" w:hanging="708"/>
        <w:contextualSpacing w:val="0"/>
        <w:jc w:val="both"/>
        <w:rPr>
          <w:rFonts w:ascii="Calibri Light" w:hAnsi="Calibri Light" w:cs="Calibri Light"/>
          <w:color w:val="A6A6A6"/>
          <w:sz w:val="24"/>
          <w:szCs w:val="24"/>
        </w:rPr>
      </w:pPr>
    </w:p>
    <w:p w14:paraId="298DB159" w14:textId="77777777" w:rsidR="006538D6" w:rsidRPr="00B3299C" w:rsidRDefault="006538D6" w:rsidP="00B3299C"/>
    <w:sectPr w:rsidR="006538D6" w:rsidRPr="00B3299C" w:rsidSect="007816FC">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DBDAE4" w14:textId="77777777" w:rsidR="00EC35D1" w:rsidRDefault="00EC35D1">
      <w:r>
        <w:separator/>
      </w:r>
    </w:p>
  </w:endnote>
  <w:endnote w:type="continuationSeparator" w:id="0">
    <w:p w14:paraId="0EE13316" w14:textId="77777777" w:rsidR="00EC35D1" w:rsidRDefault="00EC3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altName w:val="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4002EFF" w:usb1="C000247B" w:usb2="00000009" w:usb3="00000000" w:csb0="000001FF" w:csb1="00000000"/>
  </w:font>
  <w:font w:name="Cambria">
    <w:altName w:val="Calisto MT"/>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altName w:val="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3C6DB" w14:textId="257B51A6" w:rsidR="00122F5F" w:rsidRPr="00540F02" w:rsidRDefault="00482834"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067EBCF9" wp14:editId="625D0450">
              <wp:simplePos x="0" y="0"/>
              <wp:positionH relativeFrom="column">
                <wp:posOffset>5151755</wp:posOffset>
              </wp:positionH>
              <wp:positionV relativeFrom="paragraph">
                <wp:posOffset>-64770</wp:posOffset>
              </wp:positionV>
              <wp:extent cx="619760" cy="278130"/>
              <wp:effectExtent l="8255" t="11430" r="10160" b="5715"/>
              <wp:wrapNone/>
              <wp:docPr id="135497783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EF6344F"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7EBCF9"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7EF6344F"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534099B2"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0F387" w14:textId="3103B829" w:rsidR="0008220C" w:rsidRPr="00540F02" w:rsidRDefault="00482834"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4724563A" wp14:editId="590507A9">
              <wp:simplePos x="0" y="0"/>
              <wp:positionH relativeFrom="column">
                <wp:posOffset>5151755</wp:posOffset>
              </wp:positionH>
              <wp:positionV relativeFrom="paragraph">
                <wp:posOffset>-64770</wp:posOffset>
              </wp:positionV>
              <wp:extent cx="619760" cy="278130"/>
              <wp:effectExtent l="8255" t="11430" r="10160" b="5715"/>
              <wp:wrapNone/>
              <wp:docPr id="11213649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61337288"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24563A"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61337288"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328B2B7B"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2B189F" w14:textId="44231717" w:rsidR="00965E3F" w:rsidRPr="0008220C" w:rsidRDefault="00482834"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5B4964D0" wp14:editId="6076AEF7">
              <wp:simplePos x="0" y="0"/>
              <wp:positionH relativeFrom="column">
                <wp:posOffset>5151755</wp:posOffset>
              </wp:positionH>
              <wp:positionV relativeFrom="paragraph">
                <wp:posOffset>-64770</wp:posOffset>
              </wp:positionV>
              <wp:extent cx="619760" cy="278130"/>
              <wp:effectExtent l="8255" t="11430" r="10160" b="5715"/>
              <wp:wrapNone/>
              <wp:docPr id="212979835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116ABAE7"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4964D0"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116ABAE7"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225C5C29"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BFD6E0" w14:textId="77777777" w:rsidR="00EC35D1" w:rsidRDefault="00EC35D1">
      <w:r>
        <w:separator/>
      </w:r>
    </w:p>
  </w:footnote>
  <w:footnote w:type="continuationSeparator" w:id="0">
    <w:p w14:paraId="7DD5649D" w14:textId="77777777" w:rsidR="00EC35D1" w:rsidRDefault="00EC35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3EC60" w14:textId="054B7F0B" w:rsidR="00122F5F" w:rsidRDefault="00482834" w:rsidP="00122F5F">
    <w:pPr>
      <w:pStyle w:val="Header"/>
    </w:pPr>
    <w:r>
      <w:rPr>
        <w:noProof/>
      </w:rPr>
      <mc:AlternateContent>
        <mc:Choice Requires="wps">
          <w:drawing>
            <wp:anchor distT="0" distB="0" distL="114300" distR="114300" simplePos="0" relativeHeight="251656192" behindDoc="1" locked="0" layoutInCell="1" allowOverlap="1" wp14:anchorId="07BA0E10" wp14:editId="4D4C5AFD">
              <wp:simplePos x="0" y="0"/>
              <wp:positionH relativeFrom="page">
                <wp:posOffset>962025</wp:posOffset>
              </wp:positionH>
              <wp:positionV relativeFrom="page">
                <wp:posOffset>947420</wp:posOffset>
              </wp:positionV>
              <wp:extent cx="1998980" cy="229870"/>
              <wp:effectExtent l="0" t="4445" r="1270" b="3810"/>
              <wp:wrapNone/>
              <wp:docPr id="196809450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AD6D69"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D4B138E"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BA0E10"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29AD6D69"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D4B138E"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07BA36EF" wp14:editId="5DD3E078">
              <wp:simplePos x="0" y="0"/>
              <wp:positionH relativeFrom="page">
                <wp:posOffset>6497955</wp:posOffset>
              </wp:positionH>
              <wp:positionV relativeFrom="page">
                <wp:posOffset>445135</wp:posOffset>
              </wp:positionV>
              <wp:extent cx="231775" cy="177800"/>
              <wp:effectExtent l="1905" t="0" r="4445" b="0"/>
              <wp:wrapNone/>
              <wp:docPr id="1379155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E518C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BA36EF"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08E518C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0DDA2E5E" wp14:editId="47DC68BF">
              <wp:simplePos x="0" y="0"/>
              <wp:positionH relativeFrom="page">
                <wp:posOffset>3143250</wp:posOffset>
              </wp:positionH>
              <wp:positionV relativeFrom="page">
                <wp:posOffset>784860</wp:posOffset>
              </wp:positionV>
              <wp:extent cx="3523615" cy="416560"/>
              <wp:effectExtent l="0" t="3810" r="635" b="0"/>
              <wp:wrapNone/>
              <wp:docPr id="49227361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A85A99" w14:textId="77777777" w:rsidR="00377907" w:rsidRPr="00791626" w:rsidRDefault="00377907" w:rsidP="00377907">
                          <w:pPr>
                            <w:rPr>
                              <w:rFonts w:ascii="Calibri Light" w:hAnsi="Calibri Light" w:cs="Calibri Light"/>
                              <w:b/>
                              <w:bCs/>
                              <w:iCs/>
                              <w:sz w:val="28"/>
                              <w:szCs w:val="28"/>
                              <w:lang w:val="id-ID"/>
                            </w:rPr>
                          </w:pPr>
                          <w:r>
                            <w:rPr>
                              <w:rFonts w:ascii="Calibri Light" w:hAnsi="Calibri Light" w:cs="Calibri Light"/>
                              <w:sz w:val="18"/>
                            </w:rPr>
                            <w:t>Noor rahmad, Setiyawan, D</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791626">
                            <w:rPr>
                              <w:rFonts w:ascii="Calibri Light" w:hAnsi="Calibri Light" w:cs="Calibri Light"/>
                              <w:i/>
                              <w:iCs/>
                              <w:sz w:val="18"/>
                              <w:szCs w:val="18"/>
                            </w:rPr>
                            <w:t>The Collapse of Law Enforcement in Indonesia: Perspectives on Morality and Religious Ethic</w:t>
                          </w:r>
                        </w:p>
                        <w:p w14:paraId="2E292562" w14:textId="4C6A4A11" w:rsidR="00122F5F" w:rsidRPr="00791626" w:rsidRDefault="00122F5F" w:rsidP="00791626">
                          <w:pPr>
                            <w:rPr>
                              <w:rFonts w:ascii="Calibri Light" w:hAnsi="Calibri Light" w:cs="Calibri Light"/>
                              <w:b/>
                              <w:bCs/>
                              <w:iCs/>
                              <w:sz w:val="28"/>
                              <w:szCs w:val="28"/>
                              <w:lang w:val="id-ID"/>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DA2E5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24A85A99" w14:textId="77777777" w:rsidR="00377907" w:rsidRPr="00791626" w:rsidRDefault="00377907" w:rsidP="00377907">
                    <w:pPr>
                      <w:rPr>
                        <w:rFonts w:ascii="Calibri Light" w:hAnsi="Calibri Light" w:cs="Calibri Light"/>
                        <w:b/>
                        <w:bCs/>
                        <w:iCs/>
                        <w:sz w:val="28"/>
                        <w:szCs w:val="28"/>
                        <w:lang w:val="id-ID"/>
                      </w:rPr>
                    </w:pPr>
                    <w:r>
                      <w:rPr>
                        <w:rFonts w:ascii="Calibri Light" w:hAnsi="Calibri Light" w:cs="Calibri Light"/>
                        <w:sz w:val="18"/>
                      </w:rPr>
                      <w:t>Noor rahmad, Setiyawan, D</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791626">
                      <w:rPr>
                        <w:rFonts w:ascii="Calibri Light" w:hAnsi="Calibri Light" w:cs="Calibri Light"/>
                        <w:i/>
                        <w:iCs/>
                        <w:sz w:val="18"/>
                        <w:szCs w:val="18"/>
                      </w:rPr>
                      <w:t>The Collapse of Law Enforcement in Indonesia: Perspectives on Morality and Religious Ethic</w:t>
                    </w:r>
                  </w:p>
                  <w:p w14:paraId="2E292562" w14:textId="4C6A4A11" w:rsidR="00122F5F" w:rsidRPr="00791626" w:rsidRDefault="00122F5F" w:rsidP="00791626">
                    <w:pPr>
                      <w:rPr>
                        <w:rFonts w:ascii="Calibri Light" w:hAnsi="Calibri Light" w:cs="Calibri Light"/>
                        <w:b/>
                        <w:bCs/>
                        <w:iCs/>
                        <w:sz w:val="28"/>
                        <w:szCs w:val="28"/>
                        <w:lang w:val="id-ID"/>
                      </w:rPr>
                    </w:pPr>
                  </w:p>
                </w:txbxContent>
              </v:textbox>
              <w10:wrap anchorx="page" anchory="page"/>
            </v:shape>
          </w:pict>
        </mc:Fallback>
      </mc:AlternateContent>
    </w:r>
    <w:r>
      <w:rPr>
        <w:noProof/>
      </w:rPr>
      <w:drawing>
        <wp:inline distT="0" distB="0" distL="0" distR="0" wp14:anchorId="06908891" wp14:editId="6E7B33C5">
          <wp:extent cx="1097280" cy="50292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219FDC05" w14:textId="77777777" w:rsidR="00122F5F" w:rsidRDefault="00122F5F" w:rsidP="00122F5F">
    <w:pPr>
      <w:pStyle w:val="Header"/>
      <w:rPr>
        <w:sz w:val="16"/>
        <w:szCs w:val="16"/>
      </w:rPr>
    </w:pPr>
  </w:p>
  <w:p w14:paraId="0CC867B0" w14:textId="77777777" w:rsidR="00AA4AE4" w:rsidRDefault="00AA4AE4" w:rsidP="00122F5F">
    <w:pPr>
      <w:pStyle w:val="Header"/>
      <w:rPr>
        <w:sz w:val="16"/>
        <w:szCs w:val="16"/>
      </w:rPr>
    </w:pPr>
  </w:p>
  <w:p w14:paraId="7F3E836E"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DC6DA" w14:textId="0104CDF4" w:rsidR="00540F02" w:rsidRDefault="00482834" w:rsidP="00540F02">
    <w:pPr>
      <w:pStyle w:val="Header"/>
    </w:pPr>
    <w:r>
      <w:rPr>
        <w:noProof/>
      </w:rPr>
      <mc:AlternateContent>
        <mc:Choice Requires="wps">
          <w:drawing>
            <wp:anchor distT="0" distB="0" distL="114300" distR="114300" simplePos="0" relativeHeight="251658240" behindDoc="1" locked="0" layoutInCell="1" allowOverlap="1" wp14:anchorId="063180D4" wp14:editId="2DF3E77F">
              <wp:simplePos x="0" y="0"/>
              <wp:positionH relativeFrom="page">
                <wp:posOffset>962025</wp:posOffset>
              </wp:positionH>
              <wp:positionV relativeFrom="page">
                <wp:posOffset>947420</wp:posOffset>
              </wp:positionV>
              <wp:extent cx="1998980" cy="229870"/>
              <wp:effectExtent l="0" t="4445" r="1270" b="3810"/>
              <wp:wrapNone/>
              <wp:docPr id="127085462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98A653"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E31924C"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3180D4"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3F98A653"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E31924C"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3427ECBB" wp14:editId="300A7812">
              <wp:simplePos x="0" y="0"/>
              <wp:positionH relativeFrom="page">
                <wp:posOffset>6464300</wp:posOffset>
              </wp:positionH>
              <wp:positionV relativeFrom="page">
                <wp:posOffset>467360</wp:posOffset>
              </wp:positionV>
              <wp:extent cx="231775" cy="177800"/>
              <wp:effectExtent l="0" t="635" r="0" b="2540"/>
              <wp:wrapNone/>
              <wp:docPr id="118639521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95F99E"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27ECBB"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0795F99E"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7AB17FBF" wp14:editId="220B1DA6">
              <wp:simplePos x="0" y="0"/>
              <wp:positionH relativeFrom="page">
                <wp:posOffset>3143250</wp:posOffset>
              </wp:positionH>
              <wp:positionV relativeFrom="page">
                <wp:posOffset>784860</wp:posOffset>
              </wp:positionV>
              <wp:extent cx="3523615" cy="416560"/>
              <wp:effectExtent l="0" t="3810" r="635" b="0"/>
              <wp:wrapNone/>
              <wp:docPr id="190701896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B2E5FA" w14:textId="77777777" w:rsidR="00377907" w:rsidRPr="00791626" w:rsidRDefault="00377907" w:rsidP="00377907">
                          <w:pPr>
                            <w:rPr>
                              <w:rFonts w:ascii="Calibri Light" w:hAnsi="Calibri Light" w:cs="Calibri Light"/>
                              <w:b/>
                              <w:bCs/>
                              <w:iCs/>
                              <w:sz w:val="28"/>
                              <w:szCs w:val="28"/>
                              <w:lang w:val="id-ID"/>
                            </w:rPr>
                          </w:pPr>
                          <w:r>
                            <w:rPr>
                              <w:rFonts w:ascii="Calibri Light" w:hAnsi="Calibri Light" w:cs="Calibri Light"/>
                              <w:sz w:val="18"/>
                            </w:rPr>
                            <w:t>Noor rahmad, Setiyawan, D</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791626">
                            <w:rPr>
                              <w:rFonts w:ascii="Calibri Light" w:hAnsi="Calibri Light" w:cs="Calibri Light"/>
                              <w:i/>
                              <w:iCs/>
                              <w:sz w:val="18"/>
                              <w:szCs w:val="18"/>
                            </w:rPr>
                            <w:t>The Collapse of Law Enforcement in Indonesia: Perspectives on Morality and Religious Ethic</w:t>
                          </w:r>
                        </w:p>
                        <w:p w14:paraId="51F8A705" w14:textId="3D6F2A34" w:rsidR="00540F02" w:rsidRPr="00791626" w:rsidRDefault="00540F02" w:rsidP="00791626">
                          <w:pPr>
                            <w:rPr>
                              <w:rFonts w:ascii="Calibri Light" w:hAnsi="Calibri Light" w:cs="Calibri Light"/>
                              <w:b/>
                              <w:bCs/>
                              <w:iCs/>
                              <w:sz w:val="28"/>
                              <w:szCs w:val="28"/>
                              <w:lang w:val="id-ID"/>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B17FBF"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14:paraId="6CB2E5FA" w14:textId="77777777" w:rsidR="00377907" w:rsidRPr="00791626" w:rsidRDefault="00377907" w:rsidP="00377907">
                    <w:pPr>
                      <w:rPr>
                        <w:rFonts w:ascii="Calibri Light" w:hAnsi="Calibri Light" w:cs="Calibri Light"/>
                        <w:b/>
                        <w:bCs/>
                        <w:iCs/>
                        <w:sz w:val="28"/>
                        <w:szCs w:val="28"/>
                        <w:lang w:val="id-ID"/>
                      </w:rPr>
                    </w:pPr>
                    <w:r>
                      <w:rPr>
                        <w:rFonts w:ascii="Calibri Light" w:hAnsi="Calibri Light" w:cs="Calibri Light"/>
                        <w:sz w:val="18"/>
                      </w:rPr>
                      <w:t>Noor rahmad, Setiyawan, D</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791626">
                      <w:rPr>
                        <w:rFonts w:ascii="Calibri Light" w:hAnsi="Calibri Light" w:cs="Calibri Light"/>
                        <w:i/>
                        <w:iCs/>
                        <w:sz w:val="18"/>
                        <w:szCs w:val="18"/>
                      </w:rPr>
                      <w:t>The Collapse of Law Enforcement in Indonesia: Perspectives on Morality and Religious Ethic</w:t>
                    </w:r>
                  </w:p>
                  <w:p w14:paraId="51F8A705" w14:textId="3D6F2A34" w:rsidR="00540F02" w:rsidRPr="00791626" w:rsidRDefault="00540F02" w:rsidP="00791626">
                    <w:pPr>
                      <w:rPr>
                        <w:rFonts w:ascii="Calibri Light" w:hAnsi="Calibri Light" w:cs="Calibri Light"/>
                        <w:b/>
                        <w:bCs/>
                        <w:iCs/>
                        <w:sz w:val="28"/>
                        <w:szCs w:val="28"/>
                        <w:lang w:val="id-ID"/>
                      </w:rPr>
                    </w:pPr>
                  </w:p>
                </w:txbxContent>
              </v:textbox>
              <w10:wrap anchorx="page" anchory="page"/>
            </v:shape>
          </w:pict>
        </mc:Fallback>
      </mc:AlternateContent>
    </w:r>
    <w:r>
      <w:rPr>
        <w:noProof/>
      </w:rPr>
      <w:drawing>
        <wp:inline distT="0" distB="0" distL="0" distR="0" wp14:anchorId="71D3C4C4" wp14:editId="6785C17B">
          <wp:extent cx="1097280" cy="502920"/>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2B826121" w14:textId="77777777" w:rsidR="00540F02" w:rsidRDefault="00540F02" w:rsidP="00540F02">
    <w:pPr>
      <w:pStyle w:val="Header"/>
      <w:rPr>
        <w:sz w:val="16"/>
        <w:szCs w:val="16"/>
      </w:rPr>
    </w:pPr>
  </w:p>
  <w:p w14:paraId="43D4F0DA" w14:textId="77777777" w:rsidR="00540F02" w:rsidRDefault="00540F02" w:rsidP="00540F02">
    <w:pPr>
      <w:pStyle w:val="Header"/>
      <w:rPr>
        <w:sz w:val="16"/>
        <w:szCs w:val="16"/>
      </w:rPr>
    </w:pPr>
  </w:p>
  <w:p w14:paraId="5B28A812"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455F4" w14:textId="61986E43" w:rsidR="00FF1D30" w:rsidRDefault="00482834">
    <w:pPr>
      <w:pStyle w:val="Header"/>
    </w:pPr>
    <w:r>
      <w:rPr>
        <w:noProof/>
      </w:rPr>
      <mc:AlternateContent>
        <mc:Choice Requires="wps">
          <w:drawing>
            <wp:anchor distT="0" distB="0" distL="114300" distR="114300" simplePos="0" relativeHeight="251652096" behindDoc="1" locked="0" layoutInCell="1" allowOverlap="1" wp14:anchorId="580CCAA2" wp14:editId="54BFEA9D">
              <wp:simplePos x="0" y="0"/>
              <wp:positionH relativeFrom="page">
                <wp:posOffset>942975</wp:posOffset>
              </wp:positionH>
              <wp:positionV relativeFrom="page">
                <wp:posOffset>947420</wp:posOffset>
              </wp:positionV>
              <wp:extent cx="1998980" cy="229870"/>
              <wp:effectExtent l="0" t="4445" r="1270" b="3810"/>
              <wp:wrapNone/>
              <wp:docPr id="78873932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D24F8D"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242A0F4"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0CCAA2"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3FD24F8D"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242A0F4"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7DC68157" wp14:editId="1379A97D">
              <wp:simplePos x="0" y="0"/>
              <wp:positionH relativeFrom="page">
                <wp:posOffset>6464300</wp:posOffset>
              </wp:positionH>
              <wp:positionV relativeFrom="page">
                <wp:posOffset>439420</wp:posOffset>
              </wp:positionV>
              <wp:extent cx="231775" cy="177800"/>
              <wp:effectExtent l="0" t="1270" r="0" b="1905"/>
              <wp:wrapNone/>
              <wp:docPr id="48645689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7EA493"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C68157"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227EA493"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435CD44D" wp14:editId="009E9151">
              <wp:simplePos x="0" y="0"/>
              <wp:positionH relativeFrom="page">
                <wp:posOffset>3143250</wp:posOffset>
              </wp:positionH>
              <wp:positionV relativeFrom="page">
                <wp:posOffset>784860</wp:posOffset>
              </wp:positionV>
              <wp:extent cx="3516630" cy="416560"/>
              <wp:effectExtent l="0" t="3810" r="0" b="0"/>
              <wp:wrapNone/>
              <wp:docPr id="171673210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4C187C" w14:textId="57BEB2E1" w:rsidR="00FF1D30" w:rsidRPr="00791626" w:rsidRDefault="00377907" w:rsidP="00791626">
                          <w:pPr>
                            <w:rPr>
                              <w:rFonts w:ascii="Calibri Light" w:hAnsi="Calibri Light" w:cs="Calibri Light"/>
                              <w:b/>
                              <w:bCs/>
                              <w:iCs/>
                              <w:sz w:val="28"/>
                              <w:szCs w:val="28"/>
                              <w:lang w:val="id-ID"/>
                            </w:rPr>
                          </w:pPr>
                          <w:r>
                            <w:rPr>
                              <w:rFonts w:ascii="Calibri Light" w:hAnsi="Calibri Light" w:cs="Calibri Light"/>
                              <w:sz w:val="18"/>
                            </w:rPr>
                            <w:t xml:space="preserve">Noor rahmad, </w:t>
                          </w:r>
                          <w:r w:rsidR="00791626">
                            <w:rPr>
                              <w:rFonts w:ascii="Calibri Light" w:hAnsi="Calibri Light" w:cs="Calibri Light"/>
                              <w:sz w:val="18"/>
                            </w:rPr>
                            <w:t>Setiyawan</w:t>
                          </w:r>
                          <w:r w:rsidR="00FF1D30">
                            <w:rPr>
                              <w:rFonts w:ascii="Calibri Light" w:hAnsi="Calibri Light" w:cs="Calibri Light"/>
                              <w:sz w:val="18"/>
                            </w:rPr>
                            <w:t xml:space="preserve">, </w:t>
                          </w:r>
                          <w:r w:rsidR="00791626">
                            <w:rPr>
                              <w:rFonts w:ascii="Calibri Light" w:hAnsi="Calibri Light" w:cs="Calibri Light"/>
                              <w:sz w:val="18"/>
                            </w:rPr>
                            <w:t>D</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00791626" w:rsidRPr="00791626">
                            <w:rPr>
                              <w:rFonts w:ascii="Calibri Light" w:hAnsi="Calibri Light" w:cs="Calibri Light"/>
                              <w:i/>
                              <w:iCs/>
                              <w:sz w:val="18"/>
                              <w:szCs w:val="18"/>
                            </w:rPr>
                            <w:t>The Collapse of Law Enforcement in Indonesia: Perspectives on Morality and Religious Ethic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5CD44D"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14:paraId="124C187C" w14:textId="57BEB2E1" w:rsidR="00FF1D30" w:rsidRPr="00791626" w:rsidRDefault="00377907" w:rsidP="00791626">
                    <w:pPr>
                      <w:rPr>
                        <w:rFonts w:ascii="Calibri Light" w:hAnsi="Calibri Light" w:cs="Calibri Light"/>
                        <w:b/>
                        <w:bCs/>
                        <w:iCs/>
                        <w:sz w:val="28"/>
                        <w:szCs w:val="28"/>
                        <w:lang w:val="id-ID"/>
                      </w:rPr>
                    </w:pPr>
                    <w:r>
                      <w:rPr>
                        <w:rFonts w:ascii="Calibri Light" w:hAnsi="Calibri Light" w:cs="Calibri Light"/>
                        <w:sz w:val="18"/>
                      </w:rPr>
                      <w:t xml:space="preserve">Noor rahmad, </w:t>
                    </w:r>
                    <w:r w:rsidR="00791626">
                      <w:rPr>
                        <w:rFonts w:ascii="Calibri Light" w:hAnsi="Calibri Light" w:cs="Calibri Light"/>
                        <w:sz w:val="18"/>
                      </w:rPr>
                      <w:t>Setiyawan</w:t>
                    </w:r>
                    <w:r w:rsidR="00FF1D30">
                      <w:rPr>
                        <w:rFonts w:ascii="Calibri Light" w:hAnsi="Calibri Light" w:cs="Calibri Light"/>
                        <w:sz w:val="18"/>
                      </w:rPr>
                      <w:t xml:space="preserve">, </w:t>
                    </w:r>
                    <w:r w:rsidR="00791626">
                      <w:rPr>
                        <w:rFonts w:ascii="Calibri Light" w:hAnsi="Calibri Light" w:cs="Calibri Light"/>
                        <w:sz w:val="18"/>
                      </w:rPr>
                      <w:t>D</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00791626" w:rsidRPr="00791626">
                      <w:rPr>
                        <w:rFonts w:ascii="Calibri Light" w:hAnsi="Calibri Light" w:cs="Calibri Light"/>
                        <w:i/>
                        <w:iCs/>
                        <w:sz w:val="18"/>
                        <w:szCs w:val="18"/>
                      </w:rPr>
                      <w:t>The Collapse of Law Enforcement in Indonesia: Perspectives on Morality and Religious Ethic</w:t>
                    </w:r>
                  </w:p>
                </w:txbxContent>
              </v:textbox>
              <w10:wrap anchorx="page" anchory="page"/>
            </v:shape>
          </w:pict>
        </mc:Fallback>
      </mc:AlternateContent>
    </w:r>
    <w:r>
      <w:rPr>
        <w:noProof/>
      </w:rPr>
      <w:drawing>
        <wp:inline distT="0" distB="0" distL="0" distR="0" wp14:anchorId="643085D7" wp14:editId="19413424">
          <wp:extent cx="1097280" cy="50292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33623407" w14:textId="77777777" w:rsidR="00FF1D30" w:rsidRDefault="00FF1D30">
    <w:pPr>
      <w:pStyle w:val="Header"/>
      <w:rPr>
        <w:sz w:val="16"/>
        <w:szCs w:val="16"/>
      </w:rPr>
    </w:pPr>
  </w:p>
  <w:p w14:paraId="5972C7D5" w14:textId="77777777" w:rsidR="00FF1D30" w:rsidRDefault="00FF1D30">
    <w:pPr>
      <w:pStyle w:val="Header"/>
      <w:rPr>
        <w:sz w:val="16"/>
        <w:szCs w:val="16"/>
      </w:rPr>
    </w:pPr>
  </w:p>
  <w:p w14:paraId="236927AC"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73B0242"/>
    <w:multiLevelType w:val="hybridMultilevel"/>
    <w:tmpl w:val="FFFFFFFF"/>
    <w:lvl w:ilvl="0" w:tplc="FFFFFFFF">
      <w:start w:val="1"/>
      <w:numFmt w:val="decimal"/>
      <w:lvlText w:val="[%1]"/>
      <w:lvlJc w:val="left"/>
      <w:pPr>
        <w:ind w:left="1152" w:hanging="360"/>
      </w:pPr>
      <w:rPr>
        <w:rFonts w:cs="Times New Roman"/>
      </w:rPr>
    </w:lvl>
    <w:lvl w:ilvl="1" w:tplc="04090019" w:tentative="1">
      <w:start w:val="1"/>
      <w:numFmt w:val="lowerLetter"/>
      <w:lvlText w:val="%2."/>
      <w:lvlJc w:val="left"/>
      <w:pPr>
        <w:ind w:left="1872" w:hanging="360"/>
      </w:pPr>
      <w:rPr>
        <w:rFonts w:cs="Times New Roman"/>
      </w:rPr>
    </w:lvl>
    <w:lvl w:ilvl="2" w:tplc="0409001B" w:tentative="1">
      <w:start w:val="1"/>
      <w:numFmt w:val="lowerRoman"/>
      <w:lvlText w:val="%3."/>
      <w:lvlJc w:val="right"/>
      <w:pPr>
        <w:ind w:left="2592" w:hanging="180"/>
      </w:pPr>
      <w:rPr>
        <w:rFonts w:cs="Times New Roman"/>
      </w:rPr>
    </w:lvl>
    <w:lvl w:ilvl="3" w:tplc="0409000F" w:tentative="1">
      <w:start w:val="1"/>
      <w:numFmt w:val="decimal"/>
      <w:lvlText w:val="%4."/>
      <w:lvlJc w:val="left"/>
      <w:pPr>
        <w:ind w:left="3312" w:hanging="360"/>
      </w:pPr>
      <w:rPr>
        <w:rFonts w:cs="Times New Roman"/>
      </w:rPr>
    </w:lvl>
    <w:lvl w:ilvl="4" w:tplc="04090019" w:tentative="1">
      <w:start w:val="1"/>
      <w:numFmt w:val="lowerLetter"/>
      <w:lvlText w:val="%5."/>
      <w:lvlJc w:val="left"/>
      <w:pPr>
        <w:ind w:left="4032" w:hanging="360"/>
      </w:pPr>
      <w:rPr>
        <w:rFonts w:cs="Times New Roman"/>
      </w:rPr>
    </w:lvl>
    <w:lvl w:ilvl="5" w:tplc="0409001B" w:tentative="1">
      <w:start w:val="1"/>
      <w:numFmt w:val="lowerRoman"/>
      <w:lvlText w:val="%6."/>
      <w:lvlJc w:val="right"/>
      <w:pPr>
        <w:ind w:left="4752" w:hanging="180"/>
      </w:pPr>
      <w:rPr>
        <w:rFonts w:cs="Times New Roman"/>
      </w:rPr>
    </w:lvl>
    <w:lvl w:ilvl="6" w:tplc="0409000F" w:tentative="1">
      <w:start w:val="1"/>
      <w:numFmt w:val="decimal"/>
      <w:lvlText w:val="%7."/>
      <w:lvlJc w:val="left"/>
      <w:pPr>
        <w:ind w:left="5472" w:hanging="360"/>
      </w:pPr>
      <w:rPr>
        <w:rFonts w:cs="Times New Roman"/>
      </w:rPr>
    </w:lvl>
    <w:lvl w:ilvl="7" w:tplc="04090019" w:tentative="1">
      <w:start w:val="1"/>
      <w:numFmt w:val="lowerLetter"/>
      <w:lvlText w:val="%8."/>
      <w:lvlJc w:val="left"/>
      <w:pPr>
        <w:ind w:left="6192" w:hanging="360"/>
      </w:pPr>
      <w:rPr>
        <w:rFonts w:cs="Times New Roman"/>
      </w:rPr>
    </w:lvl>
    <w:lvl w:ilvl="8" w:tplc="0409001B" w:tentative="1">
      <w:start w:val="1"/>
      <w:numFmt w:val="lowerRoman"/>
      <w:lvlText w:val="%9."/>
      <w:lvlJc w:val="right"/>
      <w:pPr>
        <w:ind w:left="6912" w:hanging="180"/>
      </w:pPr>
      <w:rPr>
        <w:rFonts w:cs="Times New Roman"/>
      </w:rPr>
    </w:lvl>
  </w:abstractNum>
  <w:abstractNum w:abstractNumId="9"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1" w15:restartNumberingAfterBreak="0">
    <w:nsid w:val="1B0703F0"/>
    <w:multiLevelType w:val="hybridMultilevel"/>
    <w:tmpl w:val="97D08D72"/>
    <w:lvl w:ilvl="0" w:tplc="FFFFFFFF">
      <w:start w:val="1"/>
      <w:numFmt w:val="decimal"/>
      <w:lvlText w:val="[%1]"/>
      <w:lvlJc w:val="left"/>
      <w:pPr>
        <w:ind w:left="1152" w:hanging="360"/>
      </w:pPr>
      <w:rPr>
        <w:rFonts w:cs="Times New Roman"/>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2"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3"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4"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5"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6"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7"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8"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9"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0"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1"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3"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4"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5"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6"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7"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8"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0"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243804937">
    <w:abstractNumId w:val="16"/>
  </w:num>
  <w:num w:numId="2" w16cid:durableId="1051657173">
    <w:abstractNumId w:val="9"/>
  </w:num>
  <w:num w:numId="3" w16cid:durableId="1127511808">
    <w:abstractNumId w:val="10"/>
  </w:num>
  <w:num w:numId="4" w16cid:durableId="503475141">
    <w:abstractNumId w:val="24"/>
  </w:num>
  <w:num w:numId="5" w16cid:durableId="1090156407">
    <w:abstractNumId w:val="23"/>
  </w:num>
  <w:num w:numId="6" w16cid:durableId="1815834660">
    <w:abstractNumId w:val="22"/>
  </w:num>
  <w:num w:numId="7" w16cid:durableId="1554123409">
    <w:abstractNumId w:val="29"/>
  </w:num>
  <w:num w:numId="8" w16cid:durableId="259679052">
    <w:abstractNumId w:val="17"/>
  </w:num>
  <w:num w:numId="9" w16cid:durableId="537472201">
    <w:abstractNumId w:val="25"/>
  </w:num>
  <w:num w:numId="10" w16cid:durableId="1415473315">
    <w:abstractNumId w:val="26"/>
  </w:num>
  <w:num w:numId="11" w16cid:durableId="2057003743">
    <w:abstractNumId w:val="13"/>
  </w:num>
  <w:num w:numId="12" w16cid:durableId="1340429773">
    <w:abstractNumId w:val="20"/>
  </w:num>
  <w:num w:numId="13" w16cid:durableId="1747066734">
    <w:abstractNumId w:val="7"/>
  </w:num>
  <w:num w:numId="14" w16cid:durableId="2083988014">
    <w:abstractNumId w:val="0"/>
  </w:num>
  <w:num w:numId="15" w16cid:durableId="1857765327">
    <w:abstractNumId w:val="30"/>
  </w:num>
  <w:num w:numId="16" w16cid:durableId="462042538">
    <w:abstractNumId w:val="21"/>
  </w:num>
  <w:num w:numId="17" w16cid:durableId="1791976371">
    <w:abstractNumId w:val="28"/>
  </w:num>
  <w:num w:numId="18" w16cid:durableId="170878346">
    <w:abstractNumId w:val="27"/>
  </w:num>
  <w:num w:numId="19" w16cid:durableId="584533663">
    <w:abstractNumId w:val="19"/>
  </w:num>
  <w:num w:numId="20" w16cid:durableId="90470315">
    <w:abstractNumId w:val="5"/>
  </w:num>
  <w:num w:numId="21" w16cid:durableId="984165133">
    <w:abstractNumId w:val="1"/>
  </w:num>
  <w:num w:numId="22" w16cid:durableId="1439984301">
    <w:abstractNumId w:val="14"/>
  </w:num>
  <w:num w:numId="23" w16cid:durableId="748431266">
    <w:abstractNumId w:val="2"/>
  </w:num>
  <w:num w:numId="24" w16cid:durableId="466092986">
    <w:abstractNumId w:val="3"/>
  </w:num>
  <w:num w:numId="25" w16cid:durableId="737167330">
    <w:abstractNumId w:val="4"/>
  </w:num>
  <w:num w:numId="26" w16cid:durableId="1908227218">
    <w:abstractNumId w:val="12"/>
  </w:num>
  <w:num w:numId="27" w16cid:durableId="1633755719">
    <w:abstractNumId w:val="15"/>
  </w:num>
  <w:num w:numId="28" w16cid:durableId="799881882">
    <w:abstractNumId w:val="6"/>
  </w:num>
  <w:num w:numId="29" w16cid:durableId="1408261624">
    <w:abstractNumId w:val="18"/>
  </w:num>
  <w:num w:numId="30" w16cid:durableId="950941631">
    <w:abstractNumId w:val="8"/>
  </w:num>
  <w:num w:numId="31" w16cid:durableId="129442915">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I3M7c0NjW1NDY0sjBQ0lEKTi0uzszPAykwqgUAJXBnHCwAAAA="/>
  </w:docVars>
  <w:rsids>
    <w:rsidRoot w:val="002D2DAC"/>
    <w:rsid w:val="00003189"/>
    <w:rsid w:val="00005ED9"/>
    <w:rsid w:val="0000672C"/>
    <w:rsid w:val="00010DEE"/>
    <w:rsid w:val="000243A3"/>
    <w:rsid w:val="00024881"/>
    <w:rsid w:val="0002569B"/>
    <w:rsid w:val="000417D3"/>
    <w:rsid w:val="000464D7"/>
    <w:rsid w:val="000475BE"/>
    <w:rsid w:val="00055FC4"/>
    <w:rsid w:val="00057F94"/>
    <w:rsid w:val="0006191D"/>
    <w:rsid w:val="00063721"/>
    <w:rsid w:val="00066AC1"/>
    <w:rsid w:val="00076F8C"/>
    <w:rsid w:val="0008220C"/>
    <w:rsid w:val="00083436"/>
    <w:rsid w:val="00085AC4"/>
    <w:rsid w:val="000877EE"/>
    <w:rsid w:val="000A0B41"/>
    <w:rsid w:val="000A2548"/>
    <w:rsid w:val="000B0038"/>
    <w:rsid w:val="000B0CE5"/>
    <w:rsid w:val="000B59CD"/>
    <w:rsid w:val="000C2D67"/>
    <w:rsid w:val="000C3688"/>
    <w:rsid w:val="000D5709"/>
    <w:rsid w:val="000E1F30"/>
    <w:rsid w:val="000E31DC"/>
    <w:rsid w:val="000E4604"/>
    <w:rsid w:val="000F5E48"/>
    <w:rsid w:val="000F66AA"/>
    <w:rsid w:val="00103AFF"/>
    <w:rsid w:val="00110D78"/>
    <w:rsid w:val="00116ED8"/>
    <w:rsid w:val="00117792"/>
    <w:rsid w:val="00122F5F"/>
    <w:rsid w:val="00123EF2"/>
    <w:rsid w:val="001245CB"/>
    <w:rsid w:val="00136B9F"/>
    <w:rsid w:val="0013783B"/>
    <w:rsid w:val="001578E9"/>
    <w:rsid w:val="00162A30"/>
    <w:rsid w:val="00165813"/>
    <w:rsid w:val="00171400"/>
    <w:rsid w:val="00171D19"/>
    <w:rsid w:val="00173196"/>
    <w:rsid w:val="0018288D"/>
    <w:rsid w:val="00187357"/>
    <w:rsid w:val="001A07A8"/>
    <w:rsid w:val="001B3613"/>
    <w:rsid w:val="001C2739"/>
    <w:rsid w:val="001C3D6C"/>
    <w:rsid w:val="001C7BDA"/>
    <w:rsid w:val="001D5E03"/>
    <w:rsid w:val="001D7DEE"/>
    <w:rsid w:val="001E02DA"/>
    <w:rsid w:val="001E2AAA"/>
    <w:rsid w:val="002036F0"/>
    <w:rsid w:val="0020406B"/>
    <w:rsid w:val="0020676E"/>
    <w:rsid w:val="002132FC"/>
    <w:rsid w:val="00216CB6"/>
    <w:rsid w:val="00217D1E"/>
    <w:rsid w:val="00223090"/>
    <w:rsid w:val="00224082"/>
    <w:rsid w:val="002328D7"/>
    <w:rsid w:val="00241B8D"/>
    <w:rsid w:val="00251164"/>
    <w:rsid w:val="00252307"/>
    <w:rsid w:val="00253D8A"/>
    <w:rsid w:val="00260D64"/>
    <w:rsid w:val="002632DB"/>
    <w:rsid w:val="002676D3"/>
    <w:rsid w:val="00271DA6"/>
    <w:rsid w:val="0027200A"/>
    <w:rsid w:val="00274990"/>
    <w:rsid w:val="00284F5A"/>
    <w:rsid w:val="00287EDB"/>
    <w:rsid w:val="00293F34"/>
    <w:rsid w:val="00295FB9"/>
    <w:rsid w:val="002961FA"/>
    <w:rsid w:val="002A293E"/>
    <w:rsid w:val="002A4E05"/>
    <w:rsid w:val="002C2FAC"/>
    <w:rsid w:val="002D0F54"/>
    <w:rsid w:val="002D1D04"/>
    <w:rsid w:val="002D2DAC"/>
    <w:rsid w:val="002D35AC"/>
    <w:rsid w:val="002E0452"/>
    <w:rsid w:val="002E695D"/>
    <w:rsid w:val="002F4D18"/>
    <w:rsid w:val="00301FEB"/>
    <w:rsid w:val="00303D42"/>
    <w:rsid w:val="0030640D"/>
    <w:rsid w:val="00312D76"/>
    <w:rsid w:val="003237C9"/>
    <w:rsid w:val="00325829"/>
    <w:rsid w:val="00334520"/>
    <w:rsid w:val="00334792"/>
    <w:rsid w:val="003363F0"/>
    <w:rsid w:val="00336A9A"/>
    <w:rsid w:val="00340803"/>
    <w:rsid w:val="0034128C"/>
    <w:rsid w:val="00362CBC"/>
    <w:rsid w:val="00377907"/>
    <w:rsid w:val="00381B26"/>
    <w:rsid w:val="00382478"/>
    <w:rsid w:val="00386F26"/>
    <w:rsid w:val="00387148"/>
    <w:rsid w:val="00387C94"/>
    <w:rsid w:val="003948B0"/>
    <w:rsid w:val="00395535"/>
    <w:rsid w:val="003B28D6"/>
    <w:rsid w:val="003C40CE"/>
    <w:rsid w:val="003C482F"/>
    <w:rsid w:val="003C5369"/>
    <w:rsid w:val="003D3BB9"/>
    <w:rsid w:val="003E1185"/>
    <w:rsid w:val="003F07D2"/>
    <w:rsid w:val="003F5A80"/>
    <w:rsid w:val="00400BB8"/>
    <w:rsid w:val="00406D0E"/>
    <w:rsid w:val="00411F5E"/>
    <w:rsid w:val="00413EEB"/>
    <w:rsid w:val="00415562"/>
    <w:rsid w:val="004174DD"/>
    <w:rsid w:val="00423FBA"/>
    <w:rsid w:val="00425716"/>
    <w:rsid w:val="00425E5D"/>
    <w:rsid w:val="0043544C"/>
    <w:rsid w:val="00442F6C"/>
    <w:rsid w:val="00451D00"/>
    <w:rsid w:val="00453027"/>
    <w:rsid w:val="004533A6"/>
    <w:rsid w:val="004535C9"/>
    <w:rsid w:val="004538A9"/>
    <w:rsid w:val="004602E8"/>
    <w:rsid w:val="00461A20"/>
    <w:rsid w:val="00463904"/>
    <w:rsid w:val="00464C42"/>
    <w:rsid w:val="004657C4"/>
    <w:rsid w:val="00476E9F"/>
    <w:rsid w:val="00481B20"/>
    <w:rsid w:val="00482834"/>
    <w:rsid w:val="00482CC1"/>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14DAA"/>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96D2E"/>
    <w:rsid w:val="005A1F81"/>
    <w:rsid w:val="005A4F69"/>
    <w:rsid w:val="005C14AA"/>
    <w:rsid w:val="005C643D"/>
    <w:rsid w:val="005D4A0D"/>
    <w:rsid w:val="005E7673"/>
    <w:rsid w:val="006035FA"/>
    <w:rsid w:val="006052AE"/>
    <w:rsid w:val="0061613E"/>
    <w:rsid w:val="0062129F"/>
    <w:rsid w:val="00622926"/>
    <w:rsid w:val="00622BCC"/>
    <w:rsid w:val="0062388D"/>
    <w:rsid w:val="006352D0"/>
    <w:rsid w:val="006419D1"/>
    <w:rsid w:val="0064558E"/>
    <w:rsid w:val="006538D6"/>
    <w:rsid w:val="00654B07"/>
    <w:rsid w:val="00674CB5"/>
    <w:rsid w:val="00680536"/>
    <w:rsid w:val="006902BB"/>
    <w:rsid w:val="0069432D"/>
    <w:rsid w:val="006A7DFF"/>
    <w:rsid w:val="006B0510"/>
    <w:rsid w:val="006B2D02"/>
    <w:rsid w:val="006B6E0F"/>
    <w:rsid w:val="006C65C4"/>
    <w:rsid w:val="006C6EBD"/>
    <w:rsid w:val="006C7730"/>
    <w:rsid w:val="006D18C1"/>
    <w:rsid w:val="006D5712"/>
    <w:rsid w:val="006D6149"/>
    <w:rsid w:val="006D782E"/>
    <w:rsid w:val="006E2F83"/>
    <w:rsid w:val="006E7FC3"/>
    <w:rsid w:val="006F411A"/>
    <w:rsid w:val="00704378"/>
    <w:rsid w:val="00707398"/>
    <w:rsid w:val="007169EC"/>
    <w:rsid w:val="00727B9E"/>
    <w:rsid w:val="00741058"/>
    <w:rsid w:val="00750AA6"/>
    <w:rsid w:val="00755AB4"/>
    <w:rsid w:val="007617C8"/>
    <w:rsid w:val="00761E7C"/>
    <w:rsid w:val="007636FC"/>
    <w:rsid w:val="00771D88"/>
    <w:rsid w:val="007816FC"/>
    <w:rsid w:val="00781D8B"/>
    <w:rsid w:val="007838C7"/>
    <w:rsid w:val="00791626"/>
    <w:rsid w:val="0079311F"/>
    <w:rsid w:val="007933FE"/>
    <w:rsid w:val="00796577"/>
    <w:rsid w:val="00796A75"/>
    <w:rsid w:val="0079701E"/>
    <w:rsid w:val="007A2AA8"/>
    <w:rsid w:val="007A5A78"/>
    <w:rsid w:val="007A62B7"/>
    <w:rsid w:val="007A65BF"/>
    <w:rsid w:val="007B6823"/>
    <w:rsid w:val="007C34CB"/>
    <w:rsid w:val="007C6242"/>
    <w:rsid w:val="007D5BA1"/>
    <w:rsid w:val="007E508F"/>
    <w:rsid w:val="007F02FB"/>
    <w:rsid w:val="007F37D6"/>
    <w:rsid w:val="007F422E"/>
    <w:rsid w:val="0080186A"/>
    <w:rsid w:val="00802718"/>
    <w:rsid w:val="00802990"/>
    <w:rsid w:val="00802A96"/>
    <w:rsid w:val="008057D2"/>
    <w:rsid w:val="00810811"/>
    <w:rsid w:val="008157AA"/>
    <w:rsid w:val="00815993"/>
    <w:rsid w:val="0082272E"/>
    <w:rsid w:val="00852EC7"/>
    <w:rsid w:val="0085484D"/>
    <w:rsid w:val="00862178"/>
    <w:rsid w:val="00862DDA"/>
    <w:rsid w:val="00863A78"/>
    <w:rsid w:val="008717D8"/>
    <w:rsid w:val="00874EB7"/>
    <w:rsid w:val="008765A5"/>
    <w:rsid w:val="00882CAF"/>
    <w:rsid w:val="0088746C"/>
    <w:rsid w:val="0089087E"/>
    <w:rsid w:val="008940D8"/>
    <w:rsid w:val="008B23F8"/>
    <w:rsid w:val="008B4BA9"/>
    <w:rsid w:val="008B4CB2"/>
    <w:rsid w:val="008B7A0F"/>
    <w:rsid w:val="008C302B"/>
    <w:rsid w:val="008C3DC2"/>
    <w:rsid w:val="008C45DE"/>
    <w:rsid w:val="008D0F02"/>
    <w:rsid w:val="008E554D"/>
    <w:rsid w:val="008F3342"/>
    <w:rsid w:val="00900EAA"/>
    <w:rsid w:val="00902810"/>
    <w:rsid w:val="00902F9C"/>
    <w:rsid w:val="00906AC7"/>
    <w:rsid w:val="00907A29"/>
    <w:rsid w:val="00911A24"/>
    <w:rsid w:val="009206DD"/>
    <w:rsid w:val="009276FB"/>
    <w:rsid w:val="00927C16"/>
    <w:rsid w:val="00936811"/>
    <w:rsid w:val="00940F83"/>
    <w:rsid w:val="0094187E"/>
    <w:rsid w:val="00945575"/>
    <w:rsid w:val="0095288D"/>
    <w:rsid w:val="00954BA8"/>
    <w:rsid w:val="00955CDA"/>
    <w:rsid w:val="00965E3F"/>
    <w:rsid w:val="00965F50"/>
    <w:rsid w:val="00973763"/>
    <w:rsid w:val="0098193E"/>
    <w:rsid w:val="00987772"/>
    <w:rsid w:val="0099291C"/>
    <w:rsid w:val="009929B4"/>
    <w:rsid w:val="009A1281"/>
    <w:rsid w:val="009B6344"/>
    <w:rsid w:val="009B764B"/>
    <w:rsid w:val="009C19A6"/>
    <w:rsid w:val="009D7AA9"/>
    <w:rsid w:val="009E0FCB"/>
    <w:rsid w:val="009E2468"/>
    <w:rsid w:val="009E3624"/>
    <w:rsid w:val="009E4EBA"/>
    <w:rsid w:val="009F091C"/>
    <w:rsid w:val="009F2D64"/>
    <w:rsid w:val="009F409C"/>
    <w:rsid w:val="009F6F7B"/>
    <w:rsid w:val="00A03126"/>
    <w:rsid w:val="00A10485"/>
    <w:rsid w:val="00A13315"/>
    <w:rsid w:val="00A16E1C"/>
    <w:rsid w:val="00A175E3"/>
    <w:rsid w:val="00A27B34"/>
    <w:rsid w:val="00A37C4B"/>
    <w:rsid w:val="00A43778"/>
    <w:rsid w:val="00A44A8C"/>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77709"/>
    <w:rsid w:val="00A8066D"/>
    <w:rsid w:val="00A80B2E"/>
    <w:rsid w:val="00A819B4"/>
    <w:rsid w:val="00A83E44"/>
    <w:rsid w:val="00A91CAD"/>
    <w:rsid w:val="00A92D0F"/>
    <w:rsid w:val="00A95B23"/>
    <w:rsid w:val="00AA4AE4"/>
    <w:rsid w:val="00AA4E7D"/>
    <w:rsid w:val="00AA6020"/>
    <w:rsid w:val="00AA6636"/>
    <w:rsid w:val="00AC6628"/>
    <w:rsid w:val="00AD2E20"/>
    <w:rsid w:val="00AD3EFD"/>
    <w:rsid w:val="00AD559D"/>
    <w:rsid w:val="00AF35CC"/>
    <w:rsid w:val="00AF73DF"/>
    <w:rsid w:val="00B02CE0"/>
    <w:rsid w:val="00B17324"/>
    <w:rsid w:val="00B25EDF"/>
    <w:rsid w:val="00B3299C"/>
    <w:rsid w:val="00B35DC8"/>
    <w:rsid w:val="00B4389C"/>
    <w:rsid w:val="00B47B2C"/>
    <w:rsid w:val="00B56B54"/>
    <w:rsid w:val="00B70E6B"/>
    <w:rsid w:val="00B80A1A"/>
    <w:rsid w:val="00B86BF7"/>
    <w:rsid w:val="00B905EC"/>
    <w:rsid w:val="00B91F74"/>
    <w:rsid w:val="00B9472D"/>
    <w:rsid w:val="00BA6FF3"/>
    <w:rsid w:val="00BB2B6F"/>
    <w:rsid w:val="00BB2E21"/>
    <w:rsid w:val="00BB6938"/>
    <w:rsid w:val="00BC51D8"/>
    <w:rsid w:val="00BD360A"/>
    <w:rsid w:val="00BD5D62"/>
    <w:rsid w:val="00BD79A0"/>
    <w:rsid w:val="00BE144D"/>
    <w:rsid w:val="00BE17FD"/>
    <w:rsid w:val="00BE30EB"/>
    <w:rsid w:val="00BE6AEE"/>
    <w:rsid w:val="00C02E08"/>
    <w:rsid w:val="00C03879"/>
    <w:rsid w:val="00C10313"/>
    <w:rsid w:val="00C10C09"/>
    <w:rsid w:val="00C11C42"/>
    <w:rsid w:val="00C12FC9"/>
    <w:rsid w:val="00C152F9"/>
    <w:rsid w:val="00C1756D"/>
    <w:rsid w:val="00C21420"/>
    <w:rsid w:val="00C26170"/>
    <w:rsid w:val="00C4106E"/>
    <w:rsid w:val="00C420B8"/>
    <w:rsid w:val="00C50A65"/>
    <w:rsid w:val="00C549E7"/>
    <w:rsid w:val="00C6051D"/>
    <w:rsid w:val="00C64B62"/>
    <w:rsid w:val="00C67610"/>
    <w:rsid w:val="00C71E29"/>
    <w:rsid w:val="00C72516"/>
    <w:rsid w:val="00C7503D"/>
    <w:rsid w:val="00C93C98"/>
    <w:rsid w:val="00CA7439"/>
    <w:rsid w:val="00CB2E20"/>
    <w:rsid w:val="00CB41DC"/>
    <w:rsid w:val="00CC038E"/>
    <w:rsid w:val="00CC56D8"/>
    <w:rsid w:val="00CE2A67"/>
    <w:rsid w:val="00CE741E"/>
    <w:rsid w:val="00CF03A1"/>
    <w:rsid w:val="00CF57D6"/>
    <w:rsid w:val="00D26ADD"/>
    <w:rsid w:val="00D3367F"/>
    <w:rsid w:val="00D44083"/>
    <w:rsid w:val="00D57022"/>
    <w:rsid w:val="00D57A56"/>
    <w:rsid w:val="00D63088"/>
    <w:rsid w:val="00D67104"/>
    <w:rsid w:val="00D7265A"/>
    <w:rsid w:val="00D73826"/>
    <w:rsid w:val="00D775DE"/>
    <w:rsid w:val="00D90FE5"/>
    <w:rsid w:val="00D94113"/>
    <w:rsid w:val="00D96860"/>
    <w:rsid w:val="00DC0F22"/>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05E16"/>
    <w:rsid w:val="00E30D6B"/>
    <w:rsid w:val="00E30E14"/>
    <w:rsid w:val="00E36AA2"/>
    <w:rsid w:val="00E439CB"/>
    <w:rsid w:val="00E46E84"/>
    <w:rsid w:val="00E5640B"/>
    <w:rsid w:val="00E65AF8"/>
    <w:rsid w:val="00E73641"/>
    <w:rsid w:val="00E75F6E"/>
    <w:rsid w:val="00E77C4D"/>
    <w:rsid w:val="00E90C62"/>
    <w:rsid w:val="00E922F2"/>
    <w:rsid w:val="00E93AC4"/>
    <w:rsid w:val="00E97B1C"/>
    <w:rsid w:val="00EA4465"/>
    <w:rsid w:val="00EA4EF4"/>
    <w:rsid w:val="00EA5258"/>
    <w:rsid w:val="00EA7A08"/>
    <w:rsid w:val="00EA7D80"/>
    <w:rsid w:val="00EB323F"/>
    <w:rsid w:val="00EB5A85"/>
    <w:rsid w:val="00EB743A"/>
    <w:rsid w:val="00EC056F"/>
    <w:rsid w:val="00EC35D1"/>
    <w:rsid w:val="00EC4D8B"/>
    <w:rsid w:val="00ED2F7D"/>
    <w:rsid w:val="00ED5C24"/>
    <w:rsid w:val="00ED6B8A"/>
    <w:rsid w:val="00F01DBC"/>
    <w:rsid w:val="00F043E2"/>
    <w:rsid w:val="00F06CD1"/>
    <w:rsid w:val="00F06FB4"/>
    <w:rsid w:val="00F1027C"/>
    <w:rsid w:val="00F1612A"/>
    <w:rsid w:val="00F23791"/>
    <w:rsid w:val="00F3381A"/>
    <w:rsid w:val="00F34DAD"/>
    <w:rsid w:val="00F369EC"/>
    <w:rsid w:val="00F52E83"/>
    <w:rsid w:val="00F57CA2"/>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0B66"/>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ECEA99F"/>
  <w14:defaultImageDpi w14:val="0"/>
  <w15:docId w15:val="{14FD8510-6389-4591-AE03-40EE2FA22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8765A5"/>
    <w:rPr>
      <w:rFonts w:ascii="Cambria" w:hAnsi="Cambria" w:cs="Times New Roman"/>
      <w:b/>
      <w:kern w:val="32"/>
      <w:sz w:val="32"/>
      <w:lang w:val="x-none" w:eastAsia="en-GB"/>
    </w:rPr>
  </w:style>
  <w:style w:type="character" w:customStyle="1" w:styleId="Heading2Char">
    <w:name w:val="Heading 2 Char"/>
    <w:link w:val="Heading2"/>
    <w:uiPriority w:val="9"/>
    <w:locked/>
    <w:rsid w:val="008C45DE"/>
    <w:rPr>
      <w:rFonts w:ascii="Cambria" w:hAnsi="Cambria" w:cs="Times New Roman"/>
      <w:b/>
      <w:i/>
      <w:sz w:val="28"/>
      <w:lang w:val="en-US" w:eastAsia="en-GB"/>
    </w:rPr>
  </w:style>
  <w:style w:type="character" w:customStyle="1" w:styleId="Heading3Char">
    <w:name w:val="Heading 3 Char"/>
    <w:link w:val="Heading3"/>
    <w:uiPriority w:val="9"/>
    <w:semiHidden/>
    <w:locked/>
    <w:rsid w:val="00DE1E48"/>
    <w:rPr>
      <w:rFonts w:ascii="Cambria" w:hAnsi="Cambria" w:cs="Times New Roman"/>
      <w:b/>
      <w:sz w:val="26"/>
      <w:lang w:val="x-none" w:eastAsia="en-GB"/>
    </w:rPr>
  </w:style>
  <w:style w:type="character" w:customStyle="1" w:styleId="Heading4Char">
    <w:name w:val="Heading 4 Char"/>
    <w:link w:val="Heading4"/>
    <w:uiPriority w:val="9"/>
    <w:semiHidden/>
    <w:locked/>
    <w:rPr>
      <w:rFonts w:ascii="Calibri" w:hAnsi="Calibri" w:cs="Times New Roman"/>
      <w:b/>
      <w:sz w:val="28"/>
      <w:lang w:val="x-none" w:eastAsia="en-GB"/>
    </w:rPr>
  </w:style>
  <w:style w:type="character" w:customStyle="1" w:styleId="Heading7Char">
    <w:name w:val="Heading 7 Char"/>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link w:val="FootnoteText"/>
    <w:uiPriority w:val="99"/>
    <w:locked/>
    <w:rsid w:val="00802718"/>
    <w:rPr>
      <w:rFonts w:cs="Times New Roman"/>
      <w:lang w:val="en-US" w:eastAsia="en-GB"/>
    </w:rPr>
  </w:style>
  <w:style w:type="character" w:styleId="FootnoteReference">
    <w:name w:val="footnote reference"/>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link w:val="Footer"/>
    <w:uiPriority w:val="99"/>
    <w:locked/>
    <w:rPr>
      <w:rFonts w:cs="Times New Roman"/>
      <w:sz w:val="20"/>
      <w:lang w:val="x-none" w:eastAsia="en-GB"/>
    </w:rPr>
  </w:style>
  <w:style w:type="character" w:styleId="PageNumber">
    <w:name w:val="page number"/>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link w:val="BodyTextIndent"/>
    <w:uiPriority w:val="99"/>
    <w:locked/>
    <w:rsid w:val="00D775DE"/>
    <w:rPr>
      <w:rFonts w:cs="Times New Roman"/>
      <w:sz w:val="24"/>
    </w:rPr>
  </w:style>
  <w:style w:type="character" w:styleId="Hyperlink">
    <w:name w:val="Hyperlink"/>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uiPriority w:val="99"/>
    <w:semiHidden/>
    <w:unhideWhenUsed/>
    <w:rsid w:val="00FF1D30"/>
    <w:rPr>
      <w:rFonts w:cs="Times New Roman"/>
      <w:color w:val="605E5C"/>
      <w:shd w:val="clear" w:color="auto" w:fill="E1DFDD"/>
    </w:rPr>
  </w:style>
  <w:style w:type="paragraph" w:styleId="NormalWeb">
    <w:name w:val="Normal (Web)"/>
    <w:basedOn w:val="Normal"/>
    <w:uiPriority w:val="99"/>
    <w:rsid w:val="00A7770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0244145">
      <w:marLeft w:val="0"/>
      <w:marRight w:val="0"/>
      <w:marTop w:val="0"/>
      <w:marBottom w:val="0"/>
      <w:divBdr>
        <w:top w:val="none" w:sz="0" w:space="0" w:color="auto"/>
        <w:left w:val="none" w:sz="0" w:space="0" w:color="auto"/>
        <w:bottom w:val="none" w:sz="0" w:space="0" w:color="auto"/>
        <w:right w:val="none" w:sz="0" w:space="0" w:color="auto"/>
      </w:divBdr>
    </w:div>
    <w:div w:id="45024414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oorrahmad@unimugo.ac.id"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reativecommons.org/licenses/by/4.0/"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doi.org/10.5758/ijls.2022.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6543CF-D7F3-4BED-BBD1-344B4EB78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14</Pages>
  <Words>19795</Words>
  <Characters>112835</Characters>
  <Application>Microsoft Office Word</Application>
  <DocSecurity>0</DocSecurity>
  <Lines>940</Lines>
  <Paragraphs>264</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132366</CharactersWithSpaces>
  <SharedDoc>false</SharedDoc>
  <HLinks>
    <vt:vector size="30" baseType="variant">
      <vt:variant>
        <vt:i4>5308424</vt:i4>
      </vt:variant>
      <vt:variant>
        <vt:i4>3</vt:i4>
      </vt:variant>
      <vt:variant>
        <vt:i4>0</vt:i4>
      </vt:variant>
      <vt:variant>
        <vt:i4>5</vt:i4>
      </vt:variant>
      <vt:variant>
        <vt:lpwstr>https://creativecommons.org/licenses/by/4.0/</vt:lpwstr>
      </vt:variant>
      <vt:variant>
        <vt:lpwstr/>
      </vt:variant>
      <vt:variant>
        <vt:i4>2424956</vt:i4>
      </vt:variant>
      <vt:variant>
        <vt:i4>0</vt:i4>
      </vt:variant>
      <vt:variant>
        <vt:i4>0</vt:i4>
      </vt:variant>
      <vt:variant>
        <vt:i4>5</vt:i4>
      </vt:variant>
      <vt:variant>
        <vt:lpwstr>https://doi.org/10.5758/ijls.2022.1</vt:lpwstr>
      </vt:variant>
      <vt:variant>
        <vt:lpwstr/>
      </vt:variant>
      <vt:variant>
        <vt:i4>7667820</vt:i4>
      </vt:variant>
      <vt:variant>
        <vt:i4>6</vt:i4>
      </vt:variant>
      <vt:variant>
        <vt:i4>0</vt:i4>
      </vt:variant>
      <vt:variant>
        <vt:i4>5</vt:i4>
      </vt:variant>
      <vt:variant>
        <vt:lpwstr>https://najahaofficial.id/najahajournal/index.php/IJLS/</vt:lpwstr>
      </vt:variant>
      <vt:variant>
        <vt:lpwstr/>
      </vt:variant>
      <vt:variant>
        <vt:i4>7667820</vt:i4>
      </vt:variant>
      <vt:variant>
        <vt:i4>3</vt:i4>
      </vt:variant>
      <vt:variant>
        <vt:i4>0</vt:i4>
      </vt:variant>
      <vt:variant>
        <vt:i4>5</vt:i4>
      </vt:variant>
      <vt:variant>
        <vt:lpwstr>https://najahaofficial.id/najahajournal/index.php/IJLS/</vt:lpwstr>
      </vt:variant>
      <vt:variant>
        <vt:lpwstr/>
      </vt:variant>
      <vt:variant>
        <vt:i4>7667820</vt:i4>
      </vt:variant>
      <vt:variant>
        <vt:i4>0</vt:i4>
      </vt:variant>
      <vt:variant>
        <vt:i4>0</vt:i4>
      </vt:variant>
      <vt:variant>
        <vt:i4>5</vt:i4>
      </vt:variant>
      <vt:variant>
        <vt:lpwstr>https://najahaofficial.id/najahajournal/index.php/IJLS/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deny</cp:lastModifiedBy>
  <cp:revision>8</cp:revision>
  <cp:lastPrinted>2008-11-01T04:52:00Z</cp:lastPrinted>
  <dcterms:created xsi:type="dcterms:W3CDTF">2025-02-01T09:33:00Z</dcterms:created>
  <dcterms:modified xsi:type="dcterms:W3CDTF">2025-02-07T06:17:00Z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7th edition</vt:lpwstr>
  </property>
  <property fmtid="{D5CDD505-2E9C-101B-9397-08002B2CF9AE}" pid="4" name="Mendeley Recent Style Id 1_1">
    <vt:lpwstr>http://www.zotero.org/styles/chicago-fullnote-bibliography</vt:lpwstr>
  </property>
  <property fmtid="{D5CDD505-2E9C-101B-9397-08002B2CF9AE}" pid="5" name="Mendeley Recent Style Name 1_1">
    <vt:lpwstr>Chicago Manual of Style 17th edition (full note)</vt:lpwstr>
  </property>
  <property fmtid="{D5CDD505-2E9C-101B-9397-08002B2CF9AE}" pid="6" name="Mendeley Recent Style Id 2_1">
    <vt:lpwstr>http://www.zotero.org/styles/harvard-cite-them-right</vt:lpwstr>
  </property>
  <property fmtid="{D5CDD505-2E9C-101B-9397-08002B2CF9AE}" pid="7" name="Mendeley Recent Style Name 2_1">
    <vt:lpwstr>Cite Them Right 12th edition - Harvard</vt:lpwstr>
  </property>
  <property fmtid="{D5CDD505-2E9C-101B-9397-08002B2CF9AE}" pid="8" name="Mendeley Recent Style Id 3_1">
    <vt:lpwstr>http://www.zotero.org/styles/associacao-brasileira-de-normas-tecnicas-instituto-meira-mattos</vt:lpwstr>
  </property>
  <property fmtid="{D5CDD505-2E9C-101B-9397-08002B2CF9AE}" pid="9" name="Mendeley Recent Style Name 3_1">
    <vt:lpwstr>Escola de Comando e Estado-Maior do Exército - Instituto Meira Mattos - ABNT (Português - Brasil)</vt:lpwstr>
  </property>
  <property fmtid="{D5CDD505-2E9C-101B-9397-08002B2CF9AE}" pid="10" name="Mendeley Recent Style Id 4_1">
    <vt:lpwstr>http://www.zotero.org/styles/ieee</vt:lpwstr>
  </property>
  <property fmtid="{D5CDD505-2E9C-101B-9397-08002B2CF9AE}" pid="11" name="Mendeley Recent Style Name 4_1">
    <vt:lpwstr>IEEE</vt:lpwstr>
  </property>
  <property fmtid="{D5CDD505-2E9C-101B-9397-08002B2CF9AE}" pid="12" name="Mendeley Recent Style Id 5_1">
    <vt:lpwstr>http://www.zotero.org/styles/modern-humanities-research-association-author-date</vt:lpwstr>
  </property>
  <property fmtid="{D5CDD505-2E9C-101B-9397-08002B2CF9AE}" pid="13" name="Mendeley Recent Style Name 5_1">
    <vt:lpwstr>Modern Humanities Research Association 3rd edition (author-date)</vt:lpwstr>
  </property>
  <property fmtid="{D5CDD505-2E9C-101B-9397-08002B2CF9AE}" pid="14" name="Mendeley Recent Style Id 6_1">
    <vt:lpwstr>http://www.zotero.org/styles/modern-language-association</vt:lpwstr>
  </property>
  <property fmtid="{D5CDD505-2E9C-101B-9397-08002B2CF9AE}" pid="15" name="Mendeley Recent Style Name 6_1">
    <vt:lpwstr>Modern Language Association 9th edition</vt:lpwstr>
  </property>
  <property fmtid="{D5CDD505-2E9C-101B-9397-08002B2CF9AE}" pid="16" name="Mendeley Recent Style Id 7_1">
    <vt:lpwstr>http://www.zotero.org/styles/nature</vt:lpwstr>
  </property>
  <property fmtid="{D5CDD505-2E9C-101B-9397-08002B2CF9AE}" pid="17" name="Mendeley Recent Style Name 7_1">
    <vt:lpwstr>Nature</vt:lpwstr>
  </property>
  <property fmtid="{D5CDD505-2E9C-101B-9397-08002B2CF9AE}" pid="18" name="Mendeley Recent Style Id 8_1">
    <vt:lpwstr>http://www.zotero.org/styles/oscola</vt:lpwstr>
  </property>
  <property fmtid="{D5CDD505-2E9C-101B-9397-08002B2CF9AE}" pid="19" name="Mendeley Recent Style Name 8_1">
    <vt:lpwstr>OSCOLA (Oxford University Standard for Citation of Legal Authorities)</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236bc882-35ca-333c-8cb4-62b828af3577</vt:lpwstr>
  </property>
  <property fmtid="{D5CDD505-2E9C-101B-9397-08002B2CF9AE}" pid="24" name="Mendeley Citation Style_1">
    <vt:lpwstr>http://www.zotero.org/styles/apa</vt:lpwstr>
  </property>
</Properties>
</file>