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3FBE7" w14:textId="77777777" w:rsidR="00554240" w:rsidRPr="00554240" w:rsidRDefault="00554240" w:rsidP="00554240">
      <w:pPr>
        <w:contextualSpacing/>
        <w:jc w:val="both"/>
        <w:rPr>
          <w:rFonts w:ascii="Calibri Light" w:hAnsi="Calibri Light" w:cs="Calibri Light"/>
          <w:b/>
          <w:sz w:val="28"/>
          <w:szCs w:val="28"/>
        </w:rPr>
      </w:pPr>
      <w:commentRangeStart w:id="0"/>
      <w:r w:rsidRPr="00554240">
        <w:rPr>
          <w:rFonts w:ascii="Calibri Light" w:hAnsi="Calibri Light" w:cs="Calibri Light"/>
          <w:b/>
          <w:sz w:val="28"/>
          <w:szCs w:val="28"/>
        </w:rPr>
        <w:t>How Does Child Violence Occur</w:t>
      </w:r>
      <w:commentRangeEnd w:id="0"/>
      <w:r w:rsidR="00525822">
        <w:rPr>
          <w:rStyle w:val="CommentReference"/>
        </w:rPr>
        <w:commentReference w:id="0"/>
      </w:r>
      <w:r w:rsidRPr="00554240">
        <w:rPr>
          <w:rFonts w:ascii="Calibri Light" w:hAnsi="Calibri Light" w:cs="Calibri Light"/>
          <w:b/>
          <w:sz w:val="28"/>
          <w:szCs w:val="28"/>
        </w:rPr>
        <w:t>?: A Study in Malang City, Indonesia</w:t>
      </w:r>
    </w:p>
    <w:p w14:paraId="623E3172" w14:textId="77777777" w:rsidR="00DE1E48" w:rsidRPr="00122F5F" w:rsidRDefault="00DE1E48" w:rsidP="008902B5">
      <w:pPr>
        <w:rPr>
          <w:rFonts w:ascii="Calibri Light" w:hAnsi="Calibri Light" w:cs="Calibri Light"/>
          <w:sz w:val="24"/>
          <w:szCs w:val="24"/>
        </w:rPr>
      </w:pPr>
    </w:p>
    <w:p w14:paraId="06FBC540" w14:textId="6A8F2398" w:rsidR="00BC5D00" w:rsidRDefault="00863A78" w:rsidP="00863A78">
      <w:pPr>
        <w:ind w:right="737"/>
        <w:rPr>
          <w:rFonts w:ascii="Calibri Light" w:hAnsi="Calibri Light" w:cs="Calibri Light"/>
          <w:color w:val="A6A6A6"/>
        </w:rPr>
      </w:pPr>
      <w:r w:rsidRPr="00863A78">
        <w:rPr>
          <w:rFonts w:ascii="Calibri Light" w:hAnsi="Calibri Light" w:cs="Calibri Light"/>
        </w:rPr>
        <w:t>Received: 202</w:t>
      </w:r>
      <w:r w:rsidR="00BC5D00">
        <w:rPr>
          <w:rFonts w:ascii="Calibri Light" w:hAnsi="Calibri Light" w:cs="Calibri Light"/>
        </w:rPr>
        <w:t>5</w:t>
      </w:r>
      <w:r w:rsidRPr="00863A78">
        <w:rPr>
          <w:rFonts w:ascii="Calibri Light" w:hAnsi="Calibri Light" w:cs="Calibri Light"/>
        </w:rPr>
        <w:t>-</w:t>
      </w:r>
      <w:r w:rsidR="00BC5D00">
        <w:rPr>
          <w:rFonts w:ascii="Calibri Light" w:hAnsi="Calibri Light" w:cs="Calibri Light"/>
        </w:rPr>
        <w:t>February</w:t>
      </w:r>
      <w:r w:rsidRPr="00863A78">
        <w:rPr>
          <w:rFonts w:ascii="Calibri Light" w:hAnsi="Calibri Light" w:cs="Calibri Light"/>
        </w:rPr>
        <w:t>-1</w:t>
      </w:r>
      <w:r w:rsidR="00BC5D00">
        <w:rPr>
          <w:rFonts w:ascii="Calibri Light" w:hAnsi="Calibri Light" w:cs="Calibri Light"/>
        </w:rPr>
        <w:t>7</w:t>
      </w:r>
    </w:p>
    <w:p w14:paraId="03CACBC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BC5D00">
        <w:rPr>
          <w:rFonts w:ascii="Calibri Light" w:hAnsi="Calibri Light" w:cs="Calibri Light"/>
        </w:rPr>
        <w:t>2025</w:t>
      </w:r>
    </w:p>
    <w:p w14:paraId="15F7FB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C5D00">
        <w:rPr>
          <w:rFonts w:ascii="Calibri Light" w:hAnsi="Calibri Light" w:cs="Calibri Light"/>
        </w:rPr>
        <w:t>5</w:t>
      </w:r>
    </w:p>
    <w:p w14:paraId="65834933" w14:textId="77777777" w:rsidR="00863A78" w:rsidRPr="00863A78" w:rsidRDefault="00863A78" w:rsidP="00863A78">
      <w:pPr>
        <w:ind w:right="737"/>
        <w:rPr>
          <w:rFonts w:ascii="Calibri Light" w:hAnsi="Calibri Light" w:cs="Calibri Light"/>
          <w:b/>
          <w:bCs/>
        </w:rPr>
      </w:pPr>
    </w:p>
    <w:p w14:paraId="789C1B0A" w14:textId="27DD3FFB" w:rsidR="00863A78" w:rsidRPr="00863A78" w:rsidRDefault="00886CC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07C442" wp14:editId="503F4F97">
            <wp:extent cx="260985"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85"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7C655F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8EC6FA1" w14:textId="77777777" w:rsidTr="00540F02">
        <w:tc>
          <w:tcPr>
            <w:tcW w:w="9004" w:type="dxa"/>
            <w:tcBorders>
              <w:left w:val="nil"/>
              <w:right w:val="nil"/>
            </w:tcBorders>
          </w:tcPr>
          <w:p w14:paraId="2EDC4D48" w14:textId="77777777" w:rsidR="00863A78" w:rsidRPr="00540F02" w:rsidRDefault="00863A78" w:rsidP="00540F02">
            <w:pPr>
              <w:ind w:right="2"/>
              <w:jc w:val="both"/>
              <w:rPr>
                <w:rFonts w:ascii="Calibri Light" w:hAnsi="Calibri Light" w:cs="Calibri Light"/>
                <w:sz w:val="12"/>
                <w:szCs w:val="12"/>
              </w:rPr>
            </w:pPr>
          </w:p>
          <w:p w14:paraId="548D7C4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52E48CD3" w14:textId="77777777" w:rsidR="00863A78" w:rsidRPr="00540F02" w:rsidRDefault="00863A78" w:rsidP="00540F02">
            <w:pPr>
              <w:ind w:right="2"/>
              <w:jc w:val="both"/>
              <w:rPr>
                <w:rFonts w:ascii="Calibri Light" w:hAnsi="Calibri Light" w:cs="Calibri Light"/>
                <w:color w:val="0462C1"/>
                <w:u w:val="single" w:color="0462C1"/>
              </w:rPr>
            </w:pPr>
          </w:p>
          <w:p w14:paraId="24FB51DF"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8809BF8" w14:textId="77777777" w:rsidR="00863A78" w:rsidRPr="00540F02" w:rsidRDefault="00863A78" w:rsidP="00540F02">
            <w:pPr>
              <w:ind w:right="2"/>
              <w:jc w:val="both"/>
              <w:rPr>
                <w:rFonts w:ascii="Calibri Light" w:hAnsi="Calibri Light" w:cs="Calibri Light"/>
                <w:b/>
                <w:bCs/>
                <w:sz w:val="12"/>
                <w:szCs w:val="12"/>
              </w:rPr>
            </w:pPr>
          </w:p>
        </w:tc>
      </w:tr>
    </w:tbl>
    <w:p w14:paraId="01835AF8" w14:textId="77777777" w:rsidR="00863A78" w:rsidRDefault="00863A78" w:rsidP="00863A78">
      <w:pPr>
        <w:ind w:right="737"/>
        <w:rPr>
          <w:rFonts w:ascii="Calibri Light" w:hAnsi="Calibri Light" w:cs="Calibri Light"/>
          <w:b/>
          <w:bCs/>
          <w:sz w:val="24"/>
          <w:szCs w:val="24"/>
        </w:rPr>
      </w:pPr>
    </w:p>
    <w:p w14:paraId="274589A7" w14:textId="77777777" w:rsidR="00554240" w:rsidRPr="00554240" w:rsidRDefault="00A27B34" w:rsidP="00554240">
      <w:pPr>
        <w:contextualSpacing/>
        <w:jc w:val="both"/>
        <w:rPr>
          <w:rFonts w:ascii="Calibri Light"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54240" w:rsidRPr="00554240">
        <w:rPr>
          <w:rFonts w:ascii="Calibri Light" w:hAnsi="Calibri Light" w:cs="Calibri Light"/>
          <w:i/>
          <w:sz w:val="24"/>
          <w:szCs w:val="24"/>
        </w:rPr>
        <w:t xml:space="preserve">The phenomenon of child maltreatment, including physical, sexual, social violence, emotional abuse, or neglect towards children in Indonesia, tends to increase. Child victims of maltreatment will experience various psychosocial problems, requiring assistance and social welfare services. </w:t>
      </w:r>
      <w:commentRangeStart w:id="1"/>
      <w:r w:rsidR="00554240" w:rsidRPr="00554240">
        <w:rPr>
          <w:rFonts w:ascii="Calibri Light" w:hAnsi="Calibri Light" w:cs="Calibri Light"/>
          <w:i/>
          <w:sz w:val="24"/>
          <w:szCs w:val="24"/>
        </w:rPr>
        <w:t xml:space="preserve">This study aims to analyze the forms of social welfare service programs for child victims of maltreatment in Malang City. </w:t>
      </w:r>
      <w:commentRangeEnd w:id="1"/>
      <w:r w:rsidR="00525822">
        <w:rPr>
          <w:rStyle w:val="CommentReference"/>
        </w:rPr>
        <w:commentReference w:id="1"/>
      </w:r>
      <w:r w:rsidR="00554240" w:rsidRPr="00554240">
        <w:rPr>
          <w:rFonts w:ascii="Calibri Light" w:hAnsi="Calibri Light" w:cs="Calibri Light"/>
          <w:i/>
          <w:sz w:val="24"/>
          <w:szCs w:val="24"/>
        </w:rPr>
        <w:t xml:space="preserve">The research approach uses a qualitative method and is descriptive qualitative in nature. The research subjects were purposively determined, specifically employees of the Office of Women's Empowerment and Child Protection in Malang City. Data collection techniques were carried out through observation, interviews, and documentation. Data analysis techniques followed the stages of qualitative data processing, which include: Data Collection, Data Display, Data Condensation, and Conclusion and Verification. The results indicate that forms of violence against children include: physical violence, psychological violence, sexual abuse, maltreatment, and neglect or abandonment. </w:t>
      </w:r>
      <w:commentRangeStart w:id="2"/>
      <w:r w:rsidR="00554240" w:rsidRPr="00554240">
        <w:rPr>
          <w:rFonts w:ascii="Calibri Light" w:hAnsi="Calibri Light" w:cs="Calibri Light"/>
          <w:i/>
          <w:sz w:val="24"/>
          <w:szCs w:val="24"/>
        </w:rPr>
        <w:t>Meanwhile, the social welfare service programs for child victims of maltreatment include: social assistance, social support, and social protection</w:t>
      </w:r>
      <w:commentRangeEnd w:id="2"/>
      <w:r w:rsidR="00525822">
        <w:rPr>
          <w:rStyle w:val="CommentReference"/>
        </w:rPr>
        <w:commentReference w:id="2"/>
      </w:r>
      <w:r w:rsidR="00554240" w:rsidRPr="00554240">
        <w:rPr>
          <w:rFonts w:ascii="Calibri Light" w:hAnsi="Calibri Light" w:cs="Calibri Light"/>
          <w:i/>
          <w:sz w:val="24"/>
          <w:szCs w:val="24"/>
        </w:rPr>
        <w:t>.</w:t>
      </w:r>
    </w:p>
    <w:p w14:paraId="31BE8FEE" w14:textId="77777777" w:rsidR="00486707" w:rsidRPr="00122F5F" w:rsidRDefault="00486707" w:rsidP="001D7DEE">
      <w:pPr>
        <w:ind w:left="709" w:right="737"/>
        <w:jc w:val="both"/>
        <w:rPr>
          <w:rFonts w:ascii="Calibri Light" w:hAnsi="Calibri Light" w:cs="Calibri Light"/>
          <w:i/>
          <w:iCs/>
          <w:sz w:val="24"/>
          <w:szCs w:val="24"/>
          <w:lang w:val="id-ID"/>
        </w:rPr>
      </w:pPr>
    </w:p>
    <w:p w14:paraId="76A46EA5" w14:textId="77777777" w:rsidR="00DE1E48" w:rsidRPr="00554240"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54240" w:rsidRPr="00554240">
        <w:rPr>
          <w:i/>
          <w:sz w:val="24"/>
          <w:szCs w:val="24"/>
        </w:rPr>
        <w:t>Children, Violence, Actions, Malang City</w:t>
      </w:r>
      <w:r w:rsidR="00554240" w:rsidRPr="00554240">
        <w:rPr>
          <w:rStyle w:val="shorttext"/>
          <w:rFonts w:ascii="Calibri Light" w:hAnsi="Calibri Light" w:cs="Calibri Light"/>
          <w:i/>
          <w:iCs/>
          <w:sz w:val="24"/>
          <w:szCs w:val="24"/>
          <w:lang w:val="en"/>
        </w:rPr>
        <w:t xml:space="preserve"> </w:t>
      </w:r>
    </w:p>
    <w:p w14:paraId="39603BE7" w14:textId="77777777" w:rsidR="00F049A8" w:rsidRPr="00122F5F" w:rsidRDefault="00F049A8" w:rsidP="0095288D">
      <w:pPr>
        <w:rPr>
          <w:rFonts w:ascii="Calibri Light" w:hAnsi="Calibri Light" w:cs="Calibri Light"/>
          <w:b/>
          <w:bCs/>
          <w:sz w:val="24"/>
          <w:szCs w:val="24"/>
          <w:lang w:val="id-ID"/>
        </w:rPr>
      </w:pPr>
    </w:p>
    <w:p w14:paraId="3BE6CFFB" w14:textId="77777777" w:rsidR="00F049A8" w:rsidRPr="00F049A8" w:rsidRDefault="008C45DE" w:rsidP="00DA3338">
      <w:pPr>
        <w:numPr>
          <w:ilvl w:val="0"/>
          <w:numId w:val="15"/>
        </w:numPr>
        <w:spacing w:before="120" w:after="120"/>
        <w:ind w:left="426" w:hanging="426"/>
        <w:jc w:val="both"/>
        <w:rPr>
          <w:rFonts w:ascii="Calibri Light" w:hAnsi="Calibri Light" w:cs="Calibri Light"/>
          <w:sz w:val="24"/>
          <w:szCs w:val="24"/>
          <w:lang w:val="id-ID"/>
        </w:rPr>
      </w:pPr>
      <w:commentRangeStart w:id="3"/>
      <w:r w:rsidRPr="00F049A8">
        <w:rPr>
          <w:rFonts w:ascii="Calibri Light" w:hAnsi="Calibri Light" w:cs="Calibri Light"/>
          <w:b/>
          <w:sz w:val="24"/>
          <w:szCs w:val="24"/>
        </w:rPr>
        <w:t>INTRODUCTION</w:t>
      </w:r>
      <w:r w:rsidRPr="00F049A8">
        <w:rPr>
          <w:rFonts w:ascii="Calibri Light" w:hAnsi="Calibri Light" w:cs="Calibri Light"/>
          <w:b/>
          <w:sz w:val="24"/>
          <w:szCs w:val="24"/>
          <w:lang w:val="id-ID"/>
        </w:rPr>
        <w:t xml:space="preserve"> </w:t>
      </w:r>
      <w:commentRangeEnd w:id="3"/>
      <w:r w:rsidR="00010BD1">
        <w:rPr>
          <w:rStyle w:val="CommentReference"/>
        </w:rPr>
        <w:commentReference w:id="3"/>
      </w:r>
    </w:p>
    <w:p w14:paraId="20C5997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Cases of violence against children and women (child and women maltreatment) seem to frequently arise, with annual figures showing a generally increasing trend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{"citationItems":[{"id":"ITEM-1","itemData":{"DOI":"10.53378/352881","ISSN":"27829227","abstract":"This study analyzed the cases on the Violence against Women and their Children (VAWC) in the province of Laguna to determine the level of law awareness, reasons for unreported violence incidents and preferences on reporting VAWC cases. To assess the collected responses, descriptive statistics and Kruskal Wallis were utilized. Convenience sampling was used with 356 respondents, 34 of whom were witnesses to the abuse and 65 are the victims of abuse. Majority of witnesses to the abuse were women between 16 and 20 years old while the victims were between 16 and 30 years old. Emotional abuse is the most common type witnessed regardless of age, location, civil status, occupation, or educational attainment. While physical abuse is the most common type experienced by the victims, it is frequently perpetrated by their former husbands. Ironically, respondents were “Very Aware” of the VAWC law but the 70.5% of them do not report cases due to embarrassment, fear of being blamed, inability to make own decision, and fear of societal judgment. Majority of respondents believe a mobile application and website could help report the abuses.","author":[{"dropping-particle":"","family":"Balahadia","given":"Francis F.","non-dropping-particle":"","parse-names":false,"suffix":""},{"dropping-particle":"","family":"Astoveza","given":"Zerah Jane M.","non-dropping-particle":"","parse-names":false,"suffix":""},{"dropping-particle":"","family":"Jamolin","given":"Gelzen R.","non-dropping-particle":"","parse-names":false,"suffix":""}],"container-title":"International Review of Social Sciences Research","id":"ITEM-1","issue":"1","issued":{"date-parts":[["2022"]]},"title":"Violence against Women and their Children Incident Report: Data Exploration for VAWC Awareness","type":"article-journal","volume":"2"},"uris":["http://www.mendeley.com/documents/?uuid=9f82f731-1b3a-448c-88be-c3492f03cc31"]}],"mendeley":{"formattedCitation":"[1]","plainTextFormattedCitation":"[1]","previouslyFormattedCitation":"[1]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w:t>
      </w:r>
      <w:r w:rsidR="0075065E">
        <w:rPr>
          <w:rFonts w:ascii="Calibri Light" w:hAnsi="Calibri Light" w:cs="Calibri Light"/>
          <w:sz w:val="24"/>
          <w:szCs w:val="24"/>
        </w:rPr>
        <w:fldChar w:fldCharType="end"/>
      </w:r>
      <w:r w:rsidR="0075065E">
        <w:rPr>
          <w:rFonts w:ascii="Calibri Light" w:hAnsi="Calibri Light" w:cs="Calibri Light"/>
          <w:sz w:val="24"/>
          <w:szCs w:val="24"/>
        </w:rPr>
        <w:t xml:space="preserve"> (</w:t>
      </w:r>
      <w:r w:rsidR="005D2E92">
        <w:rPr>
          <w:rFonts w:ascii="Calibri Light" w:hAnsi="Calibri Light" w:cs="Calibri Light"/>
          <w:sz w:val="24"/>
          <w:szCs w:val="24"/>
        </w:rPr>
        <w:fldChar w:fldCharType="begin" w:fldLock="1"/>
      </w:r>
      <w:r w:rsidR="005D2E92">
        <w:rPr>
          <w:rFonts w:ascii="Calibri Light" w:hAnsi="Calibri Light" w:cs="Calibri Light"/>
          <w:sz w:val="24"/>
          <w:szCs w:val="24"/>
        </w:rPr>
        <w:instrText>ADDIN CSL_CITATION {"citationItems":[{"id":"ITEM-1","itemData":{"abstract":"The indications for laparoscopic treatment of incisional hernia located near the abdominal borders and para-stomal hernias have been investigated according to a specific research building covering the last 4 years from former consensus conference. We worked on these different search engines: PUBMED central, EMBASE and Cochrane. Further autonomous investigation of literature over the last year was also carried out. 77 articles were examined with the given research building extending it up to year 2013. Out of these 33 were considered off topic and 16 refer to traditional \" open \" anterior surgical approaches. 6 more articles were not taken into account for the full text evaluation because not in English language. The remaining 22 articles were full text examined. 14 articles concerning this topic published before 1/1/2009 were also considered when poor proofs on surgical indications have been taken out in the last 4 years. RESULTS Incisional hernias located near the abdominal border are commonly indicated those kind of defect arising close to bony structures delimiting the abdominal wall. Among them we have both median (M1 and M5) and lateral defects (L1 and L4) according to EHS classification 1 . To date the research of literature found only an article approaching this specific topic with a retrospective evaluation of results of LR for the whole aforementioned sites 2 . The article confirmed that mesh fixation by tacks on the edge of defects is feasible especially in suprapubic site, whereas few intracorporeal stitches are required in subxiphoidal space and transparietal stitches are sometimes necessary in subcostal regions to obtain good postoperative course and recurrence rate (LEVEL 4, GoR C). More frequently the authors take into account the single types of hernia or postoperative results are analyzed together with those derived from LR of more common incisional hernias out of large series. Former experience of consensus conference failed to find significant influences on PO course according to the site of hernia and no contraindication was found for the LR among surgical groups with greater experience at least 3 . Lumbar incisional hernias. Previous surgery usually produces a large defect that occupies most of the lumbar region with disruption of normal anatomy 4 . Authors seem to consider laparoscopic surgery as the best approach to locate precisely and evaluate the characteristics of the defect and its contents 5 (LEVEL 3a, GoR B). Patients usual…","author":[{"dropping-particle":"","family":"Chiara Massullo, Elena De Rossi, Giuseppe Alessio Carbone, Claudio Imperatori, Rita B. Ardito, Mauro Adenzato","given":"and Benedetto Farina","non-dropping-particle":"","parse-names":false,"suffix":""}],"container-title":"Clinical Neuropsychiatry","id":"ITEM-1","issue":"2","issued":{"date-parts":[["2023"]]},"page":"72-99","title":"CHILD MALTREATMENT, ABUSE, AND NEGLECT: AN UMBRELLA REVIEW OF THEIR PREVALENCE AND DEFINITIONS Chiara","type":"article-journal","volume":"20"},"uris":["http://www.mendeley.com/documents/?uuid=651e8cef-760a-4b01-927c-85cad5392584"]}],"mendeley":{"formattedCitation":"[2]","plainTextFormattedCitation":"[2]","previouslyFormattedCitation":"[2]"},"properties":{"noteIndex":0},"schema":"https://github.com/citation-style-language/schema/raw/master/csl-citation.json"}</w:instrText>
      </w:r>
      <w:r w:rsidR="005D2E92">
        <w:rPr>
          <w:rFonts w:ascii="Calibri Light" w:hAnsi="Calibri Light" w:cs="Calibri Light"/>
          <w:sz w:val="24"/>
          <w:szCs w:val="24"/>
        </w:rPr>
        <w:fldChar w:fldCharType="separate"/>
      </w:r>
      <w:r w:rsidR="0075065E" w:rsidRPr="0075065E">
        <w:rPr>
          <w:rFonts w:ascii="Calibri Light" w:hAnsi="Calibri Light" w:cs="Calibri Light"/>
          <w:noProof/>
          <w:sz w:val="24"/>
          <w:szCs w:val="24"/>
        </w:rPr>
        <w:t>[2]</w:t>
      </w:r>
      <w:r w:rsidR="005D2E92">
        <w:rPr>
          <w:rFonts w:ascii="Calibri Light" w:hAnsi="Calibri Light" w:cs="Calibri Light"/>
          <w:sz w:val="24"/>
          <w:szCs w:val="24"/>
        </w:rPr>
        <w:fldChar w:fldCharType="end"/>
      </w:r>
      <w:r w:rsidRPr="00D9141A">
        <w:rPr>
          <w:rFonts w:ascii="Calibri Light" w:hAnsi="Calibri Light" w:cs="Calibri Light"/>
          <w:sz w:val="24"/>
          <w:szCs w:val="24"/>
        </w:rPr>
        <w:t xml:space="preserve">. In recent decades, especially in Indonesia, both the quantity and quality of data on cases of violence against children have shown a tendency for growth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{"citationItems":[{"id":"ITEM-1","itemData":{"author":[{"dropping-particle":"","family":"Katayane","given":"Carlo Jean","non-dropping-particle":"","parse-names":false,"suffix":""},{"dropping-particle":"","family":"Alfaromona","given":"Juanrico","non-dropping-particle":"","parse-names":false,"suffix":""},{"dropping-particle":"","family":"Titahelu","given":"Sumarezs","non-dropping-particle":"","parse-names":false,"suffix":""}],"id":"ITEM-1","issue":"11","issued":{"date-parts":[["2023"]]},"page":"21-31","title":"Physical Violence Against Children During the Covid-19 Pandemic","type":"article-journal","volume":"3"},"uris":["http://www.mendeley.com/documents/?uuid=2418a620-9b56-4465-889f-cc67d738d1b8"]}],"mendeley":{"formattedCitation":"[3]","plainTextFormattedCitation":"[3]","previouslyFormattedCitation":"[3]"},"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[3]</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Indonesia, according to </w:t>
      </w:r>
      <w:proofErr w:type="spellStart"/>
      <w:r w:rsidRPr="00D9141A">
        <w:rPr>
          <w:rFonts w:ascii="Calibri Light" w:hAnsi="Calibri Light" w:cs="Calibri Light"/>
          <w:sz w:val="24"/>
          <w:szCs w:val="24"/>
        </w:rPr>
        <w:t>Rusyidi</w:t>
      </w:r>
      <w:proofErr w:type="spellEnd"/>
      <w:r w:rsidRPr="00D9141A">
        <w:rPr>
          <w:rFonts w:ascii="Calibri Light" w:hAnsi="Calibri Light" w:cs="Calibri Light"/>
          <w:sz w:val="24"/>
          <w:szCs w:val="24"/>
        </w:rPr>
        <w:t xml:space="preserve"> and Raharjo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{"citationItems":[{"id":"ITEM-1","itemData":{"abstract":"Artikel ini membahas kekerasan terhadap perempuan dan anak (KTPA) dan peran pekerja sosial dalam merespon permasalahan tersebut. Studi dokumentasi menggunakan berbagai sumber nasional dan internasional digunakan untuk menggambarkan dampak kekerasan KTPA, menggali peran pekerja sosial dalam serta menganalisa peran lembaga pendidikan pekerjaan sosial dalam mempersiapkan pekerja sosial yang kompeten dalam mencegah dan mengintervensi KTPA. Artikel ini menekankan bahwa pekerja sosial perlu memahami peran mereka dalam menanggulangi KTPA karena permasalahan KTPA banyak beririsan dengan berbagai permasalahan kesejahteraan sosial lainnya. Pekerja sosial di negara maju berperan penting dalam menangani permasalahan sebagai bagian terintegrasi dari sistem kesejahteraan masyarakatnya dan hal tersebut tidak terlepas dari dukungan sistem pendidikan untuk menghasilkan pekerja sosial yang kompeten. Sebaliknya, peran pekerja sosial di Indonesia dalam merespon KTPA masih relatif terbatas. Selain itu, lembaga pendidikan pekerjaan sosial belum memberikan perhatian yang memadai untuk merespon kebutuhan pekerja sosial dalam layanan KTPA. Artikel ini mencakup berbagai rekomendasi dibahas untuk meningkatkan peran lembaga pendidikan pekerjaan sosial di Indonesia dalam penanganan KTPA.","author":[{"dropping-particle":"","family":"Rusyidi, B.; Raharjo","given":"S.T.","non-dropping-particle":"","parse-names":false,"suffix":""}],"container-title":"Sosio Informa","id":"ITEM-1","issue":"1","issued":{"date-parts":[["2018"]]},"page":"375-387","title":"Peran pekerja sosial dalam penanganan kekerasan terhadap perempuan dan anak","type":"article-journal","volume":"4"},"uris":["http://www.mendeley.com/documents/?uuid=2daa1536-1fd9-4818-b62d-009da2422924"]}],"mendeley":{"formattedCitation":"[4]","plainTextFormattedCitation":"[4]","previouslyFormattedCitation":"[4]"},"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the phenomenon of violence against women and children is a common social problem faced by countries worldwide, regardless of their level of social, economic, political, and cultural advancement. Authentic documents regarding the magnitude of sexual violence against children are difficult to obtain. However, existing documents suggest that this phenomenon is akin to an iceberg, where the actual data of incidents indicates an even larger scale </w:t>
      </w:r>
      <w:r w:rsidR="007B49AF">
        <w:rPr>
          <w:rFonts w:ascii="Calibri Light" w:hAnsi="Calibri Light" w:cs="Calibri Light"/>
          <w:sz w:val="24"/>
          <w:szCs w:val="24"/>
        </w:rPr>
        <w:fldChar w:fldCharType="begin" w:fldLock="1"/>
      </w:r>
      <w:r w:rsidR="007B49AF">
        <w:rPr>
          <w:rFonts w:ascii="Calibri Light" w:hAnsi="Calibri Light" w:cs="Calibri Light"/>
          <w:sz w:val="24"/>
          <w:szCs w:val="24"/>
        </w:rPr>
        <w:instrText>ADDIN CSL_CITATION {"citationItems":[{"id":"ITEM-1","itemData":{"abstract":"Penelitian ini bertujuan mengidentifikasi dan menggambarkan secara objektif mengenai faktor penyebab, dampak terjadinya kekerasan seksual terhadap anak di ranah domestik dan upaya penanganan korban. Lokasi penelitian di Kota Surabaya, Provinsi Jawa Timur, ditentukan berdasarkan data dari Komite Nasional Perempuan dan Anak, yang mempunyai tingkat kekerasan terhadap anak cukup tinggi selain DKI Jakarta. Sumber data primer (informan) adalah korban, keluarga, tokoh masyarakat di lingkungan tempat tinggal korban, petugas Lembaga Kesejahteraan Sosial Anak (P2TP2A/PPT Jawa Timur, Genta, Savy Amira, Hotline Surabaya, LPA), aparat instansi terkait (Dinas Sosial Kota/ Provinsi, Unit Perlindungan Perempuan dan Anak /UPPA Polresta Surabaya, Badan Pemberdayaan Masyarakat dan Keluarga Berencana Kota/Provinsi). Teknik pengumpulan data terhadap informan menggunakan wawancara, observasi, dan studi dokumentasi. Teknik analisis data menggunakan pendekatan kualitatif dengan teknik deskriptif interpretatif. Hasil penelitian dapat disimpulkan bahwa pengungkapan kasus kekerasan seksual di ranah domestik termasuk kedalam kasus KDRT, tidak terinci secara lengkap sehingga tidak tercatat secara jelas identitas pelaku, korban, bentuk kekerasan seksual, hubungan pelaku dengan korban. Ketidakberpihakan masyarakat, penegak hukum dan stakeholder terhadap korban yang dianggap pemancing tindakan kekerasan seksual sehingga pelaku lepas dari jeratan hukum. Belum ada database terpadu sehingga masing-masing lembaga penanganan kekerasan seksual domestik mempunyai data tersendiri sehingga data rancu/tidak valid secara kuantitatif. Upaya penanganan kekerasan seksual domestik baik pencegahan maupun upaya represif (pemulihan kondisi mental, psikis dan sosial korban) perlu peningkatan koordinasi dengan pihak-pihak terkait terutama pihak pemerintah sebagai fungsi regulasi, koordinasi dan pembinaan serta dukungan kepada lembaga- lembaga penanganan kekerasan seksual. Perlunya dukungan dana APBD, APBN, dunia usaha, keterlibatan masyarakat dan keluarga sebagai mitra dalam penanganan tindakan kekerasan seksual.","author":[{"dropping-particle":"","family":"Mardiyati, A.; Udiati","given":"T.","non-dropping-particle":"","parse-names":false,"suffix":""}],"container-title":"Jurnal PKS Vol 17 No. 2 Juni 2018","id":"ITEM-1","issued":{"date-parts":[["2018"]]},"page":"101-114","title":"Fenomena Kekerasan Seksual terhadap Anak di Ranah Domestik dan Upaya Penanganan Korban","type":"article-journal"},"uris":["http://www.mendeley.com/documents/?uuid=42e2ca3e-0a66-4ee2-a570-1a458f20712f"]}],"mendeley":{"formattedCitation":"[5]","plainTextFormattedCitation":"[5]","previouslyFormattedCitation":"[5]"},"properties":{"noteIndex":0},"schema":"https://github.com/citation-style-language/schema/raw/master/csl-citation.json"}</w:instrText>
      </w:r>
      <w:r w:rsidR="007B49AF">
        <w:rPr>
          <w:rFonts w:ascii="Calibri Light" w:hAnsi="Calibri Light" w:cs="Calibri Light"/>
          <w:sz w:val="24"/>
          <w:szCs w:val="24"/>
        </w:rPr>
        <w:fldChar w:fldCharType="separate"/>
      </w:r>
      <w:r w:rsidR="005D2E92" w:rsidRPr="005D2E92">
        <w:rPr>
          <w:rFonts w:ascii="Calibri Light" w:hAnsi="Calibri Light" w:cs="Calibri Light"/>
          <w:noProof/>
          <w:sz w:val="24"/>
          <w:szCs w:val="24"/>
        </w:rPr>
        <w:t>[5]</w:t>
      </w:r>
      <w:r w:rsidR="007B49AF">
        <w:rPr>
          <w:rFonts w:ascii="Calibri Light" w:hAnsi="Calibri Light" w:cs="Calibri Light"/>
          <w:sz w:val="24"/>
          <w:szCs w:val="24"/>
        </w:rPr>
        <w:fldChar w:fldCharType="end"/>
      </w:r>
      <w:r w:rsidRPr="00D9141A">
        <w:rPr>
          <w:rFonts w:ascii="Calibri Light" w:hAnsi="Calibri Light" w:cs="Calibri Light"/>
          <w:sz w:val="24"/>
          <w:szCs w:val="24"/>
        </w:rPr>
        <w:t>.</w:t>
      </w:r>
    </w:p>
    <w:p w14:paraId="579D366E" w14:textId="77777777" w:rsidR="00FE321A" w:rsidRPr="00D9141A" w:rsidRDefault="00F049A8" w:rsidP="00FE321A">
      <w:pPr>
        <w:ind w:firstLine="567"/>
        <w:contextualSpacing/>
        <w:jc w:val="both"/>
        <w:rPr>
          <w:rFonts w:ascii="Calibri Light" w:hAnsi="Calibri Light" w:cs="Calibri Light"/>
          <w:sz w:val="24"/>
          <w:szCs w:val="24"/>
        </w:rPr>
      </w:pPr>
      <w:commentRangeStart w:id="4"/>
      <w:r w:rsidRPr="00D9141A">
        <w:rPr>
          <w:rFonts w:ascii="Calibri Light" w:hAnsi="Calibri Light" w:cs="Calibri Light"/>
          <w:sz w:val="24"/>
          <w:szCs w:val="24"/>
        </w:rPr>
        <w:lastRenderedPageBreak/>
        <w:t xml:space="preserve">Regularly, institutions that provide services and social protection for children report data </w:t>
      </w:r>
      <w:commentRangeEnd w:id="4"/>
      <w:r w:rsidR="0065058D">
        <w:rPr>
          <w:rStyle w:val="CommentReference"/>
        </w:rPr>
        <w:commentReference w:id="4"/>
      </w:r>
      <w:r w:rsidRPr="00D9141A">
        <w:rPr>
          <w:rFonts w:ascii="Calibri Light" w:hAnsi="Calibri Light" w:cs="Calibri Light"/>
          <w:sz w:val="24"/>
          <w:szCs w:val="24"/>
        </w:rPr>
        <w:t xml:space="preserve">on violence against children, which consistently shows an increase. However, the data and figures reported are limited to the cases that have been recorded at service centers such as hospitals, community health centers, police, and other child protection agencies. Meanwhile, the actual figures remain difficult to ascertain, considering that data on violence against children is like an iceberg. Generally, many incidents of violence against children are not publicized to the general population for various reasons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Referring to Law No. 35 of 2014 concerning child protection, it is emphasized that every child has the right to life, growth, and development, as well as the right to receive social protection from acts of violence and discrimination.</w:t>
      </w:r>
    </w:p>
    <w:p w14:paraId="453E0FC0"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the Indonesian Child Protection Commission (KPAI), in Indonesia in 2022, there were 4,683 reported cases related to child maltreatment. Out of these 4,683 cases, 1,275 (37.41%) were reported through the media, while 3,408 cases (62.59%) were reported directly. Among the cases reported directly, 68.78% (2,344 cases) were related to the Fulfillment of Children's Rights (PHA), whereas 31.22% (1,064 cases) pertained to Special Protection for Children (PKA) (</w:t>
      </w:r>
      <w:hyperlink r:id="rId15"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78EF00E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As for the data in 2023, up until September 2023, there were 1,800 reported cases of violence against children, which included 1,237 (68.72%) cases related to the Fulfillment of Children's Rights (PHA) and 563 (31.28%) cases related to Special Protection for Children (PKA). The forms of violence against children in the PHA cluster included: family environment and alternative care (58.7%); education, leisure time utilization, and cultural activities (7.9%); basic health and welfare (1.2%); and civil rights and freedoms (0.9%). In the PKA cluster, the forms of violence included: sexual crimes, physical and/or psychological violence, other special protections for children, children in conflict with the law, victims of pornography and cybercrime, victims of mistreatment and neglect, victims of economic and/or sexual exploitation, victims of stigmatization and labeling, child witnesses, victims of other crimes, kidnapping, sale and trafficking, victims of substance abuse, and children affected by deviant sexual behavior (</w:t>
      </w:r>
      <w:hyperlink r:id="rId16"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04029B0D"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Ministry of Women’s Empowerment and Child Protection (PPA) reported that the number of children who became victims of violence in Indonesia was 21,241 in 2022. East Java had the highest number of cases of violence against children throughout 2022, with 1,362 cases of violence against children and 968 cases of violence against women (https://dataindonesia.id; accessed November 1, 2023).</w:t>
      </w:r>
    </w:p>
    <w:p w14:paraId="7303026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increase in data on violence or abuse against children (child maltreatment), whether physical, emotional, or sexual, will affect the psychosocial status of children and their quality in the future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{"citationItems":[{"id":"ITEM-1","itemData":{"DOI":"10.52142/omujecm.41.1.32","ISSN":"13095129","abstract":"The phenomenon of 3Department violence, which of XXX, is asUniversity old as the history of XXX, ofXXX humanity, Training continues and Research to existHospital, as a universal City, problem. Country Different aspects of violence also manifest themselves in the family, and with the negative effects of physical, emotional, and sexual abuse against the child, it can leave permanent traces on the child throughout their life. However, the preventable nature of child abuse makes it one of the biggest responsibilities of societies, and especially of experts working in the field, to protect children from behaviors that seriously harm their physical and mental health. All of these findings reveal the need for an urgent research study on this subject. In this study, determining the factors that are effective in child maltreatment is an important step in making prevention studies more effective.","author":[{"dropping-particle":"","family":"Özbay","given":"Ahmet","non-dropping-particle":"","parse-names":false,"suffix":""},{"dropping-particle":"","family":"Aşağidağ","given":"Rabia","non-dropping-particle":"","parse-names":false,"suffix":""},{"dropping-particle":"","family":"Eker","given":"Engin","non-dropping-particle":"","parse-names":false,"suffix":""}],"container-title":"Journal of Experimental and Clinical Medicine (Turkey)","id":"ITEM-1","issue":"1","issued":{"date-parts":[["2024"]]},"page":"192-200","title":"The effects of the child physical abuse on the children's mental health","type":"article-journal","volume":"41"},"uris":["http://www.mendeley.com/documents/?uuid=5e9b77d1-44b7-4392-839d-ddcb37d5d155"]}],"mendeley":{"formattedCitation":"[7]","plainTextFormattedCitation":"[7]","previouslyFormattedCitation":"[7]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[7]</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addition to the real and potential risks to children's health, there are also risks to their psychological development. Children are at higher risk of experiencing injuries, sexual and reproductive health issues, unintended pregnancies, HIV risks, mental health problems, substance abuse, withdrawal from social interactions, and the onset of chronic diseases in adulthood, including a tendency to engage in social deviations and commit violence later in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{"citationItems":[{"id":"ITEM-1","itemData":{"abstract":"Survai kekerasan terhadap anak-anak ini bertujuan untuk memperkirakan prevalensi nasional kekerasan seksual, kekerasan fisik, dan kekerasan emosional terhadap anak laki-laki dan anak perempuan sebelum usia 18 tahun (seumur hidup dan baru-baru ini dalam 12 bulan terakhir sebelum penelitian) di Indonesia. Dengan menggunakan stratified four-stage random sampling, responden survai ini adalah perempuan dan laki-laki berusia antara 13 - 24 tahun. Studi ini menerapkan standar etika yang ketat, memastikan konsekuensi minimal yang tidak diinginkan bagi peserta, terutama anak-anak. Rujukan ke layanan ditawarkan kepada mereka yang membutuhkan bantuan. Hasil survai menunjukkan bahwa kekerasan tidak jarang terjadi dalam kehidupan anak-anak di Indonesia. Pelecehan anak umum terjadi dan mempengaruhi anak perempuan dan anak laki-laki termasuk pelecehan fisik, emosional dan seksual. Hal itu paling sering terjadi dalam konteks dimana anak tersebut diketahui dengan baik oleh pelaku. Pelaku kekerasan seksual terhadap anak-anak mungkin dekat dengan anak dan seringkali dalam posisi percaya dan berkuasa. Hasil prevalensi untuk mengembangkan Rencana Pembangunan Jangka Menengah (RPJMN) mulai tahun 2015 sampai 2019. Hasil survai ini akan mendorong studi lebih lanjut dan diskusi terkait kekerasan terhadap anak-anak","author":[{"dropping-particle":"","family":"Kurniasari","given":"Alit","non-dropping-particle":"","parse-names":false,"suffix":""},{"dropping-particle":"","family":"Widodo","given":"Nurdin","non-dropping-particle":"","parse-names":false,"suffix":""},{"dropping-particle":"","family":"Susantyo","given":"Badrun","non-dropping-particle":"","parse-names":false,"suffix":""},{"dropping-particle":"","family":"Wismayanti dan Irmayani","given":"Yanuar F","non-dropping-particle":"","parse-names":false,"suffix":""}],"container-title":"Direvisi: 25 Oktober","id":"ITEM-1","issued":{"date-parts":[["2017"]]},"title":"Prevalensi Kekerasan Terhadap Anak Laki-Laki Dan Anak Perempuan Di Indonesia Prevalence of Violence Against Boys and Girls in Indonesia","type":"article-journal"},"uris":["http://www.mendeley.com/documents/?uuid=20720fea-31a2-4f35-a081-28a592562d9a"]}],"mendeley":{"formattedCitation":"[8]","plainTextFormattedCitation":"[8]","previouslyFormattedCitation":"[8]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557F6070" w14:textId="77777777" w:rsidR="00F049A8"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Based on the results of a word cloud analysis using NVivo-12 on various literature, the issue of child maltreatment is a primary concern in studies or research related to children. Other related issues in child studies include: abuse, social disorder, trauma, neglect, health, </w:t>
      </w:r>
      <w:r w:rsidRPr="00D9141A">
        <w:rPr>
          <w:rFonts w:ascii="Calibri Light" w:hAnsi="Calibri Light" w:cs="Calibri Light"/>
          <w:sz w:val="24"/>
          <w:szCs w:val="24"/>
        </w:rPr>
        <w:lastRenderedPageBreak/>
        <w:t>violence, depression, mental health, emotional issues, and so on. This is illustrated in the following image:</w:t>
      </w:r>
    </w:p>
    <w:p w14:paraId="12A385D4" w14:textId="77777777" w:rsidR="00F049A8" w:rsidRPr="00D9141A" w:rsidRDefault="00F049A8" w:rsidP="00FE321A">
      <w:pPr>
        <w:ind w:left="360"/>
        <w:contextualSpacing/>
        <w:jc w:val="both"/>
        <w:rPr>
          <w:rFonts w:ascii="Calibri Light" w:hAnsi="Calibri Light" w:cs="Calibri Light"/>
          <w:sz w:val="24"/>
          <w:szCs w:val="24"/>
        </w:rPr>
      </w:pPr>
    </w:p>
    <w:p w14:paraId="2651C107" w14:textId="4148972B" w:rsidR="00F049A8" w:rsidRPr="00D9141A" w:rsidRDefault="00886CC1" w:rsidP="00FE321A">
      <w:pPr>
        <w:ind w:left="360"/>
        <w:contextualSpacing/>
        <w:rPr>
          <w:rFonts w:ascii="Calibri Light" w:hAnsi="Calibri Light" w:cs="Calibri Light"/>
          <w:sz w:val="24"/>
          <w:szCs w:val="24"/>
        </w:rPr>
      </w:pPr>
      <w:r w:rsidRPr="00D9141A">
        <w:rPr>
          <w:rFonts w:ascii="Calibri Light" w:hAnsi="Calibri Light" w:cs="Calibri Light"/>
          <w:noProof/>
          <w:sz w:val="24"/>
          <w:szCs w:val="24"/>
          <w:lang w:eastAsia="en-US"/>
        </w:rPr>
        <w:drawing>
          <wp:inline distT="0" distB="0" distL="0" distR="0" wp14:anchorId="6300F03E" wp14:editId="7222EF70">
            <wp:extent cx="4188460" cy="2032635"/>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88460" cy="2032635"/>
                    </a:xfrm>
                    <a:prstGeom prst="rect">
                      <a:avLst/>
                    </a:prstGeom>
                    <a:noFill/>
                    <a:ln>
                      <a:noFill/>
                    </a:ln>
                  </pic:spPr>
                </pic:pic>
              </a:graphicData>
            </a:graphic>
          </wp:inline>
        </w:drawing>
      </w:r>
    </w:p>
    <w:p w14:paraId="2966E710"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Figure 1: </w:t>
      </w:r>
      <w:proofErr w:type="spellStart"/>
      <w:r w:rsidRPr="00D9141A">
        <w:rPr>
          <w:rFonts w:ascii="Calibri Light" w:hAnsi="Calibri Light" w:cs="Calibri Light"/>
          <w:color w:val="1F1F1F"/>
          <w:sz w:val="24"/>
          <w:szCs w:val="24"/>
          <w:lang w:val="en"/>
        </w:rPr>
        <w:t>Wordcloud</w:t>
      </w:r>
      <w:proofErr w:type="spellEnd"/>
      <w:r w:rsidRPr="00D9141A">
        <w:rPr>
          <w:rFonts w:ascii="Calibri Light" w:hAnsi="Calibri Light" w:cs="Calibri Light"/>
          <w:color w:val="1F1F1F"/>
          <w:sz w:val="24"/>
          <w:szCs w:val="24"/>
          <w:lang w:val="en"/>
        </w:rPr>
        <w:t xml:space="preserve"> Analysis Results</w:t>
      </w:r>
    </w:p>
    <w:p w14:paraId="6BBB0928"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rPr>
      </w:pPr>
    </w:p>
    <w:p w14:paraId="015B342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According to Coelho et al.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{"citationItems":[{"id":"ITEM-1","itemData":{"DOI":"10.1111/acps.12217","ISSN":"0001690X","PMID":"24205846","abstract":"Objective: Childhood maltreatment (CM) has been associated with several diseases in adult life, including diabetes, obesity and mental disorders. Inflammatory conditions have been postulated as possible mediators of this relationship. The aim was to conduct a systematic review regarding the association between CM and inflammatory markers in adulthood. Method: A literature search of the PubMed, ISI, EMBASE and PsychINFO databases was conducted. The key terms used were as follows: 'Child Maltreatment', 'Childhood Trauma', 'Early Life Stress', 'Psychological Stress', 'Emotional Stress', 'Child Abuse' and 'Child Neglect'. They were cross-referenced separately with the terms: 'C-reactive Protein (CRP)', 'Tumor Necrosis Factor', 'Cytokine', 'Interleukin', 'Inflammatory' and 'Inflammation'. Results: Twenty articles remained in the review after exclusion criteria were applied. Studies showed that a history of CM was associated with increased levels of CRP, fibrinogen and proinflammatory cytokines. Increased levels of circulating CRP in individuals with a history of CM were the most robust finding among the studies. Data about anti-inflammatory mediators are still few and inconsistent. Conclusion: Childhood maltreatment is associated with a chronic inflammatory state independent of clinical comorbidities. However, studies are heterogeneous regarding CM assessment and definition. Important methodological improvements are needed to better understand the potential impact of CM on inflammatory response. © 2013 John Wiley &amp; Sons A/S.","author":[{"dropping-particle":"","family":"Coelho","given":"R.","non-dropping-particle":"","parse-names":false,"suffix":""},{"dropping-particle":"","family":"Viola","given":"T. W.","non-dropping-particle":"","parse-names":false,"suffix":""},{"dropping-particle":"","family":"Walss-Bass","given":"C.","non-dropping-particle":"","parse-names":false,"suffix":""},{"dropping-particle":"","family":"Brietzke","given":"E.","non-dropping-particle":"","parse-names":false,"suffix":""},{"dropping-particle":"","family":"Grassi-Oliveira","given":"R.","non-dropping-particle":"","parse-names":false,"suffix":""}],"container-title":"Acta Psychiatrica Scandinavica","id":"ITEM-1","issue":"3","issued":{"date-parts":[["2014"]]},"page":"180-192","title":"Childhood maltreatment and inflammatory markers: A systematic review","type":"article-journal","volume":"129"},"uris":["http://www.mendeley.com/documents/?uuid=29bf3301-395b-444b-b04a-f4f1eef2b647"]}],"mendeley":{"formattedCitation":"[9]","plainTextFormattedCitation":"[9]","previouslyFormattedCitation":"[9]"},"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[9]</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(child maltreatment) is defined as an act of neglect by parents, caregivers, or adults that poses dangerous risks to children's health and experiences, encompassing types of physical, sexual, psychological, emotional, and social violence. Butler and Roberts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{"citationItems":[{"id":"ITEM-1","itemData":{"author":[{"dropping-particle":"","family":"Butler, I.; Roberts","given":"G.","non-dropping-particle":"","parse-names":false,"suffix":""}],"id":"ITEM-1","issued":{"date-parts":[["2004"]]},"number-of-pages":"366","publisher":"Jessica Kingsley Publishers Ltd 116","publisher-place":"London","title":"Social Work with Children and Families: Getting Into Practice","type":"book"},"uris":["http://www.mendeley.com/documents/?uuid=f84a5328-e2b0-412a-b424-7ba6d173e967"]}],"mendeley":{"formattedCitation":"[10]","manualFormatting":"(Butler &amp; Roberts, 2004)","plainTextFormattedCitation":"[10]","previouslyFormattedCitation":"[10]"},"properties":{"noteIndex":0},"schema":"https://github.com/citation-style-language/schema/raw/master/csl-citation.json"}</w:instrText>
      </w:r>
      <w:r w:rsidR="0075065E">
        <w:rPr>
          <w:rFonts w:ascii="Calibri Light" w:hAnsi="Calibri Light" w:cs="Calibri Light"/>
          <w:sz w:val="24"/>
          <w:szCs w:val="24"/>
        </w:rPr>
        <w:fldChar w:fldCharType="separate"/>
      </w:r>
      <w:r w:rsidRPr="00D9141A">
        <w:rPr>
          <w:rFonts w:ascii="Calibri Light" w:hAnsi="Calibri Light" w:cs="Calibri Light"/>
          <w:noProof/>
          <w:sz w:val="24"/>
          <w:szCs w:val="24"/>
        </w:rPr>
        <w:t>(Butler &amp; Roberts, 2004)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 child abuse into the following types: physical abuse, sexual abuse, neglect, emotional abuse, deprivation, and exploitation.</w:t>
      </w:r>
    </w:p>
    <w:p w14:paraId="22EC6FF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Researchers and practitioners agree on four subtypes of childhood maltreatment (CM), namely: physical violence, emotional or psychological abuse, sexual abuse, and 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[11]</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Meanwhile, the World Health Organization (WHO) defines childhood maltreatment as abuse and neglect occurring to children under the age of 18. According to WHO, forms of childhood maltreatment include all types of physical, emotional, sexual abuse, neglect and negligence, and commercial exploitation, among others, that result in real harm or the potential for disruptions to health, survival, development, or dignity of the child in situations of responsibility, trust, or power relations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{"citationItems":[{"id":"ITEM-1","itemData":{"DOI":"10.1016/j.jad.2023.03.088","ISSN":"15732517","PMID":"37004905","abstract":"Background: Exposure to childhood maltreatment (CM) increases the risk of psychiatric morbidity in youths. The new Complex Post-Traumatic Stress Disorder (CPTSD) diagnosis captures the heterogeneity and complexity of clinical outcomes observed in youths exposed to CM. This study explores CPTSD symptomatology and its association with clinical outcomes, considering the impact of CM subtypes and age of exposure. Methods: Exposure to CM and clinical outcomes were evaluated in 187 youths aged 7–17 (116 with psychiatric disorder; 71 healthy controls) following the Tools for Assessing the Severity of Situations in which Children are Vulnerable (TASSCV) structured interview criteria. CPTSD symptomatology was explored by confirmatory factor analysis, considering four subdomains: post-traumatic stress symptoms, emotion dysregulation, negative self-concept and interpersonal problems. Results: Youths exposed to CM (with or without psychiatric disorders) showed greater internalizing, externalizing and other symptomatology, worse premorbid adjustment and poorer overall functioning. Youth with psychiatric disorder and exposed to CM reported more CPTSD symptomatology, psychiatric comorbidity and polypharmacy and earlier onset of cannabis use. Different subtypes of CM and the developmental stage of exposure differentially impact CPTSD subdomains. Limitations: Small percentage of resilient youths was studied. It was not possible to explore specific interactions between diagnostic categories and CM. Direct inference cannot be assumed. Conclusions: Gathering information on type and age of exposure to CM is clinically useful to understand the complexity of psychiatric symptoms observed in youths. Inclusion of the CPTSD diagnosis should increase the implementation of early specific interventions, improving youths' functioning and reducing the severity of clinical outcomes.","author":[{"dropping-particle":"","family":"Marques-Feixa","given":"Laia","non-dropping-particle":"","parse-names":false,"suffix":""},{"dropping-particle":"","family":"Moya-Higueras","given":"Jorge","non-dropping-particle":"","parse-names":false,"suffix":""},{"dropping-particle":"","family":"Romero","given":"Soledad","non-dropping-particle":"","parse-names":false,"suffix":""},{"dropping-particle":"","family":"Santamarina-Pérez","given":"Pilar","non-dropping-particle":"","parse-names":false,"suffix":""},{"dropping-particle":"","family":"San Martín-Gonzalez","given":"Nerea","non-dropping-particle":"","parse-names":false,"suffix":""},{"dropping-particle":"","family":"Mas","given":"Ariadna","non-dropping-particle":"","parse-names":false,"suffix":""},{"dropping-particle":"","family":"Rapado-Castro","given":"Marta","non-dropping-particle":"","parse-names":false,"suffix":""},{"dropping-particle":"","family":"Blasco-Fontecilla","given":"Hilario","non-dropping-particle":"","parse-names":false,"suffix":""},{"dropping-particle":"","family":"Zorrilla","given":"Iñaki","non-dropping-particle":"","parse-names":false,"suffix":""},{"dropping-particle":"","family":"Forner-Puntonet","given":"Mireia","non-dropping-particle":"","parse-names":false,"suffix":""},{"dropping-particle":"","family":"Anglada","given":"Eulalia","non-dropping-particle":"","parse-names":false,"suffix":""},{"dropping-particle":"","family":"Ramírez","given":"Maite","non-dropping-particle":"","parse-names":false,"suffix":""},{"dropping-particle":"","family":"Mayoral","given":"María","non-dropping-particle":"","parse-names":false,"suffix":""},{"dropping-particle":"","family":"Muñoz","given":"María José","non-dropping-particle":"","parse-names":false,"suffix":""},{"dropping-particle":"","family":"Fañanás","given":"Lourdes","non-dropping-particle":"","parse-names":false,"suffix":""},{"dropping-particle":"","family":"Palma-Gudiel","given":"Helena","non-dropping-particle":"","parse-names":false,"suffix":""},{"dropping-particle":"","family":"Castro-Quintas","given":"Águeda","non-dropping-particle":"","parse-names":false,"suffix":""},{"dropping-particle":"","family":"Monteserín","given":"José Luís","non-dropping-particle":"","parse-names":false,"suffix":""},{"dropping-particle":"","family":"Marín-Vila","given":"María","non-dropping-particle":"","parse-names":false,"suffix":""},{"dropping-particle":"","family":"Lobato","given":"María José","non-dropping-particle":"","parse-names":false,"suffix":""},{"dropping-particle":"","family":"Martín","given":"María","non-dropping-particle":"","parse-names":false,"suffix":""},{"dropping-particle":"","family":"Méndez","given":"Iria","non-dropping-particle":"","parse-names":false,"suffix":""},{"dropping-particle":"","family":"Gadea","given":"Silvia","non-dropping-particle":"","parse-names":false,"suffix":""},{"dropping-particle":"","family":"Vidal","given":"Jorge","non-dropping-particle":"","parse-names":false,"suffix":""},{"dropping-particle":"","family":"Guillen","given":"Hugo","non-dropping-particle":"","parse-names":false,"suffix":""},{"dropping-particle":"","family":"Piazza","given":"Flavia","non-dropping-particle":"","parse-names":false,"suffix":""},{"dropping-particle":"","family":"Fàbregas","given":"Anna","non-dropping-particle":"","parse-names":false,"suffix":""},{"dropping-particle":"","family":"Rios","given":"Giulana","non-dropping-particle":"","parse-names":false,"suffix":""}],"container-title":"Journal of Affective Disorders","id":"ITEM-1","issue":"July 2022","issued":{"date-parts":[["2023"]]},"page":"92-104","title":"Complex post-traumatic stress disorder (CPTSD) of ICD-11 in youths with childhood maltreatment: Associations with age of exposure and clinical outcomes","type":"article-journal","volume":"332"},"uris":["http://www.mendeley.com/documents/?uuid=865a4d43-337c-431a-bca2-fa2ff28e367d"]}],"mendeley":{"formattedCitation":"[12]","plainTextFormattedCitation":"[12]","previouslyFormattedCitation":"[12]"},"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[12]</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638F5E18" w14:textId="77777777" w:rsidR="00A6232D" w:rsidRDefault="00F049A8" w:rsidP="00FE321A">
      <w:pPr>
        <w:ind w:firstLine="567"/>
        <w:contextualSpacing/>
        <w:jc w:val="both"/>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Child maltreatment refers to actions or behaviors that harm a child's physical, emotional, or developmental well-being </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{"citationItems":[{"id":"ITEM-1","itemData":{"DOI":"10.1016/j.avb.2020.101408","ISSN":"18736335","abstract":"Due to the increase in annual cases, child maltreatment has become a significant focus in research. There are four types of childhood abuse that have been identified and discussed throughout this review: sexual abuse, physical abuse, emotional abuse, and neglect. In order for psychologists and other related professionals to recognize the contributions maltreatment has on psychiatric disorders, it is necessary to identify and understand the complex sequela of childhood abuse and neglect that may appear throughout the victim's lifespan. This paper reviewed current research on child maltreatment and its relationship to neurological impairments and neuropsychological effects. Additionally, a comparison between typical and impaired neurological morphology emphasized alterations in volumetric structures and stress response functions occurring in the HPA axis, amygdala, hippocampus, and corpus callosum. Recent studies have discovered that changes to the preceding neurological structures can significantly impact different neuropsychological domains including working memory, processing speed, language, visual-spatial abilities, and motor skills.","author":[{"dropping-particle":"","family":"Cabrera","given":"Carla","non-dropping-particle":"","parse-names":false,"suffix":""},{"dropping-particle":"","family":"Torres","given":"Hernan","non-dropping-particle":"","parse-names":false,"suffix":""},{"dropping-particle":"","family":"Harcourt","given":"Scott","non-dropping-particle":"","parse-names":false,"suffix":""}],"container-title":"Aggression and Violent Behavior","id":"ITEM-1","issue":"March 2019","issued":{"date-parts":[["2020"]]},"title":"The neurological and neuropsychological effects of child maltreatment","type":"article-journal","volume":"54"},"uris":["http://www.mendeley.com/documents/?uuid=593d0d4b-dde4-4459-9701-0d1c41447cc0"]}],"mendeley":{"formattedCitation":"[13]","plainTextFormattedCitation":"[13]","previouslyFormattedCitation":"[13]"},"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[13]</w:t>
      </w:r>
      <w:r w:rsidR="00A6232D">
        <w:rPr>
          <w:rFonts w:ascii="Calibri Light" w:hAnsi="Calibri Light" w:cs="Calibri Light"/>
          <w:color w:val="1F1F1F"/>
          <w:sz w:val="24"/>
          <w:szCs w:val="24"/>
          <w:lang w:val="en"/>
        </w:rPr>
        <w:fldChar w:fldCharType="end"/>
      </w:r>
      <w:r w:rsidR="00820B3D">
        <w:rPr>
          <w:rFonts w:ascii="Calibri Light" w:hAnsi="Calibri Light" w:cs="Calibri Light"/>
          <w:color w:val="1F1F1F"/>
          <w:sz w:val="24"/>
          <w:szCs w:val="24"/>
          <w:lang w:val="en"/>
        </w:rPr>
        <w:t>,</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[14]</w:t>
      </w:r>
      <w:r w:rsidR="00A6232D">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This includes various forms of abuse, such as physical, emotional, sexual, as well as neglect. Physical abuse involves injury or threats to a child's physical well-being, while emotional abuse can involve humiliation, rejection, or neglect of emotional needs. Sexual abuse includes the exploitation or coercion of a child in sexual activity, while neglect means the failure to meet a child's basic needs, such as food, shelter, and education. Child maltreatment can have serious long-term impacts on children's mental and physical health, as well as their social development. Therefore, recognition, prevention, and appropriate treatment are essential to protect children from these detrimental experiences </w:t>
      </w:r>
      <w:r w:rsidR="0075065E">
        <w:rPr>
          <w:rFonts w:ascii="Calibri Light" w:hAnsi="Calibri Light" w:cs="Calibri Light"/>
          <w:color w:val="1F1F1F"/>
          <w:sz w:val="24"/>
          <w:szCs w:val="24"/>
          <w:lang w:val="en"/>
        </w:rPr>
        <w:fldChar w:fldCharType="begin" w:fldLock="1"/>
      </w:r>
      <w:r w:rsidR="0075065E">
        <w:rPr>
          <w:rFonts w:ascii="Calibri Light" w:hAnsi="Calibri Light" w:cs="Calibri Light"/>
          <w:color w:val="1F1F1F"/>
          <w:sz w:val="24"/>
          <w:szCs w:val="24"/>
          <w:lang w:val="en"/>
        </w:rPr>
        <w:instrText>ADDIN CSL_CITATION {"citationItems":[{"id":"ITEM-1","itemData":{"DOI":"10.1192/bja.2021.10","ISSN":"2056-4678","abstract":"This article gives a general overview of the current situation in relation to a range of widely recognised and also newly identified types of child maltreatment. The academic and clinical evidence relating to the impact of child maltreatment on the mental and physical health of child victims is substantial and steadily increasing in volume. New types of abuse are being identified, and changing environmental circumstances, which exacerbate the possibility of widely recognised types of child maltreatment occurring, are also being described. These include multi-type maltreatment, female genital mutilation and online child maltreatment. Serious questions may arise regarding neglect of the moral and social development of children and young people who become addicted to online gaming and pornography. Multiple national and local definitions of each of these existing and new forms of maltreatment have been created, some of which are covered here. The impact of these abuses on the physical and mental health and development of child victims in families or settings where abuse or neglect has occurred is discussed.","author":[{"dropping-particle":"","family":"Vizard","given":"Eileen","non-dropping-particle":"","parse-names":false,"suffix":""},{"dropping-particle":"","family":"Gray","given":"Jenny","non-dropping-particle":"","parse-names":false,"suffix":""},{"dropping-particle":"","family":"Bentovim","given":"Arnon","non-dropping-particle":"","parse-names":false,"suffix":""}],"container-title":"BJPsych Advances","id":"ITEM-1","issue":"1","issued":{"date-parts":[["2022"]]},"page":"60-70","title":"The impact of child maltreatment on the mental and physical health of child victims: a review of the evidence","type":"article-journal","volume":"28"},"uris":["http://www.mendeley.com/documents/?uuid=448eb27a-2eb1-4573-9d00-a0e90c9c5f5f"]}],"mendeley":{"formattedCitation":"[15]","plainTextFormattedCitation":"[15]","previouslyFormattedCitation":"[15]"},"properties":{"noteIndex":0},"schema":"https://github.com/citation-style-language/schema/raw/master/csl-citation.json"}</w:instrText>
      </w:r>
      <w:r w:rsidR="0075065E">
        <w:rPr>
          <w:rFonts w:ascii="Calibri Light" w:hAnsi="Calibri Light" w:cs="Calibri Light"/>
          <w:color w:val="1F1F1F"/>
          <w:sz w:val="24"/>
          <w:szCs w:val="24"/>
          <w:lang w:val="en"/>
        </w:rPr>
        <w:fldChar w:fldCharType="separate"/>
      </w:r>
      <w:r w:rsidR="0075065E" w:rsidRPr="0075065E">
        <w:rPr>
          <w:rFonts w:ascii="Calibri Light" w:hAnsi="Calibri Light" w:cs="Calibri Light"/>
          <w:noProof/>
          <w:color w:val="1F1F1F"/>
          <w:sz w:val="24"/>
          <w:szCs w:val="24"/>
          <w:lang w:val="en"/>
        </w:rPr>
        <w:t>[15]</w:t>
      </w:r>
      <w:r w:rsidR="0075065E">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p>
    <w:p w14:paraId="0E19B97E"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In li</w:t>
      </w:r>
      <w:r w:rsidR="00A6232D">
        <w:rPr>
          <w:rFonts w:ascii="Calibri Light" w:hAnsi="Calibri Light" w:cs="Calibri Light"/>
          <w:sz w:val="24"/>
          <w:szCs w:val="24"/>
        </w:rPr>
        <w:t xml:space="preserve">ne with </w:t>
      </w:r>
      <w:proofErr w:type="spellStart"/>
      <w:r w:rsidR="00A6232D">
        <w:rPr>
          <w:rFonts w:ascii="Calibri Light" w:hAnsi="Calibri Light" w:cs="Calibri Light"/>
          <w:sz w:val="24"/>
          <w:szCs w:val="24"/>
        </w:rPr>
        <w:t>Laajasalo's</w:t>
      </w:r>
      <w:proofErr w:type="spellEnd"/>
      <w:r w:rsidR="00A6232D">
        <w:rPr>
          <w:rFonts w:ascii="Calibri Light" w:hAnsi="Calibri Light" w:cs="Calibri Light"/>
          <w:sz w:val="24"/>
          <w:szCs w:val="24"/>
        </w:rPr>
        <w:t xml:space="preserve"> perspective</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A6232D">
        <w:rPr>
          <w:rFonts w:ascii="Calibri Light" w:hAnsi="Calibri Light" w:cs="Calibri Light"/>
          <w:sz w:val="24"/>
          <w:szCs w:val="24"/>
        </w:rPr>
        <w:fldChar w:fldCharType="separate"/>
      </w:r>
      <w:r w:rsidR="009676E2" w:rsidRPr="009676E2">
        <w:rPr>
          <w:rFonts w:ascii="Calibri Light" w:hAnsi="Calibri Light" w:cs="Calibri Light"/>
          <w:noProof/>
          <w:sz w:val="24"/>
          <w:szCs w:val="24"/>
        </w:rPr>
        <w:t>[11]</w:t>
      </w:r>
      <w:r w:rsidR="00A6232D">
        <w:rPr>
          <w:rFonts w:ascii="Calibri Light" w:hAnsi="Calibri Light" w:cs="Calibri Light"/>
          <w:sz w:val="24"/>
          <w:szCs w:val="24"/>
        </w:rPr>
        <w:fldChar w:fldCharType="end"/>
      </w:r>
      <w:r w:rsidRPr="00D9141A">
        <w:rPr>
          <w:rFonts w:ascii="Calibri Light" w:hAnsi="Calibri Light" w:cs="Calibri Light"/>
          <w:sz w:val="24"/>
          <w:szCs w:val="24"/>
        </w:rPr>
        <w:t>, Fares-Otero et al.</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{"citationItems":[{"id":"ITEM-1","itemData":{"author":[{"dropping-particle":"","family":"Fares-Otero, NA.; De Prosco, M.; Oliva, V.; Radua, J.; Halligan, SL.; Vieta, E.; Martinez-Aran","given":"A.","non-dropping-particle":"","parse-names":false,"suffix":""}],"id":"ITEM-1","issued":{"date-parts":[["2023"]]},"page":"23","publisher":"Wiley","title":"Association between childhood maltreatment and social functioning in individuals with affective disorders: A systematic review and meta-analysis","type":"article"},"uris":["http://www.mendeley.com/documents/?uuid=ac777376-525c-434e-b599-31a9ac1e7858"]}],"mendeley":{"formattedCitation":"[16]","plainTextFormattedCitation":"[16]","previouslyFormattedCitation":"[16]"},"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[16]</w:t>
      </w:r>
      <w:r w:rsidR="009676E2">
        <w:rPr>
          <w:rFonts w:ascii="Calibri Light" w:hAnsi="Calibri Light" w:cs="Calibri Light"/>
          <w:sz w:val="24"/>
          <w:szCs w:val="24"/>
        </w:rPr>
        <w:fldChar w:fldCharType="end"/>
      </w:r>
      <w:r w:rsidRPr="00D9141A">
        <w:rPr>
          <w:rFonts w:ascii="Calibri Light" w:hAnsi="Calibri Light" w:cs="Calibri Light"/>
          <w:sz w:val="24"/>
          <w:szCs w:val="24"/>
        </w:rPr>
        <w:t xml:space="preserve"> states that violence against children (child maltreatment) includes physical, emotional, and/or sexual abuse, and/or physical and/or emotional neglect occurring under the age of 18 (Fares-Otero et al., 2023). Childhood maltreatment is generally defined by emotional, physical, and sexual abuse and </w:t>
      </w:r>
      <w:r w:rsidRPr="00D9141A">
        <w:rPr>
          <w:rFonts w:ascii="Calibri Light" w:hAnsi="Calibri Light" w:cs="Calibri Light"/>
          <w:sz w:val="24"/>
          <w:szCs w:val="24"/>
        </w:rPr>
        <w:lastRenderedPageBreak/>
        <w:t xml:space="preserve">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{"citationItems":[{"id":"ITEM-1","itemData":{"DOI":"10.1002/acp.4056","ISSN":"10990720","abstract":"Individuals narrate stories to explain how they became who they are, forming their own narrative identity. Highly disruptive experiences such as child maltreatment (CM) may be challenging to integrate into the life story and even to narrate coherently just by themselves. To test these potential effects, we divided a total of 171 students at an English-speaking university in Egypt into two groups, those with a history of CM and those who experienced none. We compared narratives of four different types of emotional childhood experiences. Narratives of CM were no less coherent than narratives of most stressful childhood experiences in the control group, but were more integrated into the life story, which in turn predicted symptoms of posttraumatic stress disorder (PTSD). The present study contributes to the literature by confirming that there is no evidence for a lack of coherence among adults' CM narratives, and by highlighting the association between the centrality of the traumatic event in one's life and PTSD symptoms.","author":[{"dropping-particle":"","family":"Fishere","given":"Mariam","non-dropping-particle":"","parse-names":false,"suffix":""},{"dropping-particle":"","family":"Habermas","given":"Tilmann","non-dropping-particle":"","parse-names":false,"suffix":""}],"container-title":"Applied Cognitive Psychology","id":"ITEM-1","issue":"3","issued":{"date-parts":[["2023"]]},"page":"531-541","title":"Coherence of child maltreatment narratives by emerging adults: How does child maltreatment affect how we share our story?","type":"article-journal","volume":"37"},"uris":["http://www.mendeley.com/documents/?uuid=f521fadb-e846-4a69-94cc-cfcdfe96a6e6"]}],"mendeley":{"formattedCitation":"[17]","plainTextFormattedCitation":"[17]","previouslyFormattedCitation":"[17]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[17]</w:t>
      </w:r>
      <w:r w:rsidR="0075065E">
        <w:rPr>
          <w:rFonts w:ascii="Calibri Light" w:hAnsi="Calibri Light" w:cs="Calibri Light"/>
          <w:sz w:val="24"/>
          <w:szCs w:val="24"/>
        </w:rPr>
        <w:fldChar w:fldCharType="end"/>
      </w:r>
      <w:r w:rsidRPr="00D9141A">
        <w:rPr>
          <w:rFonts w:ascii="Calibri Light" w:hAnsi="Calibri Light" w:cs="Calibri Light"/>
          <w:sz w:val="24"/>
          <w:szCs w:val="24"/>
        </w:rPr>
        <w:t>. The definition of child abuse is universally understood to encompass four main types: sexual abuse, physical violence, emotional or psychological abuse, and ne</w:t>
      </w:r>
      <w:r w:rsidR="009676E2">
        <w:rPr>
          <w:rFonts w:ascii="Calibri Light" w:hAnsi="Calibri Light" w:cs="Calibri Light"/>
          <w:sz w:val="24"/>
          <w:szCs w:val="24"/>
        </w:rPr>
        <w:t xml:space="preserve">glect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[14]</w:t>
      </w:r>
      <w:r w:rsidR="009676E2">
        <w:rPr>
          <w:rFonts w:ascii="Calibri Light" w:hAnsi="Calibri Light" w:cs="Calibri Light"/>
          <w:sz w:val="24"/>
          <w:szCs w:val="24"/>
        </w:rPr>
        <w:fldChar w:fldCharType="end"/>
      </w:r>
      <w:r w:rsidRPr="00D9141A">
        <w:rPr>
          <w:rFonts w:ascii="Calibri Light" w:hAnsi="Calibri Light" w:cs="Calibri Light"/>
          <w:sz w:val="24"/>
          <w:szCs w:val="24"/>
        </w:rPr>
        <w:t>.</w:t>
      </w:r>
    </w:p>
    <w:p w14:paraId="0BEDCED3"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five main forms of abuse against children (emotional violence, neglect, physical violence, sexual abuse, exposure to domestic violence) throughout childhood up to the age of 18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Violence against children is defined as physical violence, emotional violence, sexual abuse, neglect, or exposure to domestic</w:t>
      </w:r>
      <w:r w:rsidR="007B49AF">
        <w:rPr>
          <w:rFonts w:ascii="Calibri Light" w:hAnsi="Calibri Light" w:cs="Calibri Light"/>
          <w:sz w:val="24"/>
          <w:szCs w:val="24"/>
        </w:rPr>
        <w:t xml:space="preserve"> violence before the age of 18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{"citationItems":[{"id":"ITEM-1","itemData":{"DOI":"10.5694/mja2.51892","ISSN":"13265377","PMID":"37004185","abstract":"Objectives: To examine associations between child maltreatment and health service use, both overall, by type and by the number of types of maltreatment reported. Design, setting: Cross-sectional, retrospective survey using the Juvenile Victimization Questionnaire-R2: Adapted Version (Australian Child Maltreatment Study); computer-assisted mobile telephone interviews using random digit dialling, Australia, 9 April – 11 October 2021. Participants: Australians aged 16 years or more. The target sample size was 8500 respondents: 3500 people aged 16–24 years and 1000 respondents each from the five age groups (25–34, 35–44, 45–54, 55–64, 65 years or more). Main outcome measures: Self-reported health service use during the past twelve months: hospital admissions, length of stay, and reasons for admission; and numbers of consultations with health care professionals, overall and by type. Associations between maltreatment and health service use are reported as odds ratios adjusted for age group, gender, socio-economic status, financial hardship (childhood and current), and geographic remoteness. Results: A total of 8503 participants completed the survey. Respondents who had experienced child maltreatment were significantly more likely than those who had not to report a hospital admission during the preceding twelve months (adjusted odds ratio [aOR], 1.39; 95% confidence interval [CI], 1.16–1.66), particularly admission with a mental disorder (aOR, 2.4; 95% CI, 1.03–5.6). The likelihood of six or more visits to general practitioners (aOR, 2.37; 95% CI, 1.87–3.02) or of a consultation with a mental health nurse (aOR, 2.67; 95% CI, 1.75–4.06), psychologist (aOR, 2.40; 95% CI, 2.00–2.88), or psychiatrist (aOR, 3.02; 95% CI, 2.25–4.04) were each higher for people who reported maltreatment during childhood. People who reported three or more maltreatment types were generally most likely to report greater health service use. Conclusions: Child maltreatment has a major impact on health service use. Early, targeted interventions are vital, not only for supporting children directly, but also for their longer term wellbeing and reducing their health system use throughout life.","author":[{"dropping-particle":"","family":"Pacella","given":"Rosana","non-dropping-particle":"","parse-names":false,"suffix":""},{"dropping-particle":"","family":"Nation","given":"Alexandra","non-dropping-particle":"","parse-names":false,"suffix":""},{"dropping-particle":"","family":"Mathews","given":"Ben","non-dropping-particle":"","parse-names":false,"suffix":""},{"dropping-particle":"","family":"Scott","given":"James G.","non-dropping-particle":"","parse-names":false,"suffix":""},{"dropping-particle":"","family":"Higgins","given":"Daryl J.","non-dropping-particle":"","parse-names":false,"suffix":""},{"dropping-particle":"","family":"Haslam","given":"Divna M.","non-dropping-particle":"","parse-names":false,"suffix":""},{"dropping-particle":"","family":"Dunne","given":"Michael P.","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J.","non-dropping-particle":"","parse-names":false,"suffix":""},{"dropping-particle":"","family":"Malacova","given":"Eva","non-dropping-particle":"","parse-names":false,"suffix":""},{"dropping-particle":"","family":"Lawrence","given":"David M.","non-dropping-particle":"","parse-names":false,"suffix":""},{"dropping-particle":"","family":"Monks","given":"Claire","non-dropping-particle":"","parse-names":false,"suffix":""}],"container-title":"Medical Journal of Australia","id":"ITEM-1","issue":"S6","issued":{"date-parts":[["2023"]]},"page":"S40-S46","title":"Child maltreatment and health service use: findings of the Australian Child Maltreatment Study","type":"article-journal","volume":"218"},"uris":["http://www.mendeley.com/documents/?uuid=5ce4c4d1-a8b9-4bb1-b271-a338ee465d89"]}],"mendeley":{"formattedCitation":"[19]","plainTextFormattedCitation":"[19]","previouslyFormattedCitation":"[19]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[19]</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 abuse manifests in various forms: sexual and physical abuse, oppression (discrimination), neglect, and even war crimes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00406-023-01643-5","ISBN":"0123456789","ISSN":"14338491","PMID":"37449997","author":[{"dropping-particle":"","family":"Arango","given":"Celso","non-dropping-particle":"","parse-names":false,"suffix":""}],"container-title":"European Archives of Psychiatry and Clinical Neuroscience","id":"ITEM-1","issue":"5","issued":{"date-parts":[["2023"]]},"page":"1007-1008","publisher":"Springer Berlin Heidelberg","title":"Child maltreatment should be a priority for public mental health interventions","type":"article-journal","volume":"273"},"uris":["http://www.mendeley.com/documents/?uuid=b0dd13a4-b91d-4da3-8a6f-09984bbdea1f"]}],"mendeley":{"formattedCitation":"[20]","plainTextFormattedCitation":"[20]","previouslyFormattedCitation":"[20]"},"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[20]</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3D242309"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Furthermore, the WHO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categorizes forms of violence against children into five types: (1) Physical Violence: This involves behaviors that result in pain or the potential for pain inflicted by others, which can occur once or repeatedly. Examples of physical violence include hitting, kicking, pinching, or slapping; (2) Sexual Violence: This involves engaging children in sexual activities that they do not understand. Sexual violence can take the form of inappropriate behavior from others, activities leading towards pornography, pornographic language, and involving children in prostitution; (3) Emotional Violence: This refers to anything that can hinder a child's emotional development, which may manifest as threatening words or intimidation towards the child; (4) Neglect and Abandonment: This involves the indifference of parents or guardians towards the needs of the child, such as neglecting the child's health, education, being overly restrictive, and so on; and (5) Economic Violence (Commercial Exploitation): This involves using children as laborers or for other activities for the benefit of their parents or others, such as making children work all day and directing them towards work fields that are not appropriate for their age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2E60D475"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Childhood violence can increase the risk of anxiety and mood disorders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{"citationItems":[{"id":"ITEM-1","itemData":{"DOI":"10.1016/j.jadr.2023.100514","ISSN":"26669153","abstract":"Background: Childhood maltreatment and generalized anxiety disorder (GAD) are related in adulthood. This association is not clear in the elderly. This work aims to investigate the role of adult attachment style and personality traits in the association between childhood maltreatment and late-life GAD. Method: Our study sample consisted of 260 patients recruited into the Cerebral Aging Program of the city of Porto Alegre (Brazil) assessed between July 2015 and July 2016. A clinical interview using the Mini International Neuropsychiatry Interview 5.0 (DSM-5 criteria) yielded psychiatric diagnoses. Patients completed the childhood trauma questionnaire (CTQ) for maltreatment, the relationship scales questionnaire (RSQ) for adult attachment style and the Brazilian 60-item version of the NEO-Five Factor Inventory (NEO-FFI) for personality characteristics. We aimed to examine, using sequential multimediation analysis, if attachment and personality traits style could be mediators between childhood maltreatment and GAD. Results: 20% presented late-life GAD (n = 52), 29% of whom had been maltreated. Neuroticism positively mediated and extraversion negatively mediated the relation between childhood maltreatment and late-life GAD. Attachment anxiety mediated this relation in a sequential way suggesting a path from childhood trauma through attachment and personality traits towards late-life GAD. Limitations: The small sample and the retrospective and cross-sectional study design mean that causal conclusions must be interpreted with caution. Conclusions: Our results suggest a chronological path from childhood maltreatment to late-life GAD, passing through attachment anxiety predicting higher levels of neuroticism and lower levels of extraversion predicting late-life GAD.","author":[{"dropping-particle":"","family":"Santos","given":"Milena Antunes","non-dropping-particle":"","parse-names":false,"suffix":""},{"dropping-particle":"","family":"Jardim","given":"Gabriel Behr","non-dropping-particle":"","parse-names":false,"suffix":""},{"dropping-particle":"","family":"Ranjbar","given":"Setareh","non-dropping-particle":"","parse-names":false,"suffix":""},{"dropping-particle":"","family":"Gholam","given":"Mehdi","non-dropping-particle":"","parse-names":false,"suffix":""},{"dropping-particle":"","family":"Schuster","given":"Jean Pierre","non-dropping-particle":"","parse-names":false,"suffix":""},{"dropping-particle":"","family":"Gomes","given":"Irênio","non-dropping-particle":"","parse-names":false,"suffix":""},{"dropping-particle":"","family":"Gunten","given":"Armin","non-dropping-particle":"von","parse-names":false,"suffix":""}],"container-title":"Journal of Affective Disorders Reports","id":"ITEM-1","issue":"February","issued":{"date-parts":[["2023"]]},"title":"Childhood maltreatment and late-life generalized anxiety disorder: Are personality and attachment characteristics mediators?","type":"article-journal","volume":"12"},"uris":["http://www.mendeley.com/documents/?uuid=ea4be9c5-8952-472a-b872-cdcb335aaa42"]}],"mendeley":{"formattedCitation":"[21]","plainTextFormattedCitation":"[21]","previouslyFormattedCitation":"[21]"},"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[21]</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Studies have found that violence against children is associated with mental health disorders, physical health problems, and health-risk behaviors throughout life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{"citationItems":[{"id":"ITEM-1","itemData":{"DOI":"10.1007/s11121-022-01433-w","ISBN":"0123456789","ISSN":"15736695","PMID":"36098893","abstract":"The Families First parenting program is a 10-week paraprofessional-administered adaptation of the Positive Discipline in Everyday Parenting program for West Java, Indonesia. It has not been tested in a randomized controlled trial. The objective was to evaluate the effects of Families First on physical and emotional punishment. We conducted a cluster randomized controlled trial and randomly assigned 20 rural and urban villages in West Java, Indonesia, to intervention or waitlist. Caregivers of children aged 0–7 years in intervention villages received Families First. Between 2017 and 2018, measurements were taken before randomization, immediately post-intervention, and 6 months post-intervention. Primary outcome was presence versus absence of caregiver-reported physical or emotional punishment immediately post-intervention. Intention-to-treat regression models accounted for clustering within villages and were run to compare between groups. Participants and study personnel could not be blinded. There were 374 caregivers in the 10 intervention villages and 362 in the 10 waitlist villages included in the trial and in outcome analyses. The intervention did not result in a lower proportion of intervention families using punishment immediately post-intervention (odds ratio [OR] for physical or emotional punishment immediately post intervention = 1.20 (95% CI 0.79–1.82). There were no significant differences for positive and involved parenting, setting limits, and opinion on discipline, but caregivers in the intervention group had significantly lower odds of using positive discipline (OR = 0.65 (95% CI 0.53–0.80). Families First did not prevent punishment in a setting with low levels of reported punishment but should be tested in a setting with higher levels or among people selected for risk or presence.","author":[{"dropping-particle":"","family":"Ruiz-Casares","given":"Mónica","non-dropping-particle":"","parse-names":false,"suffix":""},{"dropping-particle":"","family":"Thombs","given":"Brett D.","non-dropping-particle":"","parse-names":false,"suffix":""},{"dropping-particle":"","family":"Mayo","given":"Nancy E.","non-dropping-particle":"","parse-names":false,"suffix":""},{"dropping-particle":"","family":"Andrina","given":"Michelle","non-dropping-particle":"","parse-names":false,"suffix":""},{"dropping-particle":"","family":"Scott","given":"Susan C.","non-dropping-particle":"","parse-names":false,"suffix":""},{"dropping-particle":"","family":"Platt","given":"Robert William","non-dropping-particle":"","parse-names":false,"suffix":""}],"container-title":"Prevention Science","id":"ITEM-1","issue":"8","issued":{"date-parts":[["2022"]]},"page":"1457-1469","title":"The Families First Program to Prevent Child Abuse: Results of a Cluster Randomized Controlled Trial in West Java, Indonesia","type":"article-journal","volume":"23"},"uris":["http://www.mendeley.com/documents/?uuid=40336ded-7728-4fa5-8311-0c235b27b3cd"]}],"mendeley":{"formattedCitation":"[22]","plainTextFormattedCitation":"[22]","previouslyFormattedCitation":"[22]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[22]</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which includes physical violence, sexual violence, emotional violence, neglect, and exposure to domestic violence, is a serious public health issue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{"citationItems":[{"id":"ITEM-1","itemData":{"DOI":"10.3390/ijerph181910061","ISSN":"16604601","PMID":"34639362","abstract":"The aim of this study was to identify the epidemiological profiles of violence against children, victims, and their aggressors, and their correlations between socioeconomic and demographic factors analyzed before and during the COVID-19 pandemic. This was a cross-sectional, retrospective observational study based on a review of Individual Notification Forms from the Information System for Notifiable Diseases, including child victims of violence, under 18 years, assisted by a pediatric emergency service in Brazil, from 2016–2020. Data were stratified, then statistical analysis was performed using the two-proportion equality test and the Chi-square test, with p &lt; 0.05 and a 95% confidence interval. A total of 609 notifications were analyzed and a prevalence of sexual violence (63.2%) was reported. The prevalent profile of victim was female (76.7%), aged between 2–9 years (38.1%) and 14–18 years (35.6%). The violence occurs in the victim’s home (58.9%). The prevalent profile of perpetrator was male (82.4%), young adolescent (59.2%), living as family (64%), mainly the parents (18.4%). No correlation was found between the classified socioeconomic and demographic variables and violence. There was an increase in notifications during the COVID-19 pandemic, compared to the same period in the previous year; self-harm was reported in 59.7% of physical violence in 2020. Prevalence of sexual violence was higher for females, aged between 2–9 and 14–18 years, victimized in their homes, by male offenders, living as family, mainly by their parents. No association was found between child violence and the socioeconomic and demographic.","author":[{"dropping-particle":"","family":"Oliveira","given":"Stela Maria Tavolieri","non-dropping-particle":"de","parse-names":false,"suffix":""},{"dropping-particle":"","family":"Galdeano","given":"Ewerton Alexandre","non-dropping-particle":"","parse-names":false,"suffix":""},{"dropping-particle":"","family":"Trindade","given":"Evelynne Maria Gomes Galvão","non-dropping-particle":"da","parse-names":false,"suffix":""},{"dropping-particle":"","family":"Fernandez","given":"Rafael Saad","non-dropping-particle":"","parse-names":false,"suffix":""},{"dropping-particle":"","family":"Buchaim","given":"Rogerio Leone","non-dropping-particle":"","parse-names":false,"suffix":""},{"dropping-particle":"","family":"Buchaim","given":"Daniela Vieira","non-dropping-particle":"","parse-names":false,"suffix":""},{"dropping-particle":"","family":"Cunha","given":"Marcelo Rodrigues","non-dropping-particle":"da","parse-names":false,"suffix":""},{"dropping-particle":"","family":"Passos","given":"Saulo Duarte","non-dropping-particle":"","parse-names":false,"suffix":""}],"container-title":"International Journal of Environmental Research and Public Health","id":"ITEM-1","issue":"19","issued":{"date-parts":[["2021"]]},"title":"Epidemiological study of violence against children and its increase during the covid-19 pandemic","type":"article-journal","volume":"18"},"uris":["http://www.mendeley.com/documents/?uuid=3ea7b68b-a1cc-4bdd-9d11-e41aad4227ca"]}],"mendeley":{"formattedCitation":"[23]","plainTextFormattedCitation":"[23]","previouslyFormattedCitation":"[23]"},"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[23]</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Childhood violence is a risk factor for mental illness throughout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It is also linked to various physical health conditions later in life, such as stunted growth, high dietary fat intake, obesity, poor sleep quality, asthma, chronic lung conditions, ischemic heart disease, and cancer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{"citationItems":[{"id":"ITEM-1","itemData":{"DOI":"10.1111/imj.15824","ISSN":"14455994","PMID":"35607779","abstract":"Background: Childhood maltreatment (CM) is associated with both dietary fat intake and obesity in later life. There is less information on associations with metabolic risk factors and specific types of CM such as physical, sexual and emotional abuse, as well as neglect. Aims: To assess the association between five types of self-reported CM and a range of obesity and metabolic indicators in a subsample of a birth cohort. Methods: This was a study of 1689 adults born in a major metropolitan maternity hospital in Australia and followed up 30 years later. Body mass index, bioimpedance and fasting lipid levels/insulin resistance were measured. Details on self-reported CM were collected using the Child Trauma Questionnaire. We adjusted for birth weight, parental income and relationship at participants' birth, as well as maternal age and alcohol or tobacco use. We also adjusted for participants' smoking, depression, educational level, marital and employment status at follow up. Results: One-fifth reported maltreatment (n = 362), most commonly emotional neglect (n = 175), followed by emotional abuse (n = 128), physical neglect (n = 123), sexual (n = 121) and physical abuse (n = 116). On adjusted analyses, there were significant associations for CM, particularly neglect or emotional abuse, and one or more of the following outcomes: obesity, the total cholesterol/high-density lipoprotein cholesterol (TC/HDL-C) ratio and HDL levels. Results for other outcomes were more equivocal. Conclusions: Of child maltreatment types, emotional abuse and neglect show the strongest associations with obesity and several cardiometabolic risk factors, therefore highlighting the public health importance of early intervention to reduce childhood adversity.","author":[{"dropping-particle":"","family":"Kisely","given":"Stephen","non-dropping-particle":"","parse-names":false,"suffix":""},{"dropping-particle":"","family":"Siskind","given":"Dan","non-dropping-particle":"","parse-names":false,"suffix":""},{"dropping-particle":"","family":"Scott","given":"James G.","non-dropping-particle":"","parse-names":false,"suffix":""},{"dropping-particle":"","family":"Najman","given":"Jake M.","non-dropping-particle":"","parse-names":false,"suffix":""}],"container-title":"Internal Medicine Journal","id":"ITEM-1","issue":"7","issued":{"date-parts":[["2023"]]},"page":"1121-1130","title":"Self-reported child maltreatment and cardiometabolic risk in 30-year-old adults","type":"article-journal","volume":"53"},"uris":["http://www.mendeley.com/documents/?uuid=2ccd76eb-7839-4088-8c65-31b60b871f99"]}],"mendeley":{"formattedCitation":"[24]","plainTextFormattedCitation":"[24]","previouslyFormattedCitation":"[24]"},"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[24]</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Recent research identifies hitting as a form of child abuse that is strongly correlated with physical and emotional violence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{"citationItems":[{"id":"ITEM-1","itemData":{"DOI":"10.1016/j.chiabu.2023.106177","ISSN":"18737757","PMID":"37058947","abstract":"Background: Child maltreatment and peer victimization are pervasive public health problems associated with adolescent substance use. Although child maltreatment has been identified as a risk factor for peer victimization, few studies have investigated their co-occurrence (i.e., polyvictimization). The study objectives were to: examine sex differences in the prevalence of child maltreatment, peer victimization, and substance use; identify polyvictimization patterns; and examine the associations between the identified typologies and adolescent substance use. Methods: Data were self-reported from a sample of adolescents aged 14 to 17 years (n = 2910) who participated in the provincially-representative 2014 Ontario Child Health Study. Latent class analysis with distal outcomes was conducted to identify typologies of six types of child maltreatment and five types of peer victimization and examine the associations between the polyvictimization typologies and use of cigarettes/cigars, alcohol, cannabis, and prescription drugs. Results: Four typologies were identified: Low victimization (76.6 %), Violent home environment (16.0 %), High verbal/social peer victimization (5.3 %), and High polyvictimization (2.1 %). The Violent home environment and High verbal/social peer victimization typologies were associated with increased odds of adolescent substance use (adjusted odds ratio range: 2.06–3.61). The High polyvictimization typology showed increased, but non-significant, odds of substance use. Conclusions: Adolescent-serving health and social services professionals should be aware of polyvictimization patterns and the impact on substance use. For some adolescents, polyvictimization may include exposure to multiple child maltreatment and peer victimization types. Upstream strategies to prevent child maltreatment and peer victimization are needed, which may also contribute to reductions in adolescent substance use.","author":[{"dropping-particle":"","family":"Salmon","given":"Samantha","non-dropping-particle":"","parse-names":false,"suffix":""},{"dropping-particle":"","family":"Chartier","given":"Mariette","non-dropping-particle":"","parse-names":false,"suffix":""},{"dropping-particle":"","family":"Roos","given":"Leslie E.","non-dropping-particle":"","parse-names":false,"suffix":""},{"dropping-particle":"","family":"Afifi","given":"Tracie O.","non-dropping-particle":"","parse-names":false,"suffix":""}],"container-title":"Child Abuse and Neglect","id":"ITEM-1","issue":"March","issued":{"date-parts":[["2023"]]},"page":"106177","publisher":"Elsevier Ltd","title":"Typologies of child maltreatment and peer victimization and the associations with adolescent substance use: A latent class analysis","type":"article-journal","volume":"140"},"uris":["http://www.mendeley.com/documents/?uuid=53ce7f29-a0fb-43e5-9de3-8d2a59ecc10f"]}],"mendeley":{"formattedCitation":"[25]","plainTextFormattedCitation":"[25]","previouslyFormattedCitation":"[25]"},"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[25]</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53C34B38"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Referring to Haryanto's viewpoint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{"citationItems":[{"id":"ITEM-1","itemData":{"DOI":"10.33007/ska.v8i2.1463","ISSN":"20890338","abstract":"… Penelitian ini menggunakan pendekatan kualitatif dengan jenis penelitian studi kasus, karena kekhususan LPKS untuk pelaku ABH di Malang Raya. Subjek penelitian ini adalah Direktur INSAFH dan Manager Layanan INSAFH dengan contoh klien dampingan di shelter …","author":[{"dropping-particle":"","family":"Abidin","given":"Zaenal","non-dropping-particle":"","parse-names":false,"suffix":""}],"container-title":"Sosio konsepsia","id":"ITEM-1","issue":"2","issued":{"date-parts":[["2019"]]},"title":"Rehabilitasi Sosial Anak Berhadapan Dengan Hukum Di Lembaga Indonesia Safe House Di Malang","type":"article-journal","volume":"8"},"uris":["http://www.mendeley.com/documents/?uuid=851f180a-e0d4-4b02-ba06-df76c94c40e7"]}],"mendeley":{"formattedCitation":"[26]","plainTextFormattedCitation":"[26]","previouslyFormattedCitation":"[26]"},"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[26]</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rehabilitation is generally understood as the process of restoring an individual to their original state. Rehabilitation essentially aims to return an individual to a good initial condition; however, considering that the individual may experience social dysfunction, appropriate conditioning is required to restore them to their initial state effectively. The understanding of rehabilitation is broadly applied, encompassing habilitation. Habilitation can be defined as efforts to assist individuals who experience disorders or abnormalities at birth or during the growth and development stages of childhood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{"citationItems":[{"id":"ITEM-1","itemData":{"DOI":"10.1177/02692155231210151","ISSN":"14770873","PMID":"37885405","abstract":"Background: There is no general theory of rehabilitation, only definitions and descriptions, with the biopsychosocial model of illness as a structure. Objective: To develop a general theory of rehabilitation that explains how healthcare rehabilitation changes outcomes and to evaluate its validity. Need: A general rehabilitation theory would help research, improve services, increase understanding, modify resource allocation and explain some anomalies, such as how rehabilitation helps when no natural recovery occurs. Building blocks: People adapt to change throughout their lives. Illness is a change, and people adapt to their illness. Adaptation's purpose is to maintain an equilibrium in a person's life. The balanced components are related to Maslow's five needs: basic, safety, affiliation, status and self-fulfilment. The general theory of behaviour suggests that a person's behaviours change to maintain balance, regulated by a central homeostatic mechanism. The theory: Rehabilitation aids adaptation to changes associated with illness through accurate diagnosis and formulation, catalysing adaptation, optimising the environment and assisting the person in making necessary changes by safely practising activities and teaching self-management. Implications: The theory makes the person the central active agent, emphasises the importance of the environment in facilitating adaptation, explains why all conditions may benefit, including progressive and static conditions, suggests that health can be equated to someone maintaining their equilibrium and explains why a small dose may be very effective. Conclusion: The general theory of rehabilitation emphasises the catalytic effects of rehabilitation in facilitating and guiding adaptation and suggests areas for research and improvement.","author":[{"dropping-particle":"","family":"Wade","given":"Derick T.","non-dropping-particle":"","parse-names":false,"suffix":""}],"container-title":"Clinical Rehabilitation","id":"ITEM-1","issue":"4","issued":{"date-parts":[["2024"]]},"page":"429-442","title":"A general theory of rehabilitation: Rehabilitation catalyses and assists adaptation to illness","type":"article-journal","volume":"38"},"uris":["http://www.mendeley.com/documents/?uuid=acbdcf2d-3bf0-4619-9402-8c5f08374a46"]}],"mendeley":{"formattedCitation":"[27]","plainTextFormattedCitation":"[27]","previouslyFormattedCitation":"[27]"},"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[27]</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06297E76" w14:textId="77777777" w:rsidR="00F049A8"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Efforts for prevention and psychosocial rehabilitation for children who are victims of maltreatment are very urgent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{"citationItems":[{"id":"ITEM-1","itemData":{"DOI":"10.1016/j.childyouth.2019.03.049","ISSN":"01907409","abstract":"This research investigated the innovative services provided to child victims of abuse by the Dubai Foundation for Women and Children (DFWAC) using a qualitative methodology: in-depth interviewing of 20 participants and analysis of DFWAC documents. A logic model is used as a framework for understanding the program and shows the relationships among resources used, the processes and activities implemented, outputs, and outcomes. The similarities to and differences from the Child Advocacy Center model are discussed. The findings suggest that DFWAC has appropriate policies and procedures for assisting child victims of abuse, and ecological theory is used to explain the results. Although more work is needed to accurately document DFWAC's effectiveness, the DFWAC is an innovative example of civil society's capacity to address child abuse.","author":[{"dropping-particle":"","family":"Gharaibeh","given":"Fakir","non-dropping-particle":"Al","parse-names":false,"suffix":""},{"dropping-particle":"","family":"Gibson","given":"Laura","non-dropping-particle":"","parse-names":false,"suffix":""}],"container-title":"Children and Youth Services Review","id":"ITEM-1","issue":"November 2018","issued":{"date-parts":[["2019"]]},"page":"87-98","publisher":"Elsevier","title":"Care and rehabilitation services to child victims of abuse in the United Arab Emirates: Examples of innovation","type":"article-journal","volume":"101"},"uris":["http://www.mendeley.com/documents/?uuid=1dbc283d-b7cb-46f4-afb1-0c390ee8f590"]}],"mendeley":{"formattedCitation":"[28]","plainTextFormattedCitation":"[28]","previouslyFormattedCitation":"[28]"},"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[28]</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(child maltreatment) is a social issue that has psychological impacts and consequences for the psychosocial development of </w:t>
      </w:r>
      <w:commentRangeStart w:id="5"/>
      <w:r w:rsidRPr="00D9141A">
        <w:rPr>
          <w:rFonts w:ascii="Calibri Light" w:hAnsi="Calibri Light" w:cs="Calibri Light"/>
          <w:sz w:val="24"/>
          <w:szCs w:val="24"/>
        </w:rPr>
        <w:t>children. This research aims to: (1) describe and identify the forms of child maltreatment among children in Malang City; and (2) analyze the types of social welfare service programs for child victims of maltreatment in Malang City.</w:t>
      </w:r>
      <w:commentRangeEnd w:id="5"/>
      <w:r w:rsidR="00895096">
        <w:rPr>
          <w:rStyle w:val="CommentReference"/>
        </w:rPr>
        <w:commentReference w:id="5"/>
      </w:r>
    </w:p>
    <w:p w14:paraId="00E5238D" w14:textId="77777777" w:rsidR="00F049A8" w:rsidRPr="00D9141A" w:rsidRDefault="00F049A8" w:rsidP="00F049A8">
      <w:pPr>
        <w:spacing w:before="120" w:after="120"/>
        <w:ind w:left="426"/>
        <w:jc w:val="both"/>
        <w:rPr>
          <w:rFonts w:ascii="Calibri Light" w:hAnsi="Calibri Light" w:cs="Calibri Light"/>
          <w:sz w:val="24"/>
          <w:szCs w:val="24"/>
          <w:lang w:val="id-ID"/>
        </w:rPr>
      </w:pPr>
    </w:p>
    <w:p w14:paraId="719191EA" w14:textId="77777777" w:rsidR="00AF5792" w:rsidRPr="00AF5792" w:rsidRDefault="00334792" w:rsidP="00AF5792">
      <w:pPr>
        <w:numPr>
          <w:ilvl w:val="0"/>
          <w:numId w:val="15"/>
        </w:numPr>
        <w:autoSpaceDE/>
        <w:autoSpaceDN/>
        <w:spacing w:before="120" w:after="120"/>
        <w:ind w:left="426" w:hanging="426"/>
        <w:contextualSpacing/>
        <w:jc w:val="both"/>
        <w:rPr>
          <w:rFonts w:ascii="Calibri Light" w:hAnsi="Calibri Light" w:cs="Calibri Light"/>
          <w:sz w:val="24"/>
          <w:szCs w:val="24"/>
        </w:rPr>
      </w:pPr>
      <w:r w:rsidRPr="00AF5792">
        <w:rPr>
          <w:rFonts w:ascii="Calibri Light" w:hAnsi="Calibri Light" w:cs="Calibri Light"/>
          <w:b/>
          <w:sz w:val="24"/>
          <w:szCs w:val="24"/>
          <w:lang w:val="id-ID"/>
        </w:rPr>
        <w:lastRenderedPageBreak/>
        <w:t>METHOD</w:t>
      </w:r>
      <w:r w:rsidR="00D26ADD" w:rsidRPr="00AF5792">
        <w:rPr>
          <w:rFonts w:ascii="Calibri Light" w:hAnsi="Calibri Light" w:cs="Calibri Light"/>
          <w:b/>
          <w:sz w:val="24"/>
          <w:szCs w:val="24"/>
        </w:rPr>
        <w:t xml:space="preserve"> </w:t>
      </w:r>
    </w:p>
    <w:p w14:paraId="7897B8F7" w14:textId="77777777" w:rsidR="00FE321A" w:rsidRPr="00AF5792" w:rsidRDefault="00FE321A" w:rsidP="00AF5792">
      <w:pPr>
        <w:autoSpaceDE/>
        <w:autoSpaceDN/>
        <w:spacing w:before="120" w:after="120"/>
        <w:ind w:firstLine="567"/>
        <w:contextualSpacing/>
        <w:jc w:val="both"/>
        <w:rPr>
          <w:rFonts w:ascii="Calibri Light" w:hAnsi="Calibri Light" w:cs="Calibri Light"/>
          <w:sz w:val="24"/>
          <w:szCs w:val="24"/>
        </w:rPr>
      </w:pPr>
      <w:commentRangeStart w:id="6"/>
      <w:r w:rsidRPr="00AF5792">
        <w:rPr>
          <w:rFonts w:ascii="Calibri Light" w:hAnsi="Calibri Light" w:cs="Calibri Light"/>
          <w:sz w:val="24"/>
          <w:szCs w:val="24"/>
        </w:rPr>
        <w:t xml:space="preserve">The research approach used is a qualitative approach </w:t>
      </w:r>
      <w:commentRangeEnd w:id="6"/>
      <w:r w:rsidR="001B442D">
        <w:rPr>
          <w:rStyle w:val="CommentReference"/>
        </w:rPr>
        <w:commentReference w:id="6"/>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{"citationItems":[{"id":"ITEM-1","itemData":{"DOI":"10.1186/s42466-020-00059-z","ISBN":"4246602000","ISSN":"25243489","abstract":"This paper aims to provide an overview of the use and assessment of qualitative research methods in the health sciences. Qualitative research can be defined as the study of the nature of phenomena and is especially appropriate for answering questions of why something is (not) observed, assessing complex multi-component interventions, and focussing on intervention improvement. The most common methods of data collection are document study, (non-) participant observations, semi-structured interviews and focus groups. For data analysis, field-notes and audio-recordings are transcribed into protocols and transcripts, and coded using qualitative data management software. Criteria such as checklists, reflexivity, sampling strategies, piloting, co-coding, member-checking and stakeholder involvement can be used to enhance and assess the quality of the research conducted. Using qualitative in addition to quantitative designs will equip us with better tools to address a greater range of research problems, and to fill in blind spots in current neurological research and practice.","author":[{"dropping-particle":"","family":"Busetto","given":"Loraine","non-dropping-particle":"","parse-names":false,"suffix":""},{"dropping-particle":"","family":"Wick","given":"Wolfgang","non-dropping-particle":"","parse-names":false,"suffix":""},{"dropping-particle":"","family":"Gumbinger","given":"Christoph","non-dropping-particle":"","parse-names":false,"suffix":""}],"container-title":"Neurological Research and Practice","id":"ITEM-1","issue":"1","issued":{"date-parts":[["2020"]]},"publisher":"Neurological Research and Practice","title":"How to use and assess qualitative research methods","type":"article-journal","volume":"2"},"uris":["http://www.mendeley.com/documents/?uuid=05825e15-cd4f-44ce-8c52-cf3eba5aa5ed"]}],"mendeley":{"formattedCitation":"[29]","plainTextFormattedCitation":"[29]","previouslyFormattedCitation":"[29]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[29]</w:t>
      </w:r>
      <w:r w:rsidR="00A6232D">
        <w:rPr>
          <w:rFonts w:ascii="Calibri Light" w:hAnsi="Calibri Light" w:cs="Calibri Light"/>
          <w:sz w:val="24"/>
          <w:szCs w:val="24"/>
        </w:rPr>
        <w:fldChar w:fldCharType="end"/>
      </w:r>
      <w:r w:rsidRPr="00AF5792">
        <w:rPr>
          <w:rFonts w:ascii="Calibri Light" w:hAnsi="Calibri Light" w:cs="Calibri Light"/>
          <w:sz w:val="24"/>
          <w:szCs w:val="24"/>
        </w:rPr>
        <w:t>. Qualitative research focuses on detailed descriptions and qualitative or substantive analyses of people's experiences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{"citationItems":[{"id":"ITEM-1","itemData":{"ISBN":"0-7619-4860-0; 0-7619-4861-9","abstract":"'The book is an extremely valuable resource for students and new researchers who embark on qualitative research in sociology and the social sciences. It will be a valuable source for those who teach qualitative research methods in not only the social sciences but also in other disciplines, including health science. I wholeheartedly recommend this book' - Australian Journal of Primary Health Qualitative Research in Sociology offers a hands-on guide to doing qualitative research in sociology. It provides an introductory survey of the methodological and theoretical dimensions of qualitative research as practised by those interested in the study of social life. Through a detailed yet concise explanation, the reader is shown how these methods work and how their outcomes may be interpreted. Practically focused throughout, the book also offers constructive advice for students analysing and writing their research projects. Key features of the book include: · An innovative framework - combining different methodologies and approaches. · A variety of `real-life' examples and case studies - enriches the book for the reader · A set of practical exercises in each chapter - pedagogical and student-focussed throughout. · International in focus - offers a wide-ranging set of approaches and debates · A broad coverage - includes discussions of ethnography, visual analysis, ethical issues, discourse and conversation analysis and report-writing The book has a flowing narrative and student-friendly structure which makes it accessible to and popular with students. It will be an invaluable resource for students and researchers, helping them to undertake effective qualitative research in both sociology and courses in social research across the social sciences.","author":[{"dropping-particle":"","family":"Marvasti","given":"Amir B.","non-dropping-particle":"","parse-names":false,"suffix":""}],"id":"ITEM-1","issued":{"date-parts":[["2004"]]},"page":"169","title":"Qualitative Research in Sociology: An Introduction","type":"article-journal"},"uris":["http://www.mendeley.com/documents/?uuid=0654b8f9-5fad-4e1f-8efe-36ba0695ecd4"]}],"mendeley":{"formattedCitation":"[30]","plainTextFormattedCitation":"[30]","previouslyFormattedCitation":"[30]"},"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[30]</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10.1093/humrep/dev334","ISSN":"14602350","PMID":"26759142","author":[{"dropping-particle":"","family":"Hammarberg","given":"K.","non-dropping-particle":"","parse-names":false,"suffix":""},{"dropping-particle":"","family":"Kirkman","given":"M.","non-dropping-particle":"","parse-names":false,"suffix":""},{"dropping-particle":"","family":"Lacey","given":"S.","non-dropping-particle":"De","parse-names":false,"suffix":""}],"container-title":"Human Reproduction","id":"ITEM-1","issue":"3","issued":{"date-parts":[["2016"]]},"page":"498-501","title":"Qualitative research methods: When to use them and how to judge them","type":"article-journal","volume":"31"},"uris":["http://www.mendeley.com/documents/?uuid=34a55bb6-ad84-41ca-a1ab-822dd03fd3a5"]}],"mendeley":{"formattedCitation":"[31]","plainTextFormattedCitation":"[31]","previouslyFormattedCitation":"[31]"},"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[31]</w:t>
      </w:r>
      <w:r w:rsidR="009676E2">
        <w:rPr>
          <w:rFonts w:ascii="Calibri Light" w:hAnsi="Calibri Light" w:cs="Calibri Light"/>
          <w:sz w:val="24"/>
          <w:szCs w:val="24"/>
        </w:rPr>
        <w:fldChar w:fldCharType="end"/>
      </w:r>
      <w:r w:rsidRPr="00AF5792">
        <w:rPr>
          <w:rFonts w:ascii="Calibri Light" w:hAnsi="Calibri Light" w:cs="Calibri Light"/>
          <w:sz w:val="24"/>
          <w:szCs w:val="24"/>
        </w:rPr>
        <w:t xml:space="preserve">. The type of research employed is descriptive qualitative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[32]</w:t>
      </w:r>
      <w:r w:rsidR="00A6232D">
        <w:rPr>
          <w:rFonts w:ascii="Calibri Light" w:hAnsi="Calibri Light" w:cs="Calibri Light"/>
          <w:sz w:val="24"/>
          <w:szCs w:val="24"/>
        </w:rPr>
        <w:fldChar w:fldCharType="end"/>
      </w:r>
      <w:r w:rsidRPr="00AF5792">
        <w:rPr>
          <w:rFonts w:ascii="Calibri Light" w:hAnsi="Calibri Light" w:cs="Calibri Light"/>
          <w:sz w:val="24"/>
          <w:szCs w:val="24"/>
        </w:rPr>
        <w:t>. The setting for this research is in Malang City. Data sources (subjects and informants) for the research are determined based on purposive or judgmental sampling techniques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[32]</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{"citationItems":[{"id":"ITEM-1","itemData":{"ISBN":"6178487320","author":[{"dropping-particle":"","family":"Neuman","given":"W. Laurence","non-dropping-particle":"","parse-names":false,"suffix":""}],"id":"ITEM-1","issued":{"date-parts":[["2007"]]},"publisher":"Pearson Education, Inc.","publisher-place":"Boston","title":"Basic Social Research Qualitative and Quantitative Approach","type":"book"},"uris":["http://www.mendeley.com/documents/?uuid=1765ae1f-8624-4998-89b4-67dd04a664e7"]}],"mendeley":{"formattedCitation":"[33]","plainTextFormattedCitation":"[33]","previouslyFormattedCitation":"[33]"},"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[33]</w:t>
      </w:r>
      <w:r w:rsidR="009676E2">
        <w:rPr>
          <w:rFonts w:ascii="Calibri Light" w:hAnsi="Calibri Light" w:cs="Calibri Light"/>
          <w:sz w:val="24"/>
          <w:szCs w:val="24"/>
        </w:rPr>
        <w:fldChar w:fldCharType="end"/>
      </w:r>
      <w:r w:rsidRPr="00AF5792">
        <w:rPr>
          <w:rFonts w:ascii="Calibri Light" w:hAnsi="Calibri Light" w:cs="Calibri Light"/>
          <w:sz w:val="24"/>
          <w:szCs w:val="24"/>
        </w:rPr>
        <w:t xml:space="preserve">. The purposive technique is applied in situations where the researcher bases the sampling on specific considerations with a specific intent, meaning that the data sources (subjects and informants) in this study include various parties who understand the phenomenon of child maltreatment in Malang City. Therefore, the data sources (subjects and informants) for this research include: </w:t>
      </w:r>
      <w:commentRangeStart w:id="7"/>
      <w:r w:rsidRPr="00AF5792">
        <w:rPr>
          <w:rFonts w:ascii="Calibri Light" w:hAnsi="Calibri Light" w:cs="Calibri Light"/>
          <w:sz w:val="24"/>
          <w:szCs w:val="24"/>
        </w:rPr>
        <w:t>parents of child victims of maltreatment, staff from the LP3A of Malang City, social workers, and the Social Service Department.</w:t>
      </w:r>
      <w:commentRangeEnd w:id="7"/>
      <w:r w:rsidR="00B654C1">
        <w:rPr>
          <w:rStyle w:val="CommentReference"/>
        </w:rPr>
        <w:commentReference w:id="7"/>
      </w:r>
    </w:p>
    <w:p w14:paraId="6F9FC3F4"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technique for validating the research data applies the criteria of credibility and confirmability. The credibility technique used is triangulation, while the confirmability technique employs truth auditing. Meanwhile, data analysis is conducted based on the stages of the qualitative data process according to the interactive model proposed by Miles, Huberman, and Saldana</w:t>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{"citationItems":[{"id":"ITEM-1","itemData":{"ISBN":"9781452257877","author":[{"dropping-particle":"","family":"Miles, Matthew B.; Huberman, A. Michael; &amp; Saldana","given":"Johnny","non-dropping-particle":"","parse-names":false,"suffix":""}],"id":"ITEM-1","issued":{"date-parts":[["2014"]]},"number-of-pages":"341","publisher":"SAGE Publications Inc.","publisher-place":"Thousand Oaks","title":"Qualitative Data Analysis","type":"book"},"uris":["http://www.mendeley.com/documents/?uuid=137df4dc-9432-4825-b583-41621bf84040"]}],"mendeley":{"formattedCitation":"[34]","plainTextFormattedCitation":"[34]","previouslyFormattedCitation":"[34]"},"properties":{"noteIndex":0},"schema":"https://github.com/citation-style-language/schema/raw/master/csl-citation.json"}</w:instrText>
      </w:r>
      <w:r w:rsidR="00052F86">
        <w:rPr>
          <w:rFonts w:ascii="Calibri Light" w:hAnsi="Calibri Light" w:cs="Calibri Light"/>
          <w:sz w:val="24"/>
          <w:szCs w:val="24"/>
        </w:rPr>
        <w:fldChar w:fldCharType="separate"/>
      </w:r>
      <w:r w:rsidR="009676E2" w:rsidRPr="009676E2">
        <w:rPr>
          <w:rFonts w:ascii="Calibri Light" w:hAnsi="Calibri Light" w:cs="Calibri Light"/>
          <w:noProof/>
          <w:sz w:val="24"/>
          <w:szCs w:val="24"/>
        </w:rPr>
        <w:t>[34]</w:t>
      </w:r>
      <w:r w:rsidR="00052F86">
        <w:rPr>
          <w:rFonts w:ascii="Calibri Light" w:hAnsi="Calibri Light" w:cs="Calibri Light"/>
          <w:sz w:val="24"/>
          <w:szCs w:val="24"/>
        </w:rPr>
        <w:fldChar w:fldCharType="end"/>
      </w:r>
      <w:r w:rsidRPr="00D9141A">
        <w:rPr>
          <w:rFonts w:ascii="Calibri Light" w:hAnsi="Calibri Light" w:cs="Calibri Light"/>
          <w:sz w:val="24"/>
          <w:szCs w:val="24"/>
        </w:rPr>
        <w:t>, which includes: data collection, data condensation, data display, and conclusion and verification, as illustrated below:</w:t>
      </w:r>
    </w:p>
    <w:p w14:paraId="5F2D5AF4" w14:textId="77777777" w:rsidR="00FE321A" w:rsidRPr="00D9141A" w:rsidRDefault="00FE321A" w:rsidP="00FE321A">
      <w:pPr>
        <w:ind w:left="360"/>
        <w:contextualSpacing/>
        <w:jc w:val="both"/>
        <w:rPr>
          <w:rFonts w:ascii="Calibri Light" w:hAnsi="Calibri Light" w:cs="Calibri Light"/>
          <w:sz w:val="24"/>
          <w:szCs w:val="24"/>
        </w:rPr>
      </w:pPr>
    </w:p>
    <w:p w14:paraId="6A073175"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Flow: Components of the Interactive Data Analysis Model</w:t>
      </w:r>
    </w:p>
    <w:p w14:paraId="31014825"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193989D6" w14:textId="4DE2194E" w:rsidR="00FE321A" w:rsidRPr="00D9141A" w:rsidRDefault="00886CC1" w:rsidP="00FE321A">
      <w:pPr>
        <w:pStyle w:val="ListParagraph"/>
        <w:spacing w:line="240" w:lineRule="auto"/>
        <w:ind w:left="360"/>
        <w:rPr>
          <w:rFonts w:ascii="Calibri Light" w:hAnsi="Calibri Light" w:cs="Calibri Light"/>
          <w:b/>
          <w:sz w:val="24"/>
          <w:szCs w:val="24"/>
        </w:rPr>
      </w:pPr>
      <w:r>
        <mc:AlternateContent>
          <mc:Choice Requires="wps">
            <w:drawing>
              <wp:anchor distT="0" distB="0" distL="114300" distR="114300" simplePos="0" relativeHeight="251659264" behindDoc="0" locked="0" layoutInCell="1" allowOverlap="1" wp14:anchorId="360D5350" wp14:editId="2298758B">
                <wp:simplePos x="0" y="0"/>
                <wp:positionH relativeFrom="margin">
                  <wp:posOffset>1123950</wp:posOffset>
                </wp:positionH>
                <wp:positionV relativeFrom="paragraph">
                  <wp:posOffset>45085</wp:posOffset>
                </wp:positionV>
                <wp:extent cx="965200" cy="787400"/>
                <wp:effectExtent l="0" t="0" r="635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87400"/>
                        </a:xfrm>
                        <a:prstGeom prst="ellipse">
                          <a:avLst/>
                        </a:prstGeom>
                        <a:solidFill>
                          <a:srgbClr val="FFC000"/>
                        </a:solidFill>
                        <a:ln w="9525">
                          <a:solidFill>
                            <a:srgbClr val="000000"/>
                          </a:solidFill>
                          <a:round/>
                          <a:headEnd/>
                          <a:tailEnd/>
                        </a:ln>
                      </wps:spPr>
                      <wps:txb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D5350" id="Oval 45" o:spid="_x0000_s1026" style="position:absolute;left:0;text-align:left;margin-left:88.5pt;margin-top:3.55pt;width:76pt;height:6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" fillcolor="#ffc000">
                <v:textbo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v:textbox>
                <w10:wrap anchorx="margin"/>
              </v:oval>
            </w:pict>
          </mc:Fallback>
        </mc:AlternateContent>
      </w:r>
      <w:r>
        <mc:AlternateContent>
          <mc:Choice Requires="wps">
            <w:drawing>
              <wp:anchor distT="0" distB="0" distL="114300" distR="114300" simplePos="0" relativeHeight="251662336" behindDoc="0" locked="0" layoutInCell="1" allowOverlap="1" wp14:anchorId="38420745" wp14:editId="338890C5">
                <wp:simplePos x="0" y="0"/>
                <wp:positionH relativeFrom="column">
                  <wp:posOffset>2969895</wp:posOffset>
                </wp:positionH>
                <wp:positionV relativeFrom="paragraph">
                  <wp:posOffset>17780</wp:posOffset>
                </wp:positionV>
                <wp:extent cx="952500" cy="600075"/>
                <wp:effectExtent l="0" t="0" r="0" b="9525"/>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600075"/>
                        </a:xfrm>
                        <a:prstGeom prst="ellipse">
                          <a:avLst/>
                        </a:prstGeom>
                        <a:solidFill>
                          <a:srgbClr val="F79646">
                            <a:lumMod val="60000"/>
                            <a:lumOff val="40000"/>
                          </a:srgbClr>
                        </a:solidFill>
                        <a:ln w="9525">
                          <a:solidFill>
                            <a:srgbClr val="000000"/>
                          </a:solidFill>
                          <a:round/>
                          <a:headEnd/>
                          <a:tailEnd/>
                        </a:ln>
                      </wps:spPr>
                      <wps:txb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420745" id="Oval 46" o:spid="_x0000_s1027" style="position:absolute;left:0;text-align:left;margin-left:233.85pt;margin-top:1.4pt;width:7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" fillcolor="#fac090">
                <v:textbo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v:textbox>
              </v:oval>
            </w:pict>
          </mc:Fallback>
        </mc:AlternateContent>
      </w:r>
    </w:p>
    <w:p w14:paraId="4F699AC7" w14:textId="49B90BBB"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4384" behindDoc="0" locked="0" layoutInCell="1" allowOverlap="1" wp14:anchorId="581DA86C" wp14:editId="3375CFFE">
                <wp:simplePos x="0" y="0"/>
                <wp:positionH relativeFrom="column">
                  <wp:posOffset>2127250</wp:posOffset>
                </wp:positionH>
                <wp:positionV relativeFrom="paragraph">
                  <wp:posOffset>95250</wp:posOffset>
                </wp:positionV>
                <wp:extent cx="812800" cy="127000"/>
                <wp:effectExtent l="57150" t="38100" r="6350" b="82550"/>
                <wp:wrapNone/>
                <wp:docPr id="59" name="Right Arrow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F1C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9" o:spid="_x0000_s1026" type="#_x0000_t13" style="position:absolute;margin-left:167.5pt;margin-top:7.5pt;width:64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" adj="19913" fillcolor="windowText" strokecolor="#4a7ebb">
                <v:shadow on="t" color="black" opacity="22937f" origin=",.5" offset="0,.63889mm"/>
                <v:path arrowok="t"/>
              </v:shape>
            </w:pict>
          </mc:Fallback>
        </mc:AlternateContent>
      </w:r>
    </w:p>
    <w:p w14:paraId="21639B70"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054ED4AF"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3C41EB81" w14:textId="269BAC67"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6432" behindDoc="0" locked="0" layoutInCell="1" allowOverlap="1" wp14:anchorId="04D32695" wp14:editId="78DBE2E0">
                <wp:simplePos x="0" y="0"/>
                <wp:positionH relativeFrom="column">
                  <wp:posOffset>1978660</wp:posOffset>
                </wp:positionH>
                <wp:positionV relativeFrom="paragraph">
                  <wp:posOffset>165735</wp:posOffset>
                </wp:positionV>
                <wp:extent cx="1071880" cy="104140"/>
                <wp:effectExtent l="0" t="304800" r="0" b="334010"/>
                <wp:wrapNone/>
                <wp:docPr id="65" name="Left-Righ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9495567" flipV="1">
                          <a:off x="0" y="0"/>
                          <a:ext cx="1071880" cy="10414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37F0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65" o:spid="_x0000_s1026" type="#_x0000_t69" style="position:absolute;margin-left:155.8pt;margin-top:13.05pt;width:84.4pt;height:8.2pt;rotation:2298602fd;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" adj="1049"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8480" behindDoc="0" locked="0" layoutInCell="1" allowOverlap="1" wp14:anchorId="337BD275" wp14:editId="200401BB">
                <wp:simplePos x="0" y="0"/>
                <wp:positionH relativeFrom="column">
                  <wp:posOffset>3185795</wp:posOffset>
                </wp:positionH>
                <wp:positionV relativeFrom="paragraph">
                  <wp:posOffset>90805</wp:posOffset>
                </wp:positionV>
                <wp:extent cx="391160" cy="121920"/>
                <wp:effectExtent l="58420" t="36830" r="48260" b="67310"/>
                <wp:wrapNone/>
                <wp:docPr id="67" name="Left-Righ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747052" flipV="1">
                          <a:off x="0" y="0"/>
                          <a:ext cx="391160" cy="12192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1FD94" id="Left-Right Arrow 67" o:spid="_x0000_s1026" type="#_x0000_t69" style="position:absolute;margin-left:250.85pt;margin-top:7.15pt;width:30.8pt;height:9.6pt;rotation:-6277313fd;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" adj="3366" fillcolor="windowText" strokecolor="#4a7ebb">
                <v:shadow on="t" color="black" opacity="22937f" origin=",.5" offset="0,.63889mm"/>
                <v:path arrowok="t"/>
              </v:shape>
            </w:pict>
          </mc:Fallback>
        </mc:AlternateContent>
      </w:r>
    </w:p>
    <w:p w14:paraId="47F49AF7" w14:textId="7057E3B2"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3360" behindDoc="0" locked="0" layoutInCell="1" allowOverlap="1" wp14:anchorId="3045B26A" wp14:editId="4C338A92">
                <wp:simplePos x="0" y="0"/>
                <wp:positionH relativeFrom="column">
                  <wp:posOffset>1581150</wp:posOffset>
                </wp:positionH>
                <wp:positionV relativeFrom="paragraph">
                  <wp:posOffset>13335</wp:posOffset>
                </wp:positionV>
                <wp:extent cx="114300" cy="349250"/>
                <wp:effectExtent l="57150" t="19050" r="57150" b="69850"/>
                <wp:wrapNone/>
                <wp:docPr id="47" name="Down Arrow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349250"/>
                        </a:xfrm>
                        <a:prstGeom prst="down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86E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7" o:spid="_x0000_s1026" type="#_x0000_t67" style="position:absolute;margin-left:124.5pt;margin-top:1.05pt;width:9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" adj="18065"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5408" behindDoc="0" locked="0" layoutInCell="1" allowOverlap="1" wp14:anchorId="7CDA5329" wp14:editId="73E3B2F4">
                <wp:simplePos x="0" y="0"/>
                <wp:positionH relativeFrom="column">
                  <wp:posOffset>1927860</wp:posOffset>
                </wp:positionH>
                <wp:positionV relativeFrom="paragraph">
                  <wp:posOffset>97790</wp:posOffset>
                </wp:positionV>
                <wp:extent cx="923290" cy="107315"/>
                <wp:effectExtent l="0" t="285750" r="0" b="330835"/>
                <wp:wrapNone/>
                <wp:docPr id="64" name="Right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3125110">
                          <a:off x="0" y="0"/>
                          <a:ext cx="923290" cy="107315"/>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0AABB" id="Right Arrow 64" o:spid="_x0000_s1026" type="#_x0000_t13" style="position:absolute;margin-left:151.8pt;margin-top:7.7pt;width:72.7pt;height:8.45pt;rotation:-925684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" adj="20345" fillcolor="windowText" strokecolor="#4a7ebb">
                <v:shadow on="t" color="black" opacity="22937f" origin=",.5" offset="0,.63889mm"/>
                <v:path arrowok="t"/>
              </v:shape>
            </w:pict>
          </mc:Fallback>
        </mc:AlternateContent>
      </w:r>
    </w:p>
    <w:p w14:paraId="0DE9CD2D" w14:textId="6F3011C0"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1312" behindDoc="0" locked="0" layoutInCell="1" allowOverlap="1" wp14:anchorId="5EB5571C" wp14:editId="2699A3DD">
                <wp:simplePos x="0" y="0"/>
                <wp:positionH relativeFrom="column">
                  <wp:posOffset>2846705</wp:posOffset>
                </wp:positionH>
                <wp:positionV relativeFrom="paragraph">
                  <wp:posOffset>10160</wp:posOffset>
                </wp:positionV>
                <wp:extent cx="1092200" cy="866775"/>
                <wp:effectExtent l="0" t="0" r="0" b="952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866775"/>
                        </a:xfrm>
                        <a:prstGeom prst="ellipse">
                          <a:avLst/>
                        </a:prstGeom>
                        <a:solidFill>
                          <a:srgbClr val="9BBB59">
                            <a:lumMod val="60000"/>
                            <a:lumOff val="40000"/>
                          </a:srgbClr>
                        </a:solidFill>
                        <a:ln w="9525">
                          <a:solidFill>
                            <a:srgbClr val="000000"/>
                          </a:solidFill>
                          <a:round/>
                          <a:headEnd/>
                          <a:tailEnd/>
                        </a:ln>
                      </wps:spPr>
                      <wps:txb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B5571C" id="Oval 49" o:spid="_x0000_s1028" style="position:absolute;left:0;text-align:left;margin-left:224.15pt;margin-top:.8pt;width:86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" fillcolor="#c3d69b">
                <v:textbo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v:textbox>
              </v:oval>
            </w:pict>
          </mc:Fallback>
        </mc:AlternateContent>
      </w:r>
    </w:p>
    <w:p w14:paraId="5D70E9D9" w14:textId="306B8144"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7456" behindDoc="0" locked="0" layoutInCell="1" allowOverlap="1" wp14:anchorId="6DDBB9E4" wp14:editId="7EF8F8BE">
                <wp:simplePos x="0" y="0"/>
                <wp:positionH relativeFrom="column">
                  <wp:posOffset>2000250</wp:posOffset>
                </wp:positionH>
                <wp:positionV relativeFrom="paragraph">
                  <wp:posOffset>287020</wp:posOffset>
                </wp:positionV>
                <wp:extent cx="812800" cy="127000"/>
                <wp:effectExtent l="57150" t="19050" r="6350" b="82550"/>
                <wp:wrapNone/>
                <wp:docPr id="66" name="Left-Right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AE96E" id="Left-Right Arrow 66" o:spid="_x0000_s1026" type="#_x0000_t69" style="position:absolute;margin-left:157.5pt;margin-top:22.6pt;width:64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" adj="1688"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0288" behindDoc="0" locked="0" layoutInCell="1" allowOverlap="1" wp14:anchorId="21774F2C" wp14:editId="39D960ED">
                <wp:simplePos x="0" y="0"/>
                <wp:positionH relativeFrom="column">
                  <wp:posOffset>908050</wp:posOffset>
                </wp:positionH>
                <wp:positionV relativeFrom="paragraph">
                  <wp:posOffset>48895</wp:posOffset>
                </wp:positionV>
                <wp:extent cx="1047750" cy="527050"/>
                <wp:effectExtent l="0" t="0" r="0" b="635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27050"/>
                        </a:xfrm>
                        <a:prstGeom prst="ellipse">
                          <a:avLst/>
                        </a:prstGeom>
                        <a:solidFill>
                          <a:sysClr val="window" lastClr="FFFFFF">
                            <a:lumMod val="75000"/>
                            <a:lumOff val="0"/>
                          </a:sysClr>
                        </a:solidFill>
                        <a:ln w="9525">
                          <a:solidFill>
                            <a:srgbClr val="000000"/>
                          </a:solidFill>
                          <a:round/>
                          <a:headEnd/>
                          <a:tailEnd/>
                        </a:ln>
                      </wps:spPr>
                      <wps:txb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774F2C" id="Oval 48" o:spid="_x0000_s1029" style="position:absolute;left:0;text-align:left;margin-left:71.5pt;margin-top:3.85pt;width:82.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" fillcolor="#bfbfbf">
                <v:textbo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v:textbox>
              </v:oval>
            </w:pict>
          </mc:Fallback>
        </mc:AlternateContent>
      </w:r>
    </w:p>
    <w:p w14:paraId="4FC81401" w14:textId="77777777" w:rsidR="00FE321A" w:rsidRPr="00D9141A" w:rsidRDefault="00FE321A" w:rsidP="00FE321A">
      <w:pPr>
        <w:ind w:left="360"/>
        <w:contextualSpacing/>
        <w:jc w:val="both"/>
        <w:rPr>
          <w:rFonts w:ascii="Calibri Light" w:hAnsi="Calibri Light" w:cs="Calibri Light"/>
          <w:sz w:val="24"/>
          <w:szCs w:val="24"/>
        </w:rPr>
      </w:pPr>
    </w:p>
    <w:p w14:paraId="49B452F7" w14:textId="77777777" w:rsidR="00FE321A" w:rsidRPr="00D9141A" w:rsidRDefault="00FE321A" w:rsidP="00FE321A">
      <w:pPr>
        <w:ind w:left="360"/>
        <w:contextualSpacing/>
        <w:jc w:val="both"/>
        <w:rPr>
          <w:rFonts w:ascii="Calibri Light" w:hAnsi="Calibri Light" w:cs="Calibri Light"/>
          <w:sz w:val="24"/>
          <w:szCs w:val="24"/>
        </w:rPr>
      </w:pPr>
    </w:p>
    <w:p w14:paraId="25DF9716" w14:textId="77777777" w:rsidR="00FE321A" w:rsidRPr="00D9141A" w:rsidRDefault="00FE321A" w:rsidP="00FE321A">
      <w:pPr>
        <w:ind w:left="360"/>
        <w:contextualSpacing/>
        <w:jc w:val="both"/>
        <w:rPr>
          <w:rFonts w:ascii="Calibri Light" w:hAnsi="Calibri Light" w:cs="Calibri Light"/>
          <w:sz w:val="24"/>
          <w:szCs w:val="24"/>
        </w:rPr>
      </w:pPr>
    </w:p>
    <w:p w14:paraId="0DB3FA2A"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Source: Miles, Huberman, &amp; Saldana (2014)</w:t>
      </w:r>
    </w:p>
    <w:p w14:paraId="4C90E88F" w14:textId="77777777" w:rsidR="00FE321A" w:rsidRPr="00D9141A" w:rsidRDefault="00FE321A" w:rsidP="00FE321A">
      <w:pPr>
        <w:ind w:left="360"/>
        <w:contextualSpacing/>
        <w:jc w:val="both"/>
        <w:rPr>
          <w:rFonts w:ascii="Calibri Light" w:hAnsi="Calibri Light" w:cs="Calibri Light"/>
          <w:sz w:val="24"/>
          <w:szCs w:val="24"/>
        </w:rPr>
      </w:pPr>
    </w:p>
    <w:p w14:paraId="6E36A4D7"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first step is the strategy (process) of data collection, which applies three interrelated and complementary main techniques: (1) Interviews, conducted to obtain various direct data from research subjects related to child violence; (2) Observation, carried out to observe various situations and conditions in the field; and (3) Documentation, which involves analyzing data from various secondary sources; The second step is data condensation, which involves processes of selection, simplification, abstraction, and transforming data that approaches the entirety of field notes, interview transcripts, documents, and other empirical materials; The third step is data display, where data is presented using tables and descriptive narratives; and The final step is drawing conclusions and verification, which means that after the data is analyzed, it is then summarized and verified against relevant concepts.</w:t>
      </w:r>
    </w:p>
    <w:p w14:paraId="415EC5B7" w14:textId="77777777" w:rsidR="00F369EC" w:rsidRPr="00D9141A" w:rsidRDefault="00F369EC" w:rsidP="00F369EC">
      <w:pPr>
        <w:spacing w:before="120" w:after="120"/>
        <w:ind w:left="426"/>
        <w:jc w:val="both"/>
        <w:rPr>
          <w:rFonts w:ascii="Calibri Light" w:hAnsi="Calibri Light" w:cs="Calibri Light"/>
          <w:color w:val="FF0000"/>
          <w:sz w:val="24"/>
          <w:szCs w:val="24"/>
          <w:lang w:val="id-ID"/>
        </w:rPr>
      </w:pPr>
    </w:p>
    <w:p w14:paraId="6BD3CFD3" w14:textId="77777777" w:rsidR="00D26ADD" w:rsidRPr="00D9141A" w:rsidRDefault="00334792" w:rsidP="00FE321A">
      <w:pPr>
        <w:numPr>
          <w:ilvl w:val="0"/>
          <w:numId w:val="28"/>
        </w:numPr>
        <w:spacing w:before="120" w:after="120"/>
        <w:ind w:left="567" w:hanging="567"/>
        <w:rPr>
          <w:rFonts w:ascii="Calibri Light" w:hAnsi="Calibri Light" w:cs="Calibri Light"/>
          <w:b/>
          <w:color w:val="A6A6A6"/>
          <w:sz w:val="24"/>
          <w:szCs w:val="24"/>
        </w:rPr>
      </w:pPr>
      <w:commentRangeStart w:id="8"/>
      <w:r w:rsidRPr="00D9141A">
        <w:rPr>
          <w:rFonts w:ascii="Calibri Light" w:hAnsi="Calibri Light" w:cs="Calibri Light"/>
          <w:b/>
          <w:sz w:val="24"/>
          <w:szCs w:val="24"/>
          <w:lang w:val="id-ID"/>
        </w:rPr>
        <w:t>RESULT AND DISCUSSION</w:t>
      </w:r>
      <w:r w:rsidR="00D26ADD" w:rsidRPr="00D9141A">
        <w:rPr>
          <w:rFonts w:ascii="Calibri Light" w:hAnsi="Calibri Light" w:cs="Calibri Light"/>
          <w:b/>
          <w:sz w:val="24"/>
          <w:szCs w:val="24"/>
        </w:rPr>
        <w:t xml:space="preserve"> </w:t>
      </w:r>
      <w:commentRangeEnd w:id="8"/>
      <w:r w:rsidR="00615815">
        <w:rPr>
          <w:rStyle w:val="CommentReference"/>
        </w:rPr>
        <w:commentReference w:id="8"/>
      </w:r>
    </w:p>
    <w:p w14:paraId="37D8C365"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Child Maltreatment in Malang City</w:t>
      </w:r>
    </w:p>
    <w:p w14:paraId="11CCC95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research data, a total of 52 cases of violence against children were recorded in Malang City during 2023. Children who are victims of violence (child maltreatment) are certainly one of the types of clients requiring social welfare services (PPKS).</w:t>
      </w:r>
    </w:p>
    <w:p w14:paraId="7854EBAA" w14:textId="77777777" w:rsidR="000422F6" w:rsidRPr="00D9141A" w:rsidRDefault="000422F6" w:rsidP="000422F6">
      <w:pPr>
        <w:ind w:left="1146"/>
        <w:contextualSpacing/>
        <w:jc w:val="both"/>
        <w:rPr>
          <w:rFonts w:ascii="Calibri Light" w:hAnsi="Calibri Light" w:cs="Calibri Light"/>
          <w:sz w:val="24"/>
          <w:szCs w:val="24"/>
        </w:rPr>
      </w:pPr>
    </w:p>
    <w:p w14:paraId="6CE1C986"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1: Categories of Forms of Violence Against Children</w:t>
      </w:r>
    </w:p>
    <w:p w14:paraId="2CFD01C2" w14:textId="77777777" w:rsidR="000422F6" w:rsidRPr="00D9141A" w:rsidRDefault="000422F6" w:rsidP="000422F6">
      <w:pPr>
        <w:ind w:left="1146"/>
        <w:contextualSpacing/>
        <w:jc w:val="both"/>
        <w:rPr>
          <w:rFonts w:ascii="Calibri Light" w:hAnsi="Calibri Light" w:cs="Calibri Light"/>
          <w:sz w:val="24"/>
          <w:szCs w:val="24"/>
        </w:rPr>
      </w:pPr>
    </w:p>
    <w:p w14:paraId="01392E7F" w14:textId="77777777" w:rsidR="000422F6" w:rsidRPr="00D9141A" w:rsidRDefault="000422F6" w:rsidP="000422F6">
      <w:pPr>
        <w:ind w:left="1146"/>
        <w:contextualSpacing/>
        <w:rPr>
          <w:rFonts w:ascii="Calibri Light" w:hAnsi="Calibri Light" w:cs="Calibri Light"/>
          <w:color w:val="000000"/>
          <w:sz w:val="24"/>
          <w:szCs w:val="24"/>
        </w:rPr>
      </w:pPr>
    </w:p>
    <w:tbl>
      <w:tblPr>
        <w:tblStyle w:val="TableGrid"/>
        <w:tblW w:w="66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3260"/>
        <w:gridCol w:w="992"/>
        <w:gridCol w:w="1560"/>
      </w:tblGrid>
      <w:tr w:rsidR="000422F6" w:rsidRPr="00D9141A" w14:paraId="57813EBE" w14:textId="77777777" w:rsidTr="005478DB">
        <w:trPr>
          <w:jc w:val="center"/>
        </w:trPr>
        <w:tc>
          <w:tcPr>
            <w:tcW w:w="851" w:type="dxa"/>
            <w:tcBorders>
              <w:top w:val="single" w:sz="4" w:space="0" w:color="auto"/>
              <w:bottom w:val="single" w:sz="4" w:space="0" w:color="auto"/>
            </w:tcBorders>
          </w:tcPr>
          <w:p w14:paraId="09B96866"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No.</w:t>
            </w:r>
          </w:p>
        </w:tc>
        <w:tc>
          <w:tcPr>
            <w:tcW w:w="3260" w:type="dxa"/>
            <w:tcBorders>
              <w:top w:val="single" w:sz="4" w:space="0" w:color="auto"/>
              <w:bottom w:val="single" w:sz="4" w:space="0" w:color="auto"/>
            </w:tcBorders>
          </w:tcPr>
          <w:p w14:paraId="28E6D59E"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 xml:space="preserve">Category Form of Violence </w:t>
            </w:r>
          </w:p>
        </w:tc>
        <w:tc>
          <w:tcPr>
            <w:tcW w:w="992" w:type="dxa"/>
            <w:tcBorders>
              <w:top w:val="single" w:sz="4" w:space="0" w:color="auto"/>
              <w:bottom w:val="single" w:sz="4" w:space="0" w:color="auto"/>
            </w:tcBorders>
          </w:tcPr>
          <w:p w14:paraId="3A9DD51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1560" w:type="dxa"/>
            <w:tcBorders>
              <w:top w:val="single" w:sz="4" w:space="0" w:color="auto"/>
              <w:bottom w:val="single" w:sz="4" w:space="0" w:color="auto"/>
            </w:tcBorders>
          </w:tcPr>
          <w:p w14:paraId="5404CEE0" w14:textId="77777777" w:rsidR="000422F6" w:rsidRPr="00D9141A" w:rsidRDefault="000422F6" w:rsidP="005478DB">
            <w:pPr>
              <w:contextualSpacing/>
              <w:jc w:val="center"/>
              <w:rPr>
                <w:rFonts w:ascii="Calibri Light" w:hAnsi="Calibri Light" w:cs="Calibri Light"/>
                <w:b/>
                <w:color w:val="000000"/>
                <w:sz w:val="24"/>
                <w:szCs w:val="24"/>
              </w:rPr>
            </w:pPr>
            <w:proofErr w:type="spellStart"/>
            <w:r w:rsidRPr="00D9141A">
              <w:rPr>
                <w:rFonts w:ascii="Calibri Light" w:hAnsi="Calibri Light" w:cs="Calibri Light"/>
                <w:b/>
                <w:color w:val="000000"/>
                <w:sz w:val="24"/>
                <w:szCs w:val="24"/>
              </w:rPr>
              <w:t>Persentage</w:t>
            </w:r>
            <w:proofErr w:type="spellEnd"/>
            <w:r w:rsidRPr="00D9141A">
              <w:rPr>
                <w:rFonts w:ascii="Calibri Light" w:hAnsi="Calibri Light" w:cs="Calibri Light"/>
                <w:b/>
                <w:color w:val="000000"/>
                <w:sz w:val="24"/>
                <w:szCs w:val="24"/>
              </w:rPr>
              <w:t xml:space="preserve"> (%)</w:t>
            </w:r>
          </w:p>
        </w:tc>
      </w:tr>
      <w:tr w:rsidR="000422F6" w:rsidRPr="00D9141A" w14:paraId="411FF8F5" w14:textId="77777777" w:rsidTr="005478DB">
        <w:trPr>
          <w:jc w:val="center"/>
        </w:trPr>
        <w:tc>
          <w:tcPr>
            <w:tcW w:w="851" w:type="dxa"/>
            <w:tcBorders>
              <w:top w:val="single" w:sz="4" w:space="0" w:color="auto"/>
            </w:tcBorders>
          </w:tcPr>
          <w:p w14:paraId="1450D0EC"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3260" w:type="dxa"/>
            <w:tcBorders>
              <w:top w:val="single" w:sz="4" w:space="0" w:color="auto"/>
            </w:tcBorders>
          </w:tcPr>
          <w:p w14:paraId="7B6BB5AA"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Physical Performance</w:t>
            </w:r>
          </w:p>
        </w:tc>
        <w:tc>
          <w:tcPr>
            <w:tcW w:w="992" w:type="dxa"/>
            <w:tcBorders>
              <w:top w:val="single" w:sz="4" w:space="0" w:color="auto"/>
            </w:tcBorders>
          </w:tcPr>
          <w:p w14:paraId="6E2522FB"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13</w:t>
            </w:r>
          </w:p>
        </w:tc>
        <w:tc>
          <w:tcPr>
            <w:tcW w:w="1560" w:type="dxa"/>
            <w:tcBorders>
              <w:top w:val="single" w:sz="4" w:space="0" w:color="auto"/>
            </w:tcBorders>
          </w:tcPr>
          <w:p w14:paraId="21BBEA80"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25</w:t>
            </w:r>
          </w:p>
        </w:tc>
      </w:tr>
      <w:tr w:rsidR="000422F6" w:rsidRPr="00D9141A" w14:paraId="3485418D" w14:textId="77777777" w:rsidTr="005478DB">
        <w:trPr>
          <w:jc w:val="center"/>
        </w:trPr>
        <w:tc>
          <w:tcPr>
            <w:tcW w:w="851" w:type="dxa"/>
          </w:tcPr>
          <w:p w14:paraId="029E9B4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2.</w:t>
            </w:r>
          </w:p>
        </w:tc>
        <w:tc>
          <w:tcPr>
            <w:tcW w:w="3260" w:type="dxa"/>
          </w:tcPr>
          <w:p w14:paraId="19B7EF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Psychological Violence</w:t>
            </w:r>
          </w:p>
        </w:tc>
        <w:tc>
          <w:tcPr>
            <w:tcW w:w="992" w:type="dxa"/>
          </w:tcPr>
          <w:p w14:paraId="406DB843"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10</w:t>
            </w:r>
          </w:p>
        </w:tc>
        <w:tc>
          <w:tcPr>
            <w:tcW w:w="1560" w:type="dxa"/>
          </w:tcPr>
          <w:p w14:paraId="4C42AA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19,24</w:t>
            </w:r>
          </w:p>
        </w:tc>
      </w:tr>
      <w:tr w:rsidR="000422F6" w:rsidRPr="00D9141A" w14:paraId="52E04D8E" w14:textId="77777777" w:rsidTr="005478DB">
        <w:trPr>
          <w:jc w:val="center"/>
        </w:trPr>
        <w:tc>
          <w:tcPr>
            <w:tcW w:w="851" w:type="dxa"/>
          </w:tcPr>
          <w:p w14:paraId="77309357"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3.</w:t>
            </w:r>
          </w:p>
        </w:tc>
        <w:tc>
          <w:tcPr>
            <w:tcW w:w="3260" w:type="dxa"/>
          </w:tcPr>
          <w:p w14:paraId="1D9157A2"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Sexual Violence/obscenity/rape</w:t>
            </w:r>
          </w:p>
        </w:tc>
        <w:tc>
          <w:tcPr>
            <w:tcW w:w="992" w:type="dxa"/>
          </w:tcPr>
          <w:p w14:paraId="6BDBB266"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17</w:t>
            </w:r>
          </w:p>
        </w:tc>
        <w:tc>
          <w:tcPr>
            <w:tcW w:w="1560" w:type="dxa"/>
          </w:tcPr>
          <w:p w14:paraId="6657D70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32,70</w:t>
            </w:r>
          </w:p>
        </w:tc>
      </w:tr>
      <w:tr w:rsidR="000422F6" w:rsidRPr="00D9141A" w14:paraId="6C096D91" w14:textId="77777777" w:rsidTr="005478DB">
        <w:trPr>
          <w:jc w:val="center"/>
        </w:trPr>
        <w:tc>
          <w:tcPr>
            <w:tcW w:w="851" w:type="dxa"/>
          </w:tcPr>
          <w:p w14:paraId="020C14A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4.</w:t>
            </w:r>
          </w:p>
        </w:tc>
        <w:tc>
          <w:tcPr>
            <w:tcW w:w="3260" w:type="dxa"/>
          </w:tcPr>
          <w:p w14:paraId="2481433B"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Neglect/neglect of children rights</w:t>
            </w:r>
          </w:p>
        </w:tc>
        <w:tc>
          <w:tcPr>
            <w:tcW w:w="992" w:type="dxa"/>
          </w:tcPr>
          <w:p w14:paraId="0DFCEBE1"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11</w:t>
            </w:r>
          </w:p>
        </w:tc>
        <w:tc>
          <w:tcPr>
            <w:tcW w:w="1560" w:type="dxa"/>
          </w:tcPr>
          <w:p w14:paraId="3AF1DF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21,16</w:t>
            </w:r>
          </w:p>
        </w:tc>
      </w:tr>
      <w:tr w:rsidR="000422F6" w:rsidRPr="00D9141A" w14:paraId="67ECE2B5" w14:textId="77777777" w:rsidTr="005478DB">
        <w:trPr>
          <w:jc w:val="center"/>
        </w:trPr>
        <w:tc>
          <w:tcPr>
            <w:tcW w:w="851" w:type="dxa"/>
            <w:tcBorders>
              <w:bottom w:val="single" w:sz="4" w:space="0" w:color="auto"/>
            </w:tcBorders>
          </w:tcPr>
          <w:p w14:paraId="40BD54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5.</w:t>
            </w:r>
          </w:p>
        </w:tc>
        <w:tc>
          <w:tcPr>
            <w:tcW w:w="3260" w:type="dxa"/>
            <w:tcBorders>
              <w:bottom w:val="single" w:sz="4" w:space="0" w:color="auto"/>
            </w:tcBorders>
          </w:tcPr>
          <w:p w14:paraId="3A618F3F"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Social violence/exploitation</w:t>
            </w:r>
          </w:p>
        </w:tc>
        <w:tc>
          <w:tcPr>
            <w:tcW w:w="992" w:type="dxa"/>
            <w:tcBorders>
              <w:bottom w:val="single" w:sz="4" w:space="0" w:color="auto"/>
            </w:tcBorders>
          </w:tcPr>
          <w:p w14:paraId="4BC13E8D"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1560" w:type="dxa"/>
            <w:tcBorders>
              <w:bottom w:val="single" w:sz="4" w:space="0" w:color="auto"/>
            </w:tcBorders>
          </w:tcPr>
          <w:p w14:paraId="4F8978D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0,02</w:t>
            </w:r>
          </w:p>
        </w:tc>
      </w:tr>
      <w:tr w:rsidR="000422F6" w:rsidRPr="00D9141A" w14:paraId="275F711C" w14:textId="77777777" w:rsidTr="005478DB">
        <w:trPr>
          <w:jc w:val="center"/>
        </w:trPr>
        <w:tc>
          <w:tcPr>
            <w:tcW w:w="4111" w:type="dxa"/>
            <w:gridSpan w:val="2"/>
            <w:tcBorders>
              <w:top w:val="single" w:sz="4" w:space="0" w:color="auto"/>
              <w:bottom w:val="single" w:sz="4" w:space="0" w:color="auto"/>
            </w:tcBorders>
          </w:tcPr>
          <w:p w14:paraId="05C2327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992" w:type="dxa"/>
            <w:tcBorders>
              <w:top w:val="single" w:sz="4" w:space="0" w:color="auto"/>
              <w:bottom w:val="single" w:sz="4" w:space="0" w:color="auto"/>
            </w:tcBorders>
          </w:tcPr>
          <w:p w14:paraId="0616CA9D"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52</w:t>
            </w:r>
          </w:p>
        </w:tc>
        <w:tc>
          <w:tcPr>
            <w:tcW w:w="1560" w:type="dxa"/>
            <w:tcBorders>
              <w:top w:val="single" w:sz="4" w:space="0" w:color="auto"/>
              <w:bottom w:val="single" w:sz="4" w:space="0" w:color="auto"/>
            </w:tcBorders>
          </w:tcPr>
          <w:p w14:paraId="3367922C"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100</w:t>
            </w:r>
          </w:p>
        </w:tc>
      </w:tr>
    </w:tbl>
    <w:p w14:paraId="138311D2" w14:textId="77777777" w:rsidR="000422F6" w:rsidRPr="00D9141A" w:rsidRDefault="000422F6" w:rsidP="000422F6">
      <w:pPr>
        <w:ind w:left="1146"/>
        <w:contextualSpacing/>
        <w:rPr>
          <w:rFonts w:ascii="Calibri Light" w:hAnsi="Calibri Light" w:cs="Calibri Light"/>
          <w:color w:val="000000"/>
          <w:sz w:val="24"/>
          <w:szCs w:val="24"/>
        </w:rPr>
      </w:pPr>
    </w:p>
    <w:p w14:paraId="264F662E"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b/>
          <w:sz w:val="24"/>
          <w:szCs w:val="24"/>
        </w:rPr>
        <w:t>Source</w:t>
      </w:r>
      <w:r w:rsidRPr="00D9141A">
        <w:rPr>
          <w:rFonts w:ascii="Calibri Light" w:hAnsi="Calibri Light" w:cs="Calibri Light"/>
          <w:sz w:val="24"/>
          <w:szCs w:val="24"/>
        </w:rPr>
        <w:t xml:space="preserve">: </w:t>
      </w:r>
      <w:commentRangeStart w:id="9"/>
      <w:r w:rsidRPr="00D9141A">
        <w:rPr>
          <w:rFonts w:ascii="Calibri Light" w:hAnsi="Calibri Light" w:cs="Calibri Light"/>
          <w:sz w:val="24"/>
          <w:szCs w:val="24"/>
        </w:rPr>
        <w:t>Research Data, 2023 (Processed)</w:t>
      </w:r>
      <w:commentRangeEnd w:id="9"/>
      <w:r w:rsidR="00043DA6">
        <w:rPr>
          <w:rStyle w:val="CommentReference"/>
        </w:rPr>
        <w:commentReference w:id="9"/>
      </w:r>
    </w:p>
    <w:p w14:paraId="4F0FB1BA" w14:textId="77777777" w:rsidR="000422F6" w:rsidRPr="00D9141A" w:rsidRDefault="000422F6" w:rsidP="000422F6">
      <w:pPr>
        <w:ind w:left="1146"/>
        <w:contextualSpacing/>
        <w:jc w:val="both"/>
        <w:rPr>
          <w:rFonts w:ascii="Calibri Light" w:hAnsi="Calibri Light" w:cs="Calibri Light"/>
          <w:sz w:val="24"/>
          <w:szCs w:val="24"/>
        </w:rPr>
      </w:pPr>
    </w:p>
    <w:p w14:paraId="2821FD32"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Table 1 above, it is evident that the most dominant category of violence against children in Malang City during 2023 is sexual violence, including molestation and rape, accounting for 32.70%. Physical violence constitutes 25%, psychological violence is at 19.24%, neglect or abandonment of children's rights is 21.16%, and social violence or exploitation is at 0.02%.</w:t>
      </w:r>
    </w:p>
    <w:p w14:paraId="3AFB2BB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Children are the most vulnerable targets for adult violence. Their physical position and condition make them unable to resist the violent actions perpetrated by adults.</w:t>
      </w:r>
    </w:p>
    <w:p w14:paraId="50C939C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Furthermore, when looking at the gender of child victims of violence, 36 cases (69.23%) of violence were committed against girls, while 16 cases (30.77%) were committed against boys. Based on gender, most child victims of violence are girls.</w:t>
      </w:r>
    </w:p>
    <w:p w14:paraId="52B9DAB6"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forms of violence inflicted on girls are primarily in the form of sexual violence. </w:t>
      </w:r>
      <w:commentRangeStart w:id="10"/>
      <w:r w:rsidRPr="00D9141A">
        <w:rPr>
          <w:rFonts w:ascii="Calibri Light" w:hAnsi="Calibri Light" w:cs="Calibri Light"/>
          <w:sz w:val="24"/>
          <w:szCs w:val="24"/>
        </w:rPr>
        <w:t xml:space="preserve">Girls are not only physically weak but also very innocent, </w:t>
      </w:r>
      <w:commentRangeEnd w:id="10"/>
      <w:r w:rsidR="002A7F13">
        <w:rPr>
          <w:rStyle w:val="CommentReference"/>
        </w:rPr>
        <w:commentReference w:id="10"/>
      </w:r>
      <w:r w:rsidRPr="00D9141A">
        <w:rPr>
          <w:rFonts w:ascii="Calibri Light" w:hAnsi="Calibri Light" w:cs="Calibri Light"/>
          <w:sz w:val="24"/>
          <w:szCs w:val="24"/>
        </w:rPr>
        <w:t>making them unable to comprehend what adults are actually doing to them. Girls are often easily persuaded or enticed, for example, with promises of pocket money, and so on. They are also very easy to control, fearful of threats, and obedient.</w:t>
      </w:r>
    </w:p>
    <w:p w14:paraId="3F084F0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Violence inflicted on children will certainly have an impact on them as victims of such actions. The effects include physical, psychological/mental, and social impacts. As stated by a research subject as follows:</w:t>
      </w:r>
    </w:p>
    <w:p w14:paraId="3CCCDAB8" w14:textId="77777777" w:rsidR="000422F6" w:rsidRPr="00D9141A" w:rsidRDefault="000422F6" w:rsidP="000422F6">
      <w:pPr>
        <w:contextualSpacing/>
        <w:jc w:val="both"/>
        <w:rPr>
          <w:rFonts w:ascii="Calibri Light" w:hAnsi="Calibri Light" w:cs="Calibri Light"/>
          <w:sz w:val="24"/>
          <w:szCs w:val="24"/>
        </w:rPr>
      </w:pPr>
    </w:p>
    <w:p w14:paraId="19EFA58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 xml:space="preserve">“…Yes, it will certainly have negative effects on child victims of violence. Physically, they experience pain, especially those who are victims of physical violence; psychologically, they generally feel trauma, stress, low self-esteem, insomnia, and </w:t>
      </w:r>
      <w:r w:rsidRPr="00D9141A">
        <w:rPr>
          <w:rFonts w:ascii="Calibri Light" w:hAnsi="Calibri Light" w:cs="Calibri Light"/>
          <w:sz w:val="24"/>
          <w:szCs w:val="24"/>
        </w:rPr>
        <w:lastRenderedPageBreak/>
        <w:t>so on. Socially, child victims of violence usually do not want to socialize, are afraid to meet others, are suspicious, quiet, like this…”</w:t>
      </w:r>
    </w:p>
    <w:p w14:paraId="19AD057B"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(Interview with subject IR)</w:t>
      </w:r>
    </w:p>
    <w:p w14:paraId="1DB7FB54" w14:textId="77777777" w:rsidR="000422F6" w:rsidRPr="00D9141A" w:rsidRDefault="000422F6" w:rsidP="000422F6">
      <w:pPr>
        <w:ind w:left="1146"/>
        <w:contextualSpacing/>
        <w:jc w:val="both"/>
        <w:rPr>
          <w:rFonts w:ascii="Calibri Light" w:hAnsi="Calibri Light" w:cs="Calibri Light"/>
          <w:sz w:val="24"/>
          <w:szCs w:val="24"/>
        </w:rPr>
      </w:pPr>
    </w:p>
    <w:p w14:paraId="36318F7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results of the identification regarding how the impacts of violence against children can be illustrated in Table 2 as follows:</w:t>
      </w:r>
    </w:p>
    <w:p w14:paraId="2659D326" w14:textId="77777777" w:rsidR="000422F6" w:rsidRPr="00D9141A" w:rsidRDefault="000422F6" w:rsidP="000422F6">
      <w:pPr>
        <w:ind w:left="1146"/>
        <w:contextualSpacing/>
        <w:jc w:val="both"/>
        <w:rPr>
          <w:rFonts w:ascii="Calibri Light" w:hAnsi="Calibri Light" w:cs="Calibri Light"/>
          <w:sz w:val="24"/>
          <w:szCs w:val="24"/>
        </w:rPr>
      </w:pPr>
    </w:p>
    <w:p w14:paraId="5F062980"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2: Impact of Violent Actions</w:t>
      </w:r>
    </w:p>
    <w:p w14:paraId="0A730565" w14:textId="77777777" w:rsidR="000422F6" w:rsidRPr="00D9141A" w:rsidRDefault="000422F6" w:rsidP="000422F6">
      <w:pPr>
        <w:ind w:left="1146"/>
        <w:contextualSpacing/>
        <w:jc w:val="both"/>
        <w:rPr>
          <w:rFonts w:ascii="Calibri Light" w:hAnsi="Calibri Light" w:cs="Calibri Light"/>
          <w:sz w:val="24"/>
          <w:szCs w:val="24"/>
        </w:rPr>
      </w:pPr>
    </w:p>
    <w:p w14:paraId="79A2AAC3" w14:textId="77777777" w:rsidR="000422F6" w:rsidRPr="00D9141A" w:rsidRDefault="000422F6" w:rsidP="000422F6">
      <w:pPr>
        <w:adjustRightInd w:val="0"/>
        <w:ind w:left="1146" w:right="431"/>
        <w:contextualSpacing/>
        <w:jc w:val="both"/>
        <w:rPr>
          <w:rFonts w:ascii="Calibri Light" w:hAnsi="Calibri Light" w:cs="Calibri Light"/>
          <w:sz w:val="24"/>
          <w:szCs w:val="24"/>
        </w:rPr>
      </w:pPr>
    </w:p>
    <w:tbl>
      <w:tblPr>
        <w:tblStyle w:val="TableGrid"/>
        <w:tblW w:w="69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977"/>
        <w:gridCol w:w="1559"/>
        <w:gridCol w:w="1701"/>
      </w:tblGrid>
      <w:tr w:rsidR="000422F6" w:rsidRPr="00D9141A" w14:paraId="28BED25F" w14:textId="77777777" w:rsidTr="005478DB">
        <w:trPr>
          <w:jc w:val="center"/>
        </w:trPr>
        <w:tc>
          <w:tcPr>
            <w:tcW w:w="709" w:type="dxa"/>
            <w:tcBorders>
              <w:top w:val="single" w:sz="4" w:space="0" w:color="auto"/>
              <w:bottom w:val="single" w:sz="4" w:space="0" w:color="auto"/>
            </w:tcBorders>
          </w:tcPr>
          <w:p w14:paraId="707DE815"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2977" w:type="dxa"/>
            <w:tcBorders>
              <w:top w:val="single" w:sz="4" w:space="0" w:color="auto"/>
              <w:bottom w:val="single" w:sz="4" w:space="0" w:color="auto"/>
            </w:tcBorders>
          </w:tcPr>
          <w:p w14:paraId="293D678A"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Type of Impact</w:t>
            </w:r>
          </w:p>
        </w:tc>
        <w:tc>
          <w:tcPr>
            <w:tcW w:w="1559" w:type="dxa"/>
            <w:tcBorders>
              <w:top w:val="single" w:sz="4" w:space="0" w:color="auto"/>
              <w:bottom w:val="single" w:sz="4" w:space="0" w:color="auto"/>
            </w:tcBorders>
          </w:tcPr>
          <w:p w14:paraId="33B9E0FD"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7CF92B2A"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701" w:type="dxa"/>
            <w:tcBorders>
              <w:top w:val="single" w:sz="4" w:space="0" w:color="auto"/>
              <w:bottom w:val="single" w:sz="4" w:space="0" w:color="auto"/>
            </w:tcBorders>
          </w:tcPr>
          <w:p w14:paraId="7DF9E19D"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65151DF"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20ACF8BE" w14:textId="77777777" w:rsidTr="005478DB">
        <w:trPr>
          <w:jc w:val="center"/>
        </w:trPr>
        <w:tc>
          <w:tcPr>
            <w:tcW w:w="709" w:type="dxa"/>
            <w:tcBorders>
              <w:top w:val="single" w:sz="4" w:space="0" w:color="auto"/>
            </w:tcBorders>
          </w:tcPr>
          <w:p w14:paraId="3B9951D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977" w:type="dxa"/>
            <w:tcBorders>
              <w:top w:val="single" w:sz="4" w:space="0" w:color="auto"/>
            </w:tcBorders>
          </w:tcPr>
          <w:p w14:paraId="03E487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Experiencing physical pain/fever </w:t>
            </w:r>
          </w:p>
        </w:tc>
        <w:tc>
          <w:tcPr>
            <w:tcW w:w="1559" w:type="dxa"/>
            <w:tcBorders>
              <w:top w:val="single" w:sz="4" w:space="0" w:color="auto"/>
            </w:tcBorders>
          </w:tcPr>
          <w:p w14:paraId="712D66B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29</w:t>
            </w:r>
          </w:p>
        </w:tc>
        <w:tc>
          <w:tcPr>
            <w:tcW w:w="1701" w:type="dxa"/>
            <w:tcBorders>
              <w:top w:val="single" w:sz="4" w:space="0" w:color="auto"/>
            </w:tcBorders>
          </w:tcPr>
          <w:p w14:paraId="75CBA60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55,77</w:t>
            </w:r>
          </w:p>
        </w:tc>
      </w:tr>
      <w:tr w:rsidR="000422F6" w:rsidRPr="00D9141A" w14:paraId="35751972" w14:textId="77777777" w:rsidTr="005478DB">
        <w:trPr>
          <w:jc w:val="center"/>
        </w:trPr>
        <w:tc>
          <w:tcPr>
            <w:tcW w:w="709" w:type="dxa"/>
          </w:tcPr>
          <w:p w14:paraId="26CF4C4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977" w:type="dxa"/>
          </w:tcPr>
          <w:p w14:paraId="79AEA6B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Trauma/Stress/Hysterics </w:t>
            </w:r>
          </w:p>
        </w:tc>
        <w:tc>
          <w:tcPr>
            <w:tcW w:w="1559" w:type="dxa"/>
          </w:tcPr>
          <w:p w14:paraId="3C3EDA0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41</w:t>
            </w:r>
          </w:p>
        </w:tc>
        <w:tc>
          <w:tcPr>
            <w:tcW w:w="1701" w:type="dxa"/>
          </w:tcPr>
          <w:p w14:paraId="523E274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78,85</w:t>
            </w:r>
          </w:p>
        </w:tc>
      </w:tr>
      <w:tr w:rsidR="000422F6" w:rsidRPr="00D9141A" w14:paraId="0FE178A6" w14:textId="77777777" w:rsidTr="005478DB">
        <w:trPr>
          <w:jc w:val="center"/>
        </w:trPr>
        <w:tc>
          <w:tcPr>
            <w:tcW w:w="709" w:type="dxa"/>
          </w:tcPr>
          <w:p w14:paraId="685DF7A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977" w:type="dxa"/>
          </w:tcPr>
          <w:p w14:paraId="77F3190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Insecure/Quiet/Doesn't want to socialize </w:t>
            </w:r>
          </w:p>
        </w:tc>
        <w:tc>
          <w:tcPr>
            <w:tcW w:w="1559" w:type="dxa"/>
          </w:tcPr>
          <w:p w14:paraId="4413634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37</w:t>
            </w:r>
          </w:p>
        </w:tc>
        <w:tc>
          <w:tcPr>
            <w:tcW w:w="1701" w:type="dxa"/>
          </w:tcPr>
          <w:p w14:paraId="36D476E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71,15</w:t>
            </w:r>
          </w:p>
        </w:tc>
      </w:tr>
      <w:tr w:rsidR="000422F6" w:rsidRPr="00D9141A" w14:paraId="41F17092" w14:textId="77777777" w:rsidTr="005478DB">
        <w:trPr>
          <w:jc w:val="center"/>
        </w:trPr>
        <w:tc>
          <w:tcPr>
            <w:tcW w:w="709" w:type="dxa"/>
          </w:tcPr>
          <w:p w14:paraId="57DE22C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977" w:type="dxa"/>
          </w:tcPr>
          <w:p w14:paraId="7FE978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Fear of meeting other people </w:t>
            </w:r>
          </w:p>
        </w:tc>
        <w:tc>
          <w:tcPr>
            <w:tcW w:w="1559" w:type="dxa"/>
          </w:tcPr>
          <w:p w14:paraId="3ACDF20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31</w:t>
            </w:r>
          </w:p>
        </w:tc>
        <w:tc>
          <w:tcPr>
            <w:tcW w:w="1701" w:type="dxa"/>
          </w:tcPr>
          <w:p w14:paraId="09CABE4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59,62</w:t>
            </w:r>
          </w:p>
        </w:tc>
      </w:tr>
      <w:tr w:rsidR="000422F6" w:rsidRPr="00D9141A" w14:paraId="6B3D5C6F" w14:textId="77777777" w:rsidTr="005478DB">
        <w:trPr>
          <w:jc w:val="center"/>
        </w:trPr>
        <w:tc>
          <w:tcPr>
            <w:tcW w:w="709" w:type="dxa"/>
          </w:tcPr>
          <w:p w14:paraId="66786A4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5.</w:t>
            </w:r>
          </w:p>
        </w:tc>
        <w:tc>
          <w:tcPr>
            <w:tcW w:w="2977" w:type="dxa"/>
          </w:tcPr>
          <w:p w14:paraId="34920C7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Embarrassed/Don't want to go to school </w:t>
            </w:r>
          </w:p>
        </w:tc>
        <w:tc>
          <w:tcPr>
            <w:tcW w:w="1559" w:type="dxa"/>
          </w:tcPr>
          <w:p w14:paraId="61F4456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27</w:t>
            </w:r>
          </w:p>
        </w:tc>
        <w:tc>
          <w:tcPr>
            <w:tcW w:w="1701" w:type="dxa"/>
          </w:tcPr>
          <w:p w14:paraId="7317985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51,92</w:t>
            </w:r>
          </w:p>
        </w:tc>
      </w:tr>
      <w:tr w:rsidR="000422F6" w:rsidRPr="00D9141A" w14:paraId="7ADFA01F" w14:textId="77777777" w:rsidTr="005478DB">
        <w:trPr>
          <w:jc w:val="center"/>
        </w:trPr>
        <w:tc>
          <w:tcPr>
            <w:tcW w:w="709" w:type="dxa"/>
          </w:tcPr>
          <w:p w14:paraId="2C100C2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2977" w:type="dxa"/>
          </w:tcPr>
          <w:p w14:paraId="7EAE26ED"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Difficulty sleeping </w:t>
            </w:r>
          </w:p>
        </w:tc>
        <w:tc>
          <w:tcPr>
            <w:tcW w:w="1559" w:type="dxa"/>
          </w:tcPr>
          <w:p w14:paraId="7A18433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701" w:type="dxa"/>
          </w:tcPr>
          <w:p w14:paraId="0FD85FC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1EF4C6A1" w14:textId="77777777" w:rsidTr="005478DB">
        <w:trPr>
          <w:jc w:val="center"/>
        </w:trPr>
        <w:tc>
          <w:tcPr>
            <w:tcW w:w="709" w:type="dxa"/>
            <w:tcBorders>
              <w:bottom w:val="single" w:sz="4" w:space="0" w:color="auto"/>
            </w:tcBorders>
          </w:tcPr>
          <w:p w14:paraId="700EB9F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7.</w:t>
            </w:r>
          </w:p>
        </w:tc>
        <w:tc>
          <w:tcPr>
            <w:tcW w:w="2977" w:type="dxa"/>
            <w:tcBorders>
              <w:bottom w:val="single" w:sz="4" w:space="0" w:color="auto"/>
            </w:tcBorders>
          </w:tcPr>
          <w:p w14:paraId="00026B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559" w:type="dxa"/>
            <w:tcBorders>
              <w:bottom w:val="single" w:sz="4" w:space="0" w:color="auto"/>
            </w:tcBorders>
          </w:tcPr>
          <w:p w14:paraId="77EFE8D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w:t>
            </w:r>
          </w:p>
        </w:tc>
        <w:tc>
          <w:tcPr>
            <w:tcW w:w="1701" w:type="dxa"/>
            <w:tcBorders>
              <w:bottom w:val="single" w:sz="4" w:space="0" w:color="auto"/>
            </w:tcBorders>
          </w:tcPr>
          <w:p w14:paraId="49C4D38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21,15</w:t>
            </w:r>
          </w:p>
        </w:tc>
      </w:tr>
    </w:tbl>
    <w:p w14:paraId="2F74D260" w14:textId="77777777" w:rsidR="000422F6" w:rsidRPr="00D9141A" w:rsidRDefault="000422F6" w:rsidP="000422F6">
      <w:pPr>
        <w:ind w:left="1146"/>
        <w:contextualSpacing/>
        <w:jc w:val="both"/>
        <w:rPr>
          <w:rFonts w:ascii="Calibri Light" w:hAnsi="Calibri Light" w:cs="Calibri Light"/>
          <w:color w:val="000000"/>
          <w:sz w:val="24"/>
          <w:szCs w:val="24"/>
        </w:rPr>
      </w:pPr>
    </w:p>
    <w:p w14:paraId="2FB7761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C39C8DD" w14:textId="77777777" w:rsidR="000422F6" w:rsidRPr="00D9141A" w:rsidRDefault="000422F6" w:rsidP="000422F6">
      <w:pPr>
        <w:ind w:left="1146"/>
        <w:contextualSpacing/>
        <w:jc w:val="both"/>
        <w:rPr>
          <w:rFonts w:ascii="Calibri Light" w:hAnsi="Calibri Light" w:cs="Calibri Light"/>
          <w:sz w:val="24"/>
          <w:szCs w:val="24"/>
        </w:rPr>
      </w:pPr>
    </w:p>
    <w:p w14:paraId="3FDB99D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data in Table 2 above, it is evident that children who are victims of violence (child maltreatment) experience various problems, both physical, psychological, and social. The psychological impact generally shows that child victims of violence experience psychological disorders such as trauma, stress, and hysteria in 41 cases (78.85%). Other data indicate that 29 cases (55.77%) of children experience physical pain, 37 cases (71.15%) experience social disturbances such as low self-esteem, being quiet, and unwillingness to socialize with others, or withdrawing from social interactions with peers. Additionally, 31 cases (59.62%) of children become fearful when meeting others, especially strangers; 27 cases (51.92%) of children feel ashamed and do not want to go to school anymore; 17 cases (32.69%) of children experience sleep disturbances; and 11 cases (21.15%) of children experience other forms of disturbances.</w:t>
      </w:r>
    </w:p>
    <w:p w14:paraId="66A9482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various issues felt by child victims of violence include: First, emotional reactions, such as self-blame or anger, accompanied by feelings of fear, distrust, shame, sadness, and fragility. They may withdraw and close themselves off from their surrounding social environment, including family, friends, or partners, especially if their social environment or community rejects them. Second, psychological effects manifest as nightmares related to the violence experienced, flashbacks, difficulty concentrating, depression, post-traumatic stress disorder, and mental health disorders. Third, physical reactions, where physical injuries from violence </w:t>
      </w:r>
      <w:r w:rsidRPr="00D9141A">
        <w:rPr>
          <w:rFonts w:ascii="Calibri Light" w:hAnsi="Calibri Light" w:cs="Calibri Light"/>
          <w:sz w:val="24"/>
          <w:szCs w:val="24"/>
        </w:rPr>
        <w:lastRenderedPageBreak/>
        <w:t>have impacts for those who experience them. Such conditions may relate to changes in sleep cycles, eating patterns, or responses to threats. Therefore, it is not surprising that women who have experienced physical injuries can be very sensitive to sounds or touches that remind them of the violence they endured. Furthermore, physical changes resulting from violence can also damage the body and may even lead to death.</w:t>
      </w:r>
    </w:p>
    <w:p w14:paraId="07422730"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perpetrators of violence against children are generally those closest to the child victims, including family members, relatives, and close neighbors. It is indeed very contradictory that those who should protect the child, such as family, relatives, and close individuals, often become social threats to the child.</w:t>
      </w:r>
    </w:p>
    <w:p w14:paraId="0FE60B32" w14:textId="77777777" w:rsidR="000422F6" w:rsidRPr="00D9141A" w:rsidRDefault="000422F6" w:rsidP="000422F6">
      <w:pPr>
        <w:ind w:left="1146"/>
        <w:contextualSpacing/>
        <w:jc w:val="both"/>
        <w:rPr>
          <w:rFonts w:ascii="Calibri Light" w:hAnsi="Calibri Light" w:cs="Calibri Light"/>
          <w:sz w:val="24"/>
          <w:szCs w:val="24"/>
        </w:rPr>
      </w:pPr>
    </w:p>
    <w:p w14:paraId="07483DD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3: Categories of Perpetrators of Violence Against Children</w:t>
      </w:r>
    </w:p>
    <w:p w14:paraId="7978BE7C" w14:textId="77777777" w:rsidR="000422F6" w:rsidRPr="00D9141A" w:rsidRDefault="000422F6" w:rsidP="000422F6">
      <w:pPr>
        <w:ind w:left="1146"/>
        <w:contextualSpacing/>
        <w:jc w:val="both"/>
        <w:rPr>
          <w:rFonts w:ascii="Calibri Light" w:hAnsi="Calibri Light" w:cs="Calibri Light"/>
          <w:sz w:val="24"/>
          <w:szCs w:val="24"/>
        </w:rPr>
      </w:pPr>
    </w:p>
    <w:tbl>
      <w:tblPr>
        <w:tblStyle w:val="TableGrid"/>
        <w:tblW w:w="59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842"/>
        <w:gridCol w:w="284"/>
        <w:gridCol w:w="1559"/>
        <w:gridCol w:w="1558"/>
      </w:tblGrid>
      <w:tr w:rsidR="000422F6" w:rsidRPr="00D9141A" w14:paraId="270A64C8" w14:textId="77777777" w:rsidTr="005478DB">
        <w:trPr>
          <w:jc w:val="center"/>
        </w:trPr>
        <w:tc>
          <w:tcPr>
            <w:tcW w:w="709" w:type="dxa"/>
            <w:tcBorders>
              <w:top w:val="single" w:sz="4" w:space="0" w:color="auto"/>
              <w:bottom w:val="single" w:sz="4" w:space="0" w:color="auto"/>
            </w:tcBorders>
          </w:tcPr>
          <w:p w14:paraId="28309E66"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1842" w:type="dxa"/>
            <w:tcBorders>
              <w:top w:val="single" w:sz="4" w:space="0" w:color="auto"/>
              <w:bottom w:val="single" w:sz="4" w:space="0" w:color="auto"/>
            </w:tcBorders>
          </w:tcPr>
          <w:p w14:paraId="6C397290"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Actor Category</w:t>
            </w:r>
          </w:p>
        </w:tc>
        <w:tc>
          <w:tcPr>
            <w:tcW w:w="1843" w:type="dxa"/>
            <w:gridSpan w:val="2"/>
            <w:tcBorders>
              <w:top w:val="single" w:sz="4" w:space="0" w:color="auto"/>
              <w:bottom w:val="single" w:sz="4" w:space="0" w:color="auto"/>
            </w:tcBorders>
          </w:tcPr>
          <w:p w14:paraId="72ECF166"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06F5D643"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558" w:type="dxa"/>
            <w:tcBorders>
              <w:top w:val="single" w:sz="4" w:space="0" w:color="auto"/>
              <w:bottom w:val="single" w:sz="4" w:space="0" w:color="auto"/>
            </w:tcBorders>
          </w:tcPr>
          <w:p w14:paraId="202973BA"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1496090"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0810B83A" w14:textId="77777777" w:rsidTr="005478DB">
        <w:trPr>
          <w:jc w:val="center"/>
        </w:trPr>
        <w:tc>
          <w:tcPr>
            <w:tcW w:w="709" w:type="dxa"/>
            <w:tcBorders>
              <w:top w:val="single" w:sz="4" w:space="0" w:color="auto"/>
            </w:tcBorders>
          </w:tcPr>
          <w:p w14:paraId="54C918D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126" w:type="dxa"/>
            <w:gridSpan w:val="2"/>
            <w:tcBorders>
              <w:top w:val="single" w:sz="4" w:space="0" w:color="auto"/>
            </w:tcBorders>
          </w:tcPr>
          <w:p w14:paraId="41CB7F5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Family (Parents)</w:t>
            </w:r>
          </w:p>
        </w:tc>
        <w:tc>
          <w:tcPr>
            <w:tcW w:w="1559" w:type="dxa"/>
            <w:tcBorders>
              <w:top w:val="single" w:sz="4" w:space="0" w:color="auto"/>
            </w:tcBorders>
          </w:tcPr>
          <w:p w14:paraId="36E1417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w:t>
            </w:r>
          </w:p>
        </w:tc>
        <w:tc>
          <w:tcPr>
            <w:tcW w:w="1558" w:type="dxa"/>
            <w:tcBorders>
              <w:top w:val="single" w:sz="4" w:space="0" w:color="auto"/>
            </w:tcBorders>
          </w:tcPr>
          <w:p w14:paraId="7A9A2F2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40,38</w:t>
            </w:r>
          </w:p>
        </w:tc>
      </w:tr>
      <w:tr w:rsidR="000422F6" w:rsidRPr="00D9141A" w14:paraId="59440188" w14:textId="77777777" w:rsidTr="005478DB">
        <w:trPr>
          <w:jc w:val="center"/>
        </w:trPr>
        <w:tc>
          <w:tcPr>
            <w:tcW w:w="709" w:type="dxa"/>
          </w:tcPr>
          <w:p w14:paraId="04784BA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126" w:type="dxa"/>
            <w:gridSpan w:val="2"/>
          </w:tcPr>
          <w:p w14:paraId="15FC3E6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 xml:space="preserve">Closest </w:t>
            </w:r>
            <w:proofErr w:type="gramStart"/>
            <w:r w:rsidRPr="00D9141A">
              <w:rPr>
                <w:rFonts w:ascii="Calibri Light" w:hAnsi="Calibri Light" w:cs="Calibri Light"/>
                <w:sz w:val="24"/>
                <w:szCs w:val="24"/>
              </w:rPr>
              <w:t>Relatives  (</w:t>
            </w:r>
            <w:proofErr w:type="gramEnd"/>
            <w:r w:rsidRPr="00D9141A">
              <w:rPr>
                <w:rFonts w:ascii="Calibri Light" w:hAnsi="Calibri Light" w:cs="Calibri Light"/>
                <w:sz w:val="24"/>
                <w:szCs w:val="24"/>
              </w:rPr>
              <w:t>Uncles, Aunts, etc.)</w:t>
            </w:r>
          </w:p>
        </w:tc>
        <w:tc>
          <w:tcPr>
            <w:tcW w:w="1559" w:type="dxa"/>
          </w:tcPr>
          <w:p w14:paraId="08F300B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558" w:type="dxa"/>
          </w:tcPr>
          <w:p w14:paraId="6D6F134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41DE144F" w14:textId="77777777" w:rsidTr="005478DB">
        <w:trPr>
          <w:jc w:val="center"/>
        </w:trPr>
        <w:tc>
          <w:tcPr>
            <w:tcW w:w="709" w:type="dxa"/>
          </w:tcPr>
          <w:p w14:paraId="20FB9DC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126" w:type="dxa"/>
            <w:gridSpan w:val="2"/>
          </w:tcPr>
          <w:p w14:paraId="6FE130FC"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Relatives Family</w:t>
            </w:r>
          </w:p>
        </w:tc>
        <w:tc>
          <w:tcPr>
            <w:tcW w:w="1559" w:type="dxa"/>
          </w:tcPr>
          <w:p w14:paraId="2D21354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9</w:t>
            </w:r>
          </w:p>
        </w:tc>
        <w:tc>
          <w:tcPr>
            <w:tcW w:w="1558" w:type="dxa"/>
          </w:tcPr>
          <w:p w14:paraId="6E049BE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17,31</w:t>
            </w:r>
          </w:p>
        </w:tc>
      </w:tr>
      <w:tr w:rsidR="000422F6" w:rsidRPr="00D9141A" w14:paraId="2EBE7171" w14:textId="77777777" w:rsidTr="005478DB">
        <w:trPr>
          <w:jc w:val="center"/>
        </w:trPr>
        <w:tc>
          <w:tcPr>
            <w:tcW w:w="709" w:type="dxa"/>
            <w:tcBorders>
              <w:bottom w:val="single" w:sz="4" w:space="0" w:color="auto"/>
            </w:tcBorders>
          </w:tcPr>
          <w:p w14:paraId="7FBDEC7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126" w:type="dxa"/>
            <w:gridSpan w:val="2"/>
            <w:tcBorders>
              <w:bottom w:val="single" w:sz="4" w:space="0" w:color="auto"/>
            </w:tcBorders>
          </w:tcPr>
          <w:p w14:paraId="3424B1C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Neighbor</w:t>
            </w:r>
          </w:p>
        </w:tc>
        <w:tc>
          <w:tcPr>
            <w:tcW w:w="1559" w:type="dxa"/>
            <w:tcBorders>
              <w:bottom w:val="single" w:sz="4" w:space="0" w:color="auto"/>
            </w:tcBorders>
          </w:tcPr>
          <w:p w14:paraId="7EC4C32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1558" w:type="dxa"/>
            <w:tcBorders>
              <w:bottom w:val="single" w:sz="4" w:space="0" w:color="auto"/>
            </w:tcBorders>
          </w:tcPr>
          <w:p w14:paraId="5D80BC2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5,78</w:t>
            </w:r>
          </w:p>
        </w:tc>
      </w:tr>
      <w:tr w:rsidR="000422F6" w:rsidRPr="00D9141A" w14:paraId="00B04861" w14:textId="77777777" w:rsidTr="005478DB">
        <w:trPr>
          <w:jc w:val="center"/>
        </w:trPr>
        <w:tc>
          <w:tcPr>
            <w:tcW w:w="709" w:type="dxa"/>
            <w:tcBorders>
              <w:top w:val="single" w:sz="4" w:space="0" w:color="auto"/>
              <w:bottom w:val="single" w:sz="4" w:space="0" w:color="auto"/>
            </w:tcBorders>
          </w:tcPr>
          <w:p w14:paraId="5B12D703"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1842" w:type="dxa"/>
            <w:tcBorders>
              <w:top w:val="single" w:sz="4" w:space="0" w:color="auto"/>
              <w:bottom w:val="single" w:sz="4" w:space="0" w:color="auto"/>
            </w:tcBorders>
          </w:tcPr>
          <w:p w14:paraId="7CCF7B8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 xml:space="preserve">Total </w:t>
            </w:r>
          </w:p>
        </w:tc>
        <w:tc>
          <w:tcPr>
            <w:tcW w:w="1843" w:type="dxa"/>
            <w:gridSpan w:val="2"/>
            <w:tcBorders>
              <w:top w:val="single" w:sz="4" w:space="0" w:color="auto"/>
              <w:bottom w:val="single" w:sz="4" w:space="0" w:color="auto"/>
            </w:tcBorders>
          </w:tcPr>
          <w:p w14:paraId="3EC4054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Fonts w:ascii="Calibri Light" w:hAnsi="Calibri Light" w:cs="Calibri Light"/>
                <w:sz w:val="24"/>
                <w:szCs w:val="24"/>
              </w:rPr>
              <w:t xml:space="preserve">              52</w:t>
            </w:r>
          </w:p>
        </w:tc>
        <w:tc>
          <w:tcPr>
            <w:tcW w:w="1558" w:type="dxa"/>
            <w:tcBorders>
              <w:top w:val="single" w:sz="4" w:space="0" w:color="auto"/>
              <w:bottom w:val="single" w:sz="4" w:space="0" w:color="auto"/>
            </w:tcBorders>
          </w:tcPr>
          <w:p w14:paraId="010A3C1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05D554AF" w14:textId="77777777" w:rsidR="000422F6" w:rsidRPr="00D9141A" w:rsidRDefault="000422F6" w:rsidP="000422F6">
      <w:pPr>
        <w:ind w:left="1146"/>
        <w:contextualSpacing/>
        <w:rPr>
          <w:rFonts w:ascii="Calibri Light" w:hAnsi="Calibri Light" w:cs="Calibri Light"/>
          <w:color w:val="000000"/>
          <w:sz w:val="24"/>
          <w:szCs w:val="24"/>
        </w:rPr>
      </w:pPr>
    </w:p>
    <w:p w14:paraId="641E7953"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00215C1D" w14:textId="77777777" w:rsidR="000422F6" w:rsidRPr="00D9141A" w:rsidRDefault="000422F6" w:rsidP="000422F6">
      <w:pPr>
        <w:ind w:left="1146"/>
        <w:contextualSpacing/>
        <w:jc w:val="both"/>
        <w:rPr>
          <w:rFonts w:ascii="Calibri Light" w:hAnsi="Calibri Light" w:cs="Calibri Light"/>
          <w:sz w:val="24"/>
          <w:szCs w:val="24"/>
        </w:rPr>
      </w:pPr>
    </w:p>
    <w:p w14:paraId="1AD781A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Referring to the data in Table 3, it is found that the categories of perpetrators of violence against children include four parties: family members (parents) in 21 cases (40.38%), close relatives such as uncles and aunts in 19 cases (36.54%), family relatives in 9 cases (17.31%), and neighbors in 3 cases (5.78%).</w:t>
      </w:r>
    </w:p>
    <w:p w14:paraId="5896AC1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When examining the factors that drive perpetrators to commit violence against children, several factors emerge, as shown in Table 4 below:</w:t>
      </w:r>
    </w:p>
    <w:p w14:paraId="27546883" w14:textId="77777777" w:rsidR="000422F6" w:rsidRPr="00D9141A" w:rsidRDefault="000422F6" w:rsidP="000422F6">
      <w:pPr>
        <w:ind w:left="1146"/>
        <w:contextualSpacing/>
        <w:jc w:val="both"/>
        <w:rPr>
          <w:rFonts w:ascii="Calibri Light" w:hAnsi="Calibri Light" w:cs="Calibri Light"/>
          <w:sz w:val="24"/>
          <w:szCs w:val="24"/>
        </w:rPr>
      </w:pPr>
    </w:p>
    <w:p w14:paraId="6C3A3CFC"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4: Factors Causing Violence Against Children</w:t>
      </w:r>
    </w:p>
    <w:p w14:paraId="11426FC2" w14:textId="77777777" w:rsidR="000422F6" w:rsidRPr="00D9141A" w:rsidRDefault="000422F6" w:rsidP="000422F6">
      <w:pPr>
        <w:contextualSpacing/>
        <w:jc w:val="both"/>
        <w:rPr>
          <w:rFonts w:ascii="Calibri Light" w:hAnsi="Calibri Light" w:cs="Calibri Light"/>
          <w:sz w:val="24"/>
          <w:szCs w:val="24"/>
        </w:rPr>
      </w:pPr>
    </w:p>
    <w:tbl>
      <w:tblPr>
        <w:tblStyle w:val="TableGrid"/>
        <w:tblW w:w="8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3261"/>
        <w:gridCol w:w="1701"/>
        <w:gridCol w:w="1984"/>
      </w:tblGrid>
      <w:tr w:rsidR="000422F6" w:rsidRPr="00D9141A" w14:paraId="3B9CCA24" w14:textId="77777777" w:rsidTr="005478DB">
        <w:trPr>
          <w:jc w:val="center"/>
        </w:trPr>
        <w:tc>
          <w:tcPr>
            <w:tcW w:w="1134" w:type="dxa"/>
            <w:tcBorders>
              <w:top w:val="single" w:sz="4" w:space="0" w:color="auto"/>
              <w:bottom w:val="single" w:sz="4" w:space="0" w:color="auto"/>
            </w:tcBorders>
          </w:tcPr>
          <w:p w14:paraId="3CC621A5" w14:textId="77777777" w:rsidR="000422F6" w:rsidRPr="00D9141A" w:rsidRDefault="000422F6" w:rsidP="005478DB">
            <w:pPr>
              <w:adjustRightInd w:val="0"/>
              <w:ind w:right="-8755"/>
              <w:contextualSpacing/>
              <w:jc w:val="both"/>
              <w:rPr>
                <w:rFonts w:ascii="Calibri Light" w:hAnsi="Calibri Light" w:cs="Calibri Light"/>
                <w:sz w:val="24"/>
                <w:szCs w:val="24"/>
              </w:rPr>
            </w:pPr>
            <w:r w:rsidRPr="00D9141A">
              <w:rPr>
                <w:rFonts w:ascii="Calibri Light" w:hAnsi="Calibri Light" w:cs="Calibri Light"/>
                <w:sz w:val="24"/>
                <w:szCs w:val="24"/>
              </w:rPr>
              <w:t>No.</w:t>
            </w:r>
          </w:p>
        </w:tc>
        <w:tc>
          <w:tcPr>
            <w:tcW w:w="3261" w:type="dxa"/>
            <w:tcBorders>
              <w:top w:val="single" w:sz="4" w:space="0" w:color="auto"/>
              <w:bottom w:val="single" w:sz="4" w:space="0" w:color="auto"/>
            </w:tcBorders>
          </w:tcPr>
          <w:p w14:paraId="18058B5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Causal Factors Perpetrators </w:t>
            </w:r>
          </w:p>
        </w:tc>
        <w:tc>
          <w:tcPr>
            <w:tcW w:w="1701" w:type="dxa"/>
            <w:tcBorders>
              <w:top w:val="single" w:sz="4" w:space="0" w:color="auto"/>
              <w:bottom w:val="single" w:sz="4" w:space="0" w:color="auto"/>
            </w:tcBorders>
          </w:tcPr>
          <w:p w14:paraId="27BE43C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Number of Cases</w:t>
            </w:r>
          </w:p>
          <w:p w14:paraId="493AAFE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 52)</w:t>
            </w:r>
          </w:p>
        </w:tc>
        <w:tc>
          <w:tcPr>
            <w:tcW w:w="1984" w:type="dxa"/>
            <w:tcBorders>
              <w:top w:val="single" w:sz="4" w:space="0" w:color="auto"/>
              <w:bottom w:val="single" w:sz="4" w:space="0" w:color="auto"/>
            </w:tcBorders>
          </w:tcPr>
          <w:p w14:paraId="6B7A70B4" w14:textId="77777777" w:rsidR="000422F6" w:rsidRPr="00D9141A" w:rsidRDefault="000422F6" w:rsidP="005478DB">
            <w:pPr>
              <w:adjustRightInd w:val="0"/>
              <w:ind w:right="431"/>
              <w:contextualSpacing/>
              <w:jc w:val="center"/>
              <w:rPr>
                <w:rFonts w:ascii="Calibri Light" w:hAnsi="Calibri Light" w:cs="Calibri Light"/>
                <w:sz w:val="24"/>
                <w:szCs w:val="24"/>
              </w:rPr>
            </w:pPr>
            <w:proofErr w:type="spellStart"/>
            <w:r w:rsidRPr="00D9141A">
              <w:rPr>
                <w:rFonts w:ascii="Calibri Light" w:hAnsi="Calibri Light" w:cs="Calibri Light"/>
                <w:sz w:val="24"/>
                <w:szCs w:val="24"/>
              </w:rPr>
              <w:t>Persentage</w:t>
            </w:r>
            <w:proofErr w:type="spellEnd"/>
          </w:p>
          <w:p w14:paraId="5342900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w:t>
            </w:r>
          </w:p>
        </w:tc>
      </w:tr>
      <w:tr w:rsidR="000422F6" w:rsidRPr="00D9141A" w14:paraId="5141A93B" w14:textId="77777777" w:rsidTr="005478DB">
        <w:trPr>
          <w:jc w:val="center"/>
        </w:trPr>
        <w:tc>
          <w:tcPr>
            <w:tcW w:w="1134" w:type="dxa"/>
            <w:tcBorders>
              <w:top w:val="single" w:sz="4" w:space="0" w:color="auto"/>
            </w:tcBorders>
          </w:tcPr>
          <w:p w14:paraId="0903A03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3261" w:type="dxa"/>
            <w:tcBorders>
              <w:top w:val="single" w:sz="4" w:space="0" w:color="auto"/>
            </w:tcBorders>
          </w:tcPr>
          <w:p w14:paraId="6B274A34"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Annoyance/Emotion </w:t>
            </w:r>
          </w:p>
        </w:tc>
        <w:tc>
          <w:tcPr>
            <w:tcW w:w="1701" w:type="dxa"/>
            <w:tcBorders>
              <w:top w:val="single" w:sz="4" w:space="0" w:color="auto"/>
            </w:tcBorders>
          </w:tcPr>
          <w:p w14:paraId="5D56AB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984" w:type="dxa"/>
            <w:tcBorders>
              <w:top w:val="single" w:sz="4" w:space="0" w:color="auto"/>
            </w:tcBorders>
          </w:tcPr>
          <w:p w14:paraId="60F9265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670E3F24" w14:textId="77777777" w:rsidTr="005478DB">
        <w:trPr>
          <w:jc w:val="center"/>
        </w:trPr>
        <w:tc>
          <w:tcPr>
            <w:tcW w:w="1134" w:type="dxa"/>
          </w:tcPr>
          <w:p w14:paraId="5F06286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3261" w:type="dxa"/>
          </w:tcPr>
          <w:p w14:paraId="0A48EDC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Economic Conditions </w:t>
            </w:r>
          </w:p>
        </w:tc>
        <w:tc>
          <w:tcPr>
            <w:tcW w:w="1701" w:type="dxa"/>
          </w:tcPr>
          <w:p w14:paraId="2AD7D16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8</w:t>
            </w:r>
          </w:p>
        </w:tc>
        <w:tc>
          <w:tcPr>
            <w:tcW w:w="1984" w:type="dxa"/>
          </w:tcPr>
          <w:p w14:paraId="34882C0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15,38</w:t>
            </w:r>
          </w:p>
        </w:tc>
      </w:tr>
      <w:tr w:rsidR="000422F6" w:rsidRPr="00D9141A" w14:paraId="569A0FE7" w14:textId="77777777" w:rsidTr="005478DB">
        <w:trPr>
          <w:jc w:val="center"/>
        </w:trPr>
        <w:tc>
          <w:tcPr>
            <w:tcW w:w="1134" w:type="dxa"/>
          </w:tcPr>
          <w:p w14:paraId="28993B2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3261" w:type="dxa"/>
          </w:tcPr>
          <w:p w14:paraId="197FBA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Biological Drives/Sexual Desire </w:t>
            </w:r>
          </w:p>
        </w:tc>
        <w:tc>
          <w:tcPr>
            <w:tcW w:w="1701" w:type="dxa"/>
          </w:tcPr>
          <w:p w14:paraId="5421128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984" w:type="dxa"/>
          </w:tcPr>
          <w:p w14:paraId="13D1118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36484C4A" w14:textId="77777777" w:rsidTr="005478DB">
        <w:trPr>
          <w:jc w:val="center"/>
        </w:trPr>
        <w:tc>
          <w:tcPr>
            <w:tcW w:w="1134" w:type="dxa"/>
          </w:tcPr>
          <w:p w14:paraId="6F610308"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3261" w:type="dxa"/>
          </w:tcPr>
          <w:p w14:paraId="77BE3C3E"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Family Disharmony </w:t>
            </w:r>
          </w:p>
        </w:tc>
        <w:tc>
          <w:tcPr>
            <w:tcW w:w="1701" w:type="dxa"/>
          </w:tcPr>
          <w:p w14:paraId="581A1DE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1984" w:type="dxa"/>
          </w:tcPr>
          <w:p w14:paraId="7CFAA2E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11,54</w:t>
            </w:r>
          </w:p>
        </w:tc>
      </w:tr>
      <w:tr w:rsidR="000422F6" w:rsidRPr="00D9141A" w14:paraId="764EB82C" w14:textId="77777777" w:rsidTr="005478DB">
        <w:trPr>
          <w:jc w:val="center"/>
        </w:trPr>
        <w:tc>
          <w:tcPr>
            <w:tcW w:w="1134" w:type="dxa"/>
            <w:tcBorders>
              <w:bottom w:val="single" w:sz="4" w:space="0" w:color="auto"/>
            </w:tcBorders>
          </w:tcPr>
          <w:p w14:paraId="0EA37AB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lastRenderedPageBreak/>
              <w:t>5.</w:t>
            </w:r>
          </w:p>
        </w:tc>
        <w:tc>
          <w:tcPr>
            <w:tcW w:w="3261" w:type="dxa"/>
            <w:tcBorders>
              <w:bottom w:val="single" w:sz="4" w:space="0" w:color="auto"/>
            </w:tcBorders>
          </w:tcPr>
          <w:p w14:paraId="30A885EB"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701" w:type="dxa"/>
            <w:tcBorders>
              <w:bottom w:val="single" w:sz="4" w:space="0" w:color="auto"/>
            </w:tcBorders>
          </w:tcPr>
          <w:p w14:paraId="4C2659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1984" w:type="dxa"/>
            <w:tcBorders>
              <w:bottom w:val="single" w:sz="4" w:space="0" w:color="auto"/>
            </w:tcBorders>
          </w:tcPr>
          <w:p w14:paraId="763F528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3,85</w:t>
            </w:r>
          </w:p>
        </w:tc>
      </w:tr>
      <w:tr w:rsidR="000422F6" w:rsidRPr="00D9141A" w14:paraId="2318587C" w14:textId="77777777" w:rsidTr="005478DB">
        <w:trPr>
          <w:jc w:val="center"/>
        </w:trPr>
        <w:tc>
          <w:tcPr>
            <w:tcW w:w="1134" w:type="dxa"/>
            <w:tcBorders>
              <w:top w:val="single" w:sz="4" w:space="0" w:color="auto"/>
              <w:bottom w:val="single" w:sz="4" w:space="0" w:color="auto"/>
            </w:tcBorders>
          </w:tcPr>
          <w:p w14:paraId="44FC5EC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3261" w:type="dxa"/>
            <w:tcBorders>
              <w:top w:val="single" w:sz="4" w:space="0" w:color="auto"/>
              <w:bottom w:val="single" w:sz="4" w:space="0" w:color="auto"/>
            </w:tcBorders>
          </w:tcPr>
          <w:p w14:paraId="20CDD131"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Total</w:t>
            </w:r>
          </w:p>
        </w:tc>
        <w:tc>
          <w:tcPr>
            <w:tcW w:w="1701" w:type="dxa"/>
            <w:tcBorders>
              <w:top w:val="single" w:sz="4" w:space="0" w:color="auto"/>
              <w:bottom w:val="single" w:sz="4" w:space="0" w:color="auto"/>
            </w:tcBorders>
          </w:tcPr>
          <w:p w14:paraId="12DEFBC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52</w:t>
            </w:r>
          </w:p>
        </w:tc>
        <w:tc>
          <w:tcPr>
            <w:tcW w:w="1984" w:type="dxa"/>
            <w:tcBorders>
              <w:top w:val="single" w:sz="4" w:space="0" w:color="auto"/>
              <w:bottom w:val="single" w:sz="4" w:space="0" w:color="auto"/>
            </w:tcBorders>
          </w:tcPr>
          <w:p w14:paraId="0F6EA764"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78074684" w14:textId="77777777" w:rsidR="000422F6" w:rsidRPr="00D9141A" w:rsidRDefault="000422F6" w:rsidP="000422F6">
      <w:pPr>
        <w:ind w:left="1146"/>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 xml:space="preserve">        </w:t>
      </w:r>
    </w:p>
    <w:p w14:paraId="4A291C0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6243B7D" w14:textId="77777777" w:rsidR="000422F6" w:rsidRPr="00D9141A" w:rsidRDefault="000422F6" w:rsidP="000422F6">
      <w:pPr>
        <w:ind w:left="1146"/>
        <w:contextualSpacing/>
        <w:jc w:val="both"/>
        <w:rPr>
          <w:rFonts w:ascii="Calibri Light" w:hAnsi="Calibri Light" w:cs="Calibri Light"/>
          <w:sz w:val="24"/>
          <w:szCs w:val="24"/>
        </w:rPr>
      </w:pPr>
    </w:p>
    <w:p w14:paraId="570AFE2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the data in Table 4, it is evident that the factors driving violence against children include: emotional or psychological factors in 17 cases (32.69%), economic inability in 8 cases (15.38%), biological impulses or sexual desires in 19 cases (36.54%), family disharmony in 6 cases (11.54%), and other factors in 2 cases (3.85%).</w:t>
      </w:r>
    </w:p>
    <w:p w14:paraId="5BC6076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Fromm</w:t>
      </w:r>
      <w:r w:rsidR="00052F86">
        <w:rPr>
          <w:rFonts w:ascii="Calibri Light" w:hAnsi="Calibri Light" w:cs="Calibri Light"/>
          <w:sz w:val="24"/>
          <w:szCs w:val="24"/>
        </w:rPr>
        <w:t xml:space="preserve"> </w:t>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{"citationItems":[{"id":"ITEM-1","itemData":{"DOI":"10.26740/jptt.v3n2.p113-124","ISSN":"2087-1708","abstract":"Violence in any form and reason specifically in educational setting will affects every individual. Teachers should be aware that violence has historical cycle in society, community, even in individual levels. Based on the consideration, this paper tries to: 1) understand the root of violence, its values and its personal and social characteristics; 2) recognize the social characteristics of patriarchy and matriarchy in educational setting, and the necessity for counselors of having matriarchal communication styles; and 3) assert the importance of school counselors to equip themselves with balanced, empathic, and mutual communication. This paper concludes that the root of violence is not inherent in human nature but socially learned and inherited. Secondly, matriarchal characteristics in social relations are needed to prevent violence. Third, school counselors should equip themselves with mutualcommunications.Abstrak: Kekerasan bentuk apapun, dalam latar manapun, khususnya dalam dunia pendidikan, membawa dampak merugikan bagi banyak pihak. Para pendidik perlu menyadari bahwa kekerasan memiliki siklus historis baik pada kesatuan sosial terbesar, komunitas terbatas, maupun individu. Atas dasar itu, tujuan kajian ini adalah: pertama, mengenali 'akar kekerasan', sifat personal, sifat sosial, dan nilai yang dikandungnya untuk dapat dipahami dan dikelola; kedua, mengenali keberadaan sifat-sifat sosial patriarki dan matriarki dalam institusi pendidikan, serta bagaimana keniscayaan komunikasi konselor di bawah sifat matriarki; ketiga, pentingnya konselor/Guru Bimbingan Konseling (BK) melengkapi diri dengan komunikasi berimbang, empatik, saling berbagi, dan saling memenuhi kebutuhan. Setelah melalui kajian konseptual, tulisan ini menyimpulkan bahwa: pertama, 'akar kekerasan' adalah tidak melekat pada hakekat manusia, melainkan terkandung dalam sifat sosial yang dipelajari dan diwariskan secara sosial; kedua, keberadaan sifat sosial dan sifat matriarki (pengganti yang patriarki) adalah niscaya adanya untuk mencegah kekerasan; dan ketiga, konselor perlu melengkapi diri dengan komunikasi berimbang.","author":[{"dropping-particle":"","family":"Mappiare-AT","given":"Andi","non-dropping-particle":"","parse-names":false,"suffix":""}],"container-title":"Jurnal Psikologi Teori dan Terapan","id":"ITEM-1","issue":"2","issued":{"date-parts":[["2013"]]},"page":"113","title":"Kekerasan Psiko-Sosial Dalam Pendidikan Dan Keniscayaan Bimbingan Konseling","type":"article-journal","volume":"3"},"uris":["http://www.mendeley.com/documents/?uuid=f48ed172-d590-4a42-8b1e-8b230eda1a79"]}],"mendeley":{"formattedCitation":"[35]","plainTextFormattedCitation":"[35]","previouslyFormattedCitation":"[35]"},"properties":{"noteIndex":0},"schema":"https://github.com/citation-style-language/schema/raw/master/csl-citation.json"}</w:instrText>
      </w:r>
      <w:r w:rsidR="00052F86">
        <w:rPr>
          <w:rFonts w:ascii="Calibri Light" w:hAnsi="Calibri Light" w:cs="Calibri Light"/>
          <w:sz w:val="24"/>
          <w:szCs w:val="24"/>
        </w:rPr>
        <w:fldChar w:fldCharType="separate"/>
      </w:r>
      <w:r w:rsidR="00052F86" w:rsidRPr="00052F86">
        <w:rPr>
          <w:rFonts w:ascii="Calibri Light" w:hAnsi="Calibri Light" w:cs="Calibri Light"/>
          <w:noProof/>
          <w:sz w:val="24"/>
          <w:szCs w:val="24"/>
        </w:rPr>
        <w:t>[35]</w:t>
      </w:r>
      <w:r w:rsidR="00052F86">
        <w:rPr>
          <w:rFonts w:ascii="Calibri Light" w:hAnsi="Calibri Light" w:cs="Calibri Light"/>
          <w:sz w:val="24"/>
          <w:szCs w:val="24"/>
        </w:rPr>
        <w:fldChar w:fldCharType="end"/>
      </w:r>
      <w:r w:rsidRPr="00D9141A">
        <w:rPr>
          <w:rFonts w:ascii="Calibri Light" w:hAnsi="Calibri Light" w:cs="Calibri Light"/>
          <w:sz w:val="24"/>
          <w:szCs w:val="24"/>
        </w:rPr>
        <w:t>, the triggers for violent actions in individuals can be categorized into two aspects: First, Defensive Aggression, which is a type of violence aimed at defending something valuable to the individual as a reaction to a threat. The violence is not solely intended to cause destruction or death to others but is aimed at preserving life; and Second, Destructive Aggression, which is a type of violent action that arises from a genuine desire of the perpetrator to harm others, inflict cruel torture, and have the intent to kill and destroy for personal satisfaction.</w:t>
      </w:r>
    </w:p>
    <w:p w14:paraId="5716A1FB"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conclusions of the research by </w:t>
      </w:r>
      <w:proofErr w:type="spellStart"/>
      <w:r w:rsidRPr="00D9141A">
        <w:rPr>
          <w:rFonts w:ascii="Calibri Light" w:hAnsi="Calibri Light" w:cs="Calibri Light"/>
          <w:sz w:val="24"/>
          <w:szCs w:val="24"/>
        </w:rPr>
        <w:t>Muarifah</w:t>
      </w:r>
      <w:proofErr w:type="spellEnd"/>
      <w:r w:rsidRPr="00D9141A">
        <w:rPr>
          <w:rFonts w:ascii="Calibri Light" w:hAnsi="Calibri Light" w:cs="Calibri Light"/>
          <w:sz w:val="24"/>
          <w:szCs w:val="24"/>
        </w:rPr>
        <w:t xml:space="preserve">, Wati, and </w:t>
      </w:r>
      <w:proofErr w:type="spellStart"/>
      <w:r w:rsidRPr="00D9141A">
        <w:rPr>
          <w:rFonts w:ascii="Calibri Light" w:hAnsi="Calibri Light" w:cs="Calibri Light"/>
          <w:sz w:val="24"/>
          <w:szCs w:val="24"/>
        </w:rPr>
        <w:t>Puspitasari</w:t>
      </w:r>
      <w:proofErr w:type="spellEnd"/>
      <w:r w:rsidR="00EB56EB">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{"citationItems":[{"id":"ITEM-1","itemData":{"DOI":"10.31004/obsesi.v4i2.451","ISSN":"2356-1327","abstract":"Anak usia dini merupakan salah satu yang rentan mengalami kekerasan dari orangtua atau pengasuhnya. Tujuan penelitian ini untuk mengidentifikasi bentuk-bentuk kekerasan orang tua terhadap anak, faktor penyebab kekerasan, dan dampak fisik maupun psikologis yang dialami anak. Hasil identifikasi selanjutnya digunakan sebagai dasar penelitian lanjutan dan penanganan psikologis bagi orang tua yang melakukan kekerasan terhadap anak. Data penelitian dikumpulkan dengan menggunakan angket dan dianalisis dengan teknik deskriptif kualitatif. Partisipan dalam penelitian ini berjumlah 320 orang tua yang memiliki anak usia 4-6 tahun yang bersekolah di Gondomanan, Umbulharjo, Gedongtengen, dan Ngampilandengan menggunakan teknik cluster sampling. Hasil penelitian menunjukkan bahwa dari 14 pilihan bentuk kekerasan, yang paling banyak dilakukan orangtua terhadap anak adalah mencubitdan memelototi. Kecamatan Gedongtengen memberikan respon paling banyak hampir di setiap bentuk kekerasan. Alasan terbanyak orangtua melakukan kekerasan adalah untuk mendisiplinkan anak. Hal ini menyebabkan anak menangisketika orangtua melakukan kekerasan terhadap mereka.","author":[{"dropping-particle":"","family":"Muarifah","given":"Alif","non-dropping-particle":"","parse-names":false,"suffix":""},{"dropping-particle":"","family":"Wati","given":"Dewi Eko","non-dropping-particle":"","parse-names":false,"suffix":""},{"dropping-particle":"","family":"Puspitasari","given":"Intan","non-dropping-particle":"","parse-names":false,"suffix":""}],"container-title":"Jurnal Obsesi : Jurnal Pendidikan Anak Usia Dini","id":"ITEM-1","issue":"2","issued":{"date-parts":[["2020"]]},"page":"757","title":"Identifikasi Bentuk dan Dampak Kekerasan pada Anak Usia Dini di Kota Yogyakarta","type":"article-journal","volume":"4"},"uris":["http://www.mendeley.com/documents/?uuid=cbda74c2-c984-495e-a416-3680ad5ede6a"]}],"mendeley":{"formattedCitation":"[36]","plainTextFormattedCitation":"[36]","previouslyFormattedCitation":"[36]"},"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[36]</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state that violence against children is a complex problem. The causes and effects of violent actions vary widely in each case. Efforts to identify the phenomenon of violence are one of the initial steps to understand parenting patterns and can serve as a basis for implementing interventions to prevent such violence. Violence is not an appropriate action to be taken against young children, as the consequences they experience will carry into adulthood. Through understanding the causes of violence, preventive measures should be taken to maintain quality parenting and enable children to grow up happy.</w:t>
      </w:r>
    </w:p>
    <w:p w14:paraId="44D2B8D5" w14:textId="77777777" w:rsidR="006F27B1" w:rsidRPr="00D9141A" w:rsidRDefault="006F27B1" w:rsidP="00A736E5">
      <w:pPr>
        <w:contextualSpacing/>
        <w:jc w:val="both"/>
        <w:rPr>
          <w:rFonts w:ascii="Calibri Light" w:hAnsi="Calibri Light" w:cs="Calibri Light"/>
          <w:sz w:val="24"/>
          <w:szCs w:val="24"/>
        </w:rPr>
      </w:pPr>
    </w:p>
    <w:p w14:paraId="6309A5FC"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Social Welfare Services for Child Victims of Maltreatment in Malang City</w:t>
      </w:r>
    </w:p>
    <w:p w14:paraId="04318FE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primary institution providing social welfare services for child victims of violence in Malang City is the Integrated Service Center for the Protection of Women and Children (P2TP2A). The P2TP2A institution serves as the Technical Implementation Unit of the DP3AP2KB, specifically addressing gender-based violence against women and children in Malang City. P2TP2A was established based on: (1) Malang City Regulation No. 12 of 2015 concerning the Protection of Women and Children Victims of Violence; (2) Mayor Regulation No. 64 of 2015 regarding the Formation of the Task Force for the Protection Services of Women and Children Victims of Violence; and (3) the Mayor of Malang Decree No. 188/55/35.73.112/2006 on the Establishment of the Task Force for the Protection Services of Women and Children Victims of Violence. It has formed and developed P2TP2A Assistance Posts in 5 districts and 57 villages in Malang City.</w:t>
      </w:r>
    </w:p>
    <w:p w14:paraId="7C69BB0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role of the P2TP2A institution is to provide comprehensive and integrated social services to women and children who are victims of violence, while upholding the privacy and confidentiality of reporters, victims, and perpetrators. The activities of P2TP2A in Malang City include: (1) Providing services and support to prevent violence against women and children in Malang City; (2) Organizing various activities such as strengthening institutions, networking, forums, and stakeholders related to the prevention of violence against women and children; and (3) Conducting awareness-raising (socialization), coordination meetings, and workshops related to the Child Protection Law, the Domestic Violence Law, the Trafficking Law, the </w:t>
      </w:r>
      <w:r w:rsidRPr="00D9141A">
        <w:rPr>
          <w:rFonts w:ascii="Calibri Light" w:hAnsi="Calibri Light" w:cs="Calibri Light"/>
          <w:sz w:val="24"/>
          <w:szCs w:val="24"/>
        </w:rPr>
        <w:lastRenderedPageBreak/>
        <w:t>Narcotics Law, and the Dangers of Pornography (Law No. 44 of 2008) concerning Youth Interactions in Malang City.</w:t>
      </w:r>
    </w:p>
    <w:p w14:paraId="7F39B56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In providing social services for child victims of violence, P2TP2A collaborates and networks with various parties. The P2TP2A network includes: the DP3AP2KB of Malang City, PKK of Malang City, UPPA </w:t>
      </w:r>
      <w:proofErr w:type="spellStart"/>
      <w:r w:rsidRPr="00D9141A">
        <w:rPr>
          <w:rFonts w:ascii="Calibri Light" w:hAnsi="Calibri Light" w:cs="Calibri Light"/>
          <w:sz w:val="24"/>
          <w:szCs w:val="24"/>
        </w:rPr>
        <w:t>Polresta</w:t>
      </w:r>
      <w:proofErr w:type="spellEnd"/>
      <w:r w:rsidRPr="00D9141A">
        <w:rPr>
          <w:rFonts w:ascii="Calibri Light" w:hAnsi="Calibri Light" w:cs="Calibri Light"/>
          <w:sz w:val="24"/>
          <w:szCs w:val="24"/>
        </w:rPr>
        <w:t xml:space="preserve"> Malang City, the Health Department, the Education Department, the Social Department, community health centers (</w:t>
      </w:r>
      <w:proofErr w:type="spellStart"/>
      <w:r w:rsidRPr="00D9141A">
        <w:rPr>
          <w:rFonts w:ascii="Calibri Light" w:hAnsi="Calibri Light" w:cs="Calibri Light"/>
          <w:sz w:val="24"/>
          <w:szCs w:val="24"/>
        </w:rPr>
        <w:t>Puskesmas</w:t>
      </w:r>
      <w:proofErr w:type="spellEnd"/>
      <w:r w:rsidRPr="00D9141A">
        <w:rPr>
          <w:rFonts w:ascii="Calibri Light" w:hAnsi="Calibri Light" w:cs="Calibri Light"/>
          <w:sz w:val="24"/>
          <w:szCs w:val="24"/>
        </w:rPr>
        <w:t>), the Malang City General Hospital (RSUD), sub-districts and villages in Malang City, WCC Malang, and LPA Malang.</w:t>
      </w:r>
    </w:p>
    <w:p w14:paraId="63F19FA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Generally, the forms of social welfare programs for child victims of violence (child maltreatment) in Malang City consist of three types: Social Assistance Programs; Social Protection Programs; and Social Aid Programs.</w:t>
      </w:r>
    </w:p>
    <w:p w14:paraId="478715D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social assistance program is aimed at providing advocacy and recovery support, particularly focusing on the psychosocial aspects of child victims of violence. The assistance process is carried out by the P2TP2A team in Malang City, in collaboration with various related parties, such as psychologists, the police, social workers, and others. The goal of providing psychosocial support is to deliver psychological and social services to child victims of violence, helping to restore their physical, psychological, spiritual, and social conditions so that their social functions can return to normal.</w:t>
      </w:r>
    </w:p>
    <w:p w14:paraId="245DFE8D" w14:textId="77777777" w:rsidR="000422F6" w:rsidRPr="00D9141A" w:rsidRDefault="000422F6" w:rsidP="000422F6">
      <w:pPr>
        <w:ind w:firstLine="567"/>
        <w:contextualSpacing/>
        <w:jc w:val="both"/>
        <w:rPr>
          <w:rFonts w:ascii="Calibri Light" w:hAnsi="Calibri Light" w:cs="Calibri Light"/>
          <w:sz w:val="24"/>
          <w:szCs w:val="24"/>
        </w:rPr>
      </w:pPr>
      <w:proofErr w:type="gramStart"/>
      <w:r w:rsidRPr="00D9141A">
        <w:rPr>
          <w:rFonts w:ascii="Calibri Light" w:hAnsi="Calibri Light" w:cs="Calibri Light"/>
          <w:sz w:val="24"/>
          <w:szCs w:val="24"/>
        </w:rPr>
        <w:t>Specifically</w:t>
      </w:r>
      <w:proofErr w:type="gramEnd"/>
      <w:r w:rsidRPr="00D9141A">
        <w:rPr>
          <w:rFonts w:ascii="Calibri Light" w:hAnsi="Calibri Light" w:cs="Calibri Light"/>
          <w:sz w:val="24"/>
          <w:szCs w:val="24"/>
        </w:rPr>
        <w:t xml:space="preserve"> regarding the Social Protection Program, this program is intended to prevent and address the risks of social disruption and vulnerability for individuals, families, groups, and/or communities, ensuring social continuity. Its implementation includes: social assistance, social advocacy, and legal aid.</w:t>
      </w:r>
    </w:p>
    <w:p w14:paraId="44FB1D1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First, the social assistance program aims to ensure that individuals, families, groups, and communities suffering from social disruption and vulnerability can continue to lead their lives normally. The provision of social assistance is temporary and ongoing, </w:t>
      </w:r>
      <w:commentRangeStart w:id="11"/>
      <w:r w:rsidRPr="00D9141A">
        <w:rPr>
          <w:rFonts w:ascii="Calibri Light" w:hAnsi="Calibri Light" w:cs="Calibri Light"/>
          <w:sz w:val="24"/>
          <w:szCs w:val="24"/>
        </w:rPr>
        <w:t>in the form of: (1) Direct assistance; (2) Accessibility provision; and (3) Institutional arrangements.</w:t>
      </w:r>
      <w:commentRangeEnd w:id="11"/>
      <w:r w:rsidR="002A7F13">
        <w:rPr>
          <w:rStyle w:val="CommentReference"/>
        </w:rPr>
        <w:commentReference w:id="11"/>
      </w:r>
    </w:p>
    <w:p w14:paraId="7098128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social advocacy program aims to provide protection and defense for individuals, families, groups, and communities whose rights have been violated. Social advocacy can also involve raising awareness of rights and responsibilities, offering defense, and fulfilling rights.</w:t>
      </w:r>
    </w:p>
    <w:p w14:paraId="150CE6E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Third, the legal aid program is organized to represent the interests of citizens facing legal issues in defending their rights, both in and out of court, as well as providing legal consultations.</w:t>
      </w:r>
    </w:p>
    <w:p w14:paraId="2B039FA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protection is intended as a type of protection afforded to children in specific situations and circumstances to ensure their sense of safety from threats that endanger their lives and well-being during their growth and development. Rapid intervention, including physical, psychological, and social treatment and/or rehabilitation, as well as the prevention of diseases and other health issues, is provided through: (1) psychosocial support during treatment until recovery; (2) social assistance for children from low-income families; and (3) protection and support during all judicial processes.</w:t>
      </w:r>
    </w:p>
    <w:p w14:paraId="4510EB8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Meanwhile, social assistance programs are provided in the form of urgent material and facility assistance for child victims of violence. Such assistance may include clothing, food, health checks, and facilities such as safe house shelters, and so on.</w:t>
      </w:r>
    </w:p>
    <w:p w14:paraId="3527E79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Nisa and </w:t>
      </w:r>
      <w:proofErr w:type="spellStart"/>
      <w:r w:rsidRPr="00D9141A">
        <w:rPr>
          <w:rFonts w:ascii="Calibri Light" w:hAnsi="Calibri Light" w:cs="Calibri Light"/>
          <w:sz w:val="24"/>
          <w:szCs w:val="24"/>
        </w:rPr>
        <w:t>Mulyasari</w:t>
      </w:r>
      <w:proofErr w:type="spellEnd"/>
      <w:r w:rsidR="006F27B1">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5C005B">
        <w:rPr>
          <w:rFonts w:ascii="Calibri Light" w:hAnsi="Calibri Light" w:cs="Calibri Light"/>
          <w:sz w:val="24"/>
          <w:szCs w:val="24"/>
        </w:rPr>
        <w:fldChar w:fldCharType="separate"/>
      </w:r>
      <w:r w:rsidR="006F27B1" w:rsidRPr="006F27B1">
        <w:rPr>
          <w:rFonts w:ascii="Calibri Light" w:hAnsi="Calibri Light" w:cs="Calibri Light"/>
          <w:noProof/>
          <w:sz w:val="24"/>
          <w:szCs w:val="24"/>
        </w:rPr>
        <w:t>[37]</w:t>
      </w:r>
      <w:r w:rsidR="005C005B">
        <w:rPr>
          <w:rFonts w:ascii="Calibri Light" w:hAnsi="Calibri Light" w:cs="Calibri Light"/>
          <w:sz w:val="24"/>
          <w:szCs w:val="24"/>
        </w:rPr>
        <w:fldChar w:fldCharType="end"/>
      </w:r>
      <w:r w:rsidRPr="00D9141A">
        <w:rPr>
          <w:rFonts w:ascii="Calibri Light" w:hAnsi="Calibri Light" w:cs="Calibri Light"/>
          <w:sz w:val="24"/>
          <w:szCs w:val="24"/>
        </w:rPr>
        <w:t xml:space="preserve"> state that legal assistance provided through the Integrated Service Center for the Empowerment of Women and Children (P2TP2A) is a type of effort to provide protection for children and women against sexual violence. This service institution is a </w:t>
      </w:r>
      <w:r w:rsidRPr="00D9141A">
        <w:rPr>
          <w:rFonts w:ascii="Calibri Light" w:hAnsi="Calibri Light" w:cs="Calibri Light"/>
          <w:sz w:val="24"/>
          <w:szCs w:val="24"/>
        </w:rPr>
        <w:lastRenderedPageBreak/>
        <w:t>center that integrates various empowerment efforts for women in different areas of development. Additionally, this protection is aimed at women and children from various forms of discrimination, violence, and human trafficking. This institution was also established by the Indonesian government to be utilized by the community through the provision of various forms of legal assistance for victims of sexual violence. It offers several services, such as legal consultations, reproductive health consultations, referral centers, crisis intervention centers for women, trauma recovery centers, and more.</w:t>
      </w:r>
    </w:p>
    <w:p w14:paraId="56ED68DF" w14:textId="77777777" w:rsidR="000422F6" w:rsidRPr="00D9141A" w:rsidRDefault="000422F6" w:rsidP="000422F6">
      <w:pPr>
        <w:ind w:left="1146"/>
        <w:contextualSpacing/>
        <w:jc w:val="both"/>
        <w:rPr>
          <w:rFonts w:ascii="Calibri Light" w:hAnsi="Calibri Light" w:cs="Calibri Light"/>
          <w:sz w:val="24"/>
          <w:szCs w:val="24"/>
        </w:rPr>
      </w:pPr>
    </w:p>
    <w:p w14:paraId="6CDD0FFF" w14:textId="77777777" w:rsidR="000422F6" w:rsidRPr="00D9141A" w:rsidRDefault="000422F6" w:rsidP="000422F6">
      <w:pPr>
        <w:contextualSpacing/>
        <w:jc w:val="both"/>
        <w:rPr>
          <w:rFonts w:ascii="Calibri Light" w:hAnsi="Calibri Light" w:cs="Calibri Light"/>
          <w:b/>
          <w:sz w:val="24"/>
          <w:szCs w:val="24"/>
        </w:rPr>
      </w:pPr>
      <w:commentRangeStart w:id="12"/>
      <w:r w:rsidRPr="00D9141A">
        <w:rPr>
          <w:rFonts w:ascii="Calibri Light" w:hAnsi="Calibri Light" w:cs="Calibri Light"/>
          <w:b/>
          <w:sz w:val="24"/>
          <w:szCs w:val="24"/>
        </w:rPr>
        <w:t>Discussion</w:t>
      </w:r>
      <w:commentRangeEnd w:id="12"/>
      <w:r w:rsidR="004F74C1">
        <w:rPr>
          <w:rStyle w:val="CommentReference"/>
        </w:rPr>
        <w:commentReference w:id="12"/>
      </w:r>
    </w:p>
    <w:p w14:paraId="77BB936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findings of this study reveal that child violence in Malang City predominantly manifests as sexual violence, including molestation and rape, accounting for 32.70% of reported cases. This alarming statistic underscores the critical vulnerability of children, who are often victimized by those closest to them, such as parents and relatives. The research aligns with previous studies indicating that perpetrators of child violence frequently occupy trusted roles in the child's life, creating a deceptive sense of safety that can lead to exploitation. This situation highlights the urgent need for increased awareness and education regarding children's rights and protections, especially among parents and caregivers, to prevent further occurrences of violence.</w:t>
      </w:r>
    </w:p>
    <w:p w14:paraId="7213F571"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Additionally, the study identifies various contributing factors to child violence, such as emotional instability, economic hardship, and family disharmony. These factors interplay to create an environment where violence can thrive. For instance, a lack of parental supervision coupled with external pressures—such as financial strain—can exacerbate the risk of violence against children. The influence of media and societal norms also plays a significant role in shaping behaviors and attitudes towards violence. Therefore, it is essential for government and community organizations to </w:t>
      </w:r>
      <w:commentRangeStart w:id="13"/>
      <w:r w:rsidRPr="00D9141A">
        <w:rPr>
          <w:rFonts w:ascii="Calibri Light" w:hAnsi="Calibri Light" w:cs="Calibri Light"/>
          <w:sz w:val="24"/>
          <w:szCs w:val="24"/>
        </w:rPr>
        <w:t xml:space="preserve">implement comprehensive intervention programs </w:t>
      </w:r>
      <w:commentRangeEnd w:id="13"/>
      <w:r w:rsidR="00890291">
        <w:rPr>
          <w:rStyle w:val="CommentReference"/>
        </w:rPr>
        <w:commentReference w:id="13"/>
      </w:r>
      <w:r w:rsidRPr="00D9141A">
        <w:rPr>
          <w:rFonts w:ascii="Calibri Light" w:hAnsi="Calibri Light" w:cs="Calibri Light"/>
          <w:sz w:val="24"/>
          <w:szCs w:val="24"/>
        </w:rPr>
        <w:t>that not only address the immediate needs of victims but also educate families and communities about healthy relationships, conflict resolution, and the importance of safeguarding children's welfare. A multi-faceted approach is necessary to effectively combat child violence and foster a safer environment for future generations.</w:t>
      </w:r>
    </w:p>
    <w:p w14:paraId="02BBF47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data indicates that violence against children and women is becoming increasingly concerning. Referring to the statements of Nisa and </w:t>
      </w:r>
      <w:proofErr w:type="spellStart"/>
      <w:r w:rsidRPr="00D9141A">
        <w:rPr>
          <w:rFonts w:ascii="Calibri Light" w:hAnsi="Calibri Light" w:cs="Calibri Light"/>
          <w:sz w:val="24"/>
          <w:szCs w:val="24"/>
        </w:rPr>
        <w:t>Mulyasari</w:t>
      </w:r>
      <w:proofErr w:type="spellEnd"/>
      <w:r w:rsidRPr="00D9141A">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[37]</w:t>
      </w:r>
      <w:r w:rsidR="006F27B1">
        <w:rPr>
          <w:rFonts w:ascii="Calibri Light" w:hAnsi="Calibri Light" w:cs="Calibri Light"/>
          <w:sz w:val="24"/>
          <w:szCs w:val="24"/>
        </w:rPr>
        <w:fldChar w:fldCharType="end"/>
      </w:r>
      <w:r w:rsidRPr="00D9141A">
        <w:rPr>
          <w:rFonts w:ascii="Calibri Light" w:hAnsi="Calibri Light" w:cs="Calibri Light"/>
          <w:sz w:val="24"/>
          <w:szCs w:val="24"/>
        </w:rPr>
        <w:t>, violence against children and women is a growing issue in recent years. Children often become victims of violence because they are perceived as powerless. To prevent sexual violence against children and women, the government and related organizations implement various initiatives such as strict guidelines and regulations.</w:t>
      </w:r>
    </w:p>
    <w:p w14:paraId="7F9DB81D"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research data shows that the perpetrators of violence against children are often individuals close to or known by the child. This aligns with the findings of </w:t>
      </w:r>
      <w:proofErr w:type="spellStart"/>
      <w:r w:rsidRPr="00D9141A">
        <w:rPr>
          <w:rFonts w:ascii="Calibri Light" w:hAnsi="Calibri Light" w:cs="Calibri Light"/>
          <w:sz w:val="24"/>
          <w:szCs w:val="24"/>
        </w:rPr>
        <w:t>Lewoleba</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Fahruzi</w:t>
      </w:r>
      <w:proofErr w:type="spellEnd"/>
      <w:r w:rsidR="005C005B">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{"citationItems":[{"id":"ITEM-1","itemData":{"DOI":"10.35586/esensihukum.v2i1.20","ISSN":"2716-2893","abstract":"Penelitian ini membahas mengenai kondisi darurat kekerasan seksual yang  menimpa anak-anak di Indonesia saat ini, masalah kekerasan seksual tidak hanya menjadi isu domestik, namun sudah menjadi permasalahn global yang menimpa anak-anak tidak hanya di Indonesia tetapi dibelahan dunia yang lain. Anak-anak yang  hidup dalam kondisi miskin, anak korban konflik bersenjata adalah sebgaian dari anak-anak di dunia yang mengalami  berbagai macam tindak kekerasan termasuk kekerasan seksual. Meningkatanya kasus kekerasan terhadap anak berupa eksploitasi, kekerasan , penganiayaan, penelantaran dan kejahatan seksual, terjadi akhir-akhir ini memperlihatakan bahwa, negara, pemerintah, masyarakat, keluarga dan orangtua telah gagal menjalankan tugas, fungsi dan tanggungjawabnya sebagai garda terdepan dalam memberikan perlindungan, pemenuhan dan penghormatan terhadap hak anak di Indonesia. Kegagalan negara dalam memberikan perlindungan terhadap anak-anak terutama yang menjadi korban kejahatan seksual dapat dilhat jumlah kasus kejahatan seksual yang dihimpun oleh  beberapa lembaga, meskipun angka-angka tersebut sebenarnya merupakan fenomena puncak es, artinya tidak menggambarkan kondisi riil yang sebenarnaya terjadi di masyarakat saat ini. Tujuan Pelitian ini untuk mengetahui sejauh mana kondisi darurat kekerasan seksual yang terjadi di masyarakat kita dan faktor-faktor penyebab masakya kekerasan seksual terhadapa anak, upaya yang bisa dilakukan untuk meminimalisir  dan upaya-upaya preventif dalam rangka melindungi anak-anak dari  berbagai macam bentuk tindak kekerasan terutama kekerasan seksual. Metode yang dipergunakan dalam penelitian ini adalah penelitian  hukum yuridis empiris  dengan  melakukan pengamatan  secara mendalam terhadap  feomena  yang terjadi, terkait dengan tindak kekerasan seksual terhadap anak.anak.","author":[{"dropping-particle":"","family":"Kayowuan Lewoleba","given":"Kayus","non-dropping-particle":"","parse-names":false,"suffix":""},{"dropping-particle":"","family":"Helmi Fahrozi","given":"Muhammad","non-dropping-particle":"","parse-names":false,"suffix":""}],"container-title":"Esensi Hukum","id":"ITEM-1","issue":"1","issued":{"date-parts":[["2020"]]},"page":"27-48","title":"Studi Faktor-Faktor Terjadinya Tindak Kekerasan Seksual Pada Anak-Anak","type":"article-journal","volume":"2"},"uris":["http://www.mendeley.com/documents/?uuid=18ee444d-93d2-4029-bbe4-c4bfd20dc70b"]}],"mendeley":{"formattedCitation":"[38]","plainTextFormattedCitation":"[38]"},"properties":{"noteIndex":0},"schema":"https://github.com/citation-style-language/schema/raw/master/csl-citation.json"}</w:instrText>
      </w:r>
      <w:r w:rsidR="005C005B">
        <w:rPr>
          <w:rFonts w:ascii="Calibri Light" w:hAnsi="Calibri Light" w:cs="Calibri Light"/>
          <w:sz w:val="24"/>
          <w:szCs w:val="24"/>
        </w:rPr>
        <w:fldChar w:fldCharType="separate"/>
      </w:r>
      <w:r w:rsidR="005C005B" w:rsidRPr="005C005B">
        <w:rPr>
          <w:rFonts w:ascii="Calibri Light" w:hAnsi="Calibri Light" w:cs="Calibri Light"/>
          <w:noProof/>
          <w:sz w:val="24"/>
          <w:szCs w:val="24"/>
        </w:rPr>
        <w:t>[38]</w:t>
      </w:r>
      <w:r w:rsidR="005C005B">
        <w:rPr>
          <w:rFonts w:ascii="Calibri Light" w:hAnsi="Calibri Light" w:cs="Calibri Light"/>
          <w:sz w:val="24"/>
          <w:szCs w:val="24"/>
        </w:rPr>
        <w:fldChar w:fldCharType="end"/>
      </w:r>
      <w:r w:rsidRPr="00D9141A">
        <w:rPr>
          <w:rFonts w:ascii="Calibri Light" w:hAnsi="Calibri Light" w:cs="Calibri Light"/>
          <w:sz w:val="24"/>
          <w:szCs w:val="24"/>
        </w:rPr>
        <w:t>, which indicate that violence, particularly sexual violence against children, specifically refers to any relationship or interaction between a child and an older or adult individual, such as a stranger, siblings, or parents, where the child is exploited for the perpetrator's sexual needs.</w:t>
      </w:r>
    </w:p>
    <w:p w14:paraId="60AD36A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several potential causes for the recent increase in sexual violence against children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{"citationItems":[{"id":"ITEM-1","itemData":{"DOI":"10.1186/s12916-023-02769-y","ISSN":"17417015","PMID":"36907864","abstract":"Background: Childhood maltreatment is associated with depression and cardiometabolic disease in adulthood. However, the relationships with these two diseases have so far only been evaluated in different samples and with different methodology. Thus, it remains unknown how the effect sizes magnitudes for depression and cardiometabolic disease compare with each other and whether childhood maltreatment is especially associated with the co-occurrence (“comorbidity”) of depression and cardiometabolic disease. This pooled analysis examined the association of childhood maltreatment with depression, cardiometabolic disease, and their comorbidity in adulthood. Methods: We carried out an individual participant data meta-analysis on 13 international observational studies (N = 217,929). Childhood maltreatment comprised self-reports of physical, emotional, and/or sexual abuse before 18 years. Presence of depression was established with clinical interviews or validated symptom scales and presence of cardiometabolic disease with self-reported diagnoses. In included studies, binomial and multinomial logistic regressions estimated sociodemographic-adjusted associations of childhood maltreatment with depression, cardiometabolic disease, and their comorbidity. We then additionally adjusted these associations for lifestyle factors (smoking status, alcohol consumption, and physical activity). Finally, random-effects models were used to pool these estimates across studies and examined differences in associations across sex and maltreatment types. Results: Childhood maltreatment was associated with progressively higher odds of cardiometabolic disease without depression (OR [95% CI] = 1.27 [1.18; 1.37]), depression without cardiometabolic disease (OR [95% CI] = 2.68 [2.39; 3.00]), and comorbidity between both conditions (OR [95% CI] = 3.04 [2.51; 3.68]) in adulthood. Post hoc analyses showed that the association with comorbidity was stronger than with either disease alone, and the association with depression was stronger than with cardiometabolic disease. Associations remained significant after additionally adjusting for lifestyle factors, and were present in both males and females, and for all maltreatment types. Conclusions: This meta-analysis revealed that adults with a history of childhood maltreatment suffer more often from depression and cardiometabolic disease than their non-exposed peers. These adults are also three times more likely to have comorbid depression and card…","author":[{"dropping-particle":"","family":"Souama","given":"Camille","non-dropping-particle":"","parse-names":false,"suffix":""},{"dropping-particle":"","family":"Lamers","given":"Femke","non-dropping-particle":"","parse-names":false,"suffix":""},{"dropping-particle":"","family":"Milaneschi","given":"Yuri","non-dropping-particle":"","parse-names":false,"suffix":""},{"dropping-particle":"","family":"Vinkers","given":"Christiaan H.","non-dropping-particle":"","parse-names":false,"suffix":""},{"dropping-particle":"","family":"Defina","given":"Serena","non-dropping-particle":"","parse-names":false,"suffix":""},{"dropping-particle":"","family":"Garvert","given":"Linda","non-dropping-particle":"","parse-names":false,"suffix":""},{"dropping-particle":"","family":"Stein","given":"Frederike","non-dropping-particle":"","parse-names":false,"suffix":""},{"dropping-particle":"","family":"Woofenden","given":"Tom","non-dropping-particle":"","parse-names":false,"suffix":""},{"dropping-particle":"","family":"Brosch","given":"Katharina","non-dropping-particle":"","parse-names":false,"suffix":""},{"dropping-particle":"","family":"Dannlowski","given":"Udo","non-dropping-particle":"","parse-names":false,"suffix":""},{"dropping-particle":"","family":"Galenkamp","given":"Henrike","non-dropping-particle":"","parse-names":false,"suffix":""},{"dropping-particle":"","family":"Graaf","given":"Ron","non-dropping-particle":"de","parse-names":false,"suffix":""},{"dropping-particle":"","family":"Jaddoe","given":"Vincent W.V.","non-dropping-particle":"","parse-names":false,"suffix":""},{"dropping-particle":"","family":"Lok","given":"Anja","non-dropping-particle":"","parse-names":false,"suffix":""},{"dropping-particle":"","family":"Rijn","given":"Bas B.","non-dropping-particle":"van","parse-names":false,"suffix":""},{"dropping-particle":"","family":"Völzke","given":"Henry","non-dropping-particle":"","parse-names":false,"suffix":""},{"dropping-particle":"","family":"Cecil","given":"Charlotte A.M.","non-dropping-particle":"","parse-names":false,"suffix":""},{"dropping-particle":"","family":"Felix","given":"Janine F.","non-dropping-particle":"","parse-names":false,"suffix":""},{"dropping-particle":"","family":"Grabe","given":"Hans J.","non-dropping-particle":"","parse-names":false,"suffix":""},{"dropping-particle":"","family":"Kircher","given":"Tilo","non-dropping-particle":"","parse-names":false,"suffix":""},{"dropping-particle":"","family":"Lekadir","given":"Karim","non-dropping-particle":"","parse-names":false,"suffix":""},{"dropping-particle":"ten","family":"Have","given":"Margreet","non-dropping-particle":"","parse-names":false,"suffix":""},{"dropping-particle":"","family":"Walton","given":"Esther","non-dropping-particle":"","parse-names":false,"suffix":""},{"dropping-particle":"","family":"Penninx","given":"Brenda W.J.H.","non-dropping-particle":"","parse-names":false,"suffix":""}],"container-title":"BMC Medicine","id":"ITEM-1","issue":"1","issued":{"date-parts":[["2023"]]},"page":"1-16","publisher":"BioMed Central","title":"Depression, cardiometabolic disease, and their co-occurrence after childhood maltreatment: an individual participant data meta-analysis including over 200,000 participants","type":"article-journal","volume":"21"},"uris":["http://www.mendeley.com/documents/?uuid=c76f7bd2-e34f-4c0b-8aca-1beb0813a215"]}],"mendeley":{"formattedCitation":"[39]","plainTextFormattedCitation":"[39]","previouslyFormattedCitation":"[39]"},"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[39]</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w:t>
      </w:r>
      <w:r w:rsidRPr="00D9141A">
        <w:rPr>
          <w:rFonts w:ascii="Calibri Light" w:hAnsi="Calibri Light" w:cs="Calibri Light"/>
          <w:color w:val="1F1F1F"/>
          <w:sz w:val="24"/>
          <w:szCs w:val="24"/>
          <w:lang w:val="en"/>
        </w:rPr>
        <w:t xml:space="preserve">Factors causing child maltreatment can be divided into two main categories: internal and external. Internal factors are often related to an adult's psychological and emotional state, including mental health problems, addiction, or traumatic past experiences. </w:t>
      </w:r>
      <w:r w:rsidRPr="00D9141A">
        <w:rPr>
          <w:rFonts w:ascii="Calibri Light" w:hAnsi="Calibri Light" w:cs="Calibri Light"/>
          <w:color w:val="1F1F1F"/>
          <w:sz w:val="24"/>
          <w:szCs w:val="24"/>
          <w:lang w:val="en"/>
        </w:rPr>
        <w:lastRenderedPageBreak/>
        <w:t xml:space="preserve">Individuals who experience high stress, emotional instability, or have poor parenting tend to be more at risk for abuse. Meanwhile, external factors include the social and economic environment, such as poverty, domestic violence, and lack of social support. Unstable environments or communities with high levels of violence also contribute to the risk of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{"citationItems":[{"id":"ITEM-1","itemData":{"DOI":"10.3390/su12229484","ISSN":"20711050 (ISSN)","abstract":"While a growing body of literature explores tourism impacts in search of sustainable outcomes, research on justice in diverse tourism settings is nascent. Theoretically informed studies drawing from interdisciplinary perspectives are just beginning to emerge to help examine contestations and injustices such as addressed in the case study presented here. The Little Bighorn Battlefield National Monument (or “Custer’s Last Stand” as some know it; LBH) is a protected heritage tourism site that commemorates a battle between Native American tribes and the U.S. military in 1876. Indigenous stakeholders have struggled for decades with the National Park Service to overturn a long legacy of misrepresentation and exclusion from the commemoration and development of the site for heritage tourism. Site closures and other effects of the ongoing COVID-19 pandemic present additional challenges for Native American stakeholders like the Crow Tribe. Guided by Nancy Fraser’s principles of trivalent justice (redistribution, recognition, and representation), this qualitative study traces the conflict over heritage commemoration, and explores the potential for praxis through ethical tourism development and marketing. Fraser’s trivalent approach to justice demonstrates the importance of interdisciplinary research to examine historically entrenched discrimination, redress injustices, and facilitate healing and well-being of diverse groups at sites like LBH. © 2020 by the authors. Licensee MDPI, Basel, Switzerland.","author":[{"dropping-particle":"","family":"Wahl","given":"J","non-dropping-particle":"","parse-names":false,"suffix":""},{"dropping-particle":"","family":"Lee","given":"S","non-dropping-particle":"","parse-names":false,"suffix":""},{"dropping-particle":"","family":"Jamal","given":"T","non-dropping-particle":"","parse-names":false,"suffix":""}],"container-title":"Sustainability (Switzerland)","id":"ITEM-1","issue":"22","issued":{"date-parts":[["2020"]]},"language":"English","note":"Cited By :1\n\nExport Date: 27 August 2021\n\nCorrespondence Address: Wahl, J.; Department of Recreation, United States; email: jeffwahl@tamu.edu\n\nReferences: Lanfant, M., Introduction (1995) International Tourism: Identity and Change, pp. 1-23. , Lanfant, M., Allcock, J., Bruner, E., Eds.; SAGE: Thousand Oaks, CA, USA; \nFennell, D., Cooper, C., (2020) Sustainable Tourism: Principles, Contexts and Practices, , Channel view publication: Bristol, UK;\nJamal, T., Kim, H., Bridging the interdisciplinary divide: Towards an integrated framework for heritage tourism research (2005) Tour. Stud, 5, pp. 55-83;\nImpact Assessment of the COVID-19 Outbreak on International Tourism, , https://www.unwto.org/impact-assessment-of-the-covid-19-outbreak-on-international-tourism, UNWTO. United Nations World Tourism Organization: Madrid, Spain, 2020. (accessed on 1 October 2020);\nBright, C.F., Foster, K., Joyner, T.A., Tanny, O., Heritage tourism, historic roadside markers and “just representation” in Tennessee, USA (2020) J. Sustain. Tour, pp. 1-20;\nHannam, K., Contested representations of war and heritage at the Residency, Lucknow, India (2006) Int. J. Tour, 8, pp. 199-212;\nMowforth, M., Munt, I., (2016) Tourism and Sustainability: Development, Globalisation and New Tourism in the Third World, , 4th ed.; Routledge: New York, NY, USA;\nHollinshead, K., White gaze, ‘red’ people—Shadow visions: The disidentification of ‘indians’ in cultural tourism (1992) Leis. Stud, 11, pp. 43-64;\nHoobler, E., To Take Their Heritage in Their Hands”: Indigenous Self-Representation and Decolonization in the Community Museums of Oaxaca, Mexico (2006) Am. Indian Q, 30, pp. 441-460;\nFraser, N., (2010) Scales of justice: Reimagining Political Space in a Globalizing World, , Columbia University Press: New York, NY, USA;\nBlue, G., Rosol, M., Fast, V., Justice as Parity of Participation: Enhancing Arnstein’s Ladder Through Fraser’s Justice Framework (2019) J. Am. Plan. Assoc, 85, pp. 363-376;\nFraser, N., Social Justice in the Age of Identity Politics: Redistribution, Recognition, and Participation (2003) Redistribution or Recognition? A Political-Philosophical Exchange, pp. 7-109. , Fraser, N., Honneth, A., Eds.; Verso: London, UK; New York, NY, USA;\nJamal, T., (2019) Justice and Ethics in Tourism, , Routledge: New York, NY, USA;\nForsyth, T.J., Tourism and agricultural development in Thailand (1995) Ann. Tour. Res, 22, pp. 877-900;\nNovelli, M., Tisch-Rottensteiner, A., Authenticity versus development: Tourism to the hill tribes of Thailand (2012) Controversies in Tourism, pp. 54-72. , Moufakkir, O., Burns, P.M., Eds.; CABI: Oxfordshire, UK;\nDwijayanthi, P.T., Jones, K., Ayu, N.G., Satyawati, D., Indigenous People, economic Development and Sustainable Tourism: A Comparative Analysis between Bali, Indonesia and Australia (2017) Udayana J. Law Cult, 1, pp. 16-30;\nSangchumnong, A., Kozak, M., Sustainable cultural heritage tourism at Ban Wangka Village, Thailand (2018) Anatolia, 29, pp. 183-193;\nHarbor, L.C., Hunt, C.A., Indigenous tourism and cultural justice in a Tz’utujil Maya community, Guatemala (2020) J. Sustain. Tour, pp. 1-20;\nMitchell, R.E., Eagles, P.F.J., An integrative approach to tourism: Lessons from the Andes of Peru (2001) J. Sustain. Tour, 9, pp. 4-28;\nAdams, J.L., Interrogating the equity principle: The rhetoric and reality of management planning for sustainable archaeological heritage tourism (2010) J. Herit. Tour, 5, pp. 103-123;\nAkama, J.S., Kieti, D., Tourism and socio-economic development in developing countries: A case study of Mombasa Resort in Kenya (2007) J. Sustain. Tour, 15, pp. 735-748;\nSu, M.M., Wall, G., Xu, K., Tourism-Induced Livelihood Changes at Mount Sanqingshan World Heritage Site, China (2016) Environ. Manag, 57, pp. 1024-1040;\nLarson, L.R., Poudyal, N.C., Developing sustainable tourism through adaptive resource management: A case study of Machu Picchu, Peru (2012) J. Sustain. Tour, 20, pp. 917-938;\nSu, M.M., Wall, G., Community participation in tourism at a world heritage site: Mutianyu great wall, Beijing, China (2014) Int. J. Tour. Res, 16, pp. 146-156;\nHuang, H.-C., Chia-Hao, L., Chang, H.-M., Does Tourism Development Bring Positive Benefit to Indigenous Tribe? Case by Dongpu in Taiwan (2015) Adv. Res, 4, pp. 235-246;\nPocock, C., Lilley, I., Who Benefits? World Heritage and Indigenous People (2017) Herit. Soc, 10, pp. 171-190;\nSmith, L., Campbell, G., The Tautology of “Intangible Values” and the Misrecognition of Intangible Cultural Heritage (2017) Herit. Soc, 10, pp. 26-44;\nWaterton, E., Smith, L., The recognition and misrecognition of community heritage (2010) Int. J. Herit. Stud, 16, pp. 4-15;\nSmith, L., ‘We are… we are everything’: The politics of recognition and misrecognition at immigration museums (2017) Museum Soc, 15, pp. 69-86;\nWeiss, L., Heritage-making and political identity (2007) J. Soc. Archaeol, 7, pp. 413-431;\nButler, C.F., Menzies, C.R., Traditional ecological knowledge and indigenous tourism (2007) Tour. Indig. Peoples Issues Implic, 2, pp. 15-27;\nJohnston, R., Marwood, K., Action heritage: Research, communities, social justice (2017) Int. J. Herit. Stud, 23, pp. 816-831;\nLynch, K., Why Love, Care and Solidarity Are Political Matters: Affective Equality and Fraser’s Model of Social Justice (2014) Love: A Question for Feminism in the Twenty-First Century, pp. 173-189. , Jónasdóttir, A.G., Ferguson, A., Eds.; Routledge: New York, NY, USA;\nGallardo, J.H., Stein, T.V., Participation, power and racial representation: Negotiating nature-based and heritage tourism development in the rural south (2007) Soc. Nat. Resour, 20, pp. 597-611;\nCheung, S.C.H., The meanings of a heritage trail in Hong Kong (1999) Ann. Tour. Res, 26, pp. 570-588;\nNiskala, M., Ridanpää, J., Ethnic representations and social exclusion: Sáminess in Finnish Lapland tourism promotion (2015) Scand. J. Hosp. Tour, 16, pp. 375-394;\nCoronado, G., Selling culture? Between commoditisation and cultural control in Indigenous alternative tourism (2014) Pasos. Rev. Tur. Patrim. Cult, 12, pp. 11-28;\nBaird, M.F., The breath of the mountain is my heart: Indigenous cultural landscapes and the politics of heritage (2013) Int. J. Herit. Stud, 19, pp. 327-340;\nMagnoni, A., Ardren, T., Hutson, S., Tourism in the Mundo Maya: Inventions and (mis)representations of Maya identities and heritage (2007) Archaeologies, 3, pp. 353-383;\nMcIntosh, A.J., Zygadlo, F.K., Matunga, H., Rethinking Maori tourism (2004) Asia Pacific J. Tour. Res, 9, pp. 331-352;\nAmoamo, M., Māori tourism: Image and identity—A postcolonial perspective (2007) Ann. Leis. Res, 10, pp. 454-474;\nAmoamo, M., Thompson, A., Imaging Māori tourism: Representation and cultural hybridity in postcolonial New Zealand (2010) Tour. Stud, 10, pp. 35-55. , (re);\nJamal, T., Lee, S., Ethical Issues in Tourism (2020) The SAGE Handbook of Marketing Ethics, , Eagle, L., Dahl, S., Pelsmacker, P., Taylor, C., Eds.; SAGE: Thousand Oaks, CA, USA, in press;\nYang, L., Ethnic tourism and cultural representation (2011) Ann. Tour. Res, 38, pp. 561-585;\nLemelin, R.H., Whyte, K.P., Johansen, K., Desbiolles, F.H., Wilson, C., Hemming, S., Conflicts, battlefields, indigenous peoples and tourism: Addressing dissonant heritage in warfare tourism in Australia and North America in the twenty-first century (2013) Int. J. Cult. Tour. Hosp. Res, 7, pp. 257-271;\nNasson, B., Commemorating the Anglo-Boer war in post-apartheid South Africa (2000) Radic. Hist. Rev, 78, pp. 149-165;\nRuhanen, L., Whitford, M., Cultural heritage and Indigenous tourism (2019) J. Herit. Tour, 14, pp. 179-191;\nMarkowitz, K., Cultural Tourism: Exploration or Exploitation of American Indians? (2001) Am. Indian Law Lev, 26, pp. 223-260;\nPiner, J., Paradis, T., Beyond the casino: Sustainable-tourism and cultural development on native american lands (2004) Tour. Geogr, 6, pp. 80-98;\nFoundational Document: Little Bighorn Battlefield National Monument, Montana, 2015, , http://npshistory.com/publications/foundation-documents/libi-fd-2015.pdf, National Park Service. (accessed on 4 August 2020);\nGreene, J., (2008) Stricken Field: The Little Bighorn since 1876, , University of Oklahoma Press: Norman, OK, USA;\n(2017) Park Statistics, , https://www.nps.gov/libi/learn/management/statistics.htm, National Park Serviec. (accessed on 4 August 2020);\nCrow Nation, 2020, , https://tribalnations.mt.gov/crow, Montana Governor’s Office of Indian Affairs. (accessed on 8 August 2020);\n(2013) Crow Reservation Demographic and Economic Information, , https://lmi.mt.gov/Portals/193/Publications/LMI-Pubs/LocalAreaProfiles/Reservation%20Profiles/RF13-Crow.pdf, Crow Tribal Council. (accessed on10 August 2020);\nChurchill, W., (2002) Struggle for the Land: Native North American Resistance to Genocide, Ecocide and Colonization, , City Lights: San Francisco, CA, USA;\nGrinde, D., Johansen, B., (1995) Ecocide of Native America: Environmental Destruction of Indian Lands and People, , Clear Light Publishers: Santa Fe, NM, USA;\nWilkinson, C., (2005) Blood Struggle: The Rise of Modern Indian Nations, , W. W. Norton &amp;amp; Company: New York, NY, USA;\nDemographics, 2020, , http://www.ncai.org/about-tribes/demographicsndians,N.C.ofA.Demographics, National Congress of American Indians. (accessed on 1 June 2020);\nKim, S., Native Americans are more Vulnerable to Coronavirus—Less Than 3 Percent have been Tested, , https://www.newsweek.com/native-americans-are-more-vulnerable-coronavirusless-3-percent-have-been-tested-1505688, Newsweek, 21 May 2020. (accessed on 10 October 2020);\nSt. Pierre, N., (1996) Listening to the student voice: A case study of the Little Big Horn College Mission, , Ph.D. Thesis, Montana State University, Bozeman, Montana;\nSwanke, D., (2013) Little Bighorn Battlefield Update—Fall 2013, , https://custerbattlefield.org/wp1/pdfs/update-fall-2013.pdf, National Park Service: Washington, DC, USA, (accessed on 2 September 2020);\nSamuels, I., COVID-19 Spread Forces Lockdown on Crow Reservation, , https://www.greatfallstribune.com/story/news/2020/08/07/covid-19-spread-forces-lockdown-crow-reservation-montana/3324228001/, Great Falls Tribune, 7 August 2020. (accessed on 18 August 2020);\nMayer, L., Checkpoints Set up on Crow Reservation to Prevent Spread of COVID-19, , https://billingsgazette.com/news/local/checkpoints-set-up-on-crow-reservation-to-prevent-spread-of-covid-19/article_bf6cbc27-3dbd-5823-bbfc-0e20de6830cc.html, Billings Gazette, 29 March 2020. (accessed on 20 August 2020);\nCoronavirus disease 2019 (COVID-19): Cases in the U.S., 2020, , https://www.cdc.gov/coronavirus/2019-ncov/cases-updates/cases-in-us.html, Centers for Disease Control and Prevention. (accessed 1 October 2020);\nLing, J., Indigenous Nations Battle to Secure Borders, Funds amid Pandemic. Foreign Policy, , https://foreignpolicy.com/2020/08/06/coronavirus-pandemic-indigenous-nations-secure-borders-funds/, 6 August 2020. (accessed on 19 August 2020);\nYin, R., (2009) Case Study Research: Design and Methods, , 4th ed.; SAGE: Thousands Oaks, CA, USA;\nWahl, J., Commemoration and contestation: The Little Bighorn Battlefield National Monument, USA (2019) Justice and Ethics in Tourism, pp. 92-98. , Jamal, T., Eds.; Routledge: New York, NY, USA;\nDarder, A., Decolonizing interpretive research: Subaltern sensibilities and the politics of voice (2018) Qual. Res. J, 18, pp. 94-104;\nSmith, L., (2014) Decolonizing Methodologies: Research and Indigenous Peoples, , 2nd ed.; Zed books: New York, NY, USA;\nStinson, M.J., Grimwood, B.S.R., Caton, K., Becoming common plantain: Metaphor, settler responsibility, and decolonizing tourism (2020) J. Sustain. Tour;\n(1991) Miscellaneous National Park Legislation: Hearing before the Subcommittee on Public Lands, National Parks and Forests of the Committee on Energy and Natural Resources, p. 102. , https://books.google.com/books?printsec=frontcover&amp;amp;vq=custer&amp;amp;id=GefZQAghKYcC&amp;amp;output=text, (S. Hgr. –468), U.S. Senate, 102nd Cong., (accessed on 13 November 2020);\nReece, B., The story of the Indian Memorial, 2003. Friends of the Little Bighorn Battlefield, , http://www.friendslittlebighorn.com/Indian%20Memorial.htm, (accessed on 5 September 2020);\nOlp, S., (2014) Billings Gazette, , https://billingsgazette.com/news/state-and-regional/montana/ceremony-marks-completion-of-indian-memorial-on-anniversary-of-little-bighorn-battle/article_fbe0c5ec-0639-5df2-9ccc-ed7ab209f3a8.html, Ceremony Marks Completion of Indian Memorial on Anniversary of Little Bighorn Battle, 5 September (accessed on 28 August 2020);\nMeadow, J., (2003) Rocky Mountain News, p. 20A. , https://infoweb-newsbank-com.srv-proxy2.library.tamu.edu/apps/news/document-view?p=NewsBank&amp;amp;t=&amp;amp;sort=YMD_date%3AD&amp;amp;page=3&amp;amp;fld-nav-0=YMD_date&amp;amp;val-nav-0=2003%20-%202003&amp;amp;fld-base-0=alltext&amp;amp;maxresults=20&amp;amp;val-base-0=%22indian%20memorial%22%20%27little%20bighorn%22&amp;amp;docref=news/0FBEB4CE84927240, 127 years later, the other side speaks—10,000 to dedicate Indian memorial at Little Bighorn today, 25 June (accessed on 21 September 2020);\nReece, B., History of the Warrior Markers, 2008. Friends of the Little Bighorn Battlefield, , http://www.friendslittlebighorn.com/warriormarkershistory.htm, (accessed on 22 September 2020);\nCharles, J., Superintendent’s Annual Narrative Report, 2007. Little Bighorn Battlefield National Monument, , http://www.friendslittlebighorn.com/SuperintendentsAnnualReport2007.pdf, (accessed on 17 August 2020);\nHammond, K., Superintendent’s Annual Narrative Report, 2009. Little Bighorn Battlefield National Monument, , http://www.friendslittlebighorn.com/littlebighornsuptannualreport2009.pdf, (accessed on 17 August 2020);\nUtley, R., Whose shrine is it? The ideological struggle for Custer Battlefield (1992) Montana, 42, pp. 70-74;\nBrooke, J., Controversy over memorial to winners at Little Bighorn (1997) New York Times, , https://www.nytimes.com/1997/08/24/us/controversy-over-memorial-to-winners-at-little-bighorn.html?ref=georgearmstrongcuster, 24 August (accessed on 3 September 2020);\nWoody, K., Custer revisited (2016) Nat. Hist, 124, pp. 28-31;\nOlp, S., (2015) Billings Gazette, , https://billingsgazette.com/news/state-and-regional/montana/tribal-tour-company-tells-story-of-the-battle-of-the-little-bighorn/article_55596702-bae2-5a93-ac0d-c76561b5c957.html, Tribal tour company tells story of the Battle of the Little Bighorn, 10 June (accessed on 22 September 2020);\nKordenbrock, M., Crow Tribe orders quarantine and curfew, , https://billingsgazette.com/news/local/crow-tribe-orders-quarantine-and-curfew/article_53dda9f4-735c-5bfc-93de-ada6a700fcd6.html, Billings Gazette, March 2020. (accessed on 20 August 2020);\nLittle Bighorn Battlefield National Monument is Modifying Operations to Implement Local Health Guidance, 2020, , https://www.facebook.com/NPSLIBI/, National Park Service. (accessed on 20 August 2020);\nMcLaughlin, K., Kaiser Health News, , https://khn.org/news/montanas-tribal-nations-preserve-covid-restrictions-to-preserve-their-cultures/, Montana’s Tribal Nations Preserve COVID Restrictions to Preserve their Cultures, 5 June 2020. (accessed on 18 August 2020);\nExecutive Order of Chairman Not Afraid, 2020. Official CTI News, , https://www.facebook.com/OfficialCTINews/, Crow Tribe of Indians. (accessed on 20 August 2020);\nLeeds, T., Bullock: Uptick in COVID cases stresses need to take precautions Havre Daily News, , https://www.havredailynews.com/story/2020/06/18/local/bullock-uptick-in-covid-cases-stresses-need-to-take-precautions/529393.html, 18 June 2020. (accessed on 19 August 2020);\nReopening the Big Sky: Phased Approach, 2020, , https://covid19.mt.gov/Portals/223/Documents/Reopening%20Montana%20Phase%202.pdf?ver=2020-05-20-142015-167, State of Montana. (accessed on 22 September 2020);\nLittle Bighorn Battlefield National Monument is Beginning to Increase Recreational access to Park Grounds, 2020, , https://www.facebook.com/NPSLIBI/, National Park Service. (accessed 20 August 2020);\nHenson, C., Hill, M., Jorgensen, M., Kalt, J., Federal COVID-19 Response Funding for Tribal Governments: Lessons from the CARES Act, , https://ash.harvard.edu/files/ash/files/policy_brief_5-cares_act_lessons_24july2020_final_for_dist.pdf?m=1595612547, (Policy Brie 5), 2020. Harvard Project on American Indian Economic Development Native Nations Institute. (accessed on 19 August 2020);\nPage, C., COVID-19 relief checks handed out at Crow Agency causes confusion, , https://billingsgazette.com/news/state-and-regional/covid-19-relief-checks-handed-out-at-crow-agency-causes-confusion/article_282ec640-21ba-5301-8faa-aef3cada7f86.html, Billings Gazette, 2 July 2020. (accessed on 18 August 2020);\nHamby, P., Checks and checkpoints: Crow and Northern Cheyenne Fighting COVID, , https://billingsgazette.com/news/state-and-regional/checks-and-checkpoints-crow-and-northern-cheyenne-fighting-covid/article_5b37090f-760d-5abf-b569-a7c4563ed587.html, Billings Gazette, 13 July 2020. (accessed on 19 August 2020);\nMontana Coronavirus Relief Grant Awards, 2020, , https://commerce.mt.gov/Montana-Coronavirus-Relief/Awarded-Grants, Montana Department of Commerce. (accessed on 19 August 2020);\nHammond, K., Superintendent’s Annual Narrative Report, 2008. Little Bighorn Battlefield National Monument, , https://www.friendslittlebighorn.com/2008superintendentsannualreport.pdf, (accessed on 17 August 2020);\nBlock, M., (2003) Little Bighorn Battlefield memorial dedicated [Radio Broadcast Transcript], , https://search.ebscohost.com/login.aspx?direct=true&amp;amp;db=n5h&amp;amp;AN=6XN200306252006&amp;amp;site=eds-live, All Things Considered, 25 June National Public Radio: Washington, DC, USA. (accessed on 13 November 2020);\nFish, L., (2003) A new Day Dawns at Little Bighorn, p. A01. , https://infoweb-newsbank-com.srv-proxy1.library.tamu.edu/apps/news/document-view?p=WORLDNEWS&amp;amp;t=pubname%3APHIB%21Philadelphia%2BInquirer%252C%2BThe%2B%2528PA%2529&amp;amp;sort=YMD_date%3AD&amp;amp;page=1&amp;amp;fld-base-0=alltext&amp;amp;maxresults=20&amp;amp;val-base-0=%22little%20bighorn%22&amp;amp;docref=news/0FBE980F233C6F44, Philadelphia Inquirer, 25 June (accessed on 20 September 2020);\nSukut, J., Crow Fair Cancelled, Stay at Home Order Extended on the Reservation, , https://billingsgazette.com/news/state-and-regional/crow-fair-canceled-stay-at-home-order-extended-on-the-reservation/article_e15eb471-303b-5da1-bfe2-5eca9186f4cf.html, Billings Gazette, 16 July 2020. (accessed on 23 September 2020);\nWhiting, F., Crow Tribe Stay-at-Home Order Extended, Crow Fair Canceled https://sheridanmedia.com/news/23753/crow-tribe-stay-at-home-order-extended-crow-fair-canceled/, Sheridan Media, 16 July 2020. (accessed on 23 September 2020); Repanshek, K., National Parks Traveler, , Coping with coronavirus: Phased opening coming to National Parks, 29 April 2020;\nJamal, T., Camargo, B.A., Sustainable tourism, justice and an ethic of care: Toward the Just Destination (2014) J. Sustain. Tour, 22, pp. 11-30;\nGildart, B., History revisited at the infamous Little Bighorn (2001) Native Peoples Magazine, pp. 61-63. , July/August;\nSmith, M., Duffy, R., (2003) The Ethics of Tourism Development, , Routledge: New York, NY, USA;\nWhyte, K.P., An environmental justice framework for indigenous tourism (2010) Environ. Philos, 7, pp. 75-92","page":"1-23","publisher":"MDPI AG","publisher-place":"Department of Recreation, Parkand Tourism Sciences, Texas A&amp;M University, College Station, TX  77843-2261, United States","title":"Indigenous heritage tourism development in a (Post-) covid world: Towards social justice at little bighorn battlefield national monument, usa","type":"article-journal","volume":"12"},"uris":["http://www.mendeley.com/documents/?uuid=b05c2260-33dd-4f67-8295-161f39cf6283"]}],"mendeley":{"formattedCitation":"[40]","plainTextFormattedCitation":"[40]","previouslyFormattedCitation":"[40]"},"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[40]</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The combination of these factors creates conditions that can trigger child abuse and neglect behavior, so it is important to understand and address these two aspects to prevent child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{"citationItems":[{"id":"ITEM-1","itemData":{"DOI":"10.1176/appi.ajp.20220174","ISSN":"15357228","PMID":"36628513","abstract":"Objective: Childhood maltreatment is associated with mental health problems, but the extent to which this relationship is causal remains unclear. To strengthen causal inference, the authors conducted a systematic review and meta-analysis of quasi-experimental studies examining the relationship between childhood maltreatment and mental health problems. Methods: A search of PubMed, PsycINFO, and Embase was conducted for peer-reviewed, English-language articles from database inception until January 1, 2022. Studies were included if they examined the association between childhood maltreatment and mental health problems using a quasi-experimental method (e.g., twin/sibling differences design, children of twins design, adoption design, fixed-effects design, random-intercept cross-lagged panel model, natural experiment, propensity score matching, or inverse probability weighting). Results: Thirty-four quasi-experimental studies were identified, comprising 54,646 independent participants. Before quasi-experimental adjustment for confounding, childhood maltreatment was moderately associated with mental health problems (Cohen’s d50.56, 95% CI50.41, 0.71). After quasi-experimental adjustment, a small association between childhood maltreatment and mental health problems remained (Cohen’s d50.31, 95% CI50.24, 0.37). This adjusted association between childhood maltreatment and mental health was consistent across different quasi-experimental methods, and generalized across different psychiatric disorders. Conclusions: These findings are consistent with a small, causal contribution of childhood maltreatment to mental health problems. Furthermore, the findings suggest that part of the overall risk of mental health problems in individuals exposed to maltreatment is due to wider genetic and environmental risk factors. Therefore, preventing childhood maltreatment and addressing wider psychiatric risk factors in individuals exposed to maltreatment could help to prevent psychopathology.","author":[{"dropping-particle":"","family":"Baldwin","given":"Jessie R.","non-dropping-particle":"","parse-names":false,"suffix":""},{"dropping-particle":"","family":"Wang","given":"Biyao","non-dropping-particle":"","parse-names":false,"suffix":""},{"dropping-particle":"","family":"Karwatowska","given":"Lucy","non-dropping-particle":"","parse-names":false,"suffix":""},{"dropping-particle":"","family":"Schoeler","given":"Tabea","non-dropping-particle":"","parse-names":false,"suffix":""},{"dropping-particle":"","family":"Tsaligopoulou","given":"Anna","non-dropping-particle":"","parse-names":false,"suffix":""},{"dropping-particle":"","family":"Munafò","given":"Marcus R.","non-dropping-particle":"","parse-names":false,"suffix":""},{"dropping-particle":"","family":"Pingault","given":"Jean Baptiste","non-dropping-particle":"","parse-names":false,"suffix":""}],"container-title":"American Journal of Psychiatry","id":"ITEM-1","issue":"2","issued":{"date-parts":[["2023"]]},"page":"117-126","title":"Childhood Maltreatment and Mental Health Problems: A Systematic Review and Meta-Analysis of Quasi-Experimental Studies","type":"article-journal","volume":"180"},"uris":["http://www.mendeley.com/documents/?uuid=2080263f-e31c-4ff9-857b-e2f3d1b6d39f"]}],"mendeley":{"formattedCitation":"[41]","plainTextFormattedCitation":"[41]","previouslyFormattedCitation":"[41]"},"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[41]</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r w:rsidRPr="00D9141A">
        <w:rPr>
          <w:rFonts w:ascii="Calibri Light" w:hAnsi="Calibri Light" w:cs="Calibri Light"/>
          <w:sz w:val="24"/>
          <w:szCs w:val="24"/>
        </w:rPr>
        <w:t xml:space="preserve">As stated by </w:t>
      </w:r>
      <w:proofErr w:type="spellStart"/>
      <w:r w:rsidRPr="00D9141A">
        <w:rPr>
          <w:rFonts w:ascii="Calibri Light" w:hAnsi="Calibri Light" w:cs="Calibri Light"/>
          <w:sz w:val="24"/>
          <w:szCs w:val="24"/>
        </w:rPr>
        <w:t>Andhini</w:t>
      </w:r>
      <w:proofErr w:type="spellEnd"/>
      <w:r w:rsidRPr="00D9141A">
        <w:rPr>
          <w:rFonts w:ascii="Calibri Light" w:hAnsi="Calibri Light" w:cs="Calibri Light"/>
          <w:sz w:val="24"/>
          <w:szCs w:val="24"/>
        </w:rPr>
        <w:t xml:space="preserve"> and Arifin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{"citationItems":[{"id":"ITEM-1","itemData":{"DOI":"10.30656/ajudikasi.v3i1.992","ISSN":"2613-9995","abstract":"Violence against children in Indonesia from time to time continues to occur and increasingly various forms. In fact, children are the successors and assets owned by the nation that will maintain and realize the ideals of the nation. Pindakan is a behavior that violates the law and will be given sanctions to the perpetrators who do this. At present many crimes are often carried out such as violence. Violence is an arbitrary act carried out by someone with the aim of hurting physically and psychologically. Parents have an important role to maintain and protect but actually acts of violence against children are carried out by their closest people like parents. Then the need for a way so that acts of violence against children are not continuously carried out and must be given firm action by the government to the perpetrators who did this. This paper examines how legal protection efforts for children as victims of violence that occurred in Indonesia.","author":[{"dropping-particle":"","family":"Andhini","given":"Alycia Sandra Dina","non-dropping-particle":"","parse-names":false,"suffix":""},{"dropping-particle":"","family":"Arifin","given":"Ridwan","non-dropping-particle":"","parse-names":false,"suffix":""}],"container-title":"Ajudikasi : Jurnal Ilmu Hukum","id":"ITEM-1","issue":"1","issued":{"date-parts":[["2019"]]},"page":"41","title":"Analisis Perlindungan Hukum Terhadap Tindak Kekerasan pada Anak di Indonesia","type":"article-journal","volume":"3"},"uris":["http://www.mendeley.com/documents/?uuid=dc78d4d7-4c38-4e25-bc37-071c3a408c83"]}],"mendeley":{"formattedCitation":"[42]","plainTextFormattedCitation":"[42]","previouslyFormattedCitation":"[42]"},"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[42]</w:t>
      </w:r>
      <w:r w:rsidR="006F27B1">
        <w:rPr>
          <w:rFonts w:ascii="Calibri Light" w:hAnsi="Calibri Light" w:cs="Calibri Light"/>
          <w:sz w:val="24"/>
          <w:szCs w:val="24"/>
        </w:rPr>
        <w:fldChar w:fldCharType="end"/>
      </w:r>
      <w:r w:rsidRPr="00D9141A">
        <w:rPr>
          <w:rFonts w:ascii="Calibri Light" w:hAnsi="Calibri Light" w:cs="Calibri Light"/>
          <w:sz w:val="24"/>
          <w:szCs w:val="24"/>
        </w:rPr>
        <w:t>, parents play a crucial role in nurturing and protecting their children; however, violence against children is often perpetrated by close individuals such as parents. Therefore, efforts are needed to prevent violence against children from being continuously inflicted by those close to them, and strict actions must be taken by the authorities against those who commit such violence.</w:t>
      </w:r>
    </w:p>
    <w:p w14:paraId="7016C131" w14:textId="77777777" w:rsidR="000422F6" w:rsidRPr="00D9141A" w:rsidRDefault="000422F6" w:rsidP="000422F6">
      <w:pPr>
        <w:ind w:firstLine="567"/>
        <w:contextualSpacing/>
        <w:jc w:val="both"/>
        <w:rPr>
          <w:rFonts w:ascii="Calibri Light" w:hAnsi="Calibri Light" w:cs="Calibri Light"/>
          <w:sz w:val="24"/>
          <w:szCs w:val="24"/>
        </w:rPr>
      </w:pPr>
      <w:commentRangeStart w:id="14"/>
      <w:r w:rsidRPr="00D9141A">
        <w:rPr>
          <w:rFonts w:ascii="Calibri Light" w:hAnsi="Calibri Light" w:cs="Calibri Light"/>
          <w:sz w:val="24"/>
          <w:szCs w:val="24"/>
        </w:rPr>
        <w:t>The findings of this study identify several factors contributing to violence against children</w:t>
      </w:r>
      <w:commentRangeEnd w:id="14"/>
      <w:r w:rsidR="00890291">
        <w:rPr>
          <w:rStyle w:val="CommentReference"/>
        </w:rPr>
        <w:commentReference w:id="14"/>
      </w:r>
      <w:r w:rsidRPr="00D9141A">
        <w:rPr>
          <w:rFonts w:ascii="Calibri Light" w:hAnsi="Calibri Light" w:cs="Calibri Light"/>
          <w:sz w:val="24"/>
          <w:szCs w:val="24"/>
        </w:rPr>
        <w:t xml:space="preserve">, namely: emotional factors in 17 cases (32.69%), economic inability in 8 cases (15.38%), biological impulses or sexual desires in 19 cases (36.54%), family disharmony in 6 cases (11.54%), and other factors in 2 cases (3.85%). A study conducted by </w:t>
      </w:r>
      <w:proofErr w:type="spellStart"/>
      <w:r w:rsidRPr="00D9141A">
        <w:rPr>
          <w:rFonts w:ascii="Calibri Light" w:hAnsi="Calibri Light" w:cs="Calibri Light"/>
          <w:sz w:val="24"/>
          <w:szCs w:val="24"/>
        </w:rPr>
        <w:t>Kurniawansyah</w:t>
      </w:r>
      <w:proofErr w:type="spellEnd"/>
      <w:r w:rsidRPr="00D9141A">
        <w:rPr>
          <w:rFonts w:ascii="Calibri Light" w:hAnsi="Calibri Light" w:cs="Calibri Light"/>
          <w:sz w:val="24"/>
          <w:szCs w:val="24"/>
        </w:rPr>
        <w:t xml:space="preserve"> and Dahlan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{"citationItems":[{"id":"ITEM-1","itemData":{"DOI":"10.31764/civicus.v9i2.6866","ISSN":"2338-9680","abstract":"Anak merupakan karunia Allah SWT yang harus mendapat perlindungan, bimbingan, dan pembinaan secara konsisten karena didalam dirinya melekat harkat dan martabat sebagai manusia seutuhnya, sehingga ia memiliki hak-hak asasi yang sama seperti hak-hak asasi yang dimiliki oleh individu-individu lainnya. Adapun yang menjadi rumusan masalah dalam penelitian ini adalah apa penyebab terjadinya kekerasan terhadap anak di Kabupaten Sumbawa. Penelitian ini merupakan jenis penelitian kualitatif deskriptif. Teknik pengumpulan data yaitu wawancara, observasi dan dokumentasi. Pengolahan data akan dianalisis dan diolah secara deskriptif kualitatif. Hasil penelitian menunjukan bahwa penyebab terjadinya kekerasan terhadap anak yaitu timbulnya hasrat seksual secara alamiah yang tidak diiringi pengendalian diri, kurangnya pengawasan orang tua terhadap anak, pergaulan bebas, kondisi ekonomi, pengaruh media pornografi dan pengaruh lingkunganChildren are a gift from Allah SWT who must receive protection, guidance, and guidance consistently, because they have inherent dignity as a whole human being, so that they have the same human rights as other individuals. The formulation of the problem in this study is what causes violence against children in Sumbawa Regency. This research is a type of descriptive qualitative research. Data collection techniques are interviews, observation and documentation. Data processing will be analyzed and processed in a qualitative descriptive manner. The results showed that the causes of violence against children were the emergence of natural sexual desires that were not accompanied by self-control, lack of parental supervision of children, promiscuity, economic conditions, the influence of pornographic media and environmental influences.","author":[{"dropping-particle":"","family":"Kurniawansyah","given":"Edy","non-dropping-particle":"","parse-names":false,"suffix":""},{"dropping-particle":"","family":"Dahlan","given":"Dahlan","non-dropping-particle":"","parse-names":false,"suffix":""}],"container-title":"CIVICUS : Pendidikan-Penelitian-Pengabdian Pendidikan Pancasila dan Kewarganegaraan","id":"ITEM-1","issue":"2","issued":{"date-parts":[["2022"]]},"page":"30","title":"Penyebab Terjadinya Kekerasan Terhadap Anak (Studi Kasus di Kabupaten Sumbawa)","type":"article-journal","volume":"9"},"uris":["http://www.mendeley.com/documents/?uuid=c6b5e2a0-d9f4-428b-a5db-fafd292821e6"]}],"mendeley":{"formattedCitation":"[43]","plainTextFormattedCitation":"[43]","previouslyFormattedCitation":"[43]"},"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[43]</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indicates that factors leading to violence against children include the natural emergence of sexual desires that are not balanced with self-control, weak parental supervision of children, free social interactions, economic conditions, the influence of pornography in the media, and environmental factors.</w:t>
      </w:r>
    </w:p>
    <w:p w14:paraId="33FE5FCD" w14:textId="77777777" w:rsidR="00FE321A" w:rsidRPr="00D9141A" w:rsidRDefault="00FE321A" w:rsidP="00FE321A">
      <w:pPr>
        <w:spacing w:before="120" w:after="120"/>
        <w:ind w:left="1146"/>
        <w:rPr>
          <w:rFonts w:ascii="Calibri Light" w:hAnsi="Calibri Light" w:cs="Calibri Light"/>
          <w:b/>
          <w:sz w:val="24"/>
          <w:szCs w:val="24"/>
          <w:lang w:val="id-ID"/>
        </w:rPr>
      </w:pPr>
    </w:p>
    <w:p w14:paraId="40ADFDA2" w14:textId="77777777" w:rsidR="00741058" w:rsidRPr="00D9141A"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5"/>
      <w:r w:rsidRPr="00D9141A">
        <w:rPr>
          <w:rFonts w:ascii="Calibri Light" w:hAnsi="Calibri Light" w:cs="Calibri Light"/>
          <w:b/>
          <w:sz w:val="24"/>
          <w:szCs w:val="24"/>
        </w:rPr>
        <w:t>CONCLUSION</w:t>
      </w:r>
      <w:r w:rsidRPr="00D9141A">
        <w:rPr>
          <w:rFonts w:ascii="Calibri Light" w:hAnsi="Calibri Light" w:cs="Calibri Light"/>
          <w:b/>
          <w:color w:val="7030A0"/>
          <w:sz w:val="24"/>
          <w:szCs w:val="24"/>
        </w:rPr>
        <w:t xml:space="preserve"> </w:t>
      </w:r>
      <w:commentRangeEnd w:id="15"/>
      <w:r w:rsidR="00017CEE">
        <w:rPr>
          <w:rStyle w:val="CommentReference"/>
        </w:rPr>
        <w:commentReference w:id="15"/>
      </w:r>
    </w:p>
    <w:p w14:paraId="6DE81899"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discussion of the research findings, the following conclusions can be drawn:</w:t>
      </w:r>
    </w:p>
    <w:p w14:paraId="7C04A33C"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First, the dominant category of violence against children in Malang City during 2023 is sexual violence, including molestation and rape, which accounts for 32.70%. Physical violence constitutes 25%, psychological violence is at 19.24%, neglect or abandonment of children's rights is 21.16%, and social violence or exploitation is at 0.02%. Meanwhile, the categories of perpetrators of violence against children are comprised of four parties: family members (parents) in 21 cases (40.38%), close relatives such as uncles and aunts in 19 cases (36.54%), family relatives in 9 cases (17.31%), and neighbors in 3 cases (5.78%).</w:t>
      </w:r>
    </w:p>
    <w:p w14:paraId="58F7262A"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general forms of social welfare services for child victims of violence (child maltreatment) in Malang City include: social assistance, social protection, and social aid. The social assistance program aims to provide advocacy and recovery support, particularly focusing on the psychosocial aspects of child victims of violence. The forms of social protection include social assistance, social advocacy, and legal aid. The social aid program is provided in the form of urgent material assistance and facilities for child victims of violence, such as clothing, food, health checks, and facilities like safe house shelters, and so on.</w:t>
      </w:r>
    </w:p>
    <w:p w14:paraId="1C7FEC5B" w14:textId="77777777" w:rsidR="00B0797F" w:rsidRPr="00D9141A" w:rsidRDefault="00B0797F" w:rsidP="00B0797F">
      <w:pPr>
        <w:ind w:firstLine="567"/>
        <w:contextualSpacing/>
        <w:jc w:val="both"/>
        <w:rPr>
          <w:rFonts w:ascii="Calibri Light" w:hAnsi="Calibri Light" w:cs="Calibri Light"/>
          <w:sz w:val="24"/>
          <w:szCs w:val="24"/>
        </w:rPr>
      </w:pPr>
      <w:commentRangeStart w:id="16"/>
      <w:r w:rsidRPr="00D9141A">
        <w:rPr>
          <w:rFonts w:ascii="Calibri Light" w:hAnsi="Calibri Light" w:cs="Calibri Light"/>
          <w:sz w:val="24"/>
          <w:szCs w:val="24"/>
        </w:rPr>
        <w:t xml:space="preserve">Based on the findings of this study, it is recommended </w:t>
      </w:r>
      <w:commentRangeEnd w:id="16"/>
      <w:r w:rsidR="00017CEE">
        <w:rPr>
          <w:rStyle w:val="CommentReference"/>
        </w:rPr>
        <w:commentReference w:id="16"/>
      </w:r>
      <w:r w:rsidRPr="00D9141A">
        <w:rPr>
          <w:rFonts w:ascii="Calibri Light" w:hAnsi="Calibri Light" w:cs="Calibri Light"/>
          <w:sz w:val="24"/>
          <w:szCs w:val="24"/>
        </w:rPr>
        <w:t xml:space="preserve">that the government and relevant organizations in Malang City implement a multi-layered strategy to combat child violence effectively. First, there should be a focus on community education programs aimed at raising awareness about children's rights and the various forms of violence they may encounter. Workshops and seminars for parents, caregivers, and educators can provide essential information on recognizing warning signs of abuse and promoting non-violent parenting techniques. Additionally, establishing strong support networks involving local law enforcement, healthcare providers, and social services is crucial to ensure that victims receive timely </w:t>
      </w:r>
      <w:r w:rsidRPr="00D9141A">
        <w:rPr>
          <w:rFonts w:ascii="Calibri Light" w:hAnsi="Calibri Light" w:cs="Calibri Light"/>
          <w:sz w:val="24"/>
          <w:szCs w:val="24"/>
        </w:rPr>
        <w:lastRenderedPageBreak/>
        <w:t>assistance and protection. Furthermore, integrating mental health services into schools can provide children with safe spaces to discuss their experiences and seek help. By fostering a collaborative community approach and enhancing protective measures, Malang City can create a safer environment for children and significantly reduce the incidence of violence against them.</w:t>
      </w:r>
    </w:p>
    <w:p w14:paraId="729B2364" w14:textId="77777777" w:rsidR="00741058" w:rsidRPr="00D9141A"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9A658" w14:textId="77777777" w:rsidR="00741058" w:rsidRPr="00D9141A" w:rsidRDefault="00F369EC" w:rsidP="00F369EC">
      <w:pPr>
        <w:spacing w:line="240" w:lineRule="atLeast"/>
        <w:rPr>
          <w:rFonts w:ascii="Calibri Light" w:hAnsi="Calibri Light" w:cs="Calibri Light"/>
          <w:b/>
          <w:color w:val="FF0000"/>
          <w:sz w:val="24"/>
          <w:szCs w:val="24"/>
        </w:rPr>
      </w:pPr>
      <w:r w:rsidRPr="00D9141A">
        <w:rPr>
          <w:rFonts w:ascii="Calibri Light" w:hAnsi="Calibri Light" w:cs="Calibri Light"/>
          <w:b/>
          <w:sz w:val="24"/>
          <w:szCs w:val="24"/>
          <w:lang w:val="id-ID"/>
        </w:rPr>
        <w:t>V.</w:t>
      </w:r>
      <w:r w:rsidRPr="00D9141A">
        <w:rPr>
          <w:rFonts w:ascii="Calibri Light" w:hAnsi="Calibri Light" w:cs="Calibri Light"/>
          <w:b/>
          <w:color w:val="7030A0"/>
          <w:sz w:val="24"/>
          <w:szCs w:val="24"/>
          <w:lang w:val="id-ID"/>
        </w:rPr>
        <w:t xml:space="preserve">  </w:t>
      </w:r>
      <w:r w:rsidR="00781D8B" w:rsidRPr="00D9141A">
        <w:rPr>
          <w:rFonts w:ascii="Calibri Light" w:hAnsi="Calibri Light" w:cs="Calibri Light"/>
          <w:b/>
          <w:color w:val="7030A0"/>
          <w:sz w:val="24"/>
          <w:szCs w:val="24"/>
        </w:rPr>
        <w:t xml:space="preserve"> </w:t>
      </w:r>
      <w:r w:rsidR="00741058" w:rsidRPr="00D9141A">
        <w:rPr>
          <w:rFonts w:ascii="Calibri Light" w:hAnsi="Calibri Light" w:cs="Calibri Light"/>
          <w:b/>
          <w:sz w:val="24"/>
          <w:szCs w:val="24"/>
        </w:rPr>
        <w:t>ACKNOWLEDGEMENTS</w:t>
      </w:r>
      <w:r w:rsidR="00741058" w:rsidRPr="00D9141A">
        <w:rPr>
          <w:rFonts w:ascii="Calibri Light" w:hAnsi="Calibri Light" w:cs="Calibri Light"/>
          <w:b/>
          <w:color w:val="7030A0"/>
          <w:sz w:val="24"/>
          <w:szCs w:val="24"/>
        </w:rPr>
        <w:t xml:space="preserve"> </w:t>
      </w:r>
    </w:p>
    <w:p w14:paraId="3B5F50EA" w14:textId="77777777" w:rsidR="009B72A0" w:rsidRPr="00D9141A" w:rsidRDefault="009B72A0" w:rsidP="009B72A0">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thanks to the Dean of the Faculty of Social Sciences and Political Science (FISIP) at Muhammadiyah University of Malang for funding this research project through the block grant scheme.</w:t>
      </w:r>
    </w:p>
    <w:p w14:paraId="52AFFDC5" w14:textId="77777777" w:rsidR="00741058" w:rsidRPr="00D9141A"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74376" w14:textId="77777777" w:rsidR="00741058" w:rsidRPr="00D9141A" w:rsidRDefault="00741058" w:rsidP="00B0797F">
      <w:pPr>
        <w:numPr>
          <w:ilvl w:val="0"/>
          <w:numId w:val="28"/>
        </w:numPr>
        <w:spacing w:line="240" w:lineRule="atLeast"/>
        <w:ind w:left="567" w:hanging="567"/>
        <w:jc w:val="both"/>
        <w:rPr>
          <w:rFonts w:ascii="Calibri Light" w:hAnsi="Calibri Light" w:cs="Calibri Light"/>
          <w:b/>
          <w:color w:val="A6A6A6"/>
          <w:sz w:val="24"/>
          <w:szCs w:val="24"/>
        </w:rPr>
      </w:pPr>
      <w:commentRangeStart w:id="17"/>
      <w:r w:rsidRPr="00D9141A">
        <w:rPr>
          <w:rFonts w:ascii="Calibri Light" w:hAnsi="Calibri Light" w:cs="Calibri Light"/>
          <w:b/>
          <w:sz w:val="24"/>
          <w:szCs w:val="24"/>
        </w:rPr>
        <w:t>REFERENCES</w:t>
      </w:r>
      <w:r w:rsidRPr="00D9141A">
        <w:rPr>
          <w:rFonts w:ascii="Calibri Light" w:hAnsi="Calibri Light" w:cs="Calibri Light"/>
          <w:b/>
          <w:color w:val="7030A0"/>
          <w:sz w:val="24"/>
          <w:szCs w:val="24"/>
        </w:rPr>
        <w:t xml:space="preserve"> </w:t>
      </w:r>
      <w:commentRangeEnd w:id="17"/>
      <w:r w:rsidR="00564F0C">
        <w:rPr>
          <w:rStyle w:val="CommentReference"/>
        </w:rPr>
        <w:commentReference w:id="17"/>
      </w:r>
    </w:p>
    <w:p w14:paraId="5FD3D7FD" w14:textId="77777777" w:rsidR="005C005B" w:rsidRPr="005C005B" w:rsidRDefault="00B0797F" w:rsidP="005C005B">
      <w:pPr>
        <w:widowControl w:val="0"/>
        <w:adjustRightInd w:val="0"/>
        <w:ind w:left="640" w:hanging="640"/>
        <w:rPr>
          <w:rFonts w:ascii="Calibri Light" w:hAnsi="Calibri Light" w:cs="Calibri Light"/>
          <w:noProof/>
          <w:sz w:val="24"/>
          <w:szCs w:val="24"/>
        </w:rPr>
      </w:pPr>
      <w:r w:rsidRPr="00D9141A">
        <w:rPr>
          <w:rFonts w:ascii="Calibri Light" w:hAnsi="Calibri Light" w:cs="Calibri Light"/>
          <w:b/>
          <w:sz w:val="24"/>
          <w:szCs w:val="24"/>
        </w:rPr>
        <w:fldChar w:fldCharType="begin" w:fldLock="1"/>
      </w:r>
      <w:r w:rsidRPr="00D9141A">
        <w:rPr>
          <w:rFonts w:ascii="Calibri Light" w:hAnsi="Calibri Light" w:cs="Calibri Light"/>
          <w:b/>
          <w:sz w:val="24"/>
          <w:szCs w:val="24"/>
        </w:rPr>
        <w:instrText xml:space="preserve">ADDIN Mendeley Bibliography CSL_BIBLIOGRAPHY </w:instrText>
      </w:r>
      <w:r w:rsidRPr="00D9141A">
        <w:rPr>
          <w:rFonts w:ascii="Calibri Light" w:hAnsi="Calibri Light" w:cs="Calibri Light"/>
          <w:b/>
          <w:sz w:val="24"/>
          <w:szCs w:val="24"/>
        </w:rPr>
        <w:fldChar w:fldCharType="separate"/>
      </w:r>
      <w:r w:rsidR="005C005B" w:rsidRPr="005C005B">
        <w:rPr>
          <w:rFonts w:ascii="Calibri Light" w:hAnsi="Calibri Light" w:cs="Calibri Light"/>
          <w:noProof/>
          <w:sz w:val="24"/>
          <w:szCs w:val="24"/>
        </w:rPr>
        <w:t>[1]</w:t>
      </w:r>
      <w:r w:rsidR="005C005B" w:rsidRPr="005C005B">
        <w:rPr>
          <w:rFonts w:ascii="Calibri Light" w:hAnsi="Calibri Light" w:cs="Calibri Light"/>
          <w:noProof/>
          <w:sz w:val="24"/>
          <w:szCs w:val="24"/>
        </w:rPr>
        <w:tab/>
        <w:t xml:space="preserve">F. F. Balahadia, Z. J. M. Astoveza, and G. R. Jamolin, “Violence against Women and their Children Incident Report: Data Exploration for VAWC Awareness,” </w:t>
      </w:r>
      <w:r w:rsidR="005C005B" w:rsidRPr="005C005B">
        <w:rPr>
          <w:rFonts w:ascii="Calibri Light" w:hAnsi="Calibri Light" w:cs="Calibri Light"/>
          <w:i/>
          <w:iCs/>
          <w:noProof/>
          <w:sz w:val="24"/>
          <w:szCs w:val="24"/>
        </w:rPr>
        <w:t>Int. Rev. Soc. Sci. Res.</w:t>
      </w:r>
      <w:r w:rsidR="005C005B" w:rsidRPr="005C005B">
        <w:rPr>
          <w:rFonts w:ascii="Calibri Light" w:hAnsi="Calibri Light" w:cs="Calibri Light"/>
          <w:noProof/>
          <w:sz w:val="24"/>
          <w:szCs w:val="24"/>
        </w:rPr>
        <w:t>, vol. 2, no. 1, 2022, doi: 10.53378/352881.</w:t>
      </w:r>
    </w:p>
    <w:p w14:paraId="5D11E1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w:t>
      </w:r>
      <w:r w:rsidRPr="005C005B">
        <w:rPr>
          <w:rFonts w:ascii="Calibri Light" w:hAnsi="Calibri Light" w:cs="Calibri Light"/>
          <w:noProof/>
          <w:sz w:val="24"/>
          <w:szCs w:val="24"/>
        </w:rPr>
        <w:tab/>
        <w:t xml:space="preserve"> and B. F. Chiara Massullo, Elena De Rossi, Giuseppe Alessio Carbone, Claudio Imperatori, Rita B. Ardito, Mauro Adenzato, “CHILD MALTREATMENT, ABUSE, AND NEGLECT: AN UMBRELLA REVIEW OF THEIR PREVALENCE AND DEFINITIONS Chiara,” </w:t>
      </w:r>
      <w:r w:rsidRPr="005C005B">
        <w:rPr>
          <w:rFonts w:ascii="Calibri Light" w:hAnsi="Calibri Light" w:cs="Calibri Light"/>
          <w:i/>
          <w:iCs/>
          <w:noProof/>
          <w:sz w:val="24"/>
          <w:szCs w:val="24"/>
        </w:rPr>
        <w:t>Clin. Neuropsychiatry</w:t>
      </w:r>
      <w:r w:rsidRPr="005C005B">
        <w:rPr>
          <w:rFonts w:ascii="Calibri Light" w:hAnsi="Calibri Light" w:cs="Calibri Light"/>
          <w:noProof/>
          <w:sz w:val="24"/>
          <w:szCs w:val="24"/>
        </w:rPr>
        <w:t>, vol. 20, no. 2, pp. 72–99, 2023.</w:t>
      </w:r>
    </w:p>
    <w:p w14:paraId="120E38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w:t>
      </w:r>
      <w:r w:rsidRPr="005C005B">
        <w:rPr>
          <w:rFonts w:ascii="Calibri Light" w:hAnsi="Calibri Light" w:cs="Calibri Light"/>
          <w:noProof/>
          <w:sz w:val="24"/>
          <w:szCs w:val="24"/>
        </w:rPr>
        <w:tab/>
        <w:t>C. J. Katayane, J. Alfaromona, and S. Titahelu, “Physical Violence Against Children During the Covid-19 Pandemic,” vol. 3, no. 11, pp. 21–31, 2023.</w:t>
      </w:r>
    </w:p>
    <w:p w14:paraId="4690BD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w:t>
      </w:r>
      <w:r w:rsidRPr="005C005B">
        <w:rPr>
          <w:rFonts w:ascii="Calibri Light" w:hAnsi="Calibri Light" w:cs="Calibri Light"/>
          <w:noProof/>
          <w:sz w:val="24"/>
          <w:szCs w:val="24"/>
        </w:rPr>
        <w:tab/>
        <w:t xml:space="preserve">S. T. Rusyidi, B.; Raharjo, “Peran pekerja sosial dalam penanganan kekerasan terhadap perempuan dan anak,” </w:t>
      </w:r>
      <w:r w:rsidRPr="005C005B">
        <w:rPr>
          <w:rFonts w:ascii="Calibri Light" w:hAnsi="Calibri Light" w:cs="Calibri Light"/>
          <w:i/>
          <w:iCs/>
          <w:noProof/>
          <w:sz w:val="24"/>
          <w:szCs w:val="24"/>
        </w:rPr>
        <w:t>Sosio Inf.</w:t>
      </w:r>
      <w:r w:rsidRPr="005C005B">
        <w:rPr>
          <w:rFonts w:ascii="Calibri Light" w:hAnsi="Calibri Light" w:cs="Calibri Light"/>
          <w:noProof/>
          <w:sz w:val="24"/>
          <w:szCs w:val="24"/>
        </w:rPr>
        <w:t>, vol. 4, no. 1, pp. 375–387, 2018.</w:t>
      </w:r>
    </w:p>
    <w:p w14:paraId="39B91D7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[5]</w:t>
      </w:r>
      <w:r w:rsidRPr="005C005B">
        <w:rPr>
          <w:rFonts w:ascii="Calibri Light" w:hAnsi="Calibri Light" w:cs="Calibri Light"/>
          <w:noProof/>
          <w:sz w:val="24"/>
          <w:szCs w:val="24"/>
        </w:rPr>
        <w:tab/>
        <w:t xml:space="preserve">T. Mardiyati, A.; Udiati, “Fenomena Kekerasan Seksual terhadap Anak di Ranah Domestik dan Upaya Penanganan Korban,” </w:t>
      </w:r>
      <w:r w:rsidRPr="005C005B">
        <w:rPr>
          <w:rFonts w:ascii="Calibri Light" w:hAnsi="Calibri Light" w:cs="Calibri Light"/>
          <w:i/>
          <w:iCs/>
          <w:noProof/>
          <w:sz w:val="24"/>
          <w:szCs w:val="24"/>
        </w:rPr>
        <w:t>J. PKS Vol 17 No. 2 Juni 2018</w:t>
      </w:r>
      <w:r w:rsidRPr="005C005B">
        <w:rPr>
          <w:rFonts w:ascii="Calibri Light" w:hAnsi="Calibri Light" w:cs="Calibri Light"/>
          <w:noProof/>
          <w:sz w:val="24"/>
          <w:szCs w:val="24"/>
        </w:rPr>
        <w:t>, pp. 101–114, 2018.</w:t>
      </w:r>
    </w:p>
    <w:p w14:paraId="0DAC103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[6]</w:t>
      </w:r>
      <w:r w:rsidRPr="005C005B">
        <w:rPr>
          <w:rFonts w:ascii="Calibri Light" w:hAnsi="Calibri Light" w:cs="Calibri Light"/>
          <w:noProof/>
          <w:sz w:val="24"/>
          <w:szCs w:val="24"/>
        </w:rPr>
        <w:tab/>
        <w:t xml:space="preserve">Suradi, “PROBLEMA DAN SOLUSI STRATEGIS KEKERASAN TERHADAP ANAK Problema And Strategic Solutions Violence Against Children Suradi,” </w:t>
      </w:r>
      <w:r w:rsidRPr="005C005B">
        <w:rPr>
          <w:rFonts w:ascii="Calibri Light" w:hAnsi="Calibri Light" w:cs="Calibri Light"/>
          <w:i/>
          <w:iCs/>
          <w:noProof/>
          <w:sz w:val="24"/>
          <w:szCs w:val="24"/>
        </w:rPr>
        <w:t>Inf. Vo. 18, No. 02, Tahun 2013</w:t>
      </w:r>
      <w:r w:rsidRPr="005C005B">
        <w:rPr>
          <w:rFonts w:ascii="Calibri Light" w:hAnsi="Calibri Light" w:cs="Calibri Light"/>
          <w:noProof/>
          <w:sz w:val="24"/>
          <w:szCs w:val="24"/>
        </w:rPr>
        <w:t>, vol. 18, no. 200, pp. 183–202, 2013.</w:t>
      </w:r>
    </w:p>
    <w:p w14:paraId="1CF6A10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[7]</w:t>
      </w:r>
      <w:r w:rsidRPr="005C005B">
        <w:rPr>
          <w:rFonts w:ascii="Calibri Light" w:hAnsi="Calibri Light" w:cs="Calibri Light"/>
          <w:noProof/>
          <w:sz w:val="24"/>
          <w:szCs w:val="24"/>
        </w:rPr>
        <w:tab/>
        <w:t xml:space="preserve">A. Özbay, R. Aşağidağ, and E. Eker, “The effects of the child physical abuse on the children’s mental health,” </w:t>
      </w:r>
      <w:r w:rsidRPr="005C005B">
        <w:rPr>
          <w:rFonts w:ascii="Calibri Light" w:hAnsi="Calibri Light" w:cs="Calibri Light"/>
          <w:i/>
          <w:iCs/>
          <w:noProof/>
          <w:sz w:val="24"/>
          <w:szCs w:val="24"/>
        </w:rPr>
        <w:t>J. Exp. Clin. Med.</w:t>
      </w:r>
      <w:r w:rsidRPr="005C005B">
        <w:rPr>
          <w:rFonts w:ascii="Calibri Light" w:hAnsi="Calibri Light" w:cs="Calibri Light"/>
          <w:noProof/>
          <w:sz w:val="24"/>
          <w:szCs w:val="24"/>
        </w:rPr>
        <w:t>, vol. 41, no. 1, pp. 192–200, 2024, doi: 10.52142/omujecm.41.1.32.</w:t>
      </w:r>
    </w:p>
    <w:p w14:paraId="3C8BCF2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[8]</w:t>
      </w:r>
      <w:r w:rsidRPr="005C005B">
        <w:rPr>
          <w:rFonts w:ascii="Calibri Light" w:hAnsi="Calibri Light" w:cs="Calibri Light"/>
          <w:noProof/>
          <w:sz w:val="24"/>
          <w:szCs w:val="24"/>
        </w:rPr>
        <w:tab/>
        <w:t xml:space="preserve">A. Kurniasari, N. Widodo, B. Susantyo, and Y. F. Wismayanti dan Irmayani, “Prevalensi Kekerasan Terhadap Anak Laki-Laki Dan Anak Perempuan Di Indonesia Prevalence of Violence Against Boys and Girls in Indonesia,” </w:t>
      </w:r>
      <w:r w:rsidRPr="005C005B">
        <w:rPr>
          <w:rFonts w:ascii="Calibri Light" w:hAnsi="Calibri Light" w:cs="Calibri Light"/>
          <w:i/>
          <w:iCs/>
          <w:noProof/>
          <w:sz w:val="24"/>
          <w:szCs w:val="24"/>
        </w:rPr>
        <w:t>Direvisi 25 Oktober</w:t>
      </w:r>
      <w:r w:rsidRPr="005C005B">
        <w:rPr>
          <w:rFonts w:ascii="Calibri Light" w:hAnsi="Calibri Light" w:cs="Calibri Light"/>
          <w:noProof/>
          <w:sz w:val="24"/>
          <w:szCs w:val="24"/>
        </w:rPr>
        <w:t>, 2017.</w:t>
      </w:r>
    </w:p>
    <w:p w14:paraId="5A97B81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[9]</w:t>
      </w:r>
      <w:r w:rsidRPr="005C005B">
        <w:rPr>
          <w:rFonts w:ascii="Calibri Light" w:hAnsi="Calibri Light" w:cs="Calibri Light"/>
          <w:noProof/>
          <w:sz w:val="24"/>
          <w:szCs w:val="24"/>
        </w:rPr>
        <w:tab/>
        <w:t xml:space="preserve">R. Coelho, T. W. Viola, C. Walss-Bass, E. Brietzke, and R. Grassi-Oliveira, “Childhood maltreatment and inflammatory markers: A systematic review,” </w:t>
      </w:r>
      <w:r w:rsidRPr="005C005B">
        <w:rPr>
          <w:rFonts w:ascii="Calibri Light" w:hAnsi="Calibri Light" w:cs="Calibri Light"/>
          <w:i/>
          <w:iCs/>
          <w:noProof/>
          <w:sz w:val="24"/>
          <w:szCs w:val="24"/>
        </w:rPr>
        <w:t>Acta Psychiatr. Scand.</w:t>
      </w:r>
      <w:r w:rsidRPr="005C005B">
        <w:rPr>
          <w:rFonts w:ascii="Calibri Light" w:hAnsi="Calibri Light" w:cs="Calibri Light"/>
          <w:noProof/>
          <w:sz w:val="24"/>
          <w:szCs w:val="24"/>
        </w:rPr>
        <w:t>, vol. 129, no. 3, pp. 180–192, 2014, doi: 10.1111/acps.12217.</w:t>
      </w:r>
    </w:p>
    <w:p w14:paraId="097DC317"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[10]</w:t>
      </w:r>
      <w:r w:rsidRPr="005C005B">
        <w:rPr>
          <w:rFonts w:ascii="Calibri Light" w:hAnsi="Calibri Light" w:cs="Calibri Light"/>
          <w:noProof/>
          <w:sz w:val="24"/>
          <w:szCs w:val="24"/>
        </w:rPr>
        <w:tab/>
        <w:t xml:space="preserve">G. Butler, I.; Roberts, </w:t>
      </w:r>
      <w:r w:rsidRPr="005C005B">
        <w:rPr>
          <w:rFonts w:ascii="Calibri Light" w:hAnsi="Calibri Light" w:cs="Calibri Light"/>
          <w:i/>
          <w:iCs/>
          <w:noProof/>
          <w:sz w:val="24"/>
          <w:szCs w:val="24"/>
        </w:rPr>
        <w:t>Social Work with Children and Families: Getting Into Practice</w:t>
      </w:r>
      <w:r w:rsidRPr="005C005B">
        <w:rPr>
          <w:rFonts w:ascii="Calibri Light" w:hAnsi="Calibri Light" w:cs="Calibri Light"/>
          <w:noProof/>
          <w:sz w:val="24"/>
          <w:szCs w:val="24"/>
        </w:rPr>
        <w:t>. London: Jessica Kingsley Publishers Ltd 116, 2004.</w:t>
      </w:r>
    </w:p>
    <w:p w14:paraId="38B20B7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[11]</w:t>
      </w:r>
      <w:r w:rsidRPr="005C005B">
        <w:rPr>
          <w:rFonts w:ascii="Calibri Light" w:hAnsi="Calibri Light" w:cs="Calibri Light"/>
          <w:noProof/>
          <w:sz w:val="24"/>
          <w:szCs w:val="24"/>
        </w:rPr>
        <w:tab/>
        <w:t xml:space="preserve">T. Laajasalo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“Current issues and challenges in the definition and operationalization of child maltreatment: A scoping review,”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vol. 140, no. March, 2023, doi: 10.1016/j.chiabu.2023.106187.</w:t>
      </w:r>
    </w:p>
    <w:p w14:paraId="216DCFD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lastRenderedPageBreak/>
        <w:t>[12]</w:t>
      </w:r>
      <w:r w:rsidRPr="005C005B">
        <w:rPr>
          <w:rFonts w:ascii="Calibri Light" w:hAnsi="Calibri Light" w:cs="Calibri Light"/>
          <w:noProof/>
          <w:sz w:val="24"/>
          <w:szCs w:val="24"/>
        </w:rPr>
        <w:tab/>
        <w:t xml:space="preserve">L. Marques-Feixa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“Complex post-traumatic stress disorder (CPTSD) of ICD-11 in youths with childhood maltreatment: Associations with age of exposure and clinical outcomes,” </w:t>
      </w:r>
      <w:r w:rsidRPr="005C005B">
        <w:rPr>
          <w:rFonts w:ascii="Calibri Light" w:hAnsi="Calibri Light" w:cs="Calibri Light"/>
          <w:i/>
          <w:iCs/>
          <w:noProof/>
          <w:sz w:val="24"/>
          <w:szCs w:val="24"/>
        </w:rPr>
        <w:t>J. Affect. Disord.</w:t>
      </w:r>
      <w:r w:rsidRPr="005C005B">
        <w:rPr>
          <w:rFonts w:ascii="Calibri Light" w:hAnsi="Calibri Light" w:cs="Calibri Light"/>
          <w:noProof/>
          <w:sz w:val="24"/>
          <w:szCs w:val="24"/>
        </w:rPr>
        <w:t>, vol. 332, no. July 2022, pp. 92–104, 2023, doi: 10.1016/j.jad.2023.03.088.</w:t>
      </w:r>
    </w:p>
    <w:p w14:paraId="0CCAF9C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[13]</w:t>
      </w:r>
      <w:r w:rsidRPr="005C005B">
        <w:rPr>
          <w:rFonts w:ascii="Calibri Light" w:hAnsi="Calibri Light" w:cs="Calibri Light"/>
          <w:noProof/>
          <w:sz w:val="24"/>
          <w:szCs w:val="24"/>
        </w:rPr>
        <w:tab/>
        <w:t xml:space="preserve">C. Cabrera, H. Torres, and S. Harcourt, “The neurological and neuropsychological effects of child maltreatment,” </w:t>
      </w:r>
      <w:r w:rsidRPr="005C005B">
        <w:rPr>
          <w:rFonts w:ascii="Calibri Light" w:hAnsi="Calibri Light" w:cs="Calibri Light"/>
          <w:i/>
          <w:iCs/>
          <w:noProof/>
          <w:sz w:val="24"/>
          <w:szCs w:val="24"/>
        </w:rPr>
        <w:t>Aggress. Violent Behav.</w:t>
      </w:r>
      <w:r w:rsidRPr="005C005B">
        <w:rPr>
          <w:rFonts w:ascii="Calibri Light" w:hAnsi="Calibri Light" w:cs="Calibri Light"/>
          <w:noProof/>
          <w:sz w:val="24"/>
          <w:szCs w:val="24"/>
        </w:rPr>
        <w:t>, vol. 54, no. March 2019, 2020, doi: 10.1016/j.avb.2020.101408.</w:t>
      </w:r>
    </w:p>
    <w:p w14:paraId="61DDAB4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[14]</w:t>
      </w:r>
      <w:r w:rsidRPr="005C005B">
        <w:rPr>
          <w:rFonts w:ascii="Calibri Light" w:hAnsi="Calibri Light" w:cs="Calibri Light"/>
          <w:noProof/>
          <w:sz w:val="24"/>
          <w:szCs w:val="24"/>
        </w:rPr>
        <w:tab/>
        <w:t xml:space="preserve">D. Mehta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Long-Term Physical and Mental Health Outcomes: An Exploration of Biopsychosocial Determinants and Implications for Prevention,” </w:t>
      </w:r>
      <w:r w:rsidRPr="005C005B">
        <w:rPr>
          <w:rFonts w:ascii="Calibri Light" w:hAnsi="Calibri Light" w:cs="Calibri Light"/>
          <w:i/>
          <w:iCs/>
          <w:noProof/>
          <w:sz w:val="24"/>
          <w:szCs w:val="24"/>
        </w:rPr>
        <w:t>Child Psychiatry Hum. Dev.</w:t>
      </w:r>
      <w:r w:rsidRPr="005C005B">
        <w:rPr>
          <w:rFonts w:ascii="Calibri Light" w:hAnsi="Calibri Light" w:cs="Calibri Light"/>
          <w:noProof/>
          <w:sz w:val="24"/>
          <w:szCs w:val="24"/>
        </w:rPr>
        <w:t>, vol. 54, no. 2, pp. 421–435, 2023, doi: 10.1007/s10578-021-01258-8.</w:t>
      </w:r>
    </w:p>
    <w:p w14:paraId="1001788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[15]</w:t>
      </w:r>
      <w:r w:rsidRPr="005C005B">
        <w:rPr>
          <w:rFonts w:ascii="Calibri Light" w:hAnsi="Calibri Light" w:cs="Calibri Light"/>
          <w:noProof/>
          <w:sz w:val="24"/>
          <w:szCs w:val="24"/>
        </w:rPr>
        <w:tab/>
        <w:t xml:space="preserve">E. Vizard, J. Gray, and A. Bentovim, “The impact of child maltreatment on the mental and physical health of child victims: a review of the evidence,” </w:t>
      </w:r>
      <w:r w:rsidRPr="005C005B">
        <w:rPr>
          <w:rFonts w:ascii="Calibri Light" w:hAnsi="Calibri Light" w:cs="Calibri Light"/>
          <w:i/>
          <w:iCs/>
          <w:noProof/>
          <w:sz w:val="24"/>
          <w:szCs w:val="24"/>
        </w:rPr>
        <w:t>BJPsych Adv.</w:t>
      </w:r>
      <w:r w:rsidRPr="005C005B">
        <w:rPr>
          <w:rFonts w:ascii="Calibri Light" w:hAnsi="Calibri Light" w:cs="Calibri Light"/>
          <w:noProof/>
          <w:sz w:val="24"/>
          <w:szCs w:val="24"/>
        </w:rPr>
        <w:t>, vol. 28, no. 1, pp. 60–70, 2022, doi: 10.1192/bja.2021.10.</w:t>
      </w:r>
    </w:p>
    <w:p w14:paraId="237A68F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[16]</w:t>
      </w:r>
      <w:r w:rsidRPr="005C005B">
        <w:rPr>
          <w:rFonts w:ascii="Calibri Light" w:hAnsi="Calibri Light" w:cs="Calibri Light"/>
          <w:noProof/>
          <w:sz w:val="24"/>
          <w:szCs w:val="24"/>
        </w:rPr>
        <w:tab/>
        <w:t>A. Fares-Otero, NA.; De Prosco, M.; Oliva, V.; Radua, J.; Halligan, SL.; Vieta, E.; Martinez-Aran, “Association between childhood maltreatment and social functioning in individuals with affective disorders: A systematic review and meta-analysis.” Wiley, p. 23, 2023.</w:t>
      </w:r>
    </w:p>
    <w:p w14:paraId="2A19272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[17]</w:t>
      </w:r>
      <w:r w:rsidRPr="005C005B">
        <w:rPr>
          <w:rFonts w:ascii="Calibri Light" w:hAnsi="Calibri Light" w:cs="Calibri Light"/>
          <w:noProof/>
          <w:sz w:val="24"/>
          <w:szCs w:val="24"/>
        </w:rPr>
        <w:tab/>
        <w:t xml:space="preserve">M. Fishere and T. Habermas, “Coherence of child maltreatment narratives by emerging adults: How does child maltreatment affect how we share our story?,” </w:t>
      </w:r>
      <w:r w:rsidRPr="005C005B">
        <w:rPr>
          <w:rFonts w:ascii="Calibri Light" w:hAnsi="Calibri Light" w:cs="Calibri Light"/>
          <w:i/>
          <w:iCs/>
          <w:noProof/>
          <w:sz w:val="24"/>
          <w:szCs w:val="24"/>
        </w:rPr>
        <w:t>Appl. Cogn. Psychol.</w:t>
      </w:r>
      <w:r w:rsidRPr="005C005B">
        <w:rPr>
          <w:rFonts w:ascii="Calibri Light" w:hAnsi="Calibri Light" w:cs="Calibri Light"/>
          <w:noProof/>
          <w:sz w:val="24"/>
          <w:szCs w:val="24"/>
        </w:rPr>
        <w:t>, vol. 37, no. 3, pp. 531–541, 2023, doi: 10.1002/acp.4056.</w:t>
      </w:r>
    </w:p>
    <w:p w14:paraId="22005DE3"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[18]</w:t>
      </w:r>
      <w:r w:rsidRPr="005C005B">
        <w:rPr>
          <w:rFonts w:ascii="Calibri Light" w:hAnsi="Calibri Light" w:cs="Calibri Light"/>
          <w:noProof/>
          <w:sz w:val="24"/>
          <w:szCs w:val="24"/>
        </w:rPr>
        <w:tab/>
        <w:t xml:space="preserve">D. J. Higgins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“The prevalence and nature of multi-type child maltreatment in Australia,”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S19–S25, 2023, doi: 10.5694/mja2.51868.</w:t>
      </w:r>
    </w:p>
    <w:p w14:paraId="031E88F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[19]</w:t>
      </w:r>
      <w:r w:rsidRPr="005C005B">
        <w:rPr>
          <w:rFonts w:ascii="Calibri Light" w:hAnsi="Calibri Light" w:cs="Calibri Light"/>
          <w:noProof/>
          <w:sz w:val="24"/>
          <w:szCs w:val="24"/>
        </w:rPr>
        <w:tab/>
        <w:t xml:space="preserve">R. Pacella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health service use: findings of the Australian Child Maltreatment Study,”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S40–S46, 2023, doi: 10.5694/mja2.51892.</w:t>
      </w:r>
    </w:p>
    <w:p w14:paraId="4579016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[20]</w:t>
      </w:r>
      <w:r w:rsidRPr="005C005B">
        <w:rPr>
          <w:rFonts w:ascii="Calibri Light" w:hAnsi="Calibri Light" w:cs="Calibri Light"/>
          <w:noProof/>
          <w:sz w:val="24"/>
          <w:szCs w:val="24"/>
        </w:rPr>
        <w:tab/>
        <w:t xml:space="preserve">C. Arango, “Child maltreatment should be a priority for public mental health interventions,” </w:t>
      </w:r>
      <w:r w:rsidRPr="005C005B">
        <w:rPr>
          <w:rFonts w:ascii="Calibri Light" w:hAnsi="Calibri Light" w:cs="Calibri Light"/>
          <w:i/>
          <w:iCs/>
          <w:noProof/>
          <w:sz w:val="24"/>
          <w:szCs w:val="24"/>
        </w:rPr>
        <w:t>Eur. Arch. Psychiatry Clin. Neurosci.</w:t>
      </w:r>
      <w:r w:rsidRPr="005C005B">
        <w:rPr>
          <w:rFonts w:ascii="Calibri Light" w:hAnsi="Calibri Light" w:cs="Calibri Light"/>
          <w:noProof/>
          <w:sz w:val="24"/>
          <w:szCs w:val="24"/>
        </w:rPr>
        <w:t>, vol. 273, no. 5, pp. 1007–1008, 2023, doi: 10.1007/s00406-023-01643-5.</w:t>
      </w:r>
    </w:p>
    <w:p w14:paraId="4E36F96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[21]</w:t>
      </w:r>
      <w:r w:rsidRPr="005C005B">
        <w:rPr>
          <w:rFonts w:ascii="Calibri Light" w:hAnsi="Calibri Light" w:cs="Calibri Light"/>
          <w:noProof/>
          <w:sz w:val="24"/>
          <w:szCs w:val="24"/>
        </w:rPr>
        <w:tab/>
        <w:t xml:space="preserve">M. A. Santos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late-life generalized anxiety disorder: Are personality and attachment characteristics mediators?,” </w:t>
      </w:r>
      <w:r w:rsidRPr="005C005B">
        <w:rPr>
          <w:rFonts w:ascii="Calibri Light" w:hAnsi="Calibri Light" w:cs="Calibri Light"/>
          <w:i/>
          <w:iCs/>
          <w:noProof/>
          <w:sz w:val="24"/>
          <w:szCs w:val="24"/>
        </w:rPr>
        <w:t>J. Affect. Disord. Reports</w:t>
      </w:r>
      <w:r w:rsidRPr="005C005B">
        <w:rPr>
          <w:rFonts w:ascii="Calibri Light" w:hAnsi="Calibri Light" w:cs="Calibri Light"/>
          <w:noProof/>
          <w:sz w:val="24"/>
          <w:szCs w:val="24"/>
        </w:rPr>
        <w:t>, vol. 12, no. February, 2023, doi: 10.1016/j.jadr.2023.100514.</w:t>
      </w:r>
    </w:p>
    <w:p w14:paraId="2E0AA50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[22]</w:t>
      </w:r>
      <w:r w:rsidRPr="005C005B">
        <w:rPr>
          <w:rFonts w:ascii="Calibri Light" w:hAnsi="Calibri Light" w:cs="Calibri Light"/>
          <w:noProof/>
          <w:sz w:val="24"/>
          <w:szCs w:val="24"/>
        </w:rPr>
        <w:tab/>
        <w:t xml:space="preserve">M. Ruiz-Casares, B. D. Thombs, N. E. Mayo, M. Andrina, S. C. Scott, and R. W. Platt, “The Families First Program to Prevent Child Abuse: Results of a Cluster Randomized Controlled Trial in West Java, Indonesia,” </w:t>
      </w:r>
      <w:r w:rsidRPr="005C005B">
        <w:rPr>
          <w:rFonts w:ascii="Calibri Light" w:hAnsi="Calibri Light" w:cs="Calibri Light"/>
          <w:i/>
          <w:iCs/>
          <w:noProof/>
          <w:sz w:val="24"/>
          <w:szCs w:val="24"/>
        </w:rPr>
        <w:t>Prev. Sci.</w:t>
      </w:r>
      <w:r w:rsidRPr="005C005B">
        <w:rPr>
          <w:rFonts w:ascii="Calibri Light" w:hAnsi="Calibri Light" w:cs="Calibri Light"/>
          <w:noProof/>
          <w:sz w:val="24"/>
          <w:szCs w:val="24"/>
        </w:rPr>
        <w:t>, vol. 23, no. 8, pp. 1457–1469, 2022, doi: 10.1007/s11121-022-01433-w.</w:t>
      </w:r>
    </w:p>
    <w:p w14:paraId="6969073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[23]</w:t>
      </w:r>
      <w:r w:rsidRPr="005C005B">
        <w:rPr>
          <w:rFonts w:ascii="Calibri Light" w:hAnsi="Calibri Light" w:cs="Calibri Light"/>
          <w:noProof/>
          <w:sz w:val="24"/>
          <w:szCs w:val="24"/>
        </w:rPr>
        <w:tab/>
        <w:t xml:space="preserve">S. M. T. de Oliveira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“Epidemiological study of violence against children and its increase during the covid-19 pandemic,” </w:t>
      </w:r>
      <w:r w:rsidRPr="005C005B">
        <w:rPr>
          <w:rFonts w:ascii="Calibri Light" w:hAnsi="Calibri Light" w:cs="Calibri Light"/>
          <w:i/>
          <w:iCs/>
          <w:noProof/>
          <w:sz w:val="24"/>
          <w:szCs w:val="24"/>
        </w:rPr>
        <w:t>Int. J. Environ. Res. Public Health</w:t>
      </w:r>
      <w:r w:rsidRPr="005C005B">
        <w:rPr>
          <w:rFonts w:ascii="Calibri Light" w:hAnsi="Calibri Light" w:cs="Calibri Light"/>
          <w:noProof/>
          <w:sz w:val="24"/>
          <w:szCs w:val="24"/>
        </w:rPr>
        <w:t>, vol. 18, no. 19, 2021, doi: 10.3390/ijerph181910061.</w:t>
      </w:r>
    </w:p>
    <w:p w14:paraId="7D47438A"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[24]</w:t>
      </w:r>
      <w:r w:rsidRPr="005C005B">
        <w:rPr>
          <w:rFonts w:ascii="Calibri Light" w:hAnsi="Calibri Light" w:cs="Calibri Light"/>
          <w:noProof/>
          <w:sz w:val="24"/>
          <w:szCs w:val="24"/>
        </w:rPr>
        <w:tab/>
        <w:t xml:space="preserve">S. Kisely, D. Siskind, J. G. Scott, and J. M. Najman, “Self-reported child maltreatment and cardiometabolic risk in 30-year-old adults,” </w:t>
      </w:r>
      <w:r w:rsidRPr="005C005B">
        <w:rPr>
          <w:rFonts w:ascii="Calibri Light" w:hAnsi="Calibri Light" w:cs="Calibri Light"/>
          <w:i/>
          <w:iCs/>
          <w:noProof/>
          <w:sz w:val="24"/>
          <w:szCs w:val="24"/>
        </w:rPr>
        <w:t>Intern. Med. J.</w:t>
      </w:r>
      <w:r w:rsidRPr="005C005B">
        <w:rPr>
          <w:rFonts w:ascii="Calibri Light" w:hAnsi="Calibri Light" w:cs="Calibri Light"/>
          <w:noProof/>
          <w:sz w:val="24"/>
          <w:szCs w:val="24"/>
        </w:rPr>
        <w:t>, vol. 53, no. 7, pp. 1121–1130, 2023, doi: 10.1111/imj.15824.</w:t>
      </w:r>
    </w:p>
    <w:p w14:paraId="31F6EE8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[25]</w:t>
      </w:r>
      <w:r w:rsidRPr="005C005B">
        <w:rPr>
          <w:rFonts w:ascii="Calibri Light" w:hAnsi="Calibri Light" w:cs="Calibri Light"/>
          <w:noProof/>
          <w:sz w:val="24"/>
          <w:szCs w:val="24"/>
        </w:rPr>
        <w:tab/>
        <w:t xml:space="preserve">S. Salmon, M. Chartier, L. E. Roos, and T. O. Afifi, “Typologies of child maltreatment and peer victimization and the associations with adolescent substance use: A latent class analysis,”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xml:space="preserve">, vol. 140, no. March, p. 106177, 2023, doi: </w:t>
      </w:r>
      <w:r w:rsidRPr="005C005B">
        <w:rPr>
          <w:rFonts w:ascii="Calibri Light" w:hAnsi="Calibri Light" w:cs="Calibri Light"/>
          <w:noProof/>
          <w:sz w:val="24"/>
          <w:szCs w:val="24"/>
        </w:rPr>
        <w:lastRenderedPageBreak/>
        <w:t>10.1016/j.chiabu.2023.106177.</w:t>
      </w:r>
    </w:p>
    <w:p w14:paraId="692AAD4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[26]</w:t>
      </w:r>
      <w:r w:rsidRPr="005C005B">
        <w:rPr>
          <w:rFonts w:ascii="Calibri Light" w:hAnsi="Calibri Light" w:cs="Calibri Light"/>
          <w:noProof/>
          <w:sz w:val="24"/>
          <w:szCs w:val="24"/>
        </w:rPr>
        <w:tab/>
        <w:t xml:space="preserve">Z. Abidin, “Rehabilitasi Sosial Anak Berhadapan Dengan Hukum Di Lembaga Indonesia Safe House Di Malang,” </w:t>
      </w:r>
      <w:r w:rsidRPr="005C005B">
        <w:rPr>
          <w:rFonts w:ascii="Calibri Light" w:hAnsi="Calibri Light" w:cs="Calibri Light"/>
          <w:i/>
          <w:iCs/>
          <w:noProof/>
          <w:sz w:val="24"/>
          <w:szCs w:val="24"/>
        </w:rPr>
        <w:t>Sosio konsepsia</w:t>
      </w:r>
      <w:r w:rsidRPr="005C005B">
        <w:rPr>
          <w:rFonts w:ascii="Calibri Light" w:hAnsi="Calibri Light" w:cs="Calibri Light"/>
          <w:noProof/>
          <w:sz w:val="24"/>
          <w:szCs w:val="24"/>
        </w:rPr>
        <w:t>, vol. 8, no. 2, 2019, doi: 10.33007/ska.v8i2.1463.</w:t>
      </w:r>
    </w:p>
    <w:p w14:paraId="25475C8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[27]</w:t>
      </w:r>
      <w:r w:rsidRPr="005C005B">
        <w:rPr>
          <w:rFonts w:ascii="Calibri Light" w:hAnsi="Calibri Light" w:cs="Calibri Light"/>
          <w:noProof/>
          <w:sz w:val="24"/>
          <w:szCs w:val="24"/>
        </w:rPr>
        <w:tab/>
        <w:t xml:space="preserve">D. T. Wade, “A general theory of rehabilitation: Rehabilitation catalyses and assists adaptation to illness,” </w:t>
      </w:r>
      <w:r w:rsidRPr="005C005B">
        <w:rPr>
          <w:rFonts w:ascii="Calibri Light" w:hAnsi="Calibri Light" w:cs="Calibri Light"/>
          <w:i/>
          <w:iCs/>
          <w:noProof/>
          <w:sz w:val="24"/>
          <w:szCs w:val="24"/>
        </w:rPr>
        <w:t>Clin. Rehabil.</w:t>
      </w:r>
      <w:r w:rsidRPr="005C005B">
        <w:rPr>
          <w:rFonts w:ascii="Calibri Light" w:hAnsi="Calibri Light" w:cs="Calibri Light"/>
          <w:noProof/>
          <w:sz w:val="24"/>
          <w:szCs w:val="24"/>
        </w:rPr>
        <w:t>, vol. 38, no. 4, pp. 429–442, 2024, doi: 10.1177/02692155231210151.</w:t>
      </w:r>
    </w:p>
    <w:p w14:paraId="3DB4B288"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[28]</w:t>
      </w:r>
      <w:r w:rsidRPr="005C005B">
        <w:rPr>
          <w:rFonts w:ascii="Calibri Light" w:hAnsi="Calibri Light" w:cs="Calibri Light"/>
          <w:noProof/>
          <w:sz w:val="24"/>
          <w:szCs w:val="24"/>
        </w:rPr>
        <w:tab/>
        <w:t xml:space="preserve">F. Al Gharaibeh and L. Gibson, “Care and rehabilitation services to child victims of abuse in the United Arab Emirates: Examples of innovation,” </w:t>
      </w:r>
      <w:r w:rsidRPr="005C005B">
        <w:rPr>
          <w:rFonts w:ascii="Calibri Light" w:hAnsi="Calibri Light" w:cs="Calibri Light"/>
          <w:i/>
          <w:iCs/>
          <w:noProof/>
          <w:sz w:val="24"/>
          <w:szCs w:val="24"/>
        </w:rPr>
        <w:t>Child. Youth Serv. Rev.</w:t>
      </w:r>
      <w:r w:rsidRPr="005C005B">
        <w:rPr>
          <w:rFonts w:ascii="Calibri Light" w:hAnsi="Calibri Light" w:cs="Calibri Light"/>
          <w:noProof/>
          <w:sz w:val="24"/>
          <w:szCs w:val="24"/>
        </w:rPr>
        <w:t>, vol. 101, no. November 2018, pp. 87–98, 2019, doi: 10.1016/j.childyouth.2019.03.049.</w:t>
      </w:r>
    </w:p>
    <w:p w14:paraId="5831D3F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[29]</w:t>
      </w:r>
      <w:r w:rsidRPr="005C005B">
        <w:rPr>
          <w:rFonts w:ascii="Calibri Light" w:hAnsi="Calibri Light" w:cs="Calibri Light"/>
          <w:noProof/>
          <w:sz w:val="24"/>
          <w:szCs w:val="24"/>
        </w:rPr>
        <w:tab/>
        <w:t xml:space="preserve">L. Busetto, W. Wick, and C. Gumbinger, “How to use and assess qualitative research methods,” </w:t>
      </w:r>
      <w:r w:rsidRPr="005C005B">
        <w:rPr>
          <w:rFonts w:ascii="Calibri Light" w:hAnsi="Calibri Light" w:cs="Calibri Light"/>
          <w:i/>
          <w:iCs/>
          <w:noProof/>
          <w:sz w:val="24"/>
          <w:szCs w:val="24"/>
        </w:rPr>
        <w:t>Neurol. Res. Pract.</w:t>
      </w:r>
      <w:r w:rsidRPr="005C005B">
        <w:rPr>
          <w:rFonts w:ascii="Calibri Light" w:hAnsi="Calibri Light" w:cs="Calibri Light"/>
          <w:noProof/>
          <w:sz w:val="24"/>
          <w:szCs w:val="24"/>
        </w:rPr>
        <w:t>, vol. 2, no. 1, 2020, doi: 10.1186/s42466-020-00059-z.</w:t>
      </w:r>
    </w:p>
    <w:p w14:paraId="0A9C717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[30]</w:t>
      </w:r>
      <w:r w:rsidRPr="005C005B">
        <w:rPr>
          <w:rFonts w:ascii="Calibri Light" w:hAnsi="Calibri Light" w:cs="Calibri Light"/>
          <w:noProof/>
          <w:sz w:val="24"/>
          <w:szCs w:val="24"/>
        </w:rPr>
        <w:tab/>
        <w:t>A. B. Marvasti, “Qualitative Research in Sociology: An Introduction,” p. 169, 2004.</w:t>
      </w:r>
    </w:p>
    <w:p w14:paraId="2EB8819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[31]</w:t>
      </w:r>
      <w:r w:rsidRPr="005C005B">
        <w:rPr>
          <w:rFonts w:ascii="Calibri Light" w:hAnsi="Calibri Light" w:cs="Calibri Light"/>
          <w:noProof/>
          <w:sz w:val="24"/>
          <w:szCs w:val="24"/>
        </w:rPr>
        <w:tab/>
        <w:t xml:space="preserve">K. Hammarberg, M. Kirkman, and S. De Lacey, “Qualitative research methods: When to use them and how to judge them,” </w:t>
      </w:r>
      <w:r w:rsidRPr="005C005B">
        <w:rPr>
          <w:rFonts w:ascii="Calibri Light" w:hAnsi="Calibri Light" w:cs="Calibri Light"/>
          <w:i/>
          <w:iCs/>
          <w:noProof/>
          <w:sz w:val="24"/>
          <w:szCs w:val="24"/>
        </w:rPr>
        <w:t>Hum. Reprod.</w:t>
      </w:r>
      <w:r w:rsidRPr="005C005B">
        <w:rPr>
          <w:rFonts w:ascii="Calibri Light" w:hAnsi="Calibri Light" w:cs="Calibri Light"/>
          <w:noProof/>
          <w:sz w:val="24"/>
          <w:szCs w:val="24"/>
        </w:rPr>
        <w:t>, vol. 31, no. 3, pp. 498–501, 2016, doi: 10.1093/humrep/dev334.</w:t>
      </w:r>
    </w:p>
    <w:p w14:paraId="77508EF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[32]</w:t>
      </w:r>
      <w:r w:rsidRPr="005C005B">
        <w:rPr>
          <w:rFonts w:ascii="Calibri Light" w:hAnsi="Calibri Light" w:cs="Calibri Light"/>
          <w:noProof/>
          <w:sz w:val="24"/>
          <w:szCs w:val="24"/>
        </w:rPr>
        <w:tab/>
        <w:t xml:space="preserve">E. Babbie, </w:t>
      </w:r>
      <w:r w:rsidRPr="005C005B">
        <w:rPr>
          <w:rFonts w:ascii="Calibri Light" w:hAnsi="Calibri Light" w:cs="Calibri Light"/>
          <w:i/>
          <w:iCs/>
          <w:noProof/>
          <w:sz w:val="24"/>
          <w:szCs w:val="24"/>
        </w:rPr>
        <w:t>The Basic of Social Research</w:t>
      </w:r>
      <w:r w:rsidRPr="005C005B">
        <w:rPr>
          <w:rFonts w:ascii="Calibri Light" w:hAnsi="Calibri Light" w:cs="Calibri Light"/>
          <w:noProof/>
          <w:sz w:val="24"/>
          <w:szCs w:val="24"/>
        </w:rPr>
        <w:t>, vol. 91. Belmont: Wadsworth, 2008.</w:t>
      </w:r>
    </w:p>
    <w:p w14:paraId="688A79E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[33]</w:t>
      </w:r>
      <w:r w:rsidRPr="005C005B">
        <w:rPr>
          <w:rFonts w:ascii="Calibri Light" w:hAnsi="Calibri Light" w:cs="Calibri Light"/>
          <w:noProof/>
          <w:sz w:val="24"/>
          <w:szCs w:val="24"/>
        </w:rPr>
        <w:tab/>
        <w:t xml:space="preserve">W. L. Neuman, </w:t>
      </w:r>
      <w:r w:rsidRPr="005C005B">
        <w:rPr>
          <w:rFonts w:ascii="Calibri Light" w:hAnsi="Calibri Light" w:cs="Calibri Light"/>
          <w:i/>
          <w:iCs/>
          <w:noProof/>
          <w:sz w:val="24"/>
          <w:szCs w:val="24"/>
        </w:rPr>
        <w:t>Basic Social Research Qualitative and Quantitative Approach</w:t>
      </w:r>
      <w:r w:rsidRPr="005C005B">
        <w:rPr>
          <w:rFonts w:ascii="Calibri Light" w:hAnsi="Calibri Light" w:cs="Calibri Light"/>
          <w:noProof/>
          <w:sz w:val="24"/>
          <w:szCs w:val="24"/>
        </w:rPr>
        <w:t>. Boston: Pearson Education, Inc., 2007.</w:t>
      </w:r>
    </w:p>
    <w:p w14:paraId="237314F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[34]</w:t>
      </w:r>
      <w:r w:rsidRPr="005C005B">
        <w:rPr>
          <w:rFonts w:ascii="Calibri Light" w:hAnsi="Calibri Light" w:cs="Calibri Light"/>
          <w:noProof/>
          <w:sz w:val="24"/>
          <w:szCs w:val="24"/>
        </w:rPr>
        <w:tab/>
        <w:t xml:space="preserve">J. Miles, Matthew B.; Huberman, A. Michael; &amp; Saldana, </w:t>
      </w:r>
      <w:r w:rsidRPr="005C005B">
        <w:rPr>
          <w:rFonts w:ascii="Calibri Light" w:hAnsi="Calibri Light" w:cs="Calibri Light"/>
          <w:i/>
          <w:iCs/>
          <w:noProof/>
          <w:sz w:val="24"/>
          <w:szCs w:val="24"/>
        </w:rPr>
        <w:t>Qualitative Data Analysis</w:t>
      </w:r>
      <w:r w:rsidRPr="005C005B">
        <w:rPr>
          <w:rFonts w:ascii="Calibri Light" w:hAnsi="Calibri Light" w:cs="Calibri Light"/>
          <w:noProof/>
          <w:sz w:val="24"/>
          <w:szCs w:val="24"/>
        </w:rPr>
        <w:t>. Thousand Oaks: SAGE Publications Inc., 2014.</w:t>
      </w:r>
    </w:p>
    <w:p w14:paraId="10F737B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[35]</w:t>
      </w:r>
      <w:r w:rsidRPr="005C005B">
        <w:rPr>
          <w:rFonts w:ascii="Calibri Light" w:hAnsi="Calibri Light" w:cs="Calibri Light"/>
          <w:noProof/>
          <w:sz w:val="24"/>
          <w:szCs w:val="24"/>
        </w:rPr>
        <w:tab/>
        <w:t xml:space="preserve">A. Mappiare-AT, “Kekerasan Psiko-Sosial Dalam Pendidikan Dan Keniscayaan Bimbingan Konseling,” </w:t>
      </w:r>
      <w:r w:rsidRPr="005C005B">
        <w:rPr>
          <w:rFonts w:ascii="Calibri Light" w:hAnsi="Calibri Light" w:cs="Calibri Light"/>
          <w:i/>
          <w:iCs/>
          <w:noProof/>
          <w:sz w:val="24"/>
          <w:szCs w:val="24"/>
        </w:rPr>
        <w:t>J. Psikol. Teor. dan Terap.</w:t>
      </w:r>
      <w:r w:rsidRPr="005C005B">
        <w:rPr>
          <w:rFonts w:ascii="Calibri Light" w:hAnsi="Calibri Light" w:cs="Calibri Light"/>
          <w:noProof/>
          <w:sz w:val="24"/>
          <w:szCs w:val="24"/>
        </w:rPr>
        <w:t>, vol. 3, no. 2, p. 113, 2013, doi: 10.26740/jptt.v3n2.p113-124.</w:t>
      </w:r>
    </w:p>
    <w:p w14:paraId="77216355"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[36]</w:t>
      </w:r>
      <w:r w:rsidRPr="005C005B">
        <w:rPr>
          <w:rFonts w:ascii="Calibri Light" w:hAnsi="Calibri Light" w:cs="Calibri Light"/>
          <w:noProof/>
          <w:sz w:val="24"/>
          <w:szCs w:val="24"/>
        </w:rPr>
        <w:tab/>
        <w:t xml:space="preserve">A. Muarifah, D. E. Wati, and I. Puspitasari, “Identifikasi Bentuk dan Dampak Kekerasan pada Anak Usia Dini di Kota Yogyakarta,” </w:t>
      </w:r>
      <w:r w:rsidRPr="005C005B">
        <w:rPr>
          <w:rFonts w:ascii="Calibri Light" w:hAnsi="Calibri Light" w:cs="Calibri Light"/>
          <w:i/>
          <w:iCs/>
          <w:noProof/>
          <w:sz w:val="24"/>
          <w:szCs w:val="24"/>
        </w:rPr>
        <w:t>J. Obs.  J. Pendidik. Anak Usia Dini</w:t>
      </w:r>
      <w:r w:rsidRPr="005C005B">
        <w:rPr>
          <w:rFonts w:ascii="Calibri Light" w:hAnsi="Calibri Light" w:cs="Calibri Light"/>
          <w:noProof/>
          <w:sz w:val="24"/>
          <w:szCs w:val="24"/>
        </w:rPr>
        <w:t>, vol. 4, no. 2, p. 757, 2020, doi: 10.31004/obsesi.v4i2.451.</w:t>
      </w:r>
    </w:p>
    <w:p w14:paraId="56ECBD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[37]</w:t>
      </w:r>
      <w:r w:rsidRPr="005C005B">
        <w:rPr>
          <w:rFonts w:ascii="Calibri Light" w:hAnsi="Calibri Light" w:cs="Calibri Light"/>
          <w:noProof/>
          <w:sz w:val="24"/>
          <w:szCs w:val="24"/>
        </w:rPr>
        <w:tab/>
        <w:t xml:space="preserve">A. K. Nisa and N. T. Mulyasari, “Bantuan Hukum Terhadap Anak Korban Tindak Pidana Kekerasan Seksual Di Indonesia,” </w:t>
      </w:r>
      <w:r w:rsidRPr="005C005B">
        <w:rPr>
          <w:rFonts w:ascii="Calibri Light" w:hAnsi="Calibri Light" w:cs="Calibri Light"/>
          <w:i/>
          <w:iCs/>
          <w:noProof/>
          <w:sz w:val="24"/>
          <w:szCs w:val="24"/>
        </w:rPr>
        <w:t>Risal. Huk.</w:t>
      </w:r>
      <w:r w:rsidRPr="005C005B">
        <w:rPr>
          <w:rFonts w:ascii="Calibri Light" w:hAnsi="Calibri Light" w:cs="Calibri Light"/>
          <w:noProof/>
          <w:sz w:val="24"/>
          <w:szCs w:val="24"/>
        </w:rPr>
        <w:t>, vol. 19, no. 1, pp. 45–60, 2023, [Online]. Available: https://e-journal.fh.unmul.ac.id/index.php/risalah/article/view/1023.</w:t>
      </w:r>
    </w:p>
    <w:p w14:paraId="53382A9E"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[38]</w:t>
      </w:r>
      <w:r w:rsidRPr="005C005B">
        <w:rPr>
          <w:rFonts w:ascii="Calibri Light" w:hAnsi="Calibri Light" w:cs="Calibri Light"/>
          <w:noProof/>
          <w:sz w:val="24"/>
          <w:szCs w:val="24"/>
        </w:rPr>
        <w:tab/>
        <w:t xml:space="preserve">K. Kayowuan Lewoleba and M. Helmi Fahrozi, “Studi Faktor-Faktor Terjadinya Tindak Kekerasan Seksual Pada Anak-Anak,” </w:t>
      </w:r>
      <w:r w:rsidRPr="005C005B">
        <w:rPr>
          <w:rFonts w:ascii="Calibri Light" w:hAnsi="Calibri Light" w:cs="Calibri Light"/>
          <w:i/>
          <w:iCs/>
          <w:noProof/>
          <w:sz w:val="24"/>
          <w:szCs w:val="24"/>
        </w:rPr>
        <w:t>Esensi Huk.</w:t>
      </w:r>
      <w:r w:rsidRPr="005C005B">
        <w:rPr>
          <w:rFonts w:ascii="Calibri Light" w:hAnsi="Calibri Light" w:cs="Calibri Light"/>
          <w:noProof/>
          <w:sz w:val="24"/>
          <w:szCs w:val="24"/>
        </w:rPr>
        <w:t>, vol. 2, no. 1, pp. 27–48, 2020, doi: 10.35586/esensihukum.v2i1.20.</w:t>
      </w:r>
    </w:p>
    <w:p w14:paraId="2CC7CE4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[39]</w:t>
      </w:r>
      <w:r w:rsidRPr="005C005B">
        <w:rPr>
          <w:rFonts w:ascii="Calibri Light" w:hAnsi="Calibri Light" w:cs="Calibri Light"/>
          <w:noProof/>
          <w:sz w:val="24"/>
          <w:szCs w:val="24"/>
        </w:rPr>
        <w:tab/>
        <w:t xml:space="preserve">C. Souama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“Depression, cardiometabolic disease, and their co-occurrence after childhood maltreatment: an individual participant data meta-analysis including over 200,000 participants,” </w:t>
      </w:r>
      <w:r w:rsidRPr="005C005B">
        <w:rPr>
          <w:rFonts w:ascii="Calibri Light" w:hAnsi="Calibri Light" w:cs="Calibri Light"/>
          <w:i/>
          <w:iCs/>
          <w:noProof/>
          <w:sz w:val="24"/>
          <w:szCs w:val="24"/>
        </w:rPr>
        <w:t>BMC Med.</w:t>
      </w:r>
      <w:r w:rsidRPr="005C005B">
        <w:rPr>
          <w:rFonts w:ascii="Calibri Light" w:hAnsi="Calibri Light" w:cs="Calibri Light"/>
          <w:noProof/>
          <w:sz w:val="24"/>
          <w:szCs w:val="24"/>
        </w:rPr>
        <w:t>, vol. 21, no. 1, pp. 1–16, 2023, doi: 10.1186/s12916-023-02769-y.</w:t>
      </w:r>
    </w:p>
    <w:p w14:paraId="0840922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[40]</w:t>
      </w:r>
      <w:r w:rsidRPr="005C005B">
        <w:rPr>
          <w:rFonts w:ascii="Calibri Light" w:hAnsi="Calibri Light" w:cs="Calibri Light"/>
          <w:noProof/>
          <w:sz w:val="24"/>
          <w:szCs w:val="24"/>
        </w:rPr>
        <w:tab/>
        <w:t xml:space="preserve">J. Wahl, S. Lee, and T. Jamal, “Indigenous heritage tourism development in a (Post-) covid world: Towards social justice at little bighorn battlefield national monument, usa,” </w:t>
      </w:r>
      <w:r w:rsidRPr="005C005B">
        <w:rPr>
          <w:rFonts w:ascii="Calibri Light" w:hAnsi="Calibri Light" w:cs="Calibri Light"/>
          <w:i/>
          <w:iCs/>
          <w:noProof/>
          <w:sz w:val="24"/>
          <w:szCs w:val="24"/>
        </w:rPr>
        <w:t>Sustain.</w:t>
      </w:r>
      <w:r w:rsidRPr="005C005B">
        <w:rPr>
          <w:rFonts w:ascii="Calibri Light" w:hAnsi="Calibri Light" w:cs="Calibri Light"/>
          <w:noProof/>
          <w:sz w:val="24"/>
          <w:szCs w:val="24"/>
        </w:rPr>
        <w:t>, vol. 12, no. 22, pp. 1–23, 2020, doi: 10.3390/su12229484.</w:t>
      </w:r>
    </w:p>
    <w:p w14:paraId="30344D7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[41]</w:t>
      </w:r>
      <w:r w:rsidRPr="005C005B">
        <w:rPr>
          <w:rFonts w:ascii="Calibri Light" w:hAnsi="Calibri Light" w:cs="Calibri Light"/>
          <w:noProof/>
          <w:sz w:val="24"/>
          <w:szCs w:val="24"/>
        </w:rPr>
        <w:tab/>
        <w:t xml:space="preserve">J. R. Baldwin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Mental Health Problems: A Systematic Review and Meta-Analysis of Quasi-Experimental Studies,” </w:t>
      </w:r>
      <w:r w:rsidRPr="005C005B">
        <w:rPr>
          <w:rFonts w:ascii="Calibri Light" w:hAnsi="Calibri Light" w:cs="Calibri Light"/>
          <w:i/>
          <w:iCs/>
          <w:noProof/>
          <w:sz w:val="24"/>
          <w:szCs w:val="24"/>
        </w:rPr>
        <w:t>Am. J. Psychiatry</w:t>
      </w:r>
      <w:r w:rsidRPr="005C005B">
        <w:rPr>
          <w:rFonts w:ascii="Calibri Light" w:hAnsi="Calibri Light" w:cs="Calibri Light"/>
          <w:noProof/>
          <w:sz w:val="24"/>
          <w:szCs w:val="24"/>
        </w:rPr>
        <w:t>, vol. 180, no. 2, pp. 117–126, 2023, doi: 10.1176/appi.ajp.20220174.</w:t>
      </w:r>
    </w:p>
    <w:p w14:paraId="618BCF6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[42]</w:t>
      </w:r>
      <w:r w:rsidRPr="005C005B">
        <w:rPr>
          <w:rFonts w:ascii="Calibri Light" w:hAnsi="Calibri Light" w:cs="Calibri Light"/>
          <w:noProof/>
          <w:sz w:val="24"/>
          <w:szCs w:val="24"/>
        </w:rPr>
        <w:tab/>
        <w:t xml:space="preserve">A. S. D. Andhini and R. Arifin, “Analisis Perlindungan Hukum Terhadap Tindak Kekerasan pada Anak di Indonesia,” </w:t>
      </w:r>
      <w:r w:rsidRPr="005C005B">
        <w:rPr>
          <w:rFonts w:ascii="Calibri Light" w:hAnsi="Calibri Light" w:cs="Calibri Light"/>
          <w:i/>
          <w:iCs/>
          <w:noProof/>
          <w:sz w:val="24"/>
          <w:szCs w:val="24"/>
        </w:rPr>
        <w:t>Ajudikasi  J. Ilmu Huk.</w:t>
      </w:r>
      <w:r w:rsidRPr="005C005B">
        <w:rPr>
          <w:rFonts w:ascii="Calibri Light" w:hAnsi="Calibri Light" w:cs="Calibri Light"/>
          <w:noProof/>
          <w:sz w:val="24"/>
          <w:szCs w:val="24"/>
        </w:rPr>
        <w:t xml:space="preserve">, vol. 3, no. 1, p. 41, 2019, doi: </w:t>
      </w:r>
      <w:r w:rsidRPr="005C005B">
        <w:rPr>
          <w:rFonts w:ascii="Calibri Light" w:hAnsi="Calibri Light" w:cs="Calibri Light"/>
          <w:noProof/>
          <w:sz w:val="24"/>
          <w:szCs w:val="24"/>
        </w:rPr>
        <w:lastRenderedPageBreak/>
        <w:t>10.30656/ajudikasi.v3i1.992.</w:t>
      </w:r>
    </w:p>
    <w:p w14:paraId="4B9F8239" w14:textId="77777777" w:rsidR="005C005B" w:rsidRPr="005C005B" w:rsidRDefault="005C005B" w:rsidP="005C005B">
      <w:pPr>
        <w:widowControl w:val="0"/>
        <w:adjustRightInd w:val="0"/>
        <w:ind w:left="640" w:hanging="640"/>
        <w:rPr>
          <w:rFonts w:ascii="Calibri Light" w:hAnsi="Calibri Light" w:cs="Calibri Light"/>
          <w:noProof/>
          <w:sz w:val="24"/>
        </w:rPr>
      </w:pPr>
      <w:r w:rsidRPr="005C005B">
        <w:rPr>
          <w:rFonts w:ascii="Calibri Light" w:hAnsi="Calibri Light" w:cs="Calibri Light"/>
          <w:noProof/>
          <w:sz w:val="24"/>
          <w:szCs w:val="24"/>
        </w:rPr>
        <w:t>[43]</w:t>
      </w:r>
      <w:r w:rsidRPr="005C005B">
        <w:rPr>
          <w:rFonts w:ascii="Calibri Light" w:hAnsi="Calibri Light" w:cs="Calibri Light"/>
          <w:noProof/>
          <w:sz w:val="24"/>
          <w:szCs w:val="24"/>
        </w:rPr>
        <w:tab/>
        <w:t xml:space="preserve">E. Kurniawansyah and D. Dahlan, “Penyebab Terjadinya Kekerasan Terhadap Anak (Studi Kasus di Kabupaten Sumbawa),” </w:t>
      </w:r>
      <w:r w:rsidRPr="005C005B">
        <w:rPr>
          <w:rFonts w:ascii="Calibri Light" w:hAnsi="Calibri Light" w:cs="Calibri Light"/>
          <w:i/>
          <w:iCs/>
          <w:noProof/>
          <w:sz w:val="24"/>
          <w:szCs w:val="24"/>
        </w:rPr>
        <w:t>Civ.  Pendidikan-Penelitian-Pengabdian Pendidik. Pancasila dan Kewarganegaraan</w:t>
      </w:r>
      <w:r w:rsidRPr="005C005B">
        <w:rPr>
          <w:rFonts w:ascii="Calibri Light" w:hAnsi="Calibri Light" w:cs="Calibri Light"/>
          <w:noProof/>
          <w:sz w:val="24"/>
          <w:szCs w:val="24"/>
        </w:rPr>
        <w:t>, vol. 9, no. 2, p. 30, 2022, doi: 10.31764/civicus.v9i2.6866.</w:t>
      </w:r>
    </w:p>
    <w:p w14:paraId="41539136" w14:textId="77777777" w:rsidR="00B0797F" w:rsidRPr="00D9141A" w:rsidRDefault="00B0797F" w:rsidP="00376959">
      <w:pPr>
        <w:ind w:left="1418" w:hanging="1418"/>
        <w:contextualSpacing/>
        <w:jc w:val="both"/>
        <w:rPr>
          <w:rFonts w:ascii="Calibri Light" w:hAnsi="Calibri Light" w:cs="Calibri Light"/>
          <w:b/>
          <w:sz w:val="24"/>
          <w:szCs w:val="24"/>
        </w:rPr>
      </w:pPr>
      <w:r w:rsidRPr="00D9141A">
        <w:rPr>
          <w:rFonts w:ascii="Calibri Light" w:hAnsi="Calibri Light" w:cs="Calibri Light"/>
          <w:b/>
          <w:sz w:val="24"/>
          <w:szCs w:val="24"/>
        </w:rPr>
        <w:fldChar w:fldCharType="end"/>
      </w:r>
    </w:p>
    <w:p w14:paraId="3DF6898D" w14:textId="77777777" w:rsidR="00B0797F" w:rsidRPr="00D9141A" w:rsidRDefault="00B0797F" w:rsidP="00376959">
      <w:pPr>
        <w:spacing w:line="240" w:lineRule="atLeast"/>
        <w:ind w:left="1418" w:hanging="1418"/>
        <w:jc w:val="both"/>
        <w:rPr>
          <w:rFonts w:ascii="Calibri Light" w:hAnsi="Calibri Light" w:cs="Calibri Light"/>
          <w:b/>
          <w:color w:val="A6A6A6"/>
          <w:sz w:val="24"/>
          <w:szCs w:val="24"/>
          <w:lang w:val="id-ID"/>
        </w:rPr>
      </w:pPr>
    </w:p>
    <w:sectPr w:rsidR="00B0797F" w:rsidRPr="00D9141A" w:rsidSect="007816FC">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u" w:date="2025-04-09T14:06:00Z" w:initials="u">
    <w:p w14:paraId="665AD14F" w14:textId="77777777" w:rsidR="00525822" w:rsidRDefault="00525822" w:rsidP="00525822">
      <w:pPr>
        <w:pStyle w:val="CommentText"/>
      </w:pPr>
      <w:r>
        <w:rPr>
          <w:rStyle w:val="CommentReference"/>
        </w:rPr>
        <w:annotationRef/>
      </w:r>
      <w:r>
        <w:t>"Social Welfare Responses to Child Abuse in Malang City, Indonesia"</w:t>
      </w:r>
    </w:p>
    <w:p w14:paraId="451CBC55" w14:textId="77777777" w:rsidR="00525822" w:rsidRDefault="00525822" w:rsidP="00525822">
      <w:pPr>
        <w:pStyle w:val="CommentText"/>
      </w:pPr>
      <w:r>
        <w:t>Emphasizes research approaches and social responses to cases of child abuse.</w:t>
      </w:r>
    </w:p>
    <w:p w14:paraId="7A71F3A6" w14:textId="77777777" w:rsidR="00525822" w:rsidRDefault="00525822" w:rsidP="00525822">
      <w:pPr>
        <w:pStyle w:val="CommentText"/>
      </w:pPr>
    </w:p>
    <w:p w14:paraId="009D214B" w14:textId="77777777" w:rsidR="00525822" w:rsidRDefault="00525822" w:rsidP="00525822">
      <w:pPr>
        <w:pStyle w:val="CommentText"/>
      </w:pPr>
      <w:r>
        <w:t>"Analyzing Social Services for Child Victims of Violence: A Case from Malang, Indonesia"</w:t>
      </w:r>
    </w:p>
    <w:p w14:paraId="483B90C2" w14:textId="2712E2A2" w:rsidR="00525822" w:rsidRDefault="00525822" w:rsidP="00525822">
      <w:pPr>
        <w:pStyle w:val="CommentText"/>
      </w:pPr>
      <w:r>
        <w:t>Highlights analysis of forms of social services.</w:t>
      </w:r>
    </w:p>
  </w:comment>
  <w:comment w:id="1" w:author="u" w:date="2025-04-09T14:08:00Z" w:initials="u">
    <w:p w14:paraId="5A49CD4D" w14:textId="25F4C200" w:rsidR="00525822" w:rsidRDefault="00525822">
      <w:pPr>
        <w:pStyle w:val="CommentText"/>
      </w:pPr>
      <w:r>
        <w:rPr>
          <w:rStyle w:val="CommentReference"/>
        </w:rPr>
        <w:annotationRef/>
      </w:r>
      <w:r w:rsidRPr="00525822">
        <w:t>The focus of the research objective is quite clear, but the object of analysis can be condensed and clarified.</w:t>
      </w:r>
    </w:p>
  </w:comment>
  <w:comment w:id="2" w:author="u" w:date="2025-04-09T14:10:00Z" w:initials="u">
    <w:p w14:paraId="4DEEF710" w14:textId="33058AB0" w:rsidR="00525822" w:rsidRDefault="00525822">
      <w:pPr>
        <w:pStyle w:val="CommentText"/>
      </w:pPr>
      <w:r>
        <w:rPr>
          <w:rStyle w:val="CommentReference"/>
        </w:rPr>
        <w:annotationRef/>
      </w:r>
      <w:r w:rsidRPr="00525822">
        <w:t>Can you clarify what the real forms of these three programs are?</w:t>
      </w:r>
    </w:p>
  </w:comment>
  <w:comment w:id="3" w:author="u" w:date="2025-04-09T14:33:00Z" w:initials="u">
    <w:p w14:paraId="01AC1A55" w14:textId="6814569B" w:rsidR="00010BD1" w:rsidRDefault="00010BD1">
      <w:pPr>
        <w:pStyle w:val="CommentText"/>
      </w:pPr>
      <w:r>
        <w:rPr>
          <w:rStyle w:val="CommentReference"/>
        </w:rPr>
        <w:annotationRef/>
      </w:r>
      <w:r w:rsidRPr="00010BD1">
        <w:t xml:space="preserve">Your introduction is too long, not including previous studies that differentiate other studies from yours. </w:t>
      </w:r>
      <w:proofErr w:type="gramStart"/>
      <w:r w:rsidRPr="00010BD1">
        <w:t>So</w:t>
      </w:r>
      <w:proofErr w:type="gramEnd"/>
      <w:r w:rsidRPr="00010BD1">
        <w:t xml:space="preserve"> the entire complete introduction is a maximum of 4 pages</w:t>
      </w:r>
    </w:p>
  </w:comment>
  <w:comment w:id="4" w:author="u" w:date="2025-04-09T14:27:00Z" w:initials="u">
    <w:p w14:paraId="73C7BEE2" w14:textId="1712DB2F" w:rsidR="0065058D" w:rsidRDefault="0065058D">
      <w:pPr>
        <w:pStyle w:val="CommentText"/>
      </w:pPr>
      <w:r>
        <w:rPr>
          <w:rStyle w:val="CommentReference"/>
        </w:rPr>
        <w:annotationRef/>
      </w:r>
      <w:r w:rsidRPr="0065058D">
        <w:t>A brief explanation of what PHA and PKA are is needed for international/non-specialist readers.</w:t>
      </w:r>
    </w:p>
  </w:comment>
  <w:comment w:id="5" w:author="u" w:date="2025-04-09T14:32:00Z" w:initials="u">
    <w:p w14:paraId="5C233C43" w14:textId="08385D38" w:rsidR="00895096" w:rsidRDefault="00895096">
      <w:pPr>
        <w:pStyle w:val="CommentText"/>
      </w:pPr>
      <w:r>
        <w:rPr>
          <w:rStyle w:val="CommentReference"/>
        </w:rPr>
        <w:annotationRef/>
      </w:r>
      <w:r w:rsidRPr="00895096">
        <w:t>What about your previous studies? There is no comparison, the advantages/disadvantages of previous studies have not been analyzed. Add a synthesis, for example: "Previous studies have focused on definitions and impacts, but not many have examined how local governments respond to cases of child abuse specifically."</w:t>
      </w:r>
    </w:p>
  </w:comment>
  <w:comment w:id="6" w:author="u" w:date="2025-04-09T14:47:00Z" w:initials="u">
    <w:p w14:paraId="39135679" w14:textId="3C547405" w:rsidR="001B442D" w:rsidRDefault="001B442D">
      <w:pPr>
        <w:pStyle w:val="CommentText"/>
      </w:pPr>
      <w:r>
        <w:rPr>
          <w:rStyle w:val="CommentReference"/>
        </w:rPr>
        <w:annotationRef/>
      </w:r>
      <w:r w:rsidRPr="001B442D">
        <w:t>This is correct, but you could add reasons for choosing a qualitative approach, for example: "because we want to explore subjective meanings, experiences, and social contexts in depth."</w:t>
      </w:r>
    </w:p>
  </w:comment>
  <w:comment w:id="7" w:author="u" w:date="2025-04-10T09:48:00Z" w:initials="u">
    <w:p w14:paraId="3A75847F" w14:textId="4FE46A1C" w:rsidR="00B654C1" w:rsidRDefault="00B654C1">
      <w:pPr>
        <w:pStyle w:val="CommentText"/>
      </w:pPr>
      <w:r>
        <w:rPr>
          <w:rStyle w:val="CommentReference"/>
        </w:rPr>
        <w:annotationRef/>
      </w:r>
      <w:r w:rsidRPr="00B654C1">
        <w:t>State the number of informants and explain: "A total of 10 informants consisting of..." or "The number of informants is adjusted to the data saturation principle."</w:t>
      </w:r>
    </w:p>
  </w:comment>
  <w:comment w:id="8" w:author="u" w:date="2025-04-10T11:18:00Z" w:initials="u">
    <w:p w14:paraId="7118E35E" w14:textId="57997E1E" w:rsidR="00615815" w:rsidRDefault="00615815">
      <w:pPr>
        <w:pStyle w:val="CommentText"/>
      </w:pPr>
      <w:r>
        <w:rPr>
          <w:rStyle w:val="CommentReference"/>
        </w:rPr>
        <w:annotationRef/>
      </w:r>
      <w:r w:rsidRPr="00615815">
        <w:t>General note, the findings and discussion are very lacking in reference sources, there is no discussion or correlation with research, theories and opinions. What you present is only limited to the researcher's personal opinion.</w:t>
      </w:r>
    </w:p>
  </w:comment>
  <w:comment w:id="9" w:author="u" w:date="2025-04-10T11:07:00Z" w:initials="u">
    <w:p w14:paraId="564B7D92" w14:textId="1D4FE86B" w:rsidR="00043DA6" w:rsidRDefault="00043DA6">
      <w:pPr>
        <w:pStyle w:val="CommentText"/>
      </w:pPr>
      <w:r>
        <w:rPr>
          <w:rStyle w:val="CommentReference"/>
        </w:rPr>
        <w:annotationRef/>
      </w:r>
      <w:r w:rsidRPr="00043DA6">
        <w:t>Show us where we can see and trust that the data you provide is correct.</w:t>
      </w:r>
    </w:p>
  </w:comment>
  <w:comment w:id="10" w:author="u" w:date="2025-04-10T11:10:00Z" w:initials="u">
    <w:p w14:paraId="16BB28F9" w14:textId="688F196C" w:rsidR="002A7F13" w:rsidRDefault="002A7F13">
      <w:pPr>
        <w:pStyle w:val="CommentText"/>
      </w:pPr>
      <w:r>
        <w:rPr>
          <w:rStyle w:val="CommentReference"/>
        </w:rPr>
        <w:annotationRef/>
      </w:r>
      <w:r w:rsidRPr="002A7F13">
        <w:t>This sentence is somewhat gender biased (risks stereotyping). It needs to be stylized more academically, e.g.: “Due to perceived vulnerability, girls are more frequently targeted, particularly in sexual abuse cases.”</w:t>
      </w:r>
    </w:p>
  </w:comment>
  <w:comment w:id="11" w:author="u" w:date="2025-04-10T11:13:00Z" w:initials="u">
    <w:p w14:paraId="490F228B" w14:textId="6AB15EC1" w:rsidR="002A7F13" w:rsidRDefault="002A7F13">
      <w:pPr>
        <w:pStyle w:val="CommentText"/>
      </w:pPr>
      <w:r>
        <w:rPr>
          <w:rStyle w:val="CommentReference"/>
        </w:rPr>
        <w:annotationRef/>
      </w:r>
      <w:r w:rsidRPr="002A7F13">
        <w:t>If there is no long explanation, there is no need to write it in a numbering or bullet point format like this, why not use a comma (,) separator?</w:t>
      </w:r>
    </w:p>
  </w:comment>
  <w:comment w:id="12" w:author="u" w:date="2025-04-10T11:17:00Z" w:initials="u">
    <w:p w14:paraId="79F3A75E" w14:textId="5CDEA9D5" w:rsidR="004F74C1" w:rsidRDefault="004F74C1">
      <w:pPr>
        <w:pStyle w:val="CommentText"/>
      </w:pPr>
      <w:r>
        <w:rPr>
          <w:rStyle w:val="CommentReference"/>
        </w:rPr>
        <w:annotationRef/>
      </w:r>
      <w:r w:rsidRPr="004F74C1">
        <w:t>Because in your findings you did not write (FINDING), then you change the word (DISCUSSION) with a discussion sentence, as a sub-title of what you will discuss in this chapter.</w:t>
      </w:r>
    </w:p>
  </w:comment>
  <w:comment w:id="13" w:author="u" w:date="2025-04-10T11:23:00Z" w:initials="u">
    <w:p w14:paraId="4AF82B26" w14:textId="7A0DF729" w:rsidR="00890291" w:rsidRDefault="00890291">
      <w:pPr>
        <w:pStyle w:val="CommentText"/>
      </w:pPr>
      <w:r>
        <w:rPr>
          <w:rStyle w:val="CommentReference"/>
        </w:rPr>
        <w:annotationRef/>
      </w:r>
      <w:r w:rsidRPr="00890291">
        <w:t>This sentence is still general. It would be better to mention concrete examples of interventions that have been or can be implemented in Malang, for example the role of P2TP2A or prevention programs in schools.</w:t>
      </w:r>
    </w:p>
  </w:comment>
  <w:comment w:id="14" w:author="u" w:date="2025-04-10T11:25:00Z" w:initials="u">
    <w:p w14:paraId="6599F49F" w14:textId="026D21FB" w:rsidR="00890291" w:rsidRDefault="00890291">
      <w:pPr>
        <w:pStyle w:val="CommentText"/>
      </w:pPr>
      <w:r>
        <w:rPr>
          <w:rStyle w:val="CommentReference"/>
        </w:rPr>
        <w:annotationRef/>
      </w:r>
      <w:r w:rsidRPr="00890291">
        <w:t xml:space="preserve">Synchronize with the theory or framework used. If you use a child protection theory or social welfare approach, link it back at the end of the paragraph as a small conclusion. </w:t>
      </w:r>
      <w:proofErr w:type="gramStart"/>
      <w:r w:rsidRPr="00890291">
        <w:t>Generally</w:t>
      </w:r>
      <w:proofErr w:type="gramEnd"/>
      <w:r w:rsidRPr="00890291">
        <w:t xml:space="preserve"> this part is not visible in the discussion. The discussion is to provide a correlation between the findings with other relevant theories or studies.</w:t>
      </w:r>
    </w:p>
  </w:comment>
  <w:comment w:id="15" w:author="u" w:date="2025-04-10T09:57:00Z" w:initials="u">
    <w:p w14:paraId="0CC38224" w14:textId="7D1F3A2A" w:rsidR="00017CEE" w:rsidRDefault="00017CEE">
      <w:pPr>
        <w:pStyle w:val="CommentText"/>
      </w:pPr>
      <w:r>
        <w:rPr>
          <w:rStyle w:val="CommentReference"/>
        </w:rPr>
        <w:annotationRef/>
      </w:r>
      <w:r w:rsidRPr="00017CEE">
        <w:t>The conclusion section is quite long and mixes the conclusions of the findings with policy recommendations, which should be separated to be more systematic.</w:t>
      </w:r>
    </w:p>
  </w:comment>
  <w:comment w:id="16" w:author="u" w:date="2025-04-10T09:58:00Z" w:initials="u">
    <w:p w14:paraId="0500A9F0" w14:textId="24B9E8EB" w:rsidR="00017CEE" w:rsidRDefault="00017CEE">
      <w:pPr>
        <w:pStyle w:val="CommentText"/>
      </w:pPr>
      <w:r>
        <w:rPr>
          <w:rStyle w:val="CommentReference"/>
        </w:rPr>
        <w:annotationRef/>
      </w:r>
      <w:r w:rsidRPr="00017CEE">
        <w:t>Conclusions and suggestions or recommendations should not be confused. Recommendations are just a little bit, not as long as this. Your conclusion also does not need to be separated into the first and second findings, position yourself as a researcher who provides a closing sentence from the results of your discussion.</w:t>
      </w:r>
    </w:p>
  </w:comment>
  <w:comment w:id="17" w:author="u" w:date="2025-04-10T10:02:00Z" w:initials="u">
    <w:p w14:paraId="4A30843D" w14:textId="135B9BA7" w:rsidR="00564F0C" w:rsidRDefault="00564F0C">
      <w:pPr>
        <w:pStyle w:val="CommentText"/>
      </w:pPr>
      <w:r>
        <w:rPr>
          <w:rStyle w:val="CommentReference"/>
        </w:rPr>
        <w:annotationRef/>
      </w:r>
      <w:r w:rsidRPr="00564F0C">
        <w:t xml:space="preserve">We don't know how you write a reference list, because what you wrote </w:t>
      </w:r>
      <w:proofErr w:type="gramStart"/>
      <w:r w:rsidRPr="00564F0C">
        <w:t>here</w:t>
      </w:r>
      <w:proofErr w:type="gramEnd"/>
      <w:r w:rsidRPr="00564F0C">
        <w:t xml:space="preserve"> we didn't find in your discussion (introduction-discussion). Journal article sources must include an active DOI, the credibility of the journal needs to be considered again because you are writing in a reputable journal (</w:t>
      </w:r>
      <w:proofErr w:type="spellStart"/>
      <w:r w:rsidRPr="00564F0C">
        <w:t>scopus</w:t>
      </w:r>
      <w:proofErr w:type="spellEnd"/>
      <w:r w:rsidRPr="00564F0C">
        <w:t xml:space="preserve">), so references must also be </w:t>
      </w:r>
      <w:proofErr w:type="spellStart"/>
      <w:r w:rsidRPr="00564F0C">
        <w:t>secopus</w:t>
      </w:r>
      <w:proofErr w:type="spellEnd"/>
      <w:r w:rsidRPr="00564F0C">
        <w:t>/</w:t>
      </w:r>
      <w:proofErr w:type="spellStart"/>
      <w:r w:rsidRPr="00564F0C">
        <w:t>wos</w:t>
      </w:r>
      <w:proofErr w:type="spellEnd"/>
      <w:r w:rsidRPr="00564F0C">
        <w:t xml:space="preserve"> and the like. mandatory reference sources in the last 10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83B90C2" w15:done="0"/>
  <w15:commentEx w15:paraId="5A49CD4D" w15:done="0"/>
  <w15:commentEx w15:paraId="4DEEF710" w15:done="0"/>
  <w15:commentEx w15:paraId="01AC1A55" w15:done="0"/>
  <w15:commentEx w15:paraId="73C7BEE2" w15:done="0"/>
  <w15:commentEx w15:paraId="5C233C43" w15:done="0"/>
  <w15:commentEx w15:paraId="39135679" w15:done="0"/>
  <w15:commentEx w15:paraId="3A75847F" w15:done="0"/>
  <w15:commentEx w15:paraId="7118E35E" w15:done="0"/>
  <w15:commentEx w15:paraId="564B7D92" w15:done="0"/>
  <w15:commentEx w15:paraId="16BB28F9" w15:done="0"/>
  <w15:commentEx w15:paraId="490F228B" w15:done="0"/>
  <w15:commentEx w15:paraId="79F3A75E" w15:done="0"/>
  <w15:commentEx w15:paraId="4AF82B26" w15:done="0"/>
  <w15:commentEx w15:paraId="6599F49F" w15:done="0"/>
  <w15:commentEx w15:paraId="0CC38224" w15:done="0"/>
  <w15:commentEx w15:paraId="0500A9F0" w15:done="0"/>
  <w15:commentEx w15:paraId="4A3084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BAE31C" w16cex:dateUtc="2025-04-09T07:06:00Z"/>
  <w16cex:commentExtensible w16cex:durableId="76188682" w16cex:dateUtc="2025-04-09T07:08:00Z"/>
  <w16cex:commentExtensible w16cex:durableId="5070F552" w16cex:dateUtc="2025-04-09T07:10:00Z"/>
  <w16cex:commentExtensible w16cex:durableId="11A38B37" w16cex:dateUtc="2025-04-09T07:33:00Z"/>
  <w16cex:commentExtensible w16cex:durableId="16FE50C8" w16cex:dateUtc="2025-04-09T07:27:00Z"/>
  <w16cex:commentExtensible w16cex:durableId="568862ED" w16cex:dateUtc="2025-04-09T07:32:00Z"/>
  <w16cex:commentExtensible w16cex:durableId="3DD0DE33" w16cex:dateUtc="2025-04-09T07:47:00Z"/>
  <w16cex:commentExtensible w16cex:durableId="189EB4EB" w16cex:dateUtc="2025-04-10T02:48:00Z"/>
  <w16cex:commentExtensible w16cex:durableId="793EAA0E" w16cex:dateUtc="2025-04-10T04:18:00Z"/>
  <w16cex:commentExtensible w16cex:durableId="49F0B99B" w16cex:dateUtc="2025-04-10T04:07:00Z"/>
  <w16cex:commentExtensible w16cex:durableId="127F7CA7" w16cex:dateUtc="2025-04-10T04:10:00Z"/>
  <w16cex:commentExtensible w16cex:durableId="3D0E5C2B" w16cex:dateUtc="2025-04-10T04:13:00Z"/>
  <w16cex:commentExtensible w16cex:durableId="3FC32EA7" w16cex:dateUtc="2025-04-10T04:17:00Z"/>
  <w16cex:commentExtensible w16cex:durableId="3AD8FD07" w16cex:dateUtc="2025-04-10T04:23:00Z"/>
  <w16cex:commentExtensible w16cex:durableId="68E3C76C" w16cex:dateUtc="2025-04-10T04:25:00Z"/>
  <w16cex:commentExtensible w16cex:durableId="63007F48" w16cex:dateUtc="2025-04-10T02:57:00Z"/>
  <w16cex:commentExtensible w16cex:durableId="73957B6F" w16cex:dateUtc="2025-04-10T02:58:00Z"/>
  <w16cex:commentExtensible w16cex:durableId="5CB32A38" w16cex:dateUtc="2025-04-10T0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3B90C2" w16cid:durableId="28BAE31C"/>
  <w16cid:commentId w16cid:paraId="5A49CD4D" w16cid:durableId="76188682"/>
  <w16cid:commentId w16cid:paraId="4DEEF710" w16cid:durableId="5070F552"/>
  <w16cid:commentId w16cid:paraId="01AC1A55" w16cid:durableId="11A38B37"/>
  <w16cid:commentId w16cid:paraId="73C7BEE2" w16cid:durableId="16FE50C8"/>
  <w16cid:commentId w16cid:paraId="5C233C43" w16cid:durableId="568862ED"/>
  <w16cid:commentId w16cid:paraId="39135679" w16cid:durableId="3DD0DE33"/>
  <w16cid:commentId w16cid:paraId="3A75847F" w16cid:durableId="189EB4EB"/>
  <w16cid:commentId w16cid:paraId="7118E35E" w16cid:durableId="793EAA0E"/>
  <w16cid:commentId w16cid:paraId="564B7D92" w16cid:durableId="49F0B99B"/>
  <w16cid:commentId w16cid:paraId="16BB28F9" w16cid:durableId="127F7CA7"/>
  <w16cid:commentId w16cid:paraId="490F228B" w16cid:durableId="3D0E5C2B"/>
  <w16cid:commentId w16cid:paraId="79F3A75E" w16cid:durableId="3FC32EA7"/>
  <w16cid:commentId w16cid:paraId="4AF82B26" w16cid:durableId="3AD8FD07"/>
  <w16cid:commentId w16cid:paraId="6599F49F" w16cid:durableId="68E3C76C"/>
  <w16cid:commentId w16cid:paraId="0CC38224" w16cid:durableId="63007F48"/>
  <w16cid:commentId w16cid:paraId="0500A9F0" w16cid:durableId="73957B6F"/>
  <w16cid:commentId w16cid:paraId="4A30843D" w16cid:durableId="5CB32A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99E19" w14:textId="77777777" w:rsidR="00E679E4" w:rsidRDefault="00E679E4">
      <w:r>
        <w:separator/>
      </w:r>
    </w:p>
  </w:endnote>
  <w:endnote w:type="continuationSeparator" w:id="0">
    <w:p w14:paraId="1F053E59" w14:textId="77777777" w:rsidR="00E679E4" w:rsidRDefault="00E6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54D80" w14:textId="2224EA2F" w:rsidR="00122F5F" w:rsidRPr="00540F02" w:rsidRDefault="00886CC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A186869" wp14:editId="325280D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86869" id="Rectangle 7" o:spid="_x0000_s1036"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69AF98C"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D08F" w14:textId="0CF28D4B" w:rsidR="0008220C" w:rsidRPr="00540F02" w:rsidRDefault="00886CC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56A4901" wp14:editId="16F34032">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A4901" id="Rectangle 8" o:spid="_x0000_s1037"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7F4A54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E5AB2" w14:textId="1F528B3E" w:rsidR="00965E3F" w:rsidRPr="0008220C" w:rsidRDefault="00886CC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B48D980" wp14:editId="3049EE95">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8D980" id="Rectangle 12" o:spid="_x0000_s1041"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F0A36E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583EC" w14:textId="77777777" w:rsidR="00E679E4" w:rsidRDefault="00E679E4">
      <w:r>
        <w:separator/>
      </w:r>
    </w:p>
  </w:footnote>
  <w:footnote w:type="continuationSeparator" w:id="0">
    <w:p w14:paraId="3412AE0A" w14:textId="77777777" w:rsidR="00E679E4" w:rsidRDefault="00E67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5DDB8" w14:textId="60F28BD4" w:rsidR="00122F5F" w:rsidRDefault="00886CC1" w:rsidP="00122F5F">
    <w:pPr>
      <w:pStyle w:val="Header"/>
    </w:pPr>
    <w:r>
      <w:rPr>
        <w:noProof/>
      </w:rPr>
      <mc:AlternateContent>
        <mc:Choice Requires="wps">
          <w:drawing>
            <wp:anchor distT="0" distB="0" distL="114300" distR="114300" simplePos="0" relativeHeight="251656192" behindDoc="1" locked="0" layoutInCell="1" allowOverlap="1" wp14:anchorId="169589DD" wp14:editId="03F173C2">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589DD" id="_x0000_t202" coordsize="21600,21600" o:spt="202" path="m,l,21600r21600,l21600,xe">
              <v:stroke joinstyle="miter"/>
              <v:path gradientshapeok="t" o:connecttype="rect"/>
            </v:shapetype>
            <v:shape id="Text Box 1" o:spid="_x0000_s1030"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1D6AC58" wp14:editId="3A25C767">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6AC58" id="Text Box 2" o:spid="_x0000_s1031"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39E6345" wp14:editId="700E84B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E6345" id="Text Box 3" o:spid="_x0000_s1032"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53037F" wp14:editId="07FA79AB">
          <wp:extent cx="1094105" cy="506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13D7D5E8" w14:textId="77777777" w:rsidR="00122F5F" w:rsidRDefault="00122F5F" w:rsidP="00122F5F">
    <w:pPr>
      <w:pStyle w:val="Header"/>
      <w:rPr>
        <w:sz w:val="16"/>
        <w:szCs w:val="16"/>
      </w:rPr>
    </w:pPr>
  </w:p>
  <w:p w14:paraId="5A35D4B6" w14:textId="77777777" w:rsidR="00AA4AE4" w:rsidRDefault="00AA4AE4" w:rsidP="00122F5F">
    <w:pPr>
      <w:pStyle w:val="Header"/>
      <w:rPr>
        <w:sz w:val="16"/>
        <w:szCs w:val="16"/>
      </w:rPr>
    </w:pPr>
  </w:p>
  <w:p w14:paraId="5E2E232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F1C71" w14:textId="086FF4B4" w:rsidR="00540F02" w:rsidRDefault="00886CC1" w:rsidP="00540F02">
    <w:pPr>
      <w:pStyle w:val="Header"/>
    </w:pPr>
    <w:r>
      <w:rPr>
        <w:noProof/>
      </w:rPr>
      <mc:AlternateContent>
        <mc:Choice Requires="wps">
          <w:drawing>
            <wp:anchor distT="0" distB="0" distL="114300" distR="114300" simplePos="0" relativeHeight="251658240" behindDoc="1" locked="0" layoutInCell="1" allowOverlap="1" wp14:anchorId="21B9D6D0" wp14:editId="645ABF7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D6D0" id="_x0000_t202" coordsize="21600,21600" o:spt="202" path="m,l,21600r21600,l21600,xe">
              <v:stroke joinstyle="miter"/>
              <v:path gradientshapeok="t" o:connecttype="rect"/>
            </v:shapetype>
            <v:shape id="Text Box 4" o:spid="_x0000_s1033"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1729B76" wp14:editId="1CCC6BB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29B76" id="Text Box 5" o:spid="_x0000_s1034"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4C2FD05" wp14:editId="0D42EFD5">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2FD05" id="Text Box 6" o:spid="_x0000_s1035"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7718C18" wp14:editId="3588B92A">
          <wp:extent cx="1094105" cy="5060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33D2E528" w14:textId="77777777" w:rsidR="00540F02" w:rsidRDefault="00540F02" w:rsidP="00540F02">
    <w:pPr>
      <w:pStyle w:val="Header"/>
      <w:rPr>
        <w:sz w:val="16"/>
        <w:szCs w:val="16"/>
      </w:rPr>
    </w:pPr>
  </w:p>
  <w:p w14:paraId="3CADFBA9" w14:textId="77777777" w:rsidR="00540F02" w:rsidRDefault="00540F02" w:rsidP="00540F02">
    <w:pPr>
      <w:pStyle w:val="Header"/>
      <w:rPr>
        <w:sz w:val="16"/>
        <w:szCs w:val="16"/>
      </w:rPr>
    </w:pPr>
  </w:p>
  <w:p w14:paraId="799C4AD9"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5522B" w14:textId="7C3DBD08" w:rsidR="00FF1D30" w:rsidRDefault="00886CC1">
    <w:pPr>
      <w:pStyle w:val="Header"/>
    </w:pPr>
    <w:r>
      <w:rPr>
        <w:noProof/>
      </w:rPr>
      <mc:AlternateContent>
        <mc:Choice Requires="wps">
          <w:drawing>
            <wp:anchor distT="0" distB="0" distL="114300" distR="114300" simplePos="0" relativeHeight="251652096" behindDoc="1" locked="0" layoutInCell="1" allowOverlap="1" wp14:anchorId="697F826E" wp14:editId="7F4E5C7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F826E" id="_x0000_t202" coordsize="21600,21600" o:spt="202" path="m,l,21600r21600,l21600,xe">
              <v:stroke joinstyle="miter"/>
              <v:path gradientshapeok="t" o:connecttype="rect"/>
            </v:shapetype>
            <v:shape id="Text Box 9" o:spid="_x0000_s1038"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BBB9259" wp14:editId="1FF295B3">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B9259" id="Text Box 10" o:spid="_x0000_s1039"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5EA38BF" wp14:editId="226F548D">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A38BF" id="Text Box 11" o:spid="_x0000_s1040"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58FDE1D" wp14:editId="23055B0A">
          <wp:extent cx="1094105" cy="5060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7B1E19E1" w14:textId="77777777" w:rsidR="00FF1D30" w:rsidRDefault="00FF1D30">
    <w:pPr>
      <w:pStyle w:val="Header"/>
      <w:rPr>
        <w:sz w:val="16"/>
        <w:szCs w:val="16"/>
      </w:rPr>
    </w:pPr>
  </w:p>
  <w:p w14:paraId="4CD3B9E9" w14:textId="77777777" w:rsidR="00FF1D30" w:rsidRDefault="00FF1D30">
    <w:pPr>
      <w:pStyle w:val="Header"/>
      <w:rPr>
        <w:sz w:val="16"/>
        <w:szCs w:val="16"/>
      </w:rPr>
    </w:pPr>
  </w:p>
  <w:p w14:paraId="718FEC2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E2C9E60"/>
    <w:lvl w:ilvl="0" w:tplc="1AE62BCC">
      <w:start w:val="3"/>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991786844">
    <w:abstractNumId w:val="14"/>
  </w:num>
  <w:num w:numId="2" w16cid:durableId="1510215879">
    <w:abstractNumId w:val="8"/>
  </w:num>
  <w:num w:numId="3" w16cid:durableId="265045359">
    <w:abstractNumId w:val="9"/>
  </w:num>
  <w:num w:numId="4" w16cid:durableId="1248271381">
    <w:abstractNumId w:val="22"/>
  </w:num>
  <w:num w:numId="5" w16cid:durableId="1108084498">
    <w:abstractNumId w:val="21"/>
  </w:num>
  <w:num w:numId="6" w16cid:durableId="1370376034">
    <w:abstractNumId w:val="20"/>
  </w:num>
  <w:num w:numId="7" w16cid:durableId="251477525">
    <w:abstractNumId w:val="27"/>
  </w:num>
  <w:num w:numId="8" w16cid:durableId="703749901">
    <w:abstractNumId w:val="15"/>
  </w:num>
  <w:num w:numId="9" w16cid:durableId="1445074095">
    <w:abstractNumId w:val="23"/>
  </w:num>
  <w:num w:numId="10" w16cid:durableId="1387024610">
    <w:abstractNumId w:val="24"/>
  </w:num>
  <w:num w:numId="11" w16cid:durableId="1470055934">
    <w:abstractNumId w:val="11"/>
  </w:num>
  <w:num w:numId="12" w16cid:durableId="1380010959">
    <w:abstractNumId w:val="18"/>
  </w:num>
  <w:num w:numId="13" w16cid:durableId="1954169331">
    <w:abstractNumId w:val="7"/>
  </w:num>
  <w:num w:numId="14" w16cid:durableId="1983002679">
    <w:abstractNumId w:val="0"/>
  </w:num>
  <w:num w:numId="15" w16cid:durableId="717513357">
    <w:abstractNumId w:val="28"/>
  </w:num>
  <w:num w:numId="16" w16cid:durableId="721095560">
    <w:abstractNumId w:val="19"/>
  </w:num>
  <w:num w:numId="17" w16cid:durableId="803500010">
    <w:abstractNumId w:val="26"/>
  </w:num>
  <w:num w:numId="18" w16cid:durableId="1180317948">
    <w:abstractNumId w:val="25"/>
  </w:num>
  <w:num w:numId="19" w16cid:durableId="1441339777">
    <w:abstractNumId w:val="17"/>
  </w:num>
  <w:num w:numId="20" w16cid:durableId="1906528759">
    <w:abstractNumId w:val="5"/>
  </w:num>
  <w:num w:numId="21" w16cid:durableId="1499005277">
    <w:abstractNumId w:val="1"/>
  </w:num>
  <w:num w:numId="22" w16cid:durableId="999578939">
    <w:abstractNumId w:val="12"/>
  </w:num>
  <w:num w:numId="23" w16cid:durableId="811483690">
    <w:abstractNumId w:val="2"/>
  </w:num>
  <w:num w:numId="24" w16cid:durableId="2040735237">
    <w:abstractNumId w:val="3"/>
  </w:num>
  <w:num w:numId="25" w16cid:durableId="436633227">
    <w:abstractNumId w:val="4"/>
  </w:num>
  <w:num w:numId="26" w16cid:durableId="294289288">
    <w:abstractNumId w:val="10"/>
  </w:num>
  <w:num w:numId="27" w16cid:durableId="1193613527">
    <w:abstractNumId w:val="13"/>
  </w:num>
  <w:num w:numId="28" w16cid:durableId="794755457">
    <w:abstractNumId w:val="6"/>
  </w:num>
  <w:num w:numId="29" w16cid:durableId="2064209846">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BD1"/>
    <w:rsid w:val="00010DEE"/>
    <w:rsid w:val="00017CEE"/>
    <w:rsid w:val="00017D1B"/>
    <w:rsid w:val="000243A3"/>
    <w:rsid w:val="00024881"/>
    <w:rsid w:val="0002569B"/>
    <w:rsid w:val="000417D3"/>
    <w:rsid w:val="000422F6"/>
    <w:rsid w:val="00043DA6"/>
    <w:rsid w:val="000475BE"/>
    <w:rsid w:val="00052F86"/>
    <w:rsid w:val="00055FC4"/>
    <w:rsid w:val="0006191D"/>
    <w:rsid w:val="00066AC1"/>
    <w:rsid w:val="00076F8C"/>
    <w:rsid w:val="0008220C"/>
    <w:rsid w:val="00086160"/>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48A2"/>
    <w:rsid w:val="0013783B"/>
    <w:rsid w:val="001578E9"/>
    <w:rsid w:val="00162A30"/>
    <w:rsid w:val="00165813"/>
    <w:rsid w:val="00171D19"/>
    <w:rsid w:val="00173196"/>
    <w:rsid w:val="0018288D"/>
    <w:rsid w:val="00187357"/>
    <w:rsid w:val="001A07A8"/>
    <w:rsid w:val="001B3613"/>
    <w:rsid w:val="001B442D"/>
    <w:rsid w:val="001B6EB1"/>
    <w:rsid w:val="001C2739"/>
    <w:rsid w:val="001C3D6C"/>
    <w:rsid w:val="001C7BDA"/>
    <w:rsid w:val="001D5E03"/>
    <w:rsid w:val="001D7DEE"/>
    <w:rsid w:val="001E02DA"/>
    <w:rsid w:val="001E2AAA"/>
    <w:rsid w:val="00201EE3"/>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A7F13"/>
    <w:rsid w:val="002C2FAC"/>
    <w:rsid w:val="002D0F54"/>
    <w:rsid w:val="002D1D04"/>
    <w:rsid w:val="002D2DAC"/>
    <w:rsid w:val="002E0452"/>
    <w:rsid w:val="002E06DF"/>
    <w:rsid w:val="002E695D"/>
    <w:rsid w:val="002F4D18"/>
    <w:rsid w:val="00301FEB"/>
    <w:rsid w:val="00303D42"/>
    <w:rsid w:val="0030640D"/>
    <w:rsid w:val="00312D76"/>
    <w:rsid w:val="00330B44"/>
    <w:rsid w:val="00334520"/>
    <w:rsid w:val="00334792"/>
    <w:rsid w:val="003363F0"/>
    <w:rsid w:val="00336A9A"/>
    <w:rsid w:val="0034128C"/>
    <w:rsid w:val="00346006"/>
    <w:rsid w:val="00362CBC"/>
    <w:rsid w:val="00376959"/>
    <w:rsid w:val="00381B26"/>
    <w:rsid w:val="00382478"/>
    <w:rsid w:val="00386F26"/>
    <w:rsid w:val="00387148"/>
    <w:rsid w:val="00387C94"/>
    <w:rsid w:val="003948B0"/>
    <w:rsid w:val="00395535"/>
    <w:rsid w:val="003A4CCA"/>
    <w:rsid w:val="003B28D6"/>
    <w:rsid w:val="003B54B4"/>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4F74C1"/>
    <w:rsid w:val="00500754"/>
    <w:rsid w:val="00500AAF"/>
    <w:rsid w:val="005022AA"/>
    <w:rsid w:val="005031E8"/>
    <w:rsid w:val="0050390B"/>
    <w:rsid w:val="00503DD2"/>
    <w:rsid w:val="005062E6"/>
    <w:rsid w:val="005227C8"/>
    <w:rsid w:val="00525822"/>
    <w:rsid w:val="005323E6"/>
    <w:rsid w:val="0053629A"/>
    <w:rsid w:val="005367ED"/>
    <w:rsid w:val="00540F02"/>
    <w:rsid w:val="0054277B"/>
    <w:rsid w:val="0054303A"/>
    <w:rsid w:val="00543077"/>
    <w:rsid w:val="005469BE"/>
    <w:rsid w:val="005478C9"/>
    <w:rsid w:val="005478DB"/>
    <w:rsid w:val="00553784"/>
    <w:rsid w:val="00554240"/>
    <w:rsid w:val="005569E1"/>
    <w:rsid w:val="0056036E"/>
    <w:rsid w:val="005611F1"/>
    <w:rsid w:val="005626AA"/>
    <w:rsid w:val="005635B4"/>
    <w:rsid w:val="00564F0C"/>
    <w:rsid w:val="00571CFE"/>
    <w:rsid w:val="00591DE5"/>
    <w:rsid w:val="0059236C"/>
    <w:rsid w:val="005A4F69"/>
    <w:rsid w:val="005C005B"/>
    <w:rsid w:val="005C14AA"/>
    <w:rsid w:val="005C50FF"/>
    <w:rsid w:val="005C643D"/>
    <w:rsid w:val="005D2E92"/>
    <w:rsid w:val="005D4A0D"/>
    <w:rsid w:val="005E7673"/>
    <w:rsid w:val="006035FA"/>
    <w:rsid w:val="006052AE"/>
    <w:rsid w:val="00615815"/>
    <w:rsid w:val="0061613E"/>
    <w:rsid w:val="0062129F"/>
    <w:rsid w:val="00622926"/>
    <w:rsid w:val="0062388D"/>
    <w:rsid w:val="006352D0"/>
    <w:rsid w:val="006419D1"/>
    <w:rsid w:val="0065058D"/>
    <w:rsid w:val="006538D6"/>
    <w:rsid w:val="00654B07"/>
    <w:rsid w:val="00674CB5"/>
    <w:rsid w:val="00680536"/>
    <w:rsid w:val="00682F9D"/>
    <w:rsid w:val="006902BB"/>
    <w:rsid w:val="006A7DFF"/>
    <w:rsid w:val="006B0510"/>
    <w:rsid w:val="006B2D02"/>
    <w:rsid w:val="006B6E0F"/>
    <w:rsid w:val="006C65C4"/>
    <w:rsid w:val="006C6EBD"/>
    <w:rsid w:val="006C7730"/>
    <w:rsid w:val="006D6149"/>
    <w:rsid w:val="006D782E"/>
    <w:rsid w:val="006E2F83"/>
    <w:rsid w:val="006E7FC3"/>
    <w:rsid w:val="006F27B1"/>
    <w:rsid w:val="006F411A"/>
    <w:rsid w:val="00704378"/>
    <w:rsid w:val="00707398"/>
    <w:rsid w:val="007169EC"/>
    <w:rsid w:val="00727B9E"/>
    <w:rsid w:val="00741058"/>
    <w:rsid w:val="0075065E"/>
    <w:rsid w:val="00755AB4"/>
    <w:rsid w:val="00761E7C"/>
    <w:rsid w:val="007636FC"/>
    <w:rsid w:val="00776F62"/>
    <w:rsid w:val="007816FC"/>
    <w:rsid w:val="00781D8B"/>
    <w:rsid w:val="0079311F"/>
    <w:rsid w:val="007933FE"/>
    <w:rsid w:val="00796577"/>
    <w:rsid w:val="00796A75"/>
    <w:rsid w:val="007A2AA8"/>
    <w:rsid w:val="007A5A78"/>
    <w:rsid w:val="007A62B7"/>
    <w:rsid w:val="007A65BF"/>
    <w:rsid w:val="007B49AF"/>
    <w:rsid w:val="007B6823"/>
    <w:rsid w:val="007D5BA1"/>
    <w:rsid w:val="007E508F"/>
    <w:rsid w:val="007F02FB"/>
    <w:rsid w:val="007F37D6"/>
    <w:rsid w:val="007F422E"/>
    <w:rsid w:val="00802718"/>
    <w:rsid w:val="00802990"/>
    <w:rsid w:val="00802A96"/>
    <w:rsid w:val="00810811"/>
    <w:rsid w:val="008157AA"/>
    <w:rsid w:val="00815993"/>
    <w:rsid w:val="00820B3D"/>
    <w:rsid w:val="0082272E"/>
    <w:rsid w:val="00852EC7"/>
    <w:rsid w:val="0085484D"/>
    <w:rsid w:val="00862178"/>
    <w:rsid w:val="00862DDA"/>
    <w:rsid w:val="00863A78"/>
    <w:rsid w:val="00874EB7"/>
    <w:rsid w:val="008765A5"/>
    <w:rsid w:val="00882CAF"/>
    <w:rsid w:val="00886CC1"/>
    <w:rsid w:val="0088746C"/>
    <w:rsid w:val="00890291"/>
    <w:rsid w:val="008902B5"/>
    <w:rsid w:val="008940D8"/>
    <w:rsid w:val="00895096"/>
    <w:rsid w:val="008B23F8"/>
    <w:rsid w:val="008B4BA9"/>
    <w:rsid w:val="008B4DEE"/>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3BEC"/>
    <w:rsid w:val="00945575"/>
    <w:rsid w:val="0095288D"/>
    <w:rsid w:val="00954BA8"/>
    <w:rsid w:val="00965E3F"/>
    <w:rsid w:val="00965F50"/>
    <w:rsid w:val="009676E2"/>
    <w:rsid w:val="0098193E"/>
    <w:rsid w:val="00987772"/>
    <w:rsid w:val="0099291C"/>
    <w:rsid w:val="009929B4"/>
    <w:rsid w:val="009A1281"/>
    <w:rsid w:val="009B6344"/>
    <w:rsid w:val="009B72A0"/>
    <w:rsid w:val="009B764B"/>
    <w:rsid w:val="009D7AA9"/>
    <w:rsid w:val="009E2468"/>
    <w:rsid w:val="009E3624"/>
    <w:rsid w:val="009E4EBA"/>
    <w:rsid w:val="009F091C"/>
    <w:rsid w:val="009F2D64"/>
    <w:rsid w:val="009F409C"/>
    <w:rsid w:val="009F6F7B"/>
    <w:rsid w:val="00A03126"/>
    <w:rsid w:val="00A12315"/>
    <w:rsid w:val="00A13315"/>
    <w:rsid w:val="00A175E3"/>
    <w:rsid w:val="00A22FAF"/>
    <w:rsid w:val="00A27B34"/>
    <w:rsid w:val="00A37C4B"/>
    <w:rsid w:val="00A43778"/>
    <w:rsid w:val="00A4558F"/>
    <w:rsid w:val="00A50B27"/>
    <w:rsid w:val="00A549F9"/>
    <w:rsid w:val="00A562A0"/>
    <w:rsid w:val="00A5653C"/>
    <w:rsid w:val="00A574C4"/>
    <w:rsid w:val="00A60243"/>
    <w:rsid w:val="00A602DE"/>
    <w:rsid w:val="00A6232D"/>
    <w:rsid w:val="00A64896"/>
    <w:rsid w:val="00A67525"/>
    <w:rsid w:val="00A71464"/>
    <w:rsid w:val="00A72FCF"/>
    <w:rsid w:val="00A736E5"/>
    <w:rsid w:val="00A758BF"/>
    <w:rsid w:val="00A762E8"/>
    <w:rsid w:val="00A8066D"/>
    <w:rsid w:val="00A80B2E"/>
    <w:rsid w:val="00A819B4"/>
    <w:rsid w:val="00A83E44"/>
    <w:rsid w:val="00A91CAD"/>
    <w:rsid w:val="00A92D0F"/>
    <w:rsid w:val="00A95B23"/>
    <w:rsid w:val="00A9619A"/>
    <w:rsid w:val="00AA4AE4"/>
    <w:rsid w:val="00AA4E7D"/>
    <w:rsid w:val="00AA6636"/>
    <w:rsid w:val="00AB231A"/>
    <w:rsid w:val="00AC6628"/>
    <w:rsid w:val="00AD2E20"/>
    <w:rsid w:val="00AD3EFD"/>
    <w:rsid w:val="00AD559D"/>
    <w:rsid w:val="00AF35CC"/>
    <w:rsid w:val="00AF5792"/>
    <w:rsid w:val="00AF73DF"/>
    <w:rsid w:val="00B02CE0"/>
    <w:rsid w:val="00B0797F"/>
    <w:rsid w:val="00B17324"/>
    <w:rsid w:val="00B25EDF"/>
    <w:rsid w:val="00B35DC8"/>
    <w:rsid w:val="00B4389C"/>
    <w:rsid w:val="00B47B2C"/>
    <w:rsid w:val="00B56B54"/>
    <w:rsid w:val="00B654C1"/>
    <w:rsid w:val="00B70E6B"/>
    <w:rsid w:val="00B80A1A"/>
    <w:rsid w:val="00B86BF7"/>
    <w:rsid w:val="00B905EC"/>
    <w:rsid w:val="00B91F74"/>
    <w:rsid w:val="00B9472D"/>
    <w:rsid w:val="00BA6FF3"/>
    <w:rsid w:val="00BB2B6F"/>
    <w:rsid w:val="00BB6938"/>
    <w:rsid w:val="00BC51D8"/>
    <w:rsid w:val="00BC5D00"/>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750D"/>
    <w:rsid w:val="00C50A65"/>
    <w:rsid w:val="00C549E7"/>
    <w:rsid w:val="00C55E34"/>
    <w:rsid w:val="00C6051D"/>
    <w:rsid w:val="00C67610"/>
    <w:rsid w:val="00C71E29"/>
    <w:rsid w:val="00C72516"/>
    <w:rsid w:val="00C7503D"/>
    <w:rsid w:val="00C93C98"/>
    <w:rsid w:val="00CA7439"/>
    <w:rsid w:val="00CB41DC"/>
    <w:rsid w:val="00CC56D8"/>
    <w:rsid w:val="00CD05FB"/>
    <w:rsid w:val="00CD5684"/>
    <w:rsid w:val="00CE2A67"/>
    <w:rsid w:val="00CE741E"/>
    <w:rsid w:val="00CF03A1"/>
    <w:rsid w:val="00CF57D6"/>
    <w:rsid w:val="00D16D21"/>
    <w:rsid w:val="00D26ADD"/>
    <w:rsid w:val="00D44083"/>
    <w:rsid w:val="00D568D8"/>
    <w:rsid w:val="00D57022"/>
    <w:rsid w:val="00D57A56"/>
    <w:rsid w:val="00D63088"/>
    <w:rsid w:val="00D67104"/>
    <w:rsid w:val="00D73826"/>
    <w:rsid w:val="00D775DE"/>
    <w:rsid w:val="00D90FE5"/>
    <w:rsid w:val="00D9141A"/>
    <w:rsid w:val="00D94113"/>
    <w:rsid w:val="00D96860"/>
    <w:rsid w:val="00DA3338"/>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9E4"/>
    <w:rsid w:val="00E73641"/>
    <w:rsid w:val="00E75F6E"/>
    <w:rsid w:val="00E77C4D"/>
    <w:rsid w:val="00E80734"/>
    <w:rsid w:val="00E90C62"/>
    <w:rsid w:val="00E922F2"/>
    <w:rsid w:val="00E92790"/>
    <w:rsid w:val="00E93AC4"/>
    <w:rsid w:val="00EA4465"/>
    <w:rsid w:val="00EA4EF4"/>
    <w:rsid w:val="00EA5258"/>
    <w:rsid w:val="00EB323F"/>
    <w:rsid w:val="00EB56EB"/>
    <w:rsid w:val="00EB5A85"/>
    <w:rsid w:val="00EB743A"/>
    <w:rsid w:val="00EC4D8B"/>
    <w:rsid w:val="00ED2F7D"/>
    <w:rsid w:val="00F01DBC"/>
    <w:rsid w:val="00F049A8"/>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729"/>
    <w:rsid w:val="00FC3FCF"/>
    <w:rsid w:val="00FC4C88"/>
    <w:rsid w:val="00FC679E"/>
    <w:rsid w:val="00FD08EE"/>
    <w:rsid w:val="00FE0722"/>
    <w:rsid w:val="00FE321A"/>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8F638"/>
  <w14:defaultImageDpi w14:val="0"/>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y2iqfc">
    <w:name w:val="y2iqfc"/>
    <w:rsid w:val="000422F6"/>
  </w:style>
  <w:style w:type="character" w:styleId="CommentReference">
    <w:name w:val="annotation reference"/>
    <w:basedOn w:val="DefaultParagraphFont"/>
    <w:uiPriority w:val="99"/>
    <w:rsid w:val="00525822"/>
    <w:rPr>
      <w:sz w:val="16"/>
      <w:szCs w:val="16"/>
    </w:rPr>
  </w:style>
  <w:style w:type="paragraph" w:styleId="CommentText">
    <w:name w:val="annotation text"/>
    <w:basedOn w:val="Normal"/>
    <w:link w:val="CommentTextChar"/>
    <w:uiPriority w:val="99"/>
    <w:rsid w:val="00525822"/>
  </w:style>
  <w:style w:type="character" w:customStyle="1" w:styleId="CommentTextChar">
    <w:name w:val="Comment Text Char"/>
    <w:basedOn w:val="DefaultParagraphFont"/>
    <w:link w:val="CommentText"/>
    <w:uiPriority w:val="99"/>
    <w:rsid w:val="00525822"/>
    <w:rPr>
      <w:lang w:val="en-US" w:eastAsia="en-GB"/>
    </w:rPr>
  </w:style>
  <w:style w:type="paragraph" w:styleId="CommentSubject">
    <w:name w:val="annotation subject"/>
    <w:basedOn w:val="CommentText"/>
    <w:next w:val="CommentText"/>
    <w:link w:val="CommentSubjectChar"/>
    <w:uiPriority w:val="99"/>
    <w:rsid w:val="00525822"/>
    <w:rPr>
      <w:b/>
      <w:bCs/>
    </w:rPr>
  </w:style>
  <w:style w:type="character" w:customStyle="1" w:styleId="CommentSubjectChar">
    <w:name w:val="Comment Subject Char"/>
    <w:basedOn w:val="CommentTextChar"/>
    <w:link w:val="CommentSubject"/>
    <w:uiPriority w:val="99"/>
    <w:rsid w:val="00525822"/>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kpai.go.i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pai.go.id" TargetMode="External"/><Relationship Id="rId23" Type="http://schemas.openxmlformats.org/officeDocument/2006/relationships/footer" Target="footer3.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A0B5ED1-8AE5-465D-B25F-2D0BBC203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16</Pages>
  <Words>28932</Words>
  <Characters>164915</Characters>
  <Application>Microsoft Office Word</Application>
  <DocSecurity>0</DocSecurity>
  <Lines>1374</Lines>
  <Paragraphs>386</Paragraphs>
  <ScaleCrop>false</ScaleCrop>
  <Company>UIN Malang</Company>
  <LinksUpToDate>false</LinksUpToDate>
  <CharactersWithSpaces>193461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u</cp:lastModifiedBy>
  <cp:revision>36</cp:revision>
  <cp:lastPrinted>2008-11-01T04:52:00Z</cp:lastPrinted>
  <dcterms:created xsi:type="dcterms:W3CDTF">2025-03-12T04:07:00Z</dcterms:created>
  <dcterms:modified xsi:type="dcterms:W3CDTF">2025-04-10T04:29:00Z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2c06e7ed-7aa5-308e-843c-6c90ae0d6cc5</vt:lpwstr>
  </property>
  <property fmtid="{D5CDD505-2E9C-101B-9397-08002B2CF9AE}" pid="24" name="Mendeley Citation Style_1">
    <vt:lpwstr>http://www.zotero.org/styles/ieee</vt:lpwstr>
  </property>
  <property fmtid="{D5CDD505-2E9C-101B-9397-08002B2CF9AE}" pid="25" name="GrammarlyDocumentId">
    <vt:lpwstr>908ed3e0ce741ab7920af402e9f077fb4280406d5163907bf1bce437a75397c7</vt:lpwstr>
  </property>
</Properties>
</file>