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428046" w14:textId="77777777" w:rsidR="00DE1E48" w:rsidRPr="00122F5F" w:rsidRDefault="00DE1E48" w:rsidP="00122F5F">
      <w:pPr>
        <w:rPr>
          <w:rFonts w:ascii="Calibri Light" w:hAnsi="Calibri Light" w:cs="Calibri Light"/>
          <w:b/>
          <w:bCs/>
          <w:sz w:val="24"/>
          <w:szCs w:val="24"/>
        </w:rPr>
      </w:pPr>
    </w:p>
    <w:p w14:paraId="683FD817" w14:textId="3E6527E6" w:rsidR="00DE1E48" w:rsidRPr="00122F5F" w:rsidRDefault="00053014" w:rsidP="00122F5F">
      <w:pPr>
        <w:rPr>
          <w:rFonts w:ascii="Calibri Light" w:hAnsi="Calibri Light" w:cs="Calibri Light"/>
          <w:b/>
          <w:bCs/>
          <w:iCs/>
          <w:sz w:val="28"/>
          <w:szCs w:val="28"/>
          <w:lang w:val="id-ID"/>
        </w:rPr>
      </w:pPr>
      <w:r w:rsidRPr="00053014">
        <w:rPr>
          <w:rFonts w:ascii="Calibri Light" w:hAnsi="Calibri Light" w:cs="Calibri Light"/>
          <w:b/>
          <w:bCs/>
          <w:sz w:val="28"/>
          <w:szCs w:val="28"/>
        </w:rPr>
        <w:t xml:space="preserve">The Practice </w:t>
      </w:r>
      <w:r>
        <w:rPr>
          <w:rFonts w:ascii="Calibri Light" w:hAnsi="Calibri Light" w:cs="Calibri Light"/>
          <w:b/>
          <w:bCs/>
          <w:sz w:val="28"/>
          <w:szCs w:val="28"/>
        </w:rPr>
        <w:t>o</w:t>
      </w:r>
      <w:r w:rsidRPr="00053014">
        <w:rPr>
          <w:rFonts w:ascii="Calibri Light" w:hAnsi="Calibri Light" w:cs="Calibri Light"/>
          <w:b/>
          <w:bCs/>
          <w:sz w:val="28"/>
          <w:szCs w:val="28"/>
        </w:rPr>
        <w:t xml:space="preserve">f </w:t>
      </w:r>
      <w:r w:rsidRPr="00E82603">
        <w:rPr>
          <w:rFonts w:ascii="Calibri Light" w:hAnsi="Calibri Light" w:cs="Calibri Light"/>
          <w:b/>
          <w:bCs/>
          <w:i/>
          <w:iCs/>
          <w:sz w:val="28"/>
          <w:szCs w:val="28"/>
        </w:rPr>
        <w:t>Paneta Mawinne</w:t>
      </w:r>
      <w:r w:rsidRPr="00053014">
        <w:rPr>
          <w:rFonts w:ascii="Calibri Light" w:hAnsi="Calibri Light" w:cs="Calibri Light"/>
          <w:b/>
          <w:bCs/>
          <w:sz w:val="28"/>
          <w:szCs w:val="28"/>
        </w:rPr>
        <w:t xml:space="preserve"> </w:t>
      </w:r>
      <w:r>
        <w:rPr>
          <w:rFonts w:ascii="Calibri Light" w:hAnsi="Calibri Light" w:cs="Calibri Light"/>
          <w:b/>
          <w:bCs/>
          <w:sz w:val="28"/>
          <w:szCs w:val="28"/>
        </w:rPr>
        <w:t>i</w:t>
      </w:r>
      <w:r w:rsidRPr="00053014">
        <w:rPr>
          <w:rFonts w:ascii="Calibri Light" w:hAnsi="Calibri Light" w:cs="Calibri Light"/>
          <w:b/>
          <w:bCs/>
          <w:sz w:val="28"/>
          <w:szCs w:val="28"/>
        </w:rPr>
        <w:t xml:space="preserve">n The Sumbanese Tribe </w:t>
      </w:r>
      <w:r>
        <w:rPr>
          <w:rFonts w:ascii="Calibri Light" w:hAnsi="Calibri Light" w:cs="Calibri Light"/>
          <w:b/>
          <w:bCs/>
          <w:sz w:val="28"/>
          <w:szCs w:val="28"/>
        </w:rPr>
        <w:t>o</w:t>
      </w:r>
      <w:r w:rsidRPr="00053014">
        <w:rPr>
          <w:rFonts w:ascii="Calibri Light" w:hAnsi="Calibri Light" w:cs="Calibri Light"/>
          <w:b/>
          <w:bCs/>
          <w:sz w:val="28"/>
          <w:szCs w:val="28"/>
        </w:rPr>
        <w:t xml:space="preserve">f East Nusa Tenggara Perspective </w:t>
      </w:r>
      <w:r>
        <w:rPr>
          <w:rFonts w:ascii="Calibri Light" w:hAnsi="Calibri Light" w:cs="Calibri Light"/>
          <w:b/>
          <w:bCs/>
          <w:sz w:val="28"/>
          <w:szCs w:val="28"/>
        </w:rPr>
        <w:t>o</w:t>
      </w:r>
      <w:r w:rsidRPr="00053014">
        <w:rPr>
          <w:rFonts w:ascii="Calibri Light" w:hAnsi="Calibri Light" w:cs="Calibri Light"/>
          <w:b/>
          <w:bCs/>
          <w:sz w:val="28"/>
          <w:szCs w:val="28"/>
        </w:rPr>
        <w:t>f Islamic Law</w:t>
      </w:r>
      <w:r w:rsidR="00260D64" w:rsidRPr="00122F5F">
        <w:rPr>
          <w:rFonts w:ascii="Calibri Light" w:hAnsi="Calibri Light" w:cs="Calibri Light"/>
          <w:b/>
          <w:bCs/>
          <w:sz w:val="28"/>
          <w:szCs w:val="28"/>
          <w:lang w:val="id-ID"/>
        </w:rPr>
        <w:t xml:space="preserve"> </w:t>
      </w:r>
    </w:p>
    <w:p w14:paraId="7451E250" w14:textId="77777777" w:rsidR="00DE1E48" w:rsidRPr="00122F5F" w:rsidRDefault="00DE1E48" w:rsidP="001D7DEE">
      <w:pPr>
        <w:jc w:val="center"/>
        <w:rPr>
          <w:rFonts w:ascii="Calibri Light" w:hAnsi="Calibri Light" w:cs="Calibri Light"/>
          <w:sz w:val="24"/>
          <w:szCs w:val="24"/>
        </w:rPr>
      </w:pPr>
    </w:p>
    <w:p w14:paraId="04640FDA" w14:textId="7057C15A" w:rsidR="008C45DE" w:rsidRPr="00540F02" w:rsidRDefault="00EF45CC" w:rsidP="00122F5F">
      <w:pPr>
        <w:rPr>
          <w:rFonts w:ascii="Calibri Light" w:hAnsi="Calibri Light" w:cs="Calibri Light"/>
          <w:color w:val="A6A6A6"/>
          <w:sz w:val="24"/>
          <w:szCs w:val="24"/>
        </w:rPr>
      </w:pPr>
      <w:r w:rsidRPr="00EF45CC">
        <w:rPr>
          <w:rFonts w:ascii="Calibri Light" w:hAnsi="Calibri Light" w:cs="Calibri Light"/>
          <w:b/>
          <w:bCs/>
          <w:sz w:val="24"/>
          <w:szCs w:val="24"/>
        </w:rPr>
        <w:t>Muthoifin</w:t>
      </w:r>
      <w:r w:rsidR="00863A78" w:rsidRPr="00122F5F">
        <w:rPr>
          <w:rFonts w:ascii="Calibri Light" w:hAnsi="Calibri Light" w:cs="Calibri Light"/>
          <w:b/>
          <w:bCs/>
          <w:sz w:val="24"/>
          <w:szCs w:val="24"/>
          <w:lang w:val="id-ID"/>
        </w:rPr>
        <w:t>*</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Al-Gifari</w:t>
      </w:r>
      <w:r w:rsidR="008C45DE" w:rsidRPr="00122F5F">
        <w:rPr>
          <w:rFonts w:ascii="Calibri Light" w:hAnsi="Calibri Light" w:cs="Calibri Light"/>
          <w:b/>
          <w:bCs/>
          <w:sz w:val="24"/>
          <w:szCs w:val="24"/>
          <w:vertAlign w:val="superscript"/>
        </w:rPr>
        <w:t>2</w:t>
      </w:r>
      <w:r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Ishmah Afiyah</w:t>
      </w:r>
      <w:r w:rsidR="00FD2DD1">
        <w:rPr>
          <w:rFonts w:ascii="Calibri Light" w:hAnsi="Calibri Light" w:cs="Calibri Light"/>
          <w:b/>
          <w:bCs/>
          <w:sz w:val="24"/>
          <w:szCs w:val="24"/>
          <w:vertAlign w:val="superscript"/>
        </w:rPr>
        <w:t>3</w:t>
      </w:r>
      <w:r w:rsidR="00FD2DD1">
        <w:rPr>
          <w:rFonts w:ascii="Calibri Light" w:hAnsi="Calibri Light" w:cs="Calibri Light"/>
          <w:b/>
          <w:bCs/>
          <w:sz w:val="24"/>
          <w:szCs w:val="24"/>
        </w:rPr>
        <w:t xml:space="preserve">, </w:t>
      </w:r>
      <w:r w:rsidR="00FD2DD1" w:rsidRPr="00FD2DD1">
        <w:rPr>
          <w:rFonts w:ascii="Calibri Light" w:hAnsi="Calibri Light" w:cs="Calibri Light"/>
          <w:b/>
          <w:bCs/>
          <w:sz w:val="24"/>
          <w:szCs w:val="24"/>
        </w:rPr>
        <w:t>Edwards Geraldine</w:t>
      </w:r>
      <w:r w:rsidR="00FD2DD1">
        <w:rPr>
          <w:rFonts w:ascii="Calibri Light" w:hAnsi="Calibri Light" w:cs="Calibri Light"/>
          <w:b/>
          <w:bCs/>
          <w:sz w:val="24"/>
          <w:szCs w:val="24"/>
          <w:vertAlign w:val="superscript"/>
        </w:rPr>
        <w:t>4</w:t>
      </w:r>
      <w:r w:rsidR="00FD2DD1" w:rsidRPr="00FD2DD1">
        <w:rPr>
          <w:rFonts w:ascii="Calibri Light" w:hAnsi="Calibri Light" w:cs="Calibri Light"/>
          <w:b/>
          <w:bCs/>
          <w:sz w:val="24"/>
          <w:szCs w:val="24"/>
        </w:rPr>
        <w:t>, Muchammad Taufiq Affandi</w:t>
      </w:r>
      <w:r w:rsidR="00FD2DD1">
        <w:rPr>
          <w:rFonts w:ascii="Calibri Light" w:hAnsi="Calibri Light" w:cs="Calibri Light"/>
          <w:b/>
          <w:bCs/>
          <w:sz w:val="24"/>
          <w:szCs w:val="24"/>
          <w:vertAlign w:val="superscript"/>
        </w:rPr>
        <w:t>5</w:t>
      </w:r>
    </w:p>
    <w:p w14:paraId="0DC0CA2E" w14:textId="719E1231" w:rsidR="008C45DE" w:rsidRPr="00122F5F" w:rsidRDefault="008C45DE" w:rsidP="00122F5F">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00792FA2">
        <w:rPr>
          <w:rFonts w:ascii="Calibri Light" w:hAnsi="Calibri Light" w:cs="Calibri Light"/>
          <w:sz w:val="24"/>
          <w:szCs w:val="24"/>
        </w:rPr>
        <w:t>Islamic Studies</w:t>
      </w:r>
      <w:r w:rsidR="00EF45CC" w:rsidRPr="00EF45CC">
        <w:rPr>
          <w:rFonts w:ascii="Calibri Light" w:hAnsi="Calibri Light" w:cs="Calibri Light"/>
          <w:sz w:val="24"/>
          <w:szCs w:val="24"/>
        </w:rPr>
        <w:t>, Universitas Muhammadiyah Surakarta</w:t>
      </w:r>
      <w:r w:rsidR="00546811" w:rsidRPr="00546811">
        <w:rPr>
          <w:rFonts w:ascii="Calibri Light" w:hAnsi="Calibri Light" w:cs="Calibri Light"/>
          <w:sz w:val="24"/>
          <w:szCs w:val="24"/>
        </w:rPr>
        <w:t>, Indonesia</w:t>
      </w:r>
      <w:r w:rsidR="000713D8">
        <w:rPr>
          <w:rFonts w:ascii="Calibri Light" w:hAnsi="Calibri Light" w:cs="Calibri Light"/>
          <w:sz w:val="24"/>
          <w:szCs w:val="24"/>
        </w:rPr>
        <w:t xml:space="preserve">, </w:t>
      </w:r>
      <w:r w:rsidR="000713D8" w:rsidRPr="00546811">
        <w:rPr>
          <w:rFonts w:ascii="Calibri Light" w:hAnsi="Calibri Light" w:cs="Calibri Light"/>
          <w:sz w:val="24"/>
          <w:szCs w:val="24"/>
          <w:lang w:val="id-ID"/>
        </w:rPr>
        <w:t>mut122@ums.ac.id</w:t>
      </w:r>
    </w:p>
    <w:p w14:paraId="38191217" w14:textId="342256BE" w:rsidR="00CF57D6" w:rsidRDefault="008C45DE" w:rsidP="00122F5F">
      <w:pPr>
        <w:rPr>
          <w:rFonts w:ascii="Calibri Light" w:hAnsi="Calibri Light" w:cs="Calibri Light"/>
          <w:sz w:val="24"/>
          <w:szCs w:val="24"/>
        </w:rPr>
      </w:pPr>
      <w:r w:rsidRPr="00122F5F">
        <w:rPr>
          <w:rFonts w:ascii="Calibri Light" w:hAnsi="Calibri Light" w:cs="Calibri Light"/>
          <w:sz w:val="24"/>
          <w:szCs w:val="24"/>
          <w:vertAlign w:val="superscript"/>
        </w:rPr>
        <w:t>2</w:t>
      </w:r>
      <w:r w:rsidR="006A6A34">
        <w:rPr>
          <w:rFonts w:ascii="Calibri Light" w:hAnsi="Calibri Light" w:cs="Calibri Light"/>
          <w:sz w:val="24"/>
          <w:szCs w:val="24"/>
        </w:rPr>
        <w:t>Islamic Studies</w:t>
      </w:r>
      <w:r w:rsidR="00EF45CC" w:rsidRPr="00EF45CC">
        <w:rPr>
          <w:rFonts w:ascii="Calibri Light" w:hAnsi="Calibri Light" w:cs="Calibri Light"/>
          <w:sz w:val="24"/>
          <w:szCs w:val="24"/>
        </w:rPr>
        <w:t>, Universitas Muhammadiyah Surakarta</w:t>
      </w:r>
      <w:r w:rsidR="00546811" w:rsidRPr="00546811">
        <w:rPr>
          <w:rFonts w:ascii="Calibri Light" w:hAnsi="Calibri Light" w:cs="Calibri Light"/>
          <w:sz w:val="24"/>
          <w:szCs w:val="24"/>
        </w:rPr>
        <w:t>, Indonesia</w:t>
      </w:r>
      <w:r w:rsidR="000713D8">
        <w:rPr>
          <w:rFonts w:ascii="Calibri Light" w:hAnsi="Calibri Light" w:cs="Calibri Light"/>
          <w:sz w:val="24"/>
          <w:szCs w:val="24"/>
        </w:rPr>
        <w:t xml:space="preserve">, </w:t>
      </w:r>
      <w:r w:rsidR="000713D8" w:rsidRPr="000713D8">
        <w:rPr>
          <w:rFonts w:ascii="Calibri Light" w:hAnsi="Calibri Light" w:cs="Calibri Light"/>
          <w:sz w:val="24"/>
          <w:szCs w:val="24"/>
        </w:rPr>
        <w:t>ghifarialkatiri@gmail.com</w:t>
      </w:r>
    </w:p>
    <w:p w14:paraId="0E3A8D8F" w14:textId="3713B1B7" w:rsidR="00546811" w:rsidRDefault="00EF45CC" w:rsidP="00122F5F">
      <w:pPr>
        <w:rPr>
          <w:rFonts w:ascii="Calibri Light" w:hAnsi="Calibri Light" w:cs="Calibri Light"/>
          <w:sz w:val="24"/>
          <w:szCs w:val="24"/>
        </w:rPr>
      </w:pPr>
      <w:r>
        <w:rPr>
          <w:rFonts w:ascii="Calibri Light" w:hAnsi="Calibri Light" w:cs="Calibri Light"/>
          <w:sz w:val="24"/>
          <w:szCs w:val="24"/>
          <w:vertAlign w:val="superscript"/>
        </w:rPr>
        <w:t>3</w:t>
      </w:r>
      <w:r w:rsidR="00546811" w:rsidRPr="00546811">
        <w:rPr>
          <w:rFonts w:ascii="Calibri Light" w:hAnsi="Calibri Light" w:cs="Calibri Light"/>
          <w:sz w:val="24"/>
          <w:szCs w:val="24"/>
        </w:rPr>
        <w:t>UIN Syarif Hidayatullah Jakarta, Jl. Ir H. Juanda, South Tangerang, Banten, Indonesia</w:t>
      </w:r>
      <w:r w:rsidR="000713D8">
        <w:rPr>
          <w:rFonts w:ascii="Calibri Light" w:hAnsi="Calibri Light" w:cs="Calibri Light"/>
          <w:sz w:val="24"/>
          <w:szCs w:val="24"/>
        </w:rPr>
        <w:t>,</w:t>
      </w:r>
      <w:r w:rsidR="00646E05">
        <w:rPr>
          <w:rFonts w:ascii="Calibri Light" w:hAnsi="Calibri Light" w:cs="Calibri Light"/>
          <w:sz w:val="24"/>
          <w:szCs w:val="24"/>
        </w:rPr>
        <w:t xml:space="preserve"> ishmahafiyah@gmail.com</w:t>
      </w:r>
    </w:p>
    <w:p w14:paraId="2C837D2C" w14:textId="46E75824" w:rsidR="008F02CB" w:rsidRPr="008F02CB" w:rsidRDefault="008F02CB" w:rsidP="008F02CB">
      <w:pPr>
        <w:rPr>
          <w:rFonts w:ascii="Calibri Light" w:hAnsi="Calibri Light" w:cs="Calibri Light"/>
          <w:sz w:val="24"/>
          <w:szCs w:val="24"/>
        </w:rPr>
      </w:pPr>
      <w:r w:rsidRPr="008F02CB">
        <w:rPr>
          <w:rFonts w:ascii="Calibri Light" w:hAnsi="Calibri Light" w:cs="Calibri Light"/>
          <w:sz w:val="24"/>
          <w:szCs w:val="24"/>
          <w:vertAlign w:val="superscript"/>
        </w:rPr>
        <w:t>4</w:t>
      </w:r>
      <w:r w:rsidRPr="008F02CB">
        <w:rPr>
          <w:rFonts w:ascii="Calibri Light" w:hAnsi="Calibri Light" w:cs="Calibri Light"/>
          <w:sz w:val="24"/>
          <w:szCs w:val="24"/>
        </w:rPr>
        <w:t>San Fernando Del Jarama, 14, 28002, Madrid, Spain</w:t>
      </w:r>
      <w:r w:rsidR="004F668A">
        <w:rPr>
          <w:rFonts w:ascii="Calibri Light" w:hAnsi="Calibri Light" w:cs="Calibri Light"/>
          <w:sz w:val="24"/>
          <w:szCs w:val="24"/>
        </w:rPr>
        <w:t xml:space="preserve">, </w:t>
      </w:r>
      <w:r w:rsidR="004F668A" w:rsidRPr="004F668A">
        <w:rPr>
          <w:rFonts w:ascii="Calibri Light" w:hAnsi="Calibri Light" w:cs="Calibri Light"/>
          <w:sz w:val="24"/>
          <w:szCs w:val="24"/>
        </w:rPr>
        <w:t>edwardsgeraldine04@gmail.com</w:t>
      </w:r>
    </w:p>
    <w:p w14:paraId="4B65C34C" w14:textId="64EBF6B3" w:rsidR="008F02CB" w:rsidRPr="008F02CB" w:rsidRDefault="008F02CB" w:rsidP="008F02CB">
      <w:pPr>
        <w:rPr>
          <w:rFonts w:ascii="Calibri Light" w:hAnsi="Calibri Light" w:cs="Calibri Light"/>
          <w:sz w:val="24"/>
          <w:szCs w:val="24"/>
        </w:rPr>
      </w:pPr>
      <w:r w:rsidRPr="008F02CB">
        <w:rPr>
          <w:rFonts w:ascii="Calibri Light" w:hAnsi="Calibri Light" w:cs="Calibri Light"/>
          <w:sz w:val="24"/>
          <w:szCs w:val="24"/>
          <w:vertAlign w:val="superscript"/>
        </w:rPr>
        <w:t>5</w:t>
      </w:r>
      <w:r w:rsidRPr="008F02CB">
        <w:rPr>
          <w:rFonts w:ascii="Calibri Light" w:hAnsi="Calibri Light" w:cs="Calibri Light"/>
          <w:sz w:val="24"/>
          <w:szCs w:val="24"/>
        </w:rPr>
        <w:t>Department of Finance, Durham University, United Kingdom</w:t>
      </w:r>
      <w:r w:rsidR="004F668A">
        <w:rPr>
          <w:rFonts w:ascii="Calibri Light" w:hAnsi="Calibri Light" w:cs="Calibri Light"/>
          <w:sz w:val="24"/>
          <w:szCs w:val="24"/>
        </w:rPr>
        <w:t xml:space="preserve">, </w:t>
      </w:r>
      <w:r w:rsidR="004F668A" w:rsidRPr="004F668A">
        <w:rPr>
          <w:rFonts w:ascii="Calibri Light" w:hAnsi="Calibri Light" w:cs="Calibri Light"/>
          <w:sz w:val="24"/>
          <w:szCs w:val="24"/>
        </w:rPr>
        <w:t>muhammad.t.afandi@durham.ac.uk</w:t>
      </w:r>
    </w:p>
    <w:p w14:paraId="6D63E6B8" w14:textId="77777777" w:rsidR="008F02CB" w:rsidRPr="008F02CB" w:rsidRDefault="008F02CB" w:rsidP="00122F5F">
      <w:pPr>
        <w:rPr>
          <w:rFonts w:ascii="Calibri Light" w:hAnsi="Calibri Light" w:cs="Calibri Light"/>
          <w:color w:val="A6A6A6"/>
          <w:sz w:val="24"/>
          <w:szCs w:val="24"/>
        </w:rPr>
      </w:pPr>
    </w:p>
    <w:p w14:paraId="34D7CBDB" w14:textId="4ABBC5C9" w:rsidR="009E4EBA" w:rsidRPr="00546811" w:rsidRDefault="009E4EBA" w:rsidP="00122F5F">
      <w:pPr>
        <w:rPr>
          <w:rFonts w:ascii="Calibri Light" w:hAnsi="Calibri Light" w:cs="Calibri Light"/>
          <w:sz w:val="24"/>
          <w:szCs w:val="24"/>
          <w:lang w:val="id-ID"/>
        </w:rPr>
      </w:pPr>
      <w:r w:rsidRPr="00546811">
        <w:rPr>
          <w:rFonts w:ascii="Calibri Light" w:hAnsi="Calibri Light" w:cs="Calibri Light"/>
          <w:sz w:val="24"/>
          <w:szCs w:val="24"/>
          <w:lang w:val="id-ID"/>
        </w:rPr>
        <w:t>*</w:t>
      </w:r>
      <w:r w:rsidR="00546811" w:rsidRPr="00546811">
        <w:rPr>
          <w:rFonts w:ascii="Calibri Light" w:hAnsi="Calibri Light" w:cs="Calibri Light"/>
          <w:sz w:val="24"/>
          <w:szCs w:val="24"/>
          <w:lang w:val="id-ID"/>
        </w:rPr>
        <w:t>mut122@ums.ac.id</w:t>
      </w:r>
    </w:p>
    <w:p w14:paraId="55B45FAF" w14:textId="77777777" w:rsidR="00DE1E48" w:rsidRPr="00122F5F" w:rsidRDefault="00DE1E48" w:rsidP="001D7DEE">
      <w:pPr>
        <w:jc w:val="center"/>
        <w:rPr>
          <w:rFonts w:ascii="Calibri Light" w:hAnsi="Calibri Light" w:cs="Calibri Light"/>
          <w:sz w:val="24"/>
          <w:szCs w:val="24"/>
        </w:rPr>
      </w:pPr>
    </w:p>
    <w:p w14:paraId="03C78F39" w14:textId="3C1BCC8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p>
    <w:p w14:paraId="19CE3E99"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18443299"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0B55E835" w14:textId="77777777" w:rsidR="00863A78" w:rsidRPr="00863A78" w:rsidRDefault="00863A78" w:rsidP="00863A78">
      <w:pPr>
        <w:ind w:right="737"/>
        <w:rPr>
          <w:rFonts w:ascii="Calibri Light" w:hAnsi="Calibri Light" w:cs="Calibri Light"/>
          <w:b/>
          <w:bCs/>
        </w:rPr>
      </w:pPr>
    </w:p>
    <w:p w14:paraId="79B9FDCF" w14:textId="173B6DB9" w:rsidR="00863A78" w:rsidRPr="00863A78" w:rsidRDefault="009279B1"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509ADF32" wp14:editId="49CEA276">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6F4AF61E"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821AD64" w14:textId="77777777" w:rsidTr="00540F02">
        <w:tc>
          <w:tcPr>
            <w:tcW w:w="9004" w:type="dxa"/>
            <w:tcBorders>
              <w:left w:val="nil"/>
              <w:right w:val="nil"/>
            </w:tcBorders>
          </w:tcPr>
          <w:p w14:paraId="29D0C9EC" w14:textId="77777777" w:rsidR="00863A78" w:rsidRPr="00540F02" w:rsidRDefault="00863A78" w:rsidP="00540F02">
            <w:pPr>
              <w:ind w:right="2"/>
              <w:jc w:val="both"/>
              <w:rPr>
                <w:rFonts w:ascii="Calibri Light" w:hAnsi="Calibri Light" w:cs="Calibri Light"/>
                <w:sz w:val="12"/>
                <w:szCs w:val="12"/>
              </w:rPr>
            </w:pPr>
          </w:p>
          <w:p w14:paraId="49DF214D" w14:textId="553CDCC1"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5B4579" w:rsidRPr="005B4579">
              <w:rPr>
                <w:rFonts w:ascii="Calibri Light" w:hAnsi="Calibri Light" w:cs="Calibri Light"/>
              </w:rPr>
              <w:t>Muthoifin., Al-Gifari., Afiyah, I.</w:t>
            </w:r>
            <w:r w:rsidR="005B4579">
              <w:rPr>
                <w:rFonts w:ascii="Calibri Light" w:hAnsi="Calibri Light" w:cs="Calibri Light"/>
              </w:rPr>
              <w:t xml:space="preserve"> (2025). </w:t>
            </w:r>
            <w:r w:rsidR="005B4579" w:rsidRPr="005B4579">
              <w:rPr>
                <w:rFonts w:ascii="Calibri Light" w:hAnsi="Calibri Light" w:cs="Calibri Light"/>
              </w:rPr>
              <w:t>The Practice of Paneta Mawinne (Kawin Tangkap) in The Sumbanese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9" w:history="1">
              <w:r w:rsidRPr="00540F02">
                <w:rPr>
                  <w:rStyle w:val="Hyperlink"/>
                  <w:rFonts w:ascii="Calibri Light" w:hAnsi="Calibri Light" w:cs="Calibri Light"/>
                </w:rPr>
                <w:t>https://doi.org/10.5758/ijls.2022.1</w:t>
              </w:r>
            </w:hyperlink>
          </w:p>
          <w:p w14:paraId="100D5427" w14:textId="77777777" w:rsidR="00863A78" w:rsidRPr="00540F02" w:rsidRDefault="00863A78" w:rsidP="00540F02">
            <w:pPr>
              <w:ind w:right="2"/>
              <w:jc w:val="both"/>
              <w:rPr>
                <w:rFonts w:ascii="Calibri Light" w:hAnsi="Calibri Light" w:cs="Calibri Light"/>
                <w:color w:val="0462C1"/>
                <w:u w:val="single" w:color="0462C1"/>
              </w:rPr>
            </w:pPr>
          </w:p>
          <w:p w14:paraId="6A621317"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0">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F8338AA" w14:textId="77777777" w:rsidR="00863A78" w:rsidRPr="00540F02" w:rsidRDefault="00863A78" w:rsidP="00540F02">
            <w:pPr>
              <w:ind w:right="2"/>
              <w:jc w:val="both"/>
              <w:rPr>
                <w:rFonts w:ascii="Calibri Light" w:hAnsi="Calibri Light" w:cs="Calibri Light"/>
                <w:b/>
                <w:bCs/>
                <w:sz w:val="12"/>
                <w:szCs w:val="12"/>
              </w:rPr>
            </w:pPr>
          </w:p>
        </w:tc>
      </w:tr>
    </w:tbl>
    <w:p w14:paraId="3F05DB27" w14:textId="77777777" w:rsidR="00863A78" w:rsidRDefault="00863A78" w:rsidP="00863A78">
      <w:pPr>
        <w:ind w:right="737"/>
        <w:rPr>
          <w:rFonts w:ascii="Calibri Light" w:hAnsi="Calibri Light" w:cs="Calibri Light"/>
          <w:b/>
          <w:bCs/>
          <w:sz w:val="24"/>
          <w:szCs w:val="24"/>
        </w:rPr>
      </w:pPr>
    </w:p>
    <w:p w14:paraId="49B717E7" w14:textId="30ADCE17" w:rsidR="008016C9" w:rsidRDefault="00A27B34" w:rsidP="008016C9">
      <w:pPr>
        <w:ind w:right="-1"/>
        <w:jc w:val="both"/>
        <w:rPr>
          <w:rFonts w:ascii="Calibri Light" w:hAnsi="Calibri Light" w:cs="Calibri Light"/>
          <w:i/>
          <w:iCs/>
          <w:sz w:val="24"/>
          <w:szCs w:val="24"/>
          <w:lang w:val="id-ID"/>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8016C9" w:rsidRPr="008016C9">
        <w:rPr>
          <w:rFonts w:ascii="Calibri Light" w:hAnsi="Calibri Light" w:cs="Calibri Light"/>
          <w:i/>
          <w:iCs/>
          <w:sz w:val="24"/>
          <w:szCs w:val="24"/>
          <w:lang w:val="id-ID"/>
        </w:rPr>
        <w:t xml:space="preserve">This research aims to explore the phenomenon of forced marriage, particularly the practice of Paneta Mawinne or arrest marriage, among the Sumba tribe in East Nusa Tenggara, Indonesia. The study specifically examines this practice through the lens of Islamic law, analyzing whether such cultural customs align with or contradict Islamic legal principles. The research adopts a qualitative approach using secondary data collected through literature reviews from credible sources. Data were gathered over several months from academic journal articles, online news outlets, and social media platforms, including relevant videos that document the practice. The analysis focuses on Islamic jurisprudence regarding marriage, which emphasizes mutual consent, justice, and the absence of coercion. Findings indicate that Paneta Mawinne involves significant elements of force and lack of consent, especially on the part of the bride, which is fundamentally incompatible with the principles upheld in Islamic law. Islamic teachings require the voluntary agreement of both parties in a marriage contract, making any form of coercion a violation of Sharia. The originality of this study lies in its intersectional analysis, combining anthropological insights with Islamic legal evaluation to assess a localized cultural practice. By highlighting the contradiction between local customs and Islamic values, this research contributes to broader discussions on cultural relativism, religious norms, and human rights. Ultimately, it calls for greater awareness and legal clarity to ensure that </w:t>
      </w:r>
      <w:r w:rsidR="008016C9" w:rsidRPr="008016C9">
        <w:rPr>
          <w:rFonts w:ascii="Calibri Light" w:hAnsi="Calibri Light" w:cs="Calibri Light"/>
          <w:i/>
          <w:iCs/>
          <w:sz w:val="24"/>
          <w:szCs w:val="24"/>
          <w:lang w:val="id-ID"/>
        </w:rPr>
        <w:lastRenderedPageBreak/>
        <w:t>traditional practices do not undermine individual autonomy and religious ethics in Muslim communities.</w:t>
      </w:r>
    </w:p>
    <w:p w14:paraId="62FA1D44" w14:textId="77777777" w:rsidR="00671489" w:rsidRDefault="00671489" w:rsidP="00671489">
      <w:pPr>
        <w:ind w:right="-1"/>
        <w:jc w:val="both"/>
        <w:rPr>
          <w:rFonts w:ascii="Calibri Light" w:hAnsi="Calibri Light" w:cs="Calibri Light"/>
          <w:sz w:val="24"/>
          <w:szCs w:val="24"/>
          <w:lang w:val="id-ID"/>
        </w:rPr>
      </w:pPr>
    </w:p>
    <w:p w14:paraId="7BD153DA" w14:textId="40C09463" w:rsidR="00671489" w:rsidRPr="00671489" w:rsidRDefault="00671489" w:rsidP="003147CE">
      <w:pPr>
        <w:ind w:right="-1"/>
        <w:jc w:val="both"/>
        <w:rPr>
          <w:rFonts w:ascii="Calibri Light" w:hAnsi="Calibri Light" w:cs="Calibri Light"/>
          <w:sz w:val="24"/>
          <w:szCs w:val="24"/>
          <w:lang w:val="id-ID"/>
        </w:rPr>
      </w:pPr>
      <w:r w:rsidRPr="00671489">
        <w:rPr>
          <w:rFonts w:ascii="Calibri Light" w:hAnsi="Calibri Light" w:cs="Calibri Light"/>
          <w:sz w:val="24"/>
          <w:szCs w:val="24"/>
          <w:lang w:val="id-ID"/>
        </w:rPr>
        <w:t>Penelitian ini bertujuan untuk mengeksplorasi fenomena pernikahan paksa, khususnya praktik Paneta Mawinne atau pernikahan tangkap, yang terjadi di kalangan suku Sumba di Nusa Tenggara Timur, Indonesia. Studi ini secara khusus menelaah praktik tersebut melalui perspektif hukum Islam, dengan menganalisis apakah kebiasaan budaya semacam ini selaras atau bertentangan dengan prinsip-prinsip hukum Islam. Penelitian ini menggunakan pendekatan kualitatif dengan data sekunder yang dikumpulkan melalui tinjauan pustaka dari berbagai sumber yang kredibel. Pengumpulan data dilakukan selama beberapa bulan, mencakup artikel jurnal akademik, portal berita daring, serta platform media sosial, termasuk video yang mendokumentasikan praktik tersebut.</w:t>
      </w:r>
      <w:r w:rsidR="003147CE">
        <w:rPr>
          <w:rFonts w:ascii="Calibri Light" w:hAnsi="Calibri Light" w:cs="Calibri Light"/>
          <w:sz w:val="24"/>
          <w:szCs w:val="24"/>
          <w:lang w:val="id-ID"/>
        </w:rPr>
        <w:t xml:space="preserve"> </w:t>
      </w:r>
      <w:r w:rsidRPr="00671489">
        <w:rPr>
          <w:rFonts w:ascii="Calibri Light" w:hAnsi="Calibri Light" w:cs="Calibri Light"/>
          <w:sz w:val="24"/>
          <w:szCs w:val="24"/>
          <w:lang w:val="id-ID"/>
        </w:rPr>
        <w:t>Analisis berfokus pada yurisprudensi Islam mengenai pernikahan, yang menekankan pada persetujuan bersama, keadilan, dan tidak adanya unsur paksaan. Temuan penelitian menunjukkan bahwa praktik Paneta Mawinne mengandung unsur pemaksaan dan ketiadaan persetujuan yang signifikan, terutama dari pihak perempuan, yang secara mendasar bertentangan dengan prinsip-prinsip yang dijunjung dalam hukum Islam. Ajaran Islam mewajibkan kesepakatan sukarela dari kedua belah pihak dalam akad nikah, sehingga segala bentuk paksaan merupakan pelanggaran terhadap syariat.</w:t>
      </w:r>
      <w:r w:rsidR="003147CE">
        <w:rPr>
          <w:rFonts w:ascii="Calibri Light" w:hAnsi="Calibri Light" w:cs="Calibri Light"/>
          <w:sz w:val="24"/>
          <w:szCs w:val="24"/>
          <w:lang w:val="id-ID"/>
        </w:rPr>
        <w:t xml:space="preserve"> </w:t>
      </w:r>
      <w:r w:rsidRPr="00671489">
        <w:rPr>
          <w:rFonts w:ascii="Calibri Light" w:hAnsi="Calibri Light" w:cs="Calibri Light"/>
          <w:sz w:val="24"/>
          <w:szCs w:val="24"/>
          <w:lang w:val="id-ID"/>
        </w:rPr>
        <w:t>Keaslian penelitian ini terletak pada analisis interseksionalnya, yang menggabungkan wawasan antropologis dengan evaluasi hukum Islam dalam menilai praktik budaya lokal. Dengan menyoroti kontradiksi antara adat lokal dan nilai-nilai Islam, penelitian ini berkontribusi pada diskusi yang lebih luas mengenai relativisme budaya, norma keagamaan, dan hak asasi manusia. Pada akhirnya, penelitian ini menyerukan kesadaran yang lebih besar dan kejelasan hukum agar praktik tradisional tidak merusak otonomi individu dan etika keagamaan dalam masyarakat Muslim.</w:t>
      </w:r>
    </w:p>
    <w:p w14:paraId="01840DD0" w14:textId="77777777" w:rsidR="003147CE" w:rsidRDefault="003147CE" w:rsidP="00540F02">
      <w:pPr>
        <w:ind w:right="737"/>
        <w:jc w:val="both"/>
        <w:rPr>
          <w:rFonts w:ascii="Calibri Light" w:hAnsi="Calibri Light" w:cs="Calibri Light"/>
          <w:b/>
          <w:bCs/>
          <w:sz w:val="24"/>
          <w:szCs w:val="24"/>
        </w:rPr>
      </w:pPr>
    </w:p>
    <w:p w14:paraId="19B913D0" w14:textId="3709796D" w:rsidR="00DE1E48" w:rsidRDefault="0095288D" w:rsidP="00540F02">
      <w:pPr>
        <w:ind w:right="737"/>
        <w:jc w:val="both"/>
        <w:rPr>
          <w:rStyle w:val="shorttext"/>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810" w:rsidRPr="00BF1810">
        <w:rPr>
          <w:rStyle w:val="shorttext"/>
          <w:rFonts w:ascii="Calibri Light" w:hAnsi="Calibri Light" w:cs="Calibri Light"/>
          <w:i/>
          <w:iCs/>
          <w:sz w:val="24"/>
          <w:szCs w:val="24"/>
          <w:lang w:val="en"/>
        </w:rPr>
        <w:t>Arrest Marriage, Islamic Law, Culture, Traditions, The Bride</w:t>
      </w:r>
      <w:r w:rsidR="001D7DEE" w:rsidRPr="00122F5F">
        <w:rPr>
          <w:rStyle w:val="shorttext"/>
          <w:rFonts w:ascii="Calibri Light" w:hAnsi="Calibri Light" w:cs="Calibri Light"/>
          <w:i/>
          <w:iCs/>
          <w:sz w:val="24"/>
          <w:szCs w:val="24"/>
          <w:lang w:val="id-ID"/>
        </w:rPr>
        <w:t>.</w:t>
      </w:r>
    </w:p>
    <w:p w14:paraId="5210D341" w14:textId="55B661B1"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14:paraId="27B74F2E" w14:textId="1E66A898" w:rsidR="00342520" w:rsidRPr="00342520" w:rsidRDefault="00342520" w:rsidP="00342520">
      <w:pPr>
        <w:spacing w:before="120" w:after="120"/>
        <w:ind w:left="426"/>
        <w:jc w:val="both"/>
        <w:rPr>
          <w:rFonts w:ascii="Calibri Light" w:hAnsi="Calibri Light" w:cs="Calibri Light"/>
          <w:sz w:val="24"/>
          <w:szCs w:val="24"/>
        </w:rPr>
      </w:pPr>
      <w:bookmarkStart w:id="0" w:name="_Hlk153981747"/>
      <w:r w:rsidRPr="00342520">
        <w:rPr>
          <w:rFonts w:ascii="Calibri Light" w:hAnsi="Calibri Light" w:cs="Calibri Light"/>
          <w:sz w:val="24"/>
          <w:szCs w:val="24"/>
        </w:rPr>
        <w:t>Indonesia is a country that has many diverse tribes, languages, cultures</w:t>
      </w:r>
      <w:r w:rsidR="00476E35">
        <w:rPr>
          <w:rFonts w:ascii="Calibri Light" w:hAnsi="Calibri Light" w:cs="Calibri Light"/>
          <w:sz w:val="24"/>
          <w:szCs w:val="24"/>
        </w:rPr>
        <w:t>,</w:t>
      </w:r>
      <w:r w:rsidRPr="00342520">
        <w:rPr>
          <w:rFonts w:ascii="Calibri Light" w:hAnsi="Calibri Light" w:cs="Calibri Light"/>
          <w:sz w:val="24"/>
          <w:szCs w:val="24"/>
        </w:rPr>
        <w:t xml:space="preserve"> and customs spread across all the islands in the archipelago. This is a treasure trove of Indonesian wealth 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w:t>
      </w:r>
      <w:r w:rsidR="00476E35">
        <w:rPr>
          <w:rFonts w:ascii="Calibri Light" w:hAnsi="Calibri Light" w:cs="Calibri Light"/>
          <w:sz w:val="24"/>
          <w:szCs w:val="24"/>
        </w:rPr>
        <w:t>,</w:t>
      </w:r>
      <w:r w:rsidRPr="00342520">
        <w:rPr>
          <w:rFonts w:ascii="Calibri Light" w:hAnsi="Calibri Light" w:cs="Calibri Light"/>
          <w:sz w:val="24"/>
          <w:szCs w:val="24"/>
        </w:rPr>
        <w:t xml:space="preserve"> and other areas. The eastern region of Indonesia is no exception, which has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unique culture and traditions as its characteristics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Indonesia","type":"article-journal","volume":"15"},"uris":["http://www.mendeley.com/documents/?uuid=c71841f5-fe7f-423e-92bf-3be417856502"]},{"id":"ITEM-2","itemData":{"abstract":"The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-2","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http://www.mendeley.com/documents/?uuid=4f7b8e74-4e18-4f36-838c-1408b0f2ddc3"]},{"id":"ITEM-3","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Islam","id":"ITEM-3","issue":"1","issued":{"date-parts":[["2023"]]},"page":"47-62","title":"Islamic law perspective on the bajo indigenous people's marriage tradition in Adonara village","type":"article-journal","volume":"14"},"uris":["http://www.mendeley.com/documents/?uuid=fb9fde0a-9205-4c22-a2bb-55efbaeb73e1","http://www.mendeley.com/documents/?uuid=6a82ef50-5ee1-4cc9-b78b-85356924bfe0"]},{"id":"ITEM-4","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Islam","id":"ITEM-4","issue":"2","issued":{"date-parts":[["2021"]]},"title":"Catch Marriage In Maqashid Al-Syari'ah And Indonesian Law Perspective","type":"article-journal","volume":"6"},"uris":["http://www.mendeley.com/documents/?uuid=87796671-dcee-4713-82b4-449712dc09d4","http://www.mendeley.com/documents/?uuid=76545193-13c3-4252-9e87-dbe1231690d7"]}],"mendeley":{"formattedCitation":"(Amin &amp; Muhdi, 2021; Amrin et al., 2020; Apriantoro, Makin, et al., 2023; Dewi et al., 2022)","manualFormatting":"(Amin and Muhdi, 2021; Amrin et al., 2020; Apriantoro, Makin, and Maarif, 2023; Dewi, 2022)","plainTextFormattedCitation":"(Amin &amp; Muhdi, 2021; Amrin et al., 2020; Apriantoro, Makin, et al., 2023; Dewi et al., 2022)","previouslyFormattedCitation":"(Amin &amp; Muhdi, 2021; Amrin et al., 2020; Apriantoro, Makin, et al., 2023; Dewi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4" w:history="1">
        <w:r w:rsidR="00DB63CC" w:rsidRPr="00DD0A7A">
          <w:rPr>
            <w:rStyle w:val="Hyperlink"/>
            <w:rFonts w:ascii="Calibri Light" w:hAnsi="Calibri Light" w:cs="Calibri Light"/>
            <w:noProof/>
            <w:color w:val="000000" w:themeColor="text1"/>
            <w:sz w:val="24"/>
            <w:szCs w:val="24"/>
            <w:u w:val="none"/>
          </w:rPr>
          <w:t>Amrin et al</w:t>
        </w:r>
      </w:hyperlink>
      <w:r w:rsidR="00DB63CC" w:rsidRPr="00DD0A7A">
        <w:rPr>
          <w:rFonts w:ascii="Calibri Light" w:hAnsi="Calibri Light" w:cs="Calibri Light"/>
          <w:noProof/>
          <w:color w:val="000000" w:themeColor="text1"/>
          <w:sz w:val="24"/>
          <w:szCs w:val="24"/>
        </w:rPr>
        <w:t>.</w:t>
      </w:r>
      <w:r w:rsidR="00B019CF"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w:t>
      </w:r>
    </w:p>
    <w:p w14:paraId="3E654FAF" w14:textId="62C914C7" w:rsidR="00342520" w:rsidRPr="00DD0A7A" w:rsidRDefault="00342520" w:rsidP="00342520">
      <w:pPr>
        <w:spacing w:before="120" w:after="120"/>
        <w:ind w:left="426"/>
        <w:jc w:val="both"/>
        <w:rPr>
          <w:rFonts w:ascii="Calibri Light" w:hAnsi="Calibri Light" w:cs="Calibri Light"/>
          <w:color w:val="000000" w:themeColor="text1"/>
          <w:sz w:val="24"/>
          <w:szCs w:val="24"/>
        </w:rPr>
      </w:pPr>
      <w:r w:rsidRPr="00342520">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to experience changes as usual, because it is influenced by several factors. These factors appear as cultural influences that come from outside or emerge from within, either due to technology, discoveries in various scientific disciplines, or due to the influence of certain religious teachings or beliefs. The form of change or development is usually known through its structure and life at one time, then compared with what happened in the past </w:t>
      </w:r>
      <w:r w:rsidRPr="00DD0A7A">
        <w:rPr>
          <w:rFonts w:ascii="Calibri Light" w:hAnsi="Calibri Light" w:cs="Calibri Light"/>
          <w:color w:val="000000" w:themeColor="text1"/>
          <w:sz w:val="24"/>
          <w:szCs w:val="24"/>
        </w:rPr>
        <w:fldChar w:fldCharType="begin" w:fldLock="1"/>
      </w:r>
      <w:r w:rsidR="00F13B9D">
        <w:rPr>
          <w:rFonts w:ascii="Calibri Light" w:hAnsi="Calibri Light" w:cs="Calibri Light"/>
          <w:color w:val="000000" w:themeColor="text1"/>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http://www.mendeley.com/documents/?uuid=de4da6f3-9ee0-4091-bec6-1d983eaa2cad"]},{"id":"ITEM-2","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Islam","id":"ITEM-2","issue":"2","issued":{"date-parts":[["2020"]]},"title":"\"Kawin Tangkap\" Tradition In Maqasid Al-Syari’ah And Indonesian Law Perspective","type":"article-journal","volume":"5"},"uris":["http://www.mendeley.com/documents/?uuid=4d31319c-17ed-4dd6-8c48-641bb06edd38","http://www.mendeley.com/documents/?uuid=59b9a8aa-dbaf-43a3-952c-f7ba595744f8"]},{"id":"ITEM-3","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Islam","id":"ITEM-3","issue":"2","issued":{"date-parts":[["2020"]]},"page":"93-104","title":"Islamic Values of the Peta Kapanca Tradition at the Mbojo Tribe's Marriage, West Nusa Tenggara, Indonesia","type":"article-journal","volume":"15"},"uris":["http://www.mendeley.com/documents/?uuid=c71841f5-fe7f-423e-92bf-3be417856502"]},{"id":"ITEM-4","itemData":{"abstract":"The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-4","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http://www.mendeley.com/documents/?uuid=136f9e8a-fee5-4589-a2f8-ca1dc40bcad0"]}],"mendeley":{"formattedCitation":"(Amrin et al., 2020; Ati, 2021; Dewi et al., 2022; Muhdi, 2020)","manualFormatting":"(Muhdi, 2020)","plainTextFormattedCitation":"(Amrin et al., 2020; Ati, 2021; Dewi et al., 2022; Muhdi, 2020)","previouslyFormattedCitation":"(Amrin et al., 2020; Ati, 2021; Dewi et al., 2022; Muhdi,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3" w:history="1">
        <w:r w:rsidR="00DB63CC" w:rsidRPr="00DD0A7A">
          <w:rPr>
            <w:rStyle w:val="Hyperlink"/>
            <w:rFonts w:ascii="Calibri Light" w:hAnsi="Calibri Light" w:cs="Calibri Light"/>
            <w:noProof/>
            <w:color w:val="000000" w:themeColor="text1"/>
            <w:sz w:val="24"/>
            <w:szCs w:val="24"/>
            <w:u w:val="none"/>
          </w:rPr>
          <w:t>Muhdi</w:t>
        </w:r>
      </w:hyperlink>
      <w:r w:rsidR="0027178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DD0A7A">
        <w:rPr>
          <w:rFonts w:ascii="Calibri Light" w:hAnsi="Calibri Light" w:cs="Calibri Light"/>
          <w:color w:val="000000" w:themeColor="text1"/>
          <w:sz w:val="24"/>
          <w:szCs w:val="24"/>
        </w:rPr>
        <w:t>.</w:t>
      </w:r>
    </w:p>
    <w:p w14:paraId="4FAEBA59" w14:textId="47A02CEA"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Marriage is a ubiquitous institution and has enormous meanings and consequences in all societies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343a2ba2-68f8-4651-88e0-e8591de337e8","http://www.mendeley.com/documents/?uuid=d492e376-bb8c-49c4-af87-081b9697c853"]},{"id":"ITEM-2","itemData":{"DOI":"10.25157/jigj.v5i2.795","ISSN":"2355-0023","abstract":"Kafâ’ah dalam pernikahan antara calon suami dan calon istri dimaksudkan agar adanya keseimbangan dalam mengarungi bahtera rumah tangga kehidupan, persoalan kafâ’ah sering difahami secara tidak proposional dalam arti seseorang diharuskan menikah dengan lawan jenis yang sama derajatnya, kekayaannya dan kecantikan dan sebagainya, padahal semuanya itu hanyalah bersifat lahiriyah semata. Pasangan yang serasi diperoleh untuk mewujudkan rumah tangga yang tenang (sakinah), cinta (mawaddah), kasih(rahmah), banyak cara yang harus dilakukan untuk mencapai tujuan tersebut, salah satunya adalah upaya mencari calon suami atau istri yang baik, upaya tersebut bukanlah suatu kunci namun keberadannya dalam rumah tangga akan menentukan mampu atau tidaknya seseorang dalam membangun bahtera rumah tangga. Kata kunci : Kafâ’ah, Pernikahan.","author":[{"dropping-particle":"","family":"Taufik","given":"Otong Husni","non-dropping-particle":"","parse-names":false,"suffix":""}],"container-title":"Jurnal Ilmiah Galuh Justisi","id":"ITEM-2","issue":"2","issued":{"date-parts":[["2017"]]},"page":"246","title":"Kafâah Dalam Pernikahan Menurut Hukum Islam","type":"article-journal","volume":"5"},"uris":["http://www.mendeley.com/documents/?uuid=e2e0ec50-3d65-42ea-9bbe-4c75115c7c6f","http://www.mendeley.com/documents/?uuid=6c41d2cf-de27-40a8-ad5b-a215f2d135f2"]}],"mendeley":{"formattedCitation":"(Shamad, 2017; Taufik, 2017)","manualFormatting":"(Shamad, 2017; Taufik, 2017)","plainTextFormattedCitation":"(Shamad, 2017; Taufik, 2017)","previouslyFormattedCitation":"(Shamad, 2017; Taufik, 2017)"},"properties":{"noteIndex":0},"schema":"https://github.com/citation-style-language/schema/raw/master/csl-citation.json"}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8" w:history="1">
        <w:r w:rsidR="00DB63CC" w:rsidRPr="00DD0A7A">
          <w:rPr>
            <w:rStyle w:val="Hyperlink"/>
            <w:rFonts w:ascii="Calibri Light" w:hAnsi="Calibri Light" w:cs="Calibri Light"/>
            <w:noProof/>
            <w:color w:val="000000" w:themeColor="text1"/>
            <w:sz w:val="24"/>
            <w:szCs w:val="24"/>
            <w:u w:val="none"/>
          </w:rPr>
          <w:t>Shamad</w:t>
        </w:r>
      </w:hyperlink>
      <w:r w:rsidR="0018634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practice of marriage varies in different regions of the world, encompassing different forms, traditions, and procedures that reflect social, cultural, and religious values. Indonesia, as a country rich in cultural and religious diversity, also shows diversity in its marriage customs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7e5d53e3-4942-4427-a716-e185b2bc3631","http://www.mendeley.com/documents/?uuid=5a6e7a16-bccc-44eb-ac79-8a7171281b1a"]},{"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Indonesia","type":"article-journal","volume":"21"},"uris":["http://www.mendeley.com/documents/?uuid=acb355dd-254e-4099-b5a9-dedfc9bb6f56","http://www.mendeley.com/documents/?uuid=34f68181-95b4-4460-b410-12730b9866cd"]}],"mendeley":{"formattedCitation":"(Florea, 2023; Subeitan, 2022)","manualFormatting":"(Florea, 2023; Subeitan, 2022)","plainTextFormattedCitation":"(Florea, 2023; Subeitan, 2022)","previouslyFormattedCitation":"(Florea, 2023;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2" w:history="1">
        <w:r w:rsidR="00DB63CC" w:rsidRPr="00DD0A7A">
          <w:rPr>
            <w:rStyle w:val="Hyperlink"/>
            <w:rFonts w:ascii="Calibri Light" w:hAnsi="Calibri Light" w:cs="Calibri Light"/>
            <w:noProof/>
            <w:color w:val="000000" w:themeColor="text1"/>
            <w:sz w:val="24"/>
            <w:szCs w:val="24"/>
            <w:u w:val="none"/>
          </w:rPr>
          <w:t>Florea</w:t>
        </w:r>
      </w:hyperlink>
      <w:r w:rsidR="00522DE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7D2FD6FF" w14:textId="08D8C45F"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interesting and distinctive marriage custom that is still prevalent in some regions of Indonesia, such as Sumba in East Nusa Tenggara, is known as "kawin tangkap"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Timur","type":"article-journal","volume":"6"},"uris":["http://www.mendeley.com/documents/?uuid=6a1cfa0d-cc30-4dd7-aaee-f6699a09a236","http://www.mendeley.com/documents/?uuid=db7eddb7-2013-4091-8a92-575167fb49f0"]}],"mendeley":{"formattedCitation":"(Kamuri &amp; Toumeluk, 2021)","manualFormatting":"(Kamuri and Toumeluk, 2021)","plainTextFormattedCitation":"(Kamuri &amp; Toumeluk, 2021)","previouslyFormattedCitation":"(Kamuri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7" w:history="1">
        <w:r w:rsidR="00DB63CC" w:rsidRPr="00DD0A7A">
          <w:rPr>
            <w:rStyle w:val="Hyperlink"/>
            <w:rFonts w:ascii="Calibri Light" w:hAnsi="Calibri Light" w:cs="Calibri Light"/>
            <w:noProof/>
            <w:color w:val="000000" w:themeColor="text1"/>
            <w:sz w:val="24"/>
            <w:szCs w:val="24"/>
            <w:u w:val="none"/>
          </w:rPr>
          <w:t>Kamuri and</w:t>
        </w:r>
      </w:hyperlink>
      <w:r w:rsidR="00DB63CC" w:rsidRPr="00DD0A7A">
        <w:rPr>
          <w:rFonts w:ascii="Calibri Light" w:hAnsi="Calibri Light" w:cs="Calibri Light"/>
          <w:noProof/>
          <w:color w:val="000000" w:themeColor="text1"/>
          <w:sz w:val="24"/>
          <w:szCs w:val="24"/>
        </w:rPr>
        <w:t xml:space="preserve"> </w:t>
      </w:r>
      <w:hyperlink w:anchor="no17" w:history="1">
        <w:r w:rsidR="00DB63CC" w:rsidRPr="00DD0A7A">
          <w:rPr>
            <w:rStyle w:val="Hyperlink"/>
            <w:rFonts w:ascii="Calibri Light" w:hAnsi="Calibri Light" w:cs="Calibri Light"/>
            <w:noProof/>
            <w:color w:val="000000" w:themeColor="text1"/>
            <w:sz w:val="24"/>
            <w:szCs w:val="24"/>
            <w:u w:val="none"/>
          </w:rPr>
          <w:t>Toumeluk</w:t>
        </w:r>
      </w:hyperlink>
      <w:r w:rsidR="008873B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society </w:t>
      </w:r>
      <w:r w:rsidRPr="00DD0A7A">
        <w:rPr>
          <w:rFonts w:ascii="Calibri Light" w:hAnsi="Calibri Light" w:cs="Calibri Light"/>
          <w:color w:val="000000" w:themeColor="text1"/>
          <w:sz w:val="24"/>
          <w:szCs w:val="24"/>
        </w:rPr>
        <w:fldChar w:fldCharType="begin" w:fldLock="1"/>
      </w:r>
      <w:r w:rsidR="00AF1BFD">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)","type":"article-journal","volume":"3"},"uris":["http://www.mendeley.com/documents/?uuid=9ef14a2f-74ce-42ce-b34c-43ed083b4349","http://www.mendeley.com/documents/?uuid=558013d0-8f17-4dfb-82e1-7cebd476cc66"]},{"id":"ITEM-2","itemData":{"abstract":"Abstrak: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Tengah","type":"article-journal","volume":"1"},"uris":["http://www.mendeley.com/documents/?uuid=fd1504e3-2c70-4e34-a1e3-d667bbdc07c6","http://www.mendeley.com/documents/?uuid=bfe753cc-60eb-4515-a28e-0ff7aa0ce5c1"]},{"id":"ITEM-3","itemData":{"abstract":"The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Marriage","type":"article-journal","volume":"II"},"uris":["http://www.mendeley.com/documents/?uuid=4f7b8e74-4e18-4f36-838c-1408b0f2ddc3","http://www.mendeley.com/documents/?uuid=61adf143-341d-4c87-8105-42f92cf190cc"]}],"mendeley":{"formattedCitation":"(Dewi et al., 2022; Mardiani et al., 2021; Tanggu et al., 2021)","manualFormatting":"(Dewi, 2021)","plainTextFormattedCitation":"(Dewi et al., 2022; Mardiani et al., 2021; Tanggu et al., 2021)","previouslyFormattedCitation":"(Dewi et al., 2022; Mardiani et al.,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0" w:history="1">
        <w:r w:rsidR="00DB63CC" w:rsidRPr="00DD0A7A">
          <w:rPr>
            <w:rStyle w:val="Hyperlink"/>
            <w:rFonts w:ascii="Calibri Light" w:hAnsi="Calibri Light" w:cs="Calibri Light"/>
            <w:noProof/>
            <w:color w:val="000000" w:themeColor="text1"/>
            <w:sz w:val="24"/>
            <w:szCs w:val="24"/>
            <w:u w:val="none"/>
          </w:rPr>
          <w:t>Dewi</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2F57FFB4" w14:textId="21B36865"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act of arrest or arrest </w:t>
      </w:r>
      <w:r w:rsidR="00476E35">
        <w:rPr>
          <w:rFonts w:ascii="Calibri Light" w:hAnsi="Calibri Light" w:cs="Calibri Light"/>
          <w:sz w:val="24"/>
          <w:szCs w:val="24"/>
        </w:rPr>
        <w:t xml:space="preserve">in </w:t>
      </w:r>
      <w:r w:rsidRPr="00342520">
        <w:rPr>
          <w:rFonts w:ascii="Calibri Light" w:hAnsi="Calibri Light" w:cs="Calibri Light"/>
          <w:sz w:val="24"/>
          <w:szCs w:val="24"/>
        </w:rPr>
        <w:t xml:space="preserve">marriage refers to a situation where a person marries without full permission or awareness of the marriage </w:t>
      </w:r>
      <w:r w:rsidRPr="00DD0A7A">
        <w:rPr>
          <w:rFonts w:ascii="Calibri Light" w:hAnsi="Calibri Light" w:cs="Calibri Light"/>
          <w:color w:val="000000" w:themeColor="text1"/>
          <w:sz w:val="24"/>
          <w:szCs w:val="24"/>
        </w:rPr>
        <w:fldChar w:fldCharType="begin" w:fldLock="1"/>
      </w:r>
      <w:r w:rsidR="00230D70">
        <w:rPr>
          <w:rFonts w:ascii="Calibri Light" w:hAnsi="Calibri Light" w:cs="Calibri Light"/>
          <w:color w:val="000000" w:themeColor="text1"/>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6bc1561b-1527-4fbd-aab0-394b9b793075","http://www.mendeley.com/documents/?uuid=85ea23f5-f0e3-41b5-bd1e-a9ecdbf2aa47"]},{"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Timur","type":"article-journal","volume":"6"},"uris":["http://www.mendeley.com/documents/?uuid=db7eddb7-2013-4091-8a92-575167fb49f0","http://www.mendeley.com/documents/?uuid=6a1cfa0d-cc30-4dd7-aaee-f6699a09a236"]}],"mendeley":{"formattedCitation":"(Doko et al., 2021; Kamuri &amp; Toumeluk, 2021)","manualFormatting":"(Kamuri and Toumeluk, 2021)","plainTextFormattedCitation":"(Doko et al., 2021; Kamuri &amp; Toumeluk, 2021)","previouslyFormattedCitation":"(Doko et al., 2021; 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7" w:history="1">
        <w:r w:rsidR="00DB63CC" w:rsidRPr="00DD0A7A">
          <w:rPr>
            <w:rStyle w:val="Hyperlink"/>
            <w:rFonts w:ascii="Calibri Light" w:hAnsi="Calibri Light" w:cs="Calibri Light"/>
            <w:noProof/>
            <w:color w:val="000000" w:themeColor="text1"/>
            <w:sz w:val="24"/>
            <w:szCs w:val="24"/>
            <w:u w:val="none"/>
          </w:rPr>
          <w:t>Kamuri</w:t>
        </w:r>
      </w:hyperlink>
      <w:r w:rsidR="00DB63CC" w:rsidRPr="00DD0A7A">
        <w:rPr>
          <w:rFonts w:ascii="Calibri Light" w:hAnsi="Calibri Light" w:cs="Calibri Light"/>
          <w:noProof/>
          <w:color w:val="000000" w:themeColor="text1"/>
          <w:sz w:val="24"/>
          <w:szCs w:val="24"/>
        </w:rPr>
        <w:t xml:space="preserve"> </w:t>
      </w:r>
      <w:hyperlink w:anchor="no17" w:history="1">
        <w:r w:rsidR="00DB63CC" w:rsidRPr="00DD0A7A">
          <w:rPr>
            <w:rStyle w:val="Hyperlink"/>
            <w:rFonts w:ascii="Calibri Light" w:hAnsi="Calibri Light" w:cs="Calibri Light"/>
            <w:noProof/>
            <w:color w:val="000000" w:themeColor="text1"/>
            <w:sz w:val="24"/>
            <w:szCs w:val="24"/>
            <w:u w:val="none"/>
          </w:rPr>
          <w:t>and Toumeluk</w:t>
        </w:r>
      </w:hyperlink>
      <w:r w:rsidR="008873B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)","type":"article-journal","volume":"3"},"uris":["http://www.mendeley.com/documents/?uuid=558013d0-8f17-4dfb-82e1-7cebd476cc66","http://www.mendeley.com/documents/?uuid=9ef14a2f-74ce-42ce-b34c-43ed083b4349"]}],"mendeley":{"formattedCitation":"(Tanggu et al., 2021)","manualFormatting":"(Tanggu, Kudubun, and Utomo, 2021)","plainTextFormattedCitation":"(Tanggu et al., 2021)","previouslyFormattedCitation":"(Tanggu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1" w:history="1">
        <w:r w:rsidR="00DB63CC" w:rsidRPr="00DD0A7A">
          <w:rPr>
            <w:rStyle w:val="Hyperlink"/>
            <w:rFonts w:ascii="Calibri Light" w:hAnsi="Calibri Light" w:cs="Calibri Light"/>
            <w:noProof/>
            <w:color w:val="000000" w:themeColor="text1"/>
            <w:sz w:val="24"/>
            <w:szCs w:val="24"/>
            <w:u w:val="none"/>
          </w:rPr>
          <w:t>Kudubun, and Utomo</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5DF97B06" w14:textId="70A5FD23"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practice of catching a partner (Paneta Mawinne) is a customary law adopted by the people of Sumba, East Nusa Tenggara (NTT). The custom of kidnapping brides has been passed down and continues to be carried out by various tribes in remote parts of Sumba Island, especially the Kodi and Wawewa tribes. Traditionally, the practice of capture marriage was mostly done by wealthy men who wanted to propose to the woman they wanted to marry. However, this happens when there is mutual understanding between two parties, namely the male family and the female family. Mutual consent lends significant credibility to the conduct of these capture marriages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a7b9a38a-42c5-4a7e-b603-19cb0fa2b0d4","http://www.mendeley.com/documents/?uuid=844be928-27c3-473e-8198-fd7ce33896f2"]},{"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db7eddb7-2013-4091-8a92-575167fb49f0","http://www.mendeley.com/documents/?uuid=6a1cfa0d-cc30-4dd7-aaee-f6699a09a236"]},{"id":"ITEM-3","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Hukum","id":"ITEM-3","issue":"3","issued":{"date-parts":[["2021"]]},"page":"656-660","title":"Tradisi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9b985bd3-4193-471f-87cd-c9b03000dbd1"]},{"id":"ITEM-4","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W","non-dropping-particle":"","parse-names":false,"suffix":""}],"container-title":"Equalita","id":"ITEM-4","issue":"2","issued":{"date-parts":[["2021"]]},"title":"Kawin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http://www.mendeley.com/documents/?uuid=452ab8a5-2a0f-4003-a320-55b794426b52"]}],"mendeley":{"formattedCitation":"(Bembot &amp; Sermada, 2022; Doko et al., 2021; Kamuri &amp; Toumeluk, 2021; Tanggu et al., 2021)","manualFormatting":"(Bembot and Sermada, 2022; Doko, Suwitra, and Sudibya, 2021; Kamuri and Toumeluk, 2021; Tanggu, Kudubun, and Utomo, 2021)","plainTextFormattedCitation":"(Bembot &amp; Sermada, 2022; Doko et al., 2021; Kamuri &amp; Toumeluk, 2021; Tanggu et al., 2021)","previouslyFormattedCitation":"(Bembot &amp; Sermada, 2022; Doko et al., 2021; Kamuri &amp; Toumeluk,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7" w:history="1">
        <w:r w:rsidR="00DB63CC" w:rsidRPr="00DD0A7A">
          <w:rPr>
            <w:rStyle w:val="Hyperlink"/>
            <w:rFonts w:ascii="Calibri Light" w:hAnsi="Calibri Light" w:cs="Calibri Light"/>
            <w:noProof/>
            <w:color w:val="000000" w:themeColor="text1"/>
            <w:sz w:val="24"/>
            <w:szCs w:val="24"/>
            <w:u w:val="none"/>
          </w:rPr>
          <w:t>Bembot and Sermada</w:t>
        </w:r>
      </w:hyperlink>
      <w:r w:rsidR="00FF16A9"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46F17ED4" w14:textId="6430592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Recently, the tradition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caused a polemic among the public when in June 2020, a viral video showed the arrest of a Sumba woman by </w:t>
      </w:r>
      <w:r w:rsidR="00476E35">
        <w:rPr>
          <w:rFonts w:ascii="Calibri Light" w:hAnsi="Calibri Light" w:cs="Calibri Light"/>
          <w:sz w:val="24"/>
          <w:szCs w:val="24"/>
        </w:rPr>
        <w:t>some</w:t>
      </w:r>
      <w:r w:rsidRPr="00342520">
        <w:rPr>
          <w:rFonts w:ascii="Calibri Light" w:hAnsi="Calibri Light" w:cs="Calibri Light"/>
          <w:sz w:val="24"/>
          <w:szCs w:val="24"/>
        </w:rPr>
        <w:t xml:space="preserve"> men. The woman was loaded into a car and taken by the men to the home of the man who was going to marry her. The same thing happened in another video that went viral on social media in December 2019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NTT)","type":"article-journal","volume":"1"},"uris":["http://www.mendeley.com/documents/?uuid=2afc2e2f-3688-4786-9f89-f26c4d037400","http://www.mendeley.com/documents/?uuid=d43ec093-1845-4a59-ae66-61292b45eafd"]},{"id":"ITEM-2","itemData":{"abstract":"Abstrak: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Tengah","type":"article-journal","volume":"1"},"uris":["http://www.mendeley.com/documents/?uuid=bfe753cc-60eb-4515-a28e-0ff7aa0ce5c1","http://www.mendeley.com/documents/?uuid=fd1504e3-2c70-4e34-a1e3-d667bbdc07c6"]}],"mendeley":{"formattedCitation":"(Kleden, 2017; Mardiani et al., 2021)","manualFormatting":"(Kleden, 2017; Mardiani, Jati Nugroho, and Rogo Yuono, 2021)","plainTextFormattedCitation":"(Kleden, 2017; Mardiani et al., 2021)","previouslyFormattedCitation":"(Kleden, 2017; Mardiani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8" w:history="1">
        <w:r w:rsidR="00DB63CC" w:rsidRPr="00DD0A7A">
          <w:rPr>
            <w:rStyle w:val="Hyperlink"/>
            <w:rFonts w:ascii="Calibri Light" w:hAnsi="Calibri Light" w:cs="Calibri Light"/>
            <w:noProof/>
            <w:color w:val="000000" w:themeColor="text1"/>
            <w:sz w:val="24"/>
            <w:szCs w:val="24"/>
            <w:u w:val="none"/>
          </w:rPr>
          <w:t>Kleden</w:t>
        </w:r>
      </w:hyperlink>
      <w:r w:rsidR="009A2DB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central government, through the </w:t>
      </w:r>
      <w:r w:rsidR="00476E35">
        <w:rPr>
          <w:rFonts w:ascii="Calibri Light" w:hAnsi="Calibri Light" w:cs="Calibri Light"/>
          <w:sz w:val="24"/>
          <w:szCs w:val="24"/>
        </w:rPr>
        <w:t>M</w:t>
      </w:r>
      <w:r w:rsidRPr="00342520">
        <w:rPr>
          <w:rFonts w:ascii="Calibri Light" w:hAnsi="Calibri Light" w:cs="Calibri Light"/>
          <w:sz w:val="24"/>
          <w:szCs w:val="24"/>
        </w:rPr>
        <w:t xml:space="preserve">inister of Women and Child Empowerment, sees this event as a form of violence against women and children </w:t>
      </w:r>
      <w:r w:rsidR="00476E35">
        <w:rPr>
          <w:rFonts w:ascii="Calibri Light" w:hAnsi="Calibri Light" w:cs="Calibri Light"/>
          <w:sz w:val="24"/>
          <w:szCs w:val="24"/>
        </w:rPr>
        <w:t>for</w:t>
      </w:r>
      <w:r w:rsidRPr="00342520">
        <w:rPr>
          <w:rFonts w:ascii="Calibri Light" w:hAnsi="Calibri Light" w:cs="Calibri Light"/>
          <w:sz w:val="24"/>
          <w:szCs w:val="24"/>
        </w:rPr>
        <w:t xml:space="preserve"> cultural reasons. The same thing was conveyed by Komnas women wh</w:t>
      </w:r>
      <w:r w:rsidR="00476E35">
        <w:rPr>
          <w:rFonts w:ascii="Calibri Light" w:hAnsi="Calibri Light" w:cs="Calibri Light"/>
          <w:sz w:val="24"/>
          <w:szCs w:val="24"/>
        </w:rPr>
        <w:t>o</w:t>
      </w:r>
      <w:r w:rsidRPr="00342520">
        <w:rPr>
          <w:rFonts w:ascii="Calibri Light" w:hAnsi="Calibri Light" w:cs="Calibri Light"/>
          <w:sz w:val="24"/>
          <w:szCs w:val="24"/>
        </w:rPr>
        <w:t xml:space="preserve"> considered arrest marriage as a form of sexual harassment against women as forced marriage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rights","type":"article-journal","volume":"14"},"uris":["http://www.mendeley.com/documents/?uuid=f355972a-c26e-42e8-8936-f9d189f5b0ff","http://www.mendeley.com/documents/?uuid=8a91f171-814c-43fb-b0cf-a3e77bbeba2d"]},{"id":"ITEM-2","itemData":{"abstract":"Discrimination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Sumba","type":"article-journal","volume":"18"},"uris":["http://www.mendeley.com/documents/?uuid=844092fa-ed6a-4b74-ac73-58a2887f50ea","http://www.mendeley.com/documents/?uuid=e959fb75-3af4-4d2c-b50a-958f41659556"]},{"id":"ITEM-3","itemData":{"ISSN":"2774-5872","abstract":"The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Fundamental","id":"ITEM-3","issue":"1","issued":{"date-parts":[["2021"]]},"title":"Tinjauan Kriminologis Budaya Nusa Tenggara Barat Tradisi Kawin Tangkap (Piti Rambang) Criminological Review of West Nusa Tenggara Culture Marriage Tradition (Piti Rambang)","type":"article-journal","volume":"10"},"uris":["http://www.mendeley.com/documents/?uuid=de4da6f3-9ee0-4091-bec6-1d983eaa2cad","http://www.mendeley.com/documents/?uuid=0d6af387-56f0-431d-8dee-45abed44783d"]},{"id":"ITEM-4","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Syariah","id":"ITEM-4","issue":"1","issued":{"date-parts":[["2022"]]},"page":"77-87","title":"Forced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http://www.mendeley.com/documents/?uuid=dedf4bbd-f84a-4c9d-8c08-866a6e10a9d1"]}],"mendeley":{"formattedCitation":"(Ati, 2021; Bire et al., 2023; Campmajó, 2020; Subeitan, 2022)","manualFormatting":"(Ati, 2021; Bire et al. 2023; Campmajó, 2020; Subeitan, 2022)","plainTextFormattedCitation":"(Ati, 2021; Bire et al., 2023; Campmajó, 2020; Subeitan, 2022)","previouslyFormattedCitation":"(Ati, 2021; Bire et al., 2023; Campmajó, 2020;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8" w:history="1">
        <w:r w:rsidR="00DB63CC" w:rsidRPr="00DD0A7A">
          <w:rPr>
            <w:rStyle w:val="Hyperlink"/>
            <w:rFonts w:ascii="Calibri Light" w:hAnsi="Calibri Light" w:cs="Calibri Light"/>
            <w:noProof/>
            <w:color w:val="000000" w:themeColor="text1"/>
            <w:sz w:val="24"/>
            <w:szCs w:val="24"/>
            <w:u w:val="none"/>
          </w:rPr>
          <w:t>Bire et al</w:t>
        </w:r>
      </w:hyperlink>
      <w:r w:rsidR="00DB63CC" w:rsidRPr="00DD0A7A">
        <w:rPr>
          <w:rFonts w:ascii="Calibri Light" w:hAnsi="Calibri Light" w:cs="Calibri Light"/>
          <w:noProof/>
          <w:color w:val="000000" w:themeColor="text1"/>
          <w:sz w:val="24"/>
          <w:szCs w:val="24"/>
        </w:rPr>
        <w:t>. 2023)</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399B6934" w14:textId="04BCEB88"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Capture marriage serves as a means to promote propaganda against women </w:t>
      </w:r>
      <w:r w:rsidRPr="003425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Hukum","id":"ITEM-1","issue":"1","issued":{"date-parts":[["2023"]]},"page":"131-141","title":"Perlindungan Hak Perempuan Berdasarkan Cedaw Dalam Tradisi Kawin Tangkap Di Sumba","type":"article-journal","volume":"18"},"uris":["http://www.mendeley.com/documents/?uuid=e959fb75-3af4-4d2c-b50a-958f41659556","http://www.mendeley.com/documents/?uuid=844092fa-ed6a-4b74-ac73-58a2887f50ea"]}],"mendeley":{"formattedCitation":"(Bire et al., 2023)","plainTextFormattedCitation":"(Bire et al., 2023)","previouslyFormattedCitation":"(Bire et al., 2023)"},"properties":{"noteIndex":0},"schema":"https://github.com/citation-style-language/schema/raw/master/csl-citation.json"}</w:instrText>
      </w:r>
      <w:r w:rsidRPr="00342520">
        <w:rPr>
          <w:rFonts w:ascii="Calibri Light" w:hAnsi="Calibri Light" w:cs="Calibri Light"/>
          <w:sz w:val="24"/>
          <w:szCs w:val="24"/>
        </w:rPr>
        <w:fldChar w:fldCharType="separate"/>
      </w:r>
      <w:r w:rsidR="006420BA" w:rsidRPr="006420BA">
        <w:rPr>
          <w:rFonts w:ascii="Calibri Light" w:hAnsi="Calibri Light" w:cs="Calibri Light"/>
          <w:noProof/>
          <w:sz w:val="24"/>
          <w:szCs w:val="24"/>
        </w:rPr>
        <w:t>(Bire et al.,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Muhdi views the practice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in Islamic law 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prohibited religion </w:t>
      </w:r>
      <w:r w:rsidRPr="00DD0A7A">
        <w:rPr>
          <w:rFonts w:ascii="Calibri Light" w:hAnsi="Calibri Light" w:cs="Calibri Light"/>
          <w:color w:val="000000" w:themeColor="text1"/>
          <w:sz w:val="24"/>
          <w:szCs w:val="24"/>
          <w:u w:val="single"/>
        </w:rPr>
        <w:fldChar w:fldCharType="begin" w:fldLock="1"/>
      </w:r>
      <w:r w:rsidR="006420BA" w:rsidRPr="00DD0A7A">
        <w:rPr>
          <w:rFonts w:ascii="Calibri Light" w:hAnsi="Calibri Light" w:cs="Calibri Light"/>
          <w:color w:val="000000" w:themeColor="text1"/>
          <w:sz w:val="24"/>
          <w:szCs w:val="24"/>
          <w:u w:val="single"/>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Islam","type":"article-journal","volume":"3"},"uris":["http://www.mendeley.com/documents/?uuid=ff641e0b-9889-4282-ae4e-c25cee751de5","http://www.mendeley.com/documents/?uuid=7bed0cea-6e60-4219-8016-c0097c0f6312"]}],"mendeley":{"formattedCitation":"(Indrama, 2022)","manualFormatting":"(Indrama, 2022)","plainTextFormattedCitation":"(Indrama, 2022)","previouslyFormattedCitation":"(Indrama, 2022)"},"properties":{"noteIndex":0},"schema":"https://github.com/citation-style-language/schema/raw/master/csl-citation.json"}</w:instrText>
      </w:r>
      <w:r w:rsidRPr="00DD0A7A">
        <w:rPr>
          <w:rFonts w:ascii="Calibri Light" w:hAnsi="Calibri Light" w:cs="Calibri Light"/>
          <w:color w:val="000000" w:themeColor="text1"/>
          <w:sz w:val="24"/>
          <w:szCs w:val="24"/>
          <w:u w:val="single"/>
        </w:rPr>
        <w:fldChar w:fldCharType="separate"/>
      </w:r>
      <w:r w:rsidR="00DB63CC" w:rsidRPr="00DD0A7A">
        <w:rPr>
          <w:rFonts w:ascii="Calibri Light" w:hAnsi="Calibri Light" w:cs="Calibri Light"/>
          <w:noProof/>
          <w:color w:val="000000" w:themeColor="text1"/>
          <w:sz w:val="24"/>
          <w:szCs w:val="24"/>
          <w:u w:val="single"/>
        </w:rPr>
        <w:t>(</w:t>
      </w:r>
      <w:hyperlink w:anchor="no15" w:history="1">
        <w:r w:rsidR="00DB63CC" w:rsidRPr="00DD0A7A">
          <w:rPr>
            <w:rStyle w:val="Hyperlink"/>
            <w:rFonts w:ascii="Calibri Light" w:hAnsi="Calibri Light" w:cs="Calibri Light"/>
            <w:noProof/>
            <w:color w:val="000000" w:themeColor="text1"/>
            <w:sz w:val="24"/>
            <w:szCs w:val="24"/>
          </w:rPr>
          <w:t>Indrama</w:t>
        </w:r>
      </w:hyperlink>
      <w:r w:rsidR="00F26AA7" w:rsidRPr="00DD0A7A">
        <w:rPr>
          <w:rFonts w:ascii="Calibri Light" w:hAnsi="Calibri Light" w:cs="Calibri Light"/>
          <w:noProof/>
          <w:color w:val="000000" w:themeColor="text1"/>
          <w:sz w:val="24"/>
          <w:szCs w:val="24"/>
          <w:u w:val="single"/>
        </w:rPr>
        <w:t>,</w:t>
      </w:r>
      <w:r w:rsidR="00DB63CC" w:rsidRPr="00DD0A7A">
        <w:rPr>
          <w:rFonts w:ascii="Calibri Light" w:hAnsi="Calibri Light" w:cs="Calibri Light"/>
          <w:noProof/>
          <w:color w:val="000000" w:themeColor="text1"/>
          <w:sz w:val="24"/>
          <w:szCs w:val="24"/>
          <w:u w:val="single"/>
        </w:rPr>
        <w:t xml:space="preserve"> 2022)</w:t>
      </w:r>
      <w:r w:rsidRPr="00DD0A7A">
        <w:rPr>
          <w:rFonts w:ascii="Calibri Light" w:hAnsi="Calibri Light" w:cs="Calibri Light"/>
          <w:color w:val="000000" w:themeColor="text1"/>
          <w:sz w:val="24"/>
          <w:szCs w:val="24"/>
          <w:u w:val="single"/>
        </w:rPr>
        <w:fldChar w:fldCharType="end"/>
      </w:r>
      <w:r w:rsidRPr="00342520">
        <w:rPr>
          <w:rFonts w:ascii="Calibri Light" w:hAnsi="Calibri Light" w:cs="Calibri Light"/>
          <w:sz w:val="24"/>
          <w:szCs w:val="24"/>
        </w:rPr>
        <w:t xml:space="preserve">. Matchmaking practices can be influenced by various factors such as family finances, social standing, education, and cultural values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Timur","type":"article-journal","volume":"7"},"uris":["http://www.mendeley.com/documents/?uuid=fc9cb3de-c809-4ab7-96d7-16ccaa9c7a23","http://www.mendeley.com/documents/?uuid=8d3861f3-8bc2-454c-8230-2ab5f562c90f"]}],"mendeley":{"formattedCitation":"(Sanjaya &amp; Rahardi, 2021)","manualFormatting":"(Sanjaya and Rahardi, 2021)","plainTextFormattedCitation":"(Sanjaya &amp; Rahardi, 2021)","previouslyFormattedCitation":"(Sanjaya &amp; Rahardi,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6" w:history="1">
        <w:r w:rsidR="00DB63CC" w:rsidRPr="00DD0A7A">
          <w:rPr>
            <w:rStyle w:val="Hyperlink"/>
            <w:rFonts w:ascii="Calibri Light" w:hAnsi="Calibri Light" w:cs="Calibri Light"/>
            <w:noProof/>
            <w:color w:val="000000" w:themeColor="text1"/>
            <w:sz w:val="24"/>
            <w:szCs w:val="24"/>
            <w:u w:val="none"/>
          </w:rPr>
          <w:t>Sanjaya and</w:t>
        </w:r>
      </w:hyperlink>
      <w:r w:rsidR="00DB63CC" w:rsidRPr="00DD0A7A">
        <w:rPr>
          <w:rFonts w:ascii="Calibri Light" w:hAnsi="Calibri Light" w:cs="Calibri Light"/>
          <w:noProof/>
          <w:color w:val="000000" w:themeColor="text1"/>
          <w:sz w:val="24"/>
          <w:szCs w:val="24"/>
        </w:rPr>
        <w:t xml:space="preserve"> </w:t>
      </w:r>
      <w:hyperlink w:anchor="no26" w:history="1">
        <w:r w:rsidR="00DB63CC" w:rsidRPr="00DD0A7A">
          <w:rPr>
            <w:rStyle w:val="Hyperlink"/>
            <w:rFonts w:ascii="Calibri Light" w:hAnsi="Calibri Light" w:cs="Calibri Light"/>
            <w:noProof/>
            <w:color w:val="000000" w:themeColor="text1"/>
            <w:sz w:val="24"/>
            <w:szCs w:val="24"/>
            <w:u w:val="none"/>
          </w:rPr>
          <w:t>Rahardi</w:t>
        </w:r>
      </w:hyperlink>
      <w:r w:rsidR="0084196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According to Johanis Putratama, the practice of captive marriage on Sumba Island involves a hegemonic process influenced by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patriarchal society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Timur","type":"article-journal","volume":"6"},"uris":["http://www.mendeley.com/documents/?uuid=db7eddb7-2013-4091-8a92-575167fb49f0","http://www.mendeley.com/documents/?uuid=6a1cfa0d-cc30-4dd7-aaee-f6699a09a236"]}],"mendeley":{"formattedCitation":"(Kamuri &amp; Toumeluk, 2021)","manualFormatting":"(Kamuri and Toumeluk, 2021)","plainTextFormattedCitation":"(Kamuri &amp; Toumeluk, 2021)","previouslyFormattedCitation":"(Kamuri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7" w:history="1">
        <w:r w:rsidR="00DB63CC" w:rsidRPr="00DD0A7A">
          <w:rPr>
            <w:rStyle w:val="Hyperlink"/>
            <w:rFonts w:ascii="Calibri Light" w:hAnsi="Calibri Light" w:cs="Calibri Light"/>
            <w:noProof/>
            <w:color w:val="000000" w:themeColor="text1"/>
            <w:sz w:val="24"/>
            <w:szCs w:val="24"/>
            <w:u w:val="none"/>
          </w:rPr>
          <w:t>Kamuri and</w:t>
        </w:r>
      </w:hyperlink>
      <w:r w:rsidR="00DB63CC" w:rsidRPr="00DD0A7A">
        <w:rPr>
          <w:rFonts w:ascii="Calibri Light" w:hAnsi="Calibri Light" w:cs="Calibri Light"/>
          <w:noProof/>
          <w:color w:val="000000" w:themeColor="text1"/>
          <w:sz w:val="24"/>
          <w:szCs w:val="24"/>
        </w:rPr>
        <w:t xml:space="preserve"> </w:t>
      </w:r>
      <w:hyperlink w:anchor="no17" w:history="1">
        <w:r w:rsidR="00DB63CC" w:rsidRPr="00DD0A7A">
          <w:rPr>
            <w:rStyle w:val="Hyperlink"/>
            <w:rFonts w:ascii="Calibri Light" w:hAnsi="Calibri Light" w:cs="Calibri Light"/>
            <w:noProof/>
            <w:color w:val="000000" w:themeColor="text1"/>
            <w:sz w:val="24"/>
            <w:szCs w:val="24"/>
            <w:u w:val="none"/>
          </w:rPr>
          <w:t>Toumeluk</w:t>
        </w:r>
      </w:hyperlink>
      <w:r w:rsidR="00B35C5A"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According to Martha Mardiani, the practice of forced marriage has become outdated in today's society because it limits women's autonomy </w:t>
      </w:r>
      <w:r w:rsidRPr="00DD0A7A">
        <w:rPr>
          <w:rFonts w:ascii="Calibri Light" w:hAnsi="Calibri Light" w:cs="Calibri Light"/>
          <w:color w:val="000000" w:themeColor="text1"/>
          <w:sz w:val="24"/>
          <w:szCs w:val="24"/>
        </w:rPr>
        <w:fldChar w:fldCharType="begin" w:fldLock="1"/>
      </w:r>
      <w:r w:rsidR="006931F9">
        <w:rPr>
          <w:rFonts w:ascii="Calibri Light" w:hAnsi="Calibri Light" w:cs="Calibri Light"/>
          <w:color w:val="000000" w:themeColor="text1"/>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Tengah","type":"article-journal","volume":"1"},"uris":["http://www.mendeley.com/documents/?uuid=bfe753cc-60eb-4515-a28e-0ff7aa0ce5c1","http://www.mendeley.com/documents/?uuid=fd1504e3-2c70-4e34-a1e3-d667bbdc07c6"]}],"mendeley":{"formattedCitation":"(Mardiani et al., 2021)","manualFormatting":"(Mardiani, Jati, 2021)","plainTextFormattedCitation":"(Mardiani et al., 2021)","previouslyFormattedCitation":"(Mardiani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2" w:history="1">
        <w:r w:rsidR="00DB63CC" w:rsidRPr="00DD0A7A">
          <w:rPr>
            <w:rStyle w:val="Hyperlink"/>
            <w:rFonts w:ascii="Calibri Light" w:hAnsi="Calibri Light" w:cs="Calibri Light"/>
            <w:noProof/>
            <w:color w:val="000000" w:themeColor="text1"/>
            <w:sz w:val="24"/>
            <w:szCs w:val="24"/>
            <w:u w:val="none"/>
          </w:rPr>
          <w:t>Jati</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same thing was also conveyed by Astrid Budi Ati who explained that the customary practice of marriage and kidnapping in Sumba creates an unfavorable position for women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Rambang)","type":"article-journal","volume":"10"},"uris":["http://www.mendeley.com/documents/?uuid=de4da6f3-9ee0-4091-bec6-1d983eaa2cad","http://www.mendeley.com/documents/?uuid=0d6af387-56f0-431d-8dee-45abed44783d"]}],"mendeley":{"formattedCitation":"(Ati, 2021)","manualFormatting":"(Ati, 2021)","plainTextFormattedCitation":"(Ati, 2021)","previouslyFormattedCitation":"(Ati,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6" w:history="1">
        <w:r w:rsidR="00DB63CC" w:rsidRPr="00DD0A7A">
          <w:rPr>
            <w:rStyle w:val="Hyperlink"/>
            <w:rFonts w:ascii="Calibri Light" w:hAnsi="Calibri Light" w:cs="Calibri Light"/>
            <w:noProof/>
            <w:color w:val="000000" w:themeColor="text1"/>
            <w:sz w:val="24"/>
            <w:szCs w:val="24"/>
            <w:u w:val="none"/>
          </w:rPr>
          <w:t>Ati</w:t>
        </w:r>
      </w:hyperlink>
      <w:r w:rsidR="001D4763"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1A1FAFBB" w14:textId="0B1CD9A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Timur)","type":"article-journal","volume":"10"},"uris":["http://www.mendeley.com/documents/?uuid=30f50bc8-b26c-49cf-9322-5afaa7d42a2d","http://www.mendeley.com/documents/?uuid=e05aacee-b3cb-481e-aa68-f1b22333dde8"]}],"mendeley":{"formattedCitation":"(Toriq, 2023)","manualFormatting":"(Toriq, 2023)","plainTextFormattedCitation":"(Toriq, 2023)","previouslyFormattedCitation":"(Toriq,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3" w:history="1">
        <w:r w:rsidR="00DB63CC" w:rsidRPr="00DD0A7A">
          <w:rPr>
            <w:rStyle w:val="Hyperlink"/>
            <w:rFonts w:ascii="Calibri Light" w:hAnsi="Calibri Light" w:cs="Calibri Light"/>
            <w:noProof/>
            <w:color w:val="000000" w:themeColor="text1"/>
            <w:sz w:val="24"/>
            <w:szCs w:val="24"/>
            <w:u w:val="none"/>
          </w:rPr>
          <w:t>Toriq</w:t>
        </w:r>
      </w:hyperlink>
      <w:r w:rsidR="00DE6B26"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In addition to the social and cultural dimensions, questions arise regarding the suitability of the institution of marriage with the teachings and doctrines of fiqh adopted by certain individuals in Sumba. Islam enforces strict marriage rules and ethics governing the protocol of the rights and responsibilities of married individuals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Masyarakat","type":"article-journal","volume":"24"},"uris":["http://www.mendeley.com/documents/?uuid=72054606-1b04-4e94-bdcd-d1c59ce9538a","http://www.mendeley.com/documents/?uuid=fc2bcb86-3f6a-46ec-b351-d57124ef5a83"]}],"mendeley":{"formattedCitation":"(Hakim, 2021)","manualFormatting":"(Hakim, 2021)","plainTextFormattedCitation":"(Hakim, 2021)","previouslyFormattedCitation":"(Hakim,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3" w:history="1">
        <w:r w:rsidR="00DB63CC" w:rsidRPr="00DD0A7A">
          <w:rPr>
            <w:rStyle w:val="Hyperlink"/>
            <w:rFonts w:ascii="Calibri Light" w:hAnsi="Calibri Light" w:cs="Calibri Light"/>
            <w:noProof/>
            <w:color w:val="000000" w:themeColor="text1"/>
            <w:sz w:val="24"/>
            <w:szCs w:val="24"/>
            <w:u w:val="none"/>
          </w:rPr>
          <w:t>Hakim</w:t>
        </w:r>
      </w:hyperlink>
      <w:r w:rsidR="00DE6B26"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Therefore, it is important to examine the Islamic legal viewpoint regarding this activity and ensure its conformity with Islamic sharia or vice versa</w:t>
      </w:r>
      <w:r w:rsidR="00BD2502">
        <w:rPr>
          <w:rFonts w:ascii="Calibri Light" w:hAnsi="Calibri Light" w:cs="Calibri Light"/>
          <w:sz w:val="24"/>
          <w:szCs w:val="24"/>
        </w:rPr>
        <w:t xml:space="preserve"> </w:t>
      </w:r>
      <w:r w:rsidR="00BD2502">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{"citationItems":[{"id":"ITEM-1","itemData":{"author":[{"dropping-particle":"","family":"Muthoifin, Rachmadie","given":"Fawazzanne Typhano","non-dropping-particle":"","parse-names":false,"suffix":""},{"dropping-particle":"","family":"Apriantoro","given":"Muhamad Subhi","non-dropping-particle":"","parse-names":false,"suffix":""},{"dropping-particle":"","family":"Nirwana","given":"Andri","non-dropping-particle":"","parse-names":false,"suffix":""},{"dropping-particle":"","family":"Bernardlauwers","given":"B","non-dropping-particle":"","parse-names":false,"suffix":""}],"container-title":"Journal of Lifestyle and SDG'S Review","id":"ITEM-1","issued":{"date-parts":[["2025"]]},"page":"1-24","title":"BIBLIOMETRIC ANALYSIS OF THE SOCIALIZATION OF ISLAMIC INHERITANCE LAW IN THE SCOPUS DATABASE AND ITS CONTRIBUTION TO SUSTAINABLE DEVELOPMENT GOALS ( SDGS )","type":"article-journal","volume":"5"},"uris":["http://www.mendeley.com/documents/?uuid=9b85acd9-65cc-4d16-8eea-28644e4067a4"]},{"id":"ITEM-2","itemData":{"DOI":"10.22521/edupij.2025.14.12","ISSN":"25648020","abstract":"Background/purpose. Recent developments in information and communication technology have opened up many new opportunities in various research fields, including religious studies (Burton, 2020). One of the most notable innovations was integrating artificial intelligence and deep learning in religious studies, including Quranic education and research. This study conducted a bibliometric analysis of Quranic education and research integrating deep learning and artificial intelligence. The study evaluated five key indicators in bibliometrics: scientific production, authors, country level, affiliations, and sources or journals. Materials/methods. Data were collected from the Scopus database using Boolean search, and the final data set included 244 studies published between 1966 and 2024. Data were analyzed using R/R-Studio, VOSViewer, and Microsoft Excel software. Results. The results showed that most publications were from the United States, the United Kingdom, and China, with the University of Michigan and Ann Arbor as the most productive institutions. The analysis also revealed that publications integrating DL and AI in Quranic research peaked in 2023. Network visualization identified three main clusters that illustrate the relationship between terms and concepts, with keywords such as \"religion\" and \"Artificial Intelligence\" being the most frequently discussed topics. Conclusion. The study provides significant methodological insights for researchers interested in integrating AI and DL in religious research and encourages further research.","author":[{"dropping-particle":"","family":"An","given":"Andri Nirwana","non-dropping-particle":"","parse-names":false,"suffix":""},{"dropping-particle":"","family":"Tamami","given":"Fauziyah Qurrota Ayun","non-dropping-particle":"","parse-names":false,"suffix":""},{"dropping-particle":"","family":"Daud","given":"Zainora","non-dropping-particle":"","parse-names":false,"suffix":""},{"dropping-particle":"","family":"Salleh","given":"Norsaleha Mohd","non-dropping-particle":"","parse-names":false,"suffix":""},{"dropping-particle":"bin","family":"Ishak","given":"Mohamad Haeqal","non-dropping-particle":"","parse-names":false,"suffix":""},{"dropping-particle":"","family":"Muthoifin","given":"Muthoifin","non-dropping-particle":"","parse-names":false,"suffix":""}],"container-title":"Educational Process: International Journal","id":"ITEM-2","issued":{"date-parts":[["2025"]]},"title":"Understanding the Integration of Deep Learning and Artificial Intelligence in Quranic Education and Research through Bibliometric Analysis","type":"article-journal","volume":"14"},"uris":["http://www.mendeley.com/documents/?uuid=91b48788-6550-4a1a-abaa-4c8cb8fb00cc"]},{"id":"ITEM-3","itemData":{"DOI":"10.47172/2965-730X.SDGsReview.v5.n01.pe03067","ISSN":"2965730X","abstract":"Objectives: This study examines the implementation of Islamic economic principles in the application of transaction contracts within Islamic banking systems. Unlike conventional banking, Islamic banking operates based on Shariah principles, emphasizing transparency, fairness, and the prohibition of riba (usury) and gharar (excessive uncertainty). Theoretical Framework: The theoretical framework is grounded in Shariah economic principles, which provide guidelines for permissible transactions in Islamic banking. By focusing on sales contracts, the research highlights the mechanisms used by Islamic banks to ensure compliance with Shariah principles, such as periodic payment structures without interest and pre-agreed profit-sharing arrangements. Method: The study adopts a qualitative approach, utilizing literature review methods to collect and analyze relevant data. Results and Discussion: The findings reveal that Islamic banking successfully integrates Shariah economic principles into its transaction models, differentiating itself from conventional loan-based systems. For instance, in sales contracts, payments are structured without interest, ensuring compliance with the prohibition of riba. Additionally, profit-sharing agreements established at the outset of transactions provide clarity and fairness, eliminating elements of gharar. Research Implications: The implications of this study are significant for the development of Islamic banking. The adoption of Shariah-compliant contracts not only ensures adherence to Islamic principles but also offers a viable alternative to conventional banking, potentially empowering Muslims to reclaim a leading role in the global financial landscape. Moreover, the transparent and ethical practices of Islamic banking could appeal to a broader audience, fostering inclusivity and trust. Novelty/Originality: The novelty of this research lies in its focus on the operationalization of trust-based sales contracts in Islamic banking and their alignment with Shariah principles. By highlighting the practical implementation of these contracts, this study contributes to the broader understanding of how Islamic banking can provide ethical and sustainable financial solutions. It also underscores the transformative potential of Islamic economics in shaping a just and equitable banking system.","author":[{"dropping-particle":"","family":"Muthoifin","given":"","non-dropping-particle":"","parse-names":false,"suffix":""},{"dropping-particle":"","family":"Marshal","given":"Fahmi Dolles","non-dropping-particle":"","parse-names":false,"suffix":""},{"dropping-particle":"","family":"Andri","given":"Nirwana A.N.","non-dropping-particle":"","parse-names":false,"suffix":""},{"dropping-particle":"","family":"Hakim","given":"Lukmanul","non-dropping-particle":"","parse-names":false,"suffix":""},{"dropping-particle":"","family":"Heravi","given":"Sayed Jamal Ud Din","non-dropping-particle":"","parse-names":false,"suffix":""},{"dropping-particle":"","family":"Zinah","given":"Manshur Mahmud Abu","non-dropping-particle":"","parse-names":false,"suffix":""},{"dropping-particle":"","family":"Saib","given":"Amel","non-dropping-particle":"","parse-names":false,"suffix":""}],"container-title":"Journal of Lifestyle and SDG'S Review","id":"ITEM-3","issue":"1","issued":{"date-parts":[["2025"]]},"page":"1-23","title":"Islamic Banking: a Comprehensive Review of the Definition, Strategy, Legal Framework, and Practice of Contracts in the Modern Financial System","type":"article-journal","volume":"5"},"uris":["http://www.mendeley.com/documents/?uuid=0d901b3f-315e-49d5-8bce-8bde5ea82bab"]}],"mendeley":{"formattedCitation":"(An et al., 2025; Muthoifin, Rachmadie et al., 2025; Muthoifin, Marshal, et al., 2025)","manualFormatting":"(Rachmadie et al., 2025)","plainTextFormattedCitation":"(An et al., 2025; Muthoifin, Rachmadie et al., 2025; Muthoifin, Marshal, et al., 2025)","previouslyFormattedCitation":"(An et al., 2025; Muthoifin, Rachmadie et al., 2025; Muthoifin, Marshal, et al., 2025)"},"properties":{"noteIndex":0},"schema":"https://github.com/citation-style-language/schema/raw/master/csl-citation.json"}</w:instrText>
      </w:r>
      <w:r w:rsidR="00BD2502">
        <w:rPr>
          <w:rFonts w:ascii="Calibri Light" w:hAnsi="Calibri Light" w:cs="Calibri Light"/>
          <w:sz w:val="24"/>
          <w:szCs w:val="24"/>
        </w:rPr>
        <w:fldChar w:fldCharType="separate"/>
      </w:r>
      <w:r w:rsidR="006420BA" w:rsidRPr="006420BA">
        <w:rPr>
          <w:rFonts w:ascii="Calibri Light" w:hAnsi="Calibri Light" w:cs="Calibri Light"/>
          <w:noProof/>
          <w:sz w:val="24"/>
          <w:szCs w:val="24"/>
        </w:rPr>
        <w:t>(Rachmadie et al., 2025)</w:t>
      </w:r>
      <w:r w:rsidR="00BD2502">
        <w:rPr>
          <w:rFonts w:ascii="Calibri Light" w:hAnsi="Calibri Light" w:cs="Calibri Light"/>
          <w:sz w:val="24"/>
          <w:szCs w:val="24"/>
        </w:rPr>
        <w:fldChar w:fldCharType="end"/>
      </w:r>
      <w:r w:rsidRPr="00342520">
        <w:rPr>
          <w:rFonts w:ascii="Calibri Light" w:hAnsi="Calibri Light" w:cs="Calibri Light"/>
          <w:sz w:val="24"/>
          <w:szCs w:val="24"/>
        </w:rPr>
        <w:t>.</w:t>
      </w:r>
    </w:p>
    <w:p w14:paraId="4CA5697B" w14:textId="4E14A527" w:rsid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{"citationItems":[{"id":"ITEM-1","itemData":{"DOI":"10.47172/2965-730X.SDGsReview.v5.n02.pe01737","ISSN":"2965730X","abstract":"Objective: The objective of this research is to examine the relationship between Islamic education, female literacy, and socioeconomic conditions from 1880 to 2024 through a bibliometric analysis to map the academic landscape, pinpoint important publications, noteworthy authors, important trends, and topic clusters, and offer suggestions for future lines of inquiry. Theoretical Framework: To comprehend the development and present status of research, the study integrates document and network assessment using bibliometric analysis. It is based on theories of socioeconomic development, gender studies, and educational sociology, especially as they relate to Islamic contexts. Method: Employing information from a Boolean query on the Scopus database, a quantitative method is used. R/R-Studio, VOSviewer, and Microsoft Excel are examples of analysis tools. The analysis looks at major publications, prominent writers, theme clusters, geographical spread, and important trends. Results and Discussion: Prominent journals, high-impact publications, and significant contributors are evident from the results. Substantial contributions from Malaysia, the US, and Indonesia-related subjects include female literacy, socioeconomics, and education. Offering insights into policy and educational practices, the debate emphasizes the multidisciplinary aspect of the research and the significance of Islamic education in influencing female literacy and socioeconomic results. Research Implications: The research points up gaps in the literature and recommends topics for more investigation. Researchers and policymakers can use the analysis's insights to help advance female literacy and socioeconomic development within Islamic schools. Originality/Value: Employing a rigorous and historical methodological approach, this study offers a comprehensive assessment of the current status of research in this field. It provides distinctive perspectives and is an invaluable tool for scholars, instructors, and decision-makers.","author":[{"dropping-particle":"","family":"Muthoifin","given":"","non-dropping-particle":"","parse-names":false,"suffix":""},{"dropping-particle":"","family":"Khondoker","given":"Saif Uddin Ahmed","non-dropping-particle":"","parse-names":false,"suffix":""},{"dropping-particle":"","family":"Mahmudulhassan","given":"","non-dropping-particle":"","parse-names":false,"suffix":""},{"dropping-particle":"","family":"Waston","given":"","non-dropping-particle":"","parse-names":false,"suffix":""},{"dropping-particle":"","family":"Nirwana","given":"Andri","non-dropping-particle":"","parse-names":false,"suffix":""},{"dropping-particle":"","family":"Ardiansyah","given":"","non-dropping-particle":"","parse-names":false,"suffix":""},{"dropping-particle":"","family":"Dani","given":"Akhmad Anwar","non-dropping-particle":"","parse-names":false,"suffix":""}],"container-title":"Journal of Lifestyle and SDG'S Review","id":"ITEM-1","issue":"2","issued":{"date-parts":[["2025"]]},"page":"1-20","title":"Women, Islamic Education, and Socioeconomics for the Sustainable Development Goals (Sdgs): a Bibliometric Study of Understanding From 1880 To 2024","type":"article-journal","volume":"5"},"uris":["http://www.mendeley.com/documents/?uuid=92dc45d9-69d8-4b3e-a09e-4efe68715b13"]},{"id":"ITEM-2","itemData":{"DOI":"10.53935/jomw.v2024i4.673","ISBN":"9798400203640","author":[{"dropping-particle":"","family":"Muthoifin, Oktatianti","given":"Tina","non-dropping-particle":"","parse-names":false,"suffix":""},{"dropping-particle":"","family":"Afiyah","given":"Ishmah","non-dropping-particle":"","parse-names":false,"suffix":""},{"dropping-particle":"","family":"Astuti","given":"Ari Aji","non-dropping-particle":"","parse-names":false,"suffix":""},{"dropping-particle":"","family":"Nirwana","given":"Andri","non-dropping-particle":"","parse-names":false,"suffix":""},{"dropping-particle":"","family":"Geraldine","given":"Edwards","non-dropping-particle":"","parse-names":false,"suffix":""},{"dropping-particle":"","family":"Kingdom","given":"United","non-dropping-particle":"","parse-names":false,"suffix":""}],"container-title":"Journal of Management World","id":"ITEM-2","issue":"1","issued":{"date-parts":[["2025"]]},"page":"341-350","title":"The Election and the Criteria for Ideal Leaders : A Leadership Management Study Based on the Principles of Justice and Wisdom","type":"article-journal","volume":"1"},"uris":["http://www.mendeley.com/documents/?uuid=ac5367fb-0941-4ac1-9239-63b887cf079a"]},{"id":"ITEM-3","itemData":{"DOI":"10.48161/qaj.v4n4a981","ISSN":"27098206","abstract":"The study aims to examine patterns, subjects, and developments in scholarly works concerning Quranic studies and contemporary technology between the years 2000 and 2024. A thorough bibliometric analysis was used in the study, utilizing information from 1,225 publications from 668 sources that were indexed in Scopus. The information was gathered using keywords like “Quran,” “technology,” “computer,” “internet,” “digital,” and “science.” R/R-Studio was used for document and citation analysis, VOSviewer was used for network visualizations, and Microsoft Excel was used for data administration. The findings show noteworthy trends in the theme groupings, authorship patterns, and annual publishing rates. With an average of 5.081 citations per document and an average document age of 6.94 years, the study indicated an annual growth rate of 9.42%. 2,708 authors in all made contributions to the topic, with 10.45% of them collaborating internationally. Important phrases like “Quran,” \"ontology,” and “engineering education” became crucial to narrowly targeted study projects. Leading contributors were found to be Malaysia, Indonesia, and Turkey, with research activity peaking between 2015 and 2022. The study provides insightful suggestions for future research possibilities while highlighting the transnational and collaborative nature of present Quranic studies and modern technology research. Future research should focus on enhancing multidisciplinary collaboration and leveraging advanced visualization tools to further refine research focus and effectiveness. These results offer important new perspectives on resource allocation in this dynamic field for academics and policymakers.","author":[{"dropping-particle":"","family":"Andri Nirwana","given":"A. N.","non-dropping-particle":"","parse-names":false,"suffix":""},{"dropping-particle":"","family":"Mahmudulhassan","given":"","non-dropping-particle":"","parse-names":false,"suffix":""},{"dropping-particle":"","family":"Ali","given":"Mohamad","non-dropping-particle":"","parse-names":false,"suffix":""},{"dropping-particle":"","family":"Muthoifin","given":"","non-dropping-particle":"","parse-names":false,"suffix":""},{"dropping-particle":"","family":"Waston","given":"","non-dropping-particle":"","parse-names":false,"suffix":""},{"dropping-particle":"","family":"Senathirajah","given":"Abdul Rahman Bin S.","non-dropping-particle":"","parse-names":false,"suffix":""}],"container-title":"Qubahan Academic Journal","id":"ITEM-3","issue":"4","issued":{"date-parts":[["2024"]]},"page":"178-190","title":"The Intersection of Quranic Studies and Modern Technology: A Bibliometric Analysis of Academic Publications from 2000 to 2024","type":"article-journal","volume":"4"},"uris":["http://www.mendeley.com/documents/?uuid=34c5763e-9e62-4664-aa8a-24a25f4a14d3"]},{"id":"ITEM-4","itemData":{"DOI":"10.47172/2965-730X.SDGsReview.v4.n02.pe01721","ISSN":"2965730X","abstract":"Objective: The fact in salt production by traditional coastal communities is a lack of understanding of the halal standards for salt production formulated by the Ulama Consultative Council in the Aceh region. Supposedly, Muslim salt farmers already have basic knowledge about halal salt production standards under Islamic sharia rules. This article, therefore, describes the salt processing process that conforms to halal production standards, including the main raw materials, workers, facilities, production processes, product packaging, and product distribution under Islamic law. Method: The data used in this study were observations of Lancang coastal salt (coastal salt fields), interviews with the head of LPPOM MPU and secretaries, the head of the Banda Aceh Maritime Affairs and Fisheries Service, 241 coastal salt farmers, and three staff supporting salt farmers. Data were also obtained through a focus group discussion attended by all elements involved in the Acehnese halal salt production. Results: The results of this study highlighted that four standards had been met: raw material standards, worker standards, packaging standards, and distribution standards. Meanwhile, two standards have not been fulfilled: the standard for processing and the standard for the facilities used. Both have not met halal standards according to the guidelines of the Ulama Consultative Council in Aceh. Contribution: this research helps improve the quality of salt produced by traditional farmers in Aceh by introducing and guiding them to comply with the halal standards set by LPPOM MPU Aceh. Education and awareness-raising among farmers about the importance of halal production are key points, where they are taught how to apply halal principles at every stage of the salt-making process. With a better understanding of these standards, farmers can not only improve the quality of their products but also obtain halal certification, which in turn increases the market value and consumer trust in the salt they produce. Furthermore, this research positively impacts the local economy by opening up broader market opportunities for traditional salt farmers. Halal certification allows them to sell their products to a larger market segment, including consumers who prioritize halal products, thus increasing the income and well-being of the farmers. Additionally, this research emphasizes the importance of preserving traditional methods in salt production, ensuring that techniques passed down th…","author":[{"dropping-particle":"","family":"Nirwana","given":"Andri","non-dropping-particle":"","parse-names":false,"suffix":""},{"dropping-particle":"","family":"Arfan","given":"Fahmi","non-dropping-particle":"","parse-names":false,"suffix":""},{"dropping-particle":"","family":"Muthoifin","given":"","non-dropping-particle":"","parse-names":false,"suffix":""},{"dropping-particle":"","family":"Daud","given":"Zainora","non-dropping-particle":"","parse-names":false,"suffix":""},{"dropping-particle":"","family":"Amin","given":"Saifuddin","non-dropping-particle":"","parse-names":false,"suffix":""},{"dropping-particle":"","family":"Hidayat","given":"Syamsul","non-dropping-particle":"","parse-names":false,"suffix":""},{"dropping-particle":"","family":"Marshal","given":"Fahmi Dolles","non-dropping-particle":"","parse-names":false,"suffix":""}],"container-title":"Journal of Lifestyle and SDG'S Review","id":"ITEM-4","issue":"2","issued":{"date-parts":[["2024"]]},"page":"1-47","title":"the Role of Traditional Salt Production in Achieving Halal Standards of the Ulamaconsultative Council: Implications for Sustainable Development Goals","type":"article-journal","volume":"4"},"uris":["http://www.mendeley.com/documents/?uuid=db34124b-e326-4b4f-8538-08182612a1f6"]},{"id":"ITEM-5","itemData":{"DOI":"10.47172/2965-730X.SDGsReview.v5.n01.pe01686","ISSN":"2965730X","abstract":"Purpose: The objectives of this study are to: 1). Identify the types of principal leadership applied in high schools, 2). The application of creative leadership of school principals in modern Islamic boarding schools in empowering teacher performance in schools, 3). Fostering the creative leadership of school principals in modern Islamic boarding schools. Theoretical Framework: This study will explore how high school leaders in Muhammadiyah apply creative and transformative leadership principles to face contemporary challenges in education, such as adapting to new technologies, improving the quality of teaching, and promoting sustainable development values among students and staff. Methods: This research uses an interpretative paradigm with a qualitative approach, case study type, and multicase design. Data were collected using observation, interviews, and documentation. Data validity using triangulation of sources, methods, and theories. Next, an interactive model analysis is carried out. Obyek penelitian dilakukan di SMAM SBM Piyungan Yogyakarta dan SMAM Pondok Pesantren Modern Imam Cabang Syuhodo Muhammadiyah Blimbing, Sukoharjo, Jawa Tengah. Results and Conclusion: The results of this study show (1) Types of creative leadership in these two schools include being innovative, engaging in the community, providing opportunities for students to develop, and focusing on social and humanitarian contributions. (2) The application of principals' creative leadership in empowering teacher performance in schools is carried out by encouraging innovation in learning, providing support and training, recognizing and rewarding superior performance, developing joint learning plans, providing emotional support, facilitating teacher collaboration, implementing an equitable evaluation system, and integrating educational technology. Research implications: The implications of creative values applied in cottages, especially in terms of raising cottages, are proactive, advanced, inclusive, do not impose and do not prohibit, and even provide education to the community so that according to the direction of Islamic boarding schools that uphold Islamic teachings, can be implemented and applied. Originality/value: the originality of this research lies in pesantren which includes Islamic educational institutions with creative leadership that is not stagnant, and always runs and develops dynamically.","author":[{"dropping-particle":"","family":"Hamid","given":"Noor","non-dropping-particle":"","parse-names":false,"suffix":""},{"dropping-particle":"","family":"Sutama","given":"","non-dropping-particle":"","parse-names":false,"suffix":""},{"dropping-particle":"","family":"Hidayat","given":"Syamsul","non-dropping-particle":"","parse-names":false,"suffix":""},{"dropping-particle":"","family":"Waston","given":"","non-dropping-particle":"","parse-names":false,"suffix":""},{"dropping-particle":"","family":"Nirwana","given":"Andri","non-dropping-particle":"","parse-names":false,"suffix":""},{"dropping-particle":"","family":"Muthoifin","given":"","non-dropping-particle":"","parse-names":false,"suffix":""}],"container-title":"Journal of Lifestyle and SDG'S Review","id":"ITEM-5","issue":"1","issued":{"date-parts":[["2024"]]},"page":"1-18","title":"Creative Leadership: an Implementing Study of Transformative Leadership Models in High School for Sustainable Development Goals","type":"article-journal","volume":"5"},"uris":["http://www.mendeley.com/documents/?uuid=d28c5d1c-1f1a-43a0-8498-fba234516a3d"]}],"mendeley":{"formattedCitation":"(Andri Nirwana, Mahmudulhassan, Ali, et al., 2024; Hamid et al., 2024; Muthoifin, Oktatianti et al., 2025; Muthoifin, Khondoker, et al., 2025; Nirwana et al., 2024)","manualFormatting":"(Ali, et al., 2024)","plainTextFormattedCitation":"(Andri Nirwana, Mahmudulhassan, Ali, et al., 2024; Hamid et al., 2024; Muthoifin, Oktatianti et al., 2025; Muthoifin, Khondoker, et al., 2025; Nirwana et al., 2024)","previouslyFormattedCitation":"(Andri Nirwana, Mahmudulhassan, Ali, et al., 2024; Hamid et al., 2024; Muthoifin, Oktatianti et al., 2025; Muthoifin, Khondoker, et al., 2025; Nirwana et al.,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(Ali, et al., 2024)</w:t>
      </w:r>
      <w:r w:rsidR="00111B01">
        <w:rPr>
          <w:rFonts w:ascii="Calibri Light" w:hAnsi="Calibri Light" w:cs="Calibri Light"/>
          <w:sz w:val="24"/>
          <w:szCs w:val="24"/>
        </w:rPr>
        <w:fldChar w:fldCharType="end"/>
      </w:r>
      <w:r w:rsidRPr="00342520">
        <w:rPr>
          <w:rFonts w:ascii="Calibri Light" w:hAnsi="Calibri Light" w:cs="Calibri Light"/>
          <w:sz w:val="24"/>
          <w:szCs w:val="24"/>
        </w:rPr>
        <w:t>.</w:t>
      </w:r>
    </w:p>
    <w:p w14:paraId="434357B1" w14:textId="29B85202" w:rsidR="005E4281" w:rsidRDefault="00342520" w:rsidP="00FF395F">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This study aims to further investigate the phenomenon of Kawin Tangkap (Paneta Mawinne) marriage in the Sumba Tribe of East Nusa Tenggara, with a special focus on its implications within the framework of Islamic law. In this context, researchers will investigate whether these behaviors are in line with or deviate from Islamic beliefs and laws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{"citationItems":[{"id":"ITEM-1","itemData":{"DOI":"10.22219/ljih.v32i2.35088","ISSN":"25494600","abstract":"Scholarly interest in the study of social justice and human rights in Quranic contexts has increased in light of global conversations about ethical governance, equality, and justice. To fully comprehend how Islamic texts contribute to current human rights discourses, this study aims to present a bibliometric analysis of key trends, authors, and themes in the literature surrounding these problems. Using R/R-Studio, Vosviewer, Microsoft Excel, and a Boolean search on Scopus, data from 2019 to 2024 is analysed to identify important trends, authors, affiliations, and thematic developments within these interconnected disciplines. The results show a wide range of research interests and substantial publication activity with noteworthy contributions from different nations and institutions. Network visualisations highlight the transdisciplinary nature of the discourse by illuminating the relationships and co-occurrences of important terms. This study offers important insights into the development of scholarly research on these important subjects, laying the groundwork for further research and educating practitioners and politicians on the relationship between social justice, legal doctrine, and religious texts.","author":[{"dropping-particle":"","family":"Andri Nirwana","given":"A. N.","non-dropping-particle":"","parse-names":false,"suffix":""},{"dropping-particle":"","family":"Mahmudulhassan","given":"","non-dropping-particle":"","parse-names":false,"suffix":""},{"dropping-particle":"","family":"Marshal","given":"Fahmi Dolles","non-dropping-particle":"","parse-names":false,"suffix":""},{"dropping-particle":"","family":"Muthoifin","given":"","non-dropping-particle":"","parse-names":false,"suffix":""},{"dropping-particle":"","family":"Fadli","given":"Nazar","non-dropping-particle":"","parse-names":false,"suffix":""}],"container-title":"Legality: Jurnal Ilmiah Hukum","id":"ITEM-1","issue":"2","issued":{"date-parts":[["2024"]]},"page":"453-471","title":"Human Rights and Social Justice in Quranic Contexts: A Global Trend","type":"article-journal","volume":"32"},"uris":["http://www.mendeley.com/documents/?uuid=6c38225d-55a2-4624-97fd-ff13bd6f4d9c"]},{"id":"ITEM-2","itemData":{"author":[{"dropping-particle":"","family":"Anwar","given":"Sholihul","non-dropping-particle":"","parse-names":false,"suffix":""},{"dropping-particle":"","family":"Permatasari","given":"Kristina Gita","non-dropping-particle":"","parse-names":false,"suffix":""},{"dropping-particle":"","family":"Nur","given":"Siti","non-dropping-particle":"","parse-names":false,"suffix":""},{"dropping-particle":"","family":"Munawar","given":"Mohamad","non-dropping-particle":"","parse-names":false,"suffix":""},{"dropping-particle":"","family":"Shabrina","given":"Monita Nur","non-dropping-particle":"","parse-names":false,"suffix":""}],"container-title":"Pakistan Journal of Life and Social Sciences (PJLSS)","id":"ITEM-2","issued":{"date-parts":[["2024"]]},"page":"812-821","title":"History of Muhammadiyah in Blora Mustika City : Development and Challenges","type":"article-journal","volume":"22"},"uris":["http://www.mendeley.com/documents/?uuid=dc1fa572-abd6-495c-8ed0-efadf4260dde"]},{"id":"ITEM-3","itemData":{"DOI":"https://doi.org/10.62754/joe.v3i3.3394","author":[{"dropping-particle":"","family":"Yusran","given":"Qaid Qushayyi","non-dropping-particle":"","parse-names":false,"suffix":""},{"dropping-particle":"","family":"Afiyah","given":"Ishmah","non-dropping-particle":"","parse-names":false,"suffix":""}],"container-title":"Journal of Ecohumanism","id":"ITEM-3","issued":{"date-parts":[["2024"]]},"page":"121-132","title":"Optimizing the Potential of Zakat to Alleviate Poverty Problems and Improve Community Economy in Surakarta City","type":"article-journal","volume":"6798"},"uris":["http://www.mendeley.com/documents/?uuid=742e9725-9bea-4b2d-a830-076dd69a584c"]},{"id":"ITEM-4","itemData":{"DOI":"https://doi.org/10.62754/joe.v3i6.3996","author":[{"dropping-particle":"","family":"Yusran","given":"Qaid Qushayyi","non-dropping-particle":"","parse-names":false,"suffix":""},{"dropping-particle":"","family":"Nirwana","given":"Andri","non-dropping-particle":"","parse-names":false,"suffix":""}],"container-title":"Journal of Ecohumanism","id":"ITEM-4","issued":{"date-parts":[["2024"]]},"page":"229-238","title":"The Practice of Changing the Status of Change of Waqf Property in the Islamic Social Economic View","type":"article-journal","volume":"6798"},"uris":["http://www.mendeley.com/documents/?uuid=d07e2cca-6c0c-4a97-88b6-99d40e07f98b"]},{"id":"ITEM-5","itemData":{"DOI":"10.57239/PJLSS-2024-22.2.00105","ISSN":"17274915","abstract":"A thorough bibliometric examination of the body of research on memory, learning, and educational methods from 1897 to 2024 is presented in this paper. This study uses a quantitative approach to analyze 6,328 documents that were gathered from a Boolean search on a large academic database. Vosviewer, Microsoft Excel, and r/r-studio are used in the analysis to look into document and network metrics. Key findings show a consistent 4.57% yearly growth rate, with notable increases in research efforts starting in 2010. The dataset highlights the widespread interest in these subjects worldwide by displaying a wide range of sources and considerable international collaboration. Network visualizations draw attention to key concepts including memory, cognition, learning, and education as well as new developments in deep learning and e-learning. Highly cited works by writers such as Dehaene S., Cheng H-T., and Zhang H. Show how they have an impact on the conversation. This study identifies historical trends, present concerns, and future directions in cognitive and educational research, offering insightful information to scholars, educators, and policymakers. The results support continued research into cognitive processes and successful teaching methods, encouraging creativity and multidisciplinary cooperation","author":[{"dropping-particle":"","family":"Ardiansyah., Waston., Mahmudulhassan., Daud","given":"Zainora","non-dropping-particle":"","parse-names":false,"suffix":""},{"dropping-particle":"","family":"Salleh., Norsaleha Mohd., AN, Andri Nirwana.","given":"Muthoifin","non-dropping-particle":"","parse-names":false,"suffix":""}],"container-title":"Pakistan Journal of Life and Social Sciences (PJLSS)","id":"ITEM-5","issue":"2","issued":{"date-parts":[["2024"]]},"page":"1493-1509","title":"Tracing Trends in Quran Memorization and Cognitive Learning: A Bibliometric Analysis from the Scopus Database","type":"article-journal","volume":"22"},"uris":["http://www.mendeley.com/documents/?uuid=c72f5fab-d698-4697-81b6-00fcdafc1ab1"]},{"id":"ITEM-6","itemData":{"DOI":"10.57239/PJLSS-2024-22.2.0086","ISSN":"17274915","abstract":"Within the Indonesian religious education practices framework, this study offers a thorough bibliometric analysis of research on Islamic education and character development. We used a quantitative method to analyze a collection of 1266 documents that were released between 1970 and 2024. Using programs like R/R-Studio, VOSviewer, and Microsoft Excel, we carried out our study with an emphasis on network visualizations, citation patterns, and document metrics. Important trends, prolific writers, prestigious publications, and keywords were all identified. The results underscore the significance of research contributions from Indonesia and Malaysia, the fundamental topics in Islamic education, and the developing emphasis on amalgamating modern pedagogical approaches with traditional religious education. This study offers insightful information about the academic environment surrounding Islamic education, guiding future research paths and field policy-making.","author":[{"dropping-particle":"","family":"AN","given":"Andri Nirwana","non-dropping-particle":"","parse-names":false,"suffix":""},{"dropping-particle":"","family":".","given":"Mahmudulhassan","non-dropping-particle":"","parse-names":false,"suffix":""},{"dropping-particle":"","family":".","given":"Muthoifin","non-dropping-particle":"","parse-names":false,"suffix":""},{"dropping-particle":"","family":".","given":"Waston","non-dropping-particle":"","parse-names":false,"suffix":""}],"container-title":"Pakistan Journal of Life and Social Sciences (PJLSS)","id":"ITEM-6","issue":"2","issued":{"date-parts":[["2024"]]},"page":"1231-1245","title":"Bibliometric Analysis of Islamic Education and Character Development in Religious Education Practices in Indonesia","type":"article-journal","volume":"22"},"uris":["http://www.mendeley.com/documents/?uuid=fba0dc1a-d702-4742-9038-4a73f5a918a4"]}],"mendeley":{"formattedCitation":"(AN et al., 2024; Andri Nirwana, Mahmudulhassan, Marshal, et al., 2024; Anwar, Permatasari, et al., 2024; Ardiansyah., Waston., Mahmudulhassan., Daud &amp; Salleh., Norsaleha Mohd., AN, Andri Nirwana., 2024; Yusran &amp; Afiyah, 2024; Yusran &amp; Nirwana, 2024)","manualFormatting":"(Marshal, et al., 2024)","plainTextFormattedCitation":"(AN et al., 2024; Andri Nirwana, Mahmudulhassan, Marshal, et al., 2024; Anwar, Permatasari, et al., 2024; Ardiansyah., Waston., Mahmudulhassan., Daud &amp; Salleh., Norsaleha Mohd., AN, Andri Nirwana., 2024; Yusran &amp; Afiyah, 2024; Yusran &amp; Nirwana, 2024)","previouslyFormattedCitation":"(AN et al., 2024; Andri Nirwana, Mahmudulhassan, Marshal, et al., 2024; Anwar, Permatasari, et al., 2024; Ardiansyah., Waston., Mahmudulhassan., Daud &amp; Salleh., Norsaleha Mohd., AN, Andri Nirwana., 2024; Yusran &amp; Afiyah, 2024; Yusran &amp; Nirwana,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(Marshal, et al., 2024)</w:t>
      </w:r>
      <w:r w:rsidR="00111B01">
        <w:rPr>
          <w:rFonts w:ascii="Calibri Light" w:hAnsi="Calibri Light" w:cs="Calibri Light"/>
          <w:sz w:val="24"/>
          <w:szCs w:val="24"/>
        </w:rPr>
        <w:fldChar w:fldCharType="end"/>
      </w:r>
      <w:r w:rsidRPr="00342520">
        <w:rPr>
          <w:rFonts w:ascii="Calibri Light" w:hAnsi="Calibri Light" w:cs="Calibri Light"/>
          <w:sz w:val="24"/>
          <w:szCs w:val="24"/>
        </w:rPr>
        <w:t>.</w:t>
      </w:r>
      <w:bookmarkEnd w:id="0"/>
    </w:p>
    <w:p w14:paraId="35D6190C" w14:textId="22D5A065" w:rsidR="00E42983" w:rsidRPr="00E42983" w:rsidRDefault="00D8133A" w:rsidP="00D8133A">
      <w:pPr>
        <w:spacing w:before="120" w:after="120"/>
        <w:ind w:left="426"/>
        <w:jc w:val="center"/>
        <w:rPr>
          <w:rFonts w:ascii="Calibri Light" w:hAnsi="Calibri Light" w:cs="Calibri Light"/>
          <w:b/>
          <w:bCs/>
          <w:sz w:val="24"/>
          <w:szCs w:val="24"/>
        </w:rPr>
      </w:pPr>
      <w:r w:rsidRPr="003A6AF1">
        <w:rPr>
          <w:rFonts w:ascii="Calibri Light" w:hAnsi="Calibri Light" w:cs="Calibri Light"/>
          <w:b/>
          <w:bCs/>
          <w:sz w:val="24"/>
          <w:szCs w:val="24"/>
        </w:rPr>
        <w:t>T</w:t>
      </w:r>
      <w:r w:rsidR="00E42983" w:rsidRPr="00E42983">
        <w:rPr>
          <w:rFonts w:ascii="Calibri Light" w:hAnsi="Calibri Light" w:cs="Calibri Light"/>
          <w:b/>
          <w:bCs/>
          <w:sz w:val="24"/>
          <w:szCs w:val="24"/>
        </w:rPr>
        <w:t>able</w:t>
      </w:r>
      <w:r w:rsidRPr="003A6AF1">
        <w:rPr>
          <w:rFonts w:ascii="Calibri Light" w:hAnsi="Calibri Light" w:cs="Calibri Light"/>
          <w:b/>
          <w:bCs/>
          <w:sz w:val="24"/>
          <w:szCs w:val="24"/>
        </w:rPr>
        <w:t xml:space="preserve"> 1. Showing The Gaps and Indicators in the Practice of </w:t>
      </w:r>
      <w:r w:rsidR="00E42983" w:rsidRPr="00E42983">
        <w:rPr>
          <w:rFonts w:ascii="Calibri Light" w:hAnsi="Calibri Light" w:cs="Calibri Light"/>
          <w:b/>
          <w:bCs/>
          <w:sz w:val="24"/>
          <w:szCs w:val="24"/>
        </w:rPr>
        <w:t xml:space="preserve">Kawin Tangkap </w:t>
      </w:r>
      <w:r w:rsidRPr="003A6AF1">
        <w:rPr>
          <w:rFonts w:ascii="Calibri Light" w:hAnsi="Calibri Light" w:cs="Calibri Light"/>
          <w:b/>
          <w:bCs/>
          <w:sz w:val="24"/>
          <w:szCs w:val="24"/>
        </w:rPr>
        <w:t>(</w:t>
      </w:r>
      <w:r w:rsidR="00E42983" w:rsidRPr="00E42983">
        <w:rPr>
          <w:rFonts w:ascii="Calibri Light" w:hAnsi="Calibri Light" w:cs="Calibri Light"/>
          <w:b/>
          <w:bCs/>
          <w:sz w:val="24"/>
          <w:szCs w:val="24"/>
        </w:rPr>
        <w:t>Paneta Mawinne</w:t>
      </w:r>
      <w:r w:rsidRPr="003A6AF1">
        <w:rPr>
          <w:rFonts w:ascii="Calibri Light" w:hAnsi="Calibri Light" w:cs="Calibri Light"/>
          <w:b/>
          <w:bCs/>
          <w:sz w:val="24"/>
          <w:szCs w:val="24"/>
        </w:rPr>
        <w:t xml:space="preserve">) n </w:t>
      </w:r>
      <w:r w:rsidR="00E42983" w:rsidRPr="00E42983">
        <w:rPr>
          <w:rFonts w:ascii="Calibri Light" w:hAnsi="Calibri Light" w:cs="Calibri Light"/>
          <w:b/>
          <w:bCs/>
          <w:sz w:val="24"/>
          <w:szCs w:val="24"/>
        </w:rPr>
        <w:t>East Nusa Tenggara</w:t>
      </w:r>
    </w:p>
    <w:tbl>
      <w:tblPr>
        <w:tblW w:w="0" w:type="auto"/>
        <w:tblCellSpacing w:w="15" w:type="dxa"/>
        <w:tblInd w:w="421" w:type="dxa"/>
        <w:tblBorders>
          <w:top w:val="single" w:sz="4" w:space="0" w:color="auto"/>
          <w:bottom w:val="single" w:sz="4" w:space="0" w:color="auto"/>
          <w:insideH w:val="single" w:sz="4" w:space="0" w:color="auto"/>
        </w:tblBorders>
        <w:tblCellMar>
          <w:top w:w="15" w:type="dxa"/>
          <w:left w:w="15" w:type="dxa"/>
          <w:bottom w:w="15" w:type="dxa"/>
          <w:right w:w="15" w:type="dxa"/>
        </w:tblCellMar>
        <w:tblLook w:val="04A0" w:firstRow="1" w:lastRow="0" w:firstColumn="1" w:lastColumn="0" w:noHBand="0" w:noVBand="1"/>
      </w:tblPr>
      <w:tblGrid>
        <w:gridCol w:w="1701"/>
        <w:gridCol w:w="2409"/>
        <w:gridCol w:w="2835"/>
        <w:gridCol w:w="1695"/>
      </w:tblGrid>
      <w:tr w:rsidR="00C219D1" w:rsidRPr="000838AE" w14:paraId="4003F89C" w14:textId="77777777" w:rsidTr="00266549">
        <w:trPr>
          <w:tblHeader/>
          <w:tblCellSpacing w:w="15" w:type="dxa"/>
        </w:trPr>
        <w:tc>
          <w:tcPr>
            <w:tcW w:w="1656" w:type="dxa"/>
            <w:vAlign w:val="center"/>
            <w:hideMark/>
          </w:tcPr>
          <w:p w14:paraId="718BA82A"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Aspect</w:t>
            </w:r>
          </w:p>
        </w:tc>
        <w:tc>
          <w:tcPr>
            <w:tcW w:w="2379" w:type="dxa"/>
            <w:vAlign w:val="center"/>
            <w:hideMark/>
          </w:tcPr>
          <w:p w14:paraId="15BF460D"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Positive Indicators (Supporting)</w:t>
            </w:r>
          </w:p>
        </w:tc>
        <w:tc>
          <w:tcPr>
            <w:tcW w:w="2805" w:type="dxa"/>
            <w:vAlign w:val="center"/>
            <w:hideMark/>
          </w:tcPr>
          <w:p w14:paraId="65EF1EB0"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Negative Indicators (Contradictory)</w:t>
            </w:r>
          </w:p>
        </w:tc>
        <w:tc>
          <w:tcPr>
            <w:tcW w:w="1650" w:type="dxa"/>
            <w:vAlign w:val="center"/>
            <w:hideMark/>
          </w:tcPr>
          <w:p w14:paraId="21792819"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Existing Gap</w:t>
            </w:r>
          </w:p>
        </w:tc>
      </w:tr>
      <w:tr w:rsidR="00C219D1" w:rsidRPr="000838AE" w14:paraId="3D218DB7" w14:textId="77777777" w:rsidTr="00266549">
        <w:trPr>
          <w:tblCellSpacing w:w="15" w:type="dxa"/>
        </w:trPr>
        <w:tc>
          <w:tcPr>
            <w:tcW w:w="1656" w:type="dxa"/>
            <w:vAlign w:val="center"/>
            <w:hideMark/>
          </w:tcPr>
          <w:p w14:paraId="736554FB"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Culture &amp; Tradition</w:t>
            </w:r>
          </w:p>
        </w:tc>
        <w:tc>
          <w:tcPr>
            <w:tcW w:w="2379" w:type="dxa"/>
            <w:vAlign w:val="center"/>
            <w:hideMark/>
          </w:tcPr>
          <w:p w14:paraId="117A18FF"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Considered part of Sumbanese customs, symbolizing masculinity and social status.</w:t>
            </w:r>
          </w:p>
        </w:tc>
        <w:tc>
          <w:tcPr>
            <w:tcW w:w="2805" w:type="dxa"/>
            <w:vAlign w:val="center"/>
            <w:hideMark/>
          </w:tcPr>
          <w:p w14:paraId="141DB333"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Contradicts human rights and gender equality values.</w:t>
            </w:r>
          </w:p>
        </w:tc>
        <w:tc>
          <w:tcPr>
            <w:tcW w:w="1650" w:type="dxa"/>
            <w:vAlign w:val="center"/>
            <w:hideMark/>
          </w:tcPr>
          <w:p w14:paraId="527066B8"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Differences in perspective between local customs and human rights principles.</w:t>
            </w:r>
          </w:p>
        </w:tc>
      </w:tr>
      <w:tr w:rsidR="00C219D1" w:rsidRPr="000838AE" w14:paraId="32DB6F41" w14:textId="77777777" w:rsidTr="00266549">
        <w:trPr>
          <w:tblCellSpacing w:w="15" w:type="dxa"/>
        </w:trPr>
        <w:tc>
          <w:tcPr>
            <w:tcW w:w="1656" w:type="dxa"/>
            <w:vAlign w:val="center"/>
            <w:hideMark/>
          </w:tcPr>
          <w:p w14:paraId="4B467C66"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Customary Law</w:t>
            </w:r>
          </w:p>
        </w:tc>
        <w:tc>
          <w:tcPr>
            <w:tcW w:w="2379" w:type="dxa"/>
            <w:vAlign w:val="center"/>
            <w:hideMark/>
          </w:tcPr>
          <w:p w14:paraId="6A1F2381"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Still accepted in certain communities with belis (bride price) payment.</w:t>
            </w:r>
          </w:p>
        </w:tc>
        <w:tc>
          <w:tcPr>
            <w:tcW w:w="2805" w:type="dxa"/>
            <w:vAlign w:val="center"/>
            <w:hideMark/>
          </w:tcPr>
          <w:p w14:paraId="47A1EC85"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Lacks legality under Indonesian national law, often considered abduction.</w:t>
            </w:r>
          </w:p>
        </w:tc>
        <w:tc>
          <w:tcPr>
            <w:tcW w:w="1650" w:type="dxa"/>
            <w:vAlign w:val="center"/>
            <w:hideMark/>
          </w:tcPr>
          <w:p w14:paraId="29FB904C"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Conflict between customary law and state law.</w:t>
            </w:r>
          </w:p>
        </w:tc>
      </w:tr>
      <w:tr w:rsidR="00C219D1" w:rsidRPr="000838AE" w14:paraId="0CAD092D" w14:textId="77777777" w:rsidTr="00266549">
        <w:trPr>
          <w:tblCellSpacing w:w="15" w:type="dxa"/>
        </w:trPr>
        <w:tc>
          <w:tcPr>
            <w:tcW w:w="1656" w:type="dxa"/>
            <w:vAlign w:val="center"/>
            <w:hideMark/>
          </w:tcPr>
          <w:p w14:paraId="2747DA92"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Islamic Law Perspective</w:t>
            </w:r>
          </w:p>
        </w:tc>
        <w:tc>
          <w:tcPr>
            <w:tcW w:w="2379" w:type="dxa"/>
            <w:vAlign w:val="center"/>
            <w:hideMark/>
          </w:tcPr>
          <w:p w14:paraId="0A98D13C"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Islam emphasizes marriage based on mutual consent.</w:t>
            </w:r>
          </w:p>
        </w:tc>
        <w:tc>
          <w:tcPr>
            <w:tcW w:w="2805" w:type="dxa"/>
            <w:vAlign w:val="center"/>
            <w:hideMark/>
          </w:tcPr>
          <w:p w14:paraId="239F9522"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Does not align with the Islamic ijab qabul requirement, which requires the bride’s approval.</w:t>
            </w:r>
          </w:p>
        </w:tc>
        <w:tc>
          <w:tcPr>
            <w:tcW w:w="1650" w:type="dxa"/>
            <w:vAlign w:val="center"/>
            <w:hideMark/>
          </w:tcPr>
          <w:p w14:paraId="3C2904E1"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The absence of consent and justice in the marriage contract.</w:t>
            </w:r>
          </w:p>
        </w:tc>
      </w:tr>
      <w:tr w:rsidR="00C219D1" w:rsidRPr="000838AE" w14:paraId="1B675A88" w14:textId="77777777" w:rsidTr="00266549">
        <w:trPr>
          <w:tblCellSpacing w:w="15" w:type="dxa"/>
        </w:trPr>
        <w:tc>
          <w:tcPr>
            <w:tcW w:w="1656" w:type="dxa"/>
            <w:vAlign w:val="center"/>
            <w:hideMark/>
          </w:tcPr>
          <w:p w14:paraId="6545CA3A"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Women's Protection</w:t>
            </w:r>
          </w:p>
        </w:tc>
        <w:tc>
          <w:tcPr>
            <w:tcW w:w="2379" w:type="dxa"/>
            <w:vAlign w:val="center"/>
            <w:hideMark/>
          </w:tcPr>
          <w:p w14:paraId="416C0CD4"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Some families of the bride accept this tradition as part of their customs.</w:t>
            </w:r>
          </w:p>
        </w:tc>
        <w:tc>
          <w:tcPr>
            <w:tcW w:w="2805" w:type="dxa"/>
            <w:vAlign w:val="center"/>
            <w:hideMark/>
          </w:tcPr>
          <w:p w14:paraId="69350139"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Women often become victims of physical and psychological violence.</w:t>
            </w:r>
          </w:p>
        </w:tc>
        <w:tc>
          <w:tcPr>
            <w:tcW w:w="1650" w:type="dxa"/>
            <w:vAlign w:val="center"/>
            <w:hideMark/>
          </w:tcPr>
          <w:p w14:paraId="317CCA3D"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Lack of protection for women within the customary legal system.</w:t>
            </w:r>
          </w:p>
        </w:tc>
      </w:tr>
      <w:tr w:rsidR="00C219D1" w:rsidRPr="000838AE" w14:paraId="4166C0D6" w14:textId="77777777" w:rsidTr="00266549">
        <w:trPr>
          <w:tblCellSpacing w:w="15" w:type="dxa"/>
        </w:trPr>
        <w:tc>
          <w:tcPr>
            <w:tcW w:w="1656" w:type="dxa"/>
            <w:vAlign w:val="center"/>
            <w:hideMark/>
          </w:tcPr>
          <w:p w14:paraId="6708DB1C"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Social &amp; Economic Aspects</w:t>
            </w:r>
          </w:p>
        </w:tc>
        <w:tc>
          <w:tcPr>
            <w:tcW w:w="2379" w:type="dxa"/>
            <w:vAlign w:val="center"/>
            <w:hideMark/>
          </w:tcPr>
          <w:p w14:paraId="59CABADB"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Can be part of agreements between families within the community.</w:t>
            </w:r>
          </w:p>
        </w:tc>
        <w:tc>
          <w:tcPr>
            <w:tcW w:w="2805" w:type="dxa"/>
            <w:vAlign w:val="center"/>
            <w:hideMark/>
          </w:tcPr>
          <w:p w14:paraId="516F3CCC"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Often leads to social conflicts and trauma for the victims.</w:t>
            </w:r>
          </w:p>
        </w:tc>
        <w:tc>
          <w:tcPr>
            <w:tcW w:w="1650" w:type="dxa"/>
            <w:vAlign w:val="center"/>
            <w:hideMark/>
          </w:tcPr>
          <w:p w14:paraId="337C44C3"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No mechanism to ensure women's protection and well-being.</w:t>
            </w:r>
          </w:p>
        </w:tc>
      </w:tr>
      <w:tr w:rsidR="00C219D1" w:rsidRPr="000838AE" w14:paraId="0C854964" w14:textId="77777777" w:rsidTr="00266549">
        <w:trPr>
          <w:tblCellSpacing w:w="15" w:type="dxa"/>
        </w:trPr>
        <w:tc>
          <w:tcPr>
            <w:tcW w:w="1656" w:type="dxa"/>
            <w:vAlign w:val="center"/>
            <w:hideMark/>
          </w:tcPr>
          <w:p w14:paraId="1E009CF9"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National Law</w:t>
            </w:r>
          </w:p>
        </w:tc>
        <w:tc>
          <w:tcPr>
            <w:tcW w:w="2379" w:type="dxa"/>
            <w:vAlign w:val="center"/>
            <w:hideMark/>
          </w:tcPr>
          <w:p w14:paraId="1892BE06"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Customary law is still respected in certain contexts in Indonesia.</w:t>
            </w:r>
          </w:p>
        </w:tc>
        <w:tc>
          <w:tcPr>
            <w:tcW w:w="2805" w:type="dxa"/>
            <w:vAlign w:val="center"/>
            <w:hideMark/>
          </w:tcPr>
          <w:p w14:paraId="50909D2F"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Considered a violation of rights and can be prosecuted under laws on abduction and violence against women.</w:t>
            </w:r>
          </w:p>
        </w:tc>
        <w:tc>
          <w:tcPr>
            <w:tcW w:w="1650" w:type="dxa"/>
            <w:vAlign w:val="center"/>
            <w:hideMark/>
          </w:tcPr>
          <w:p w14:paraId="56EAE5F8" w14:textId="77777777" w:rsidR="00E42983" w:rsidRPr="000838AE" w:rsidRDefault="00E42983" w:rsidP="000838AE">
            <w:pPr>
              <w:spacing w:before="120" w:after="120"/>
              <w:ind w:left="87"/>
              <w:jc w:val="both"/>
              <w:rPr>
                <w:rFonts w:ascii="Calibri Light" w:hAnsi="Calibri Light" w:cs="Calibri Light"/>
                <w:sz w:val="16"/>
                <w:szCs w:val="16"/>
              </w:rPr>
            </w:pPr>
            <w:r w:rsidRPr="000838AE">
              <w:rPr>
                <w:rFonts w:ascii="Calibri Light" w:hAnsi="Calibri Light" w:cs="Calibri Light"/>
                <w:sz w:val="16"/>
                <w:szCs w:val="16"/>
              </w:rPr>
              <w:t>Incompatibility between customary practices and state law.</w:t>
            </w:r>
          </w:p>
        </w:tc>
      </w:tr>
    </w:tbl>
    <w:p w14:paraId="705D4330" w14:textId="590BFB41" w:rsidR="00E42983" w:rsidRDefault="00E42983" w:rsidP="00FA5CCB">
      <w:pPr>
        <w:spacing w:before="120" w:after="120"/>
        <w:ind w:left="426"/>
        <w:jc w:val="both"/>
        <w:rPr>
          <w:rFonts w:ascii="Calibri Light" w:hAnsi="Calibri Light" w:cs="Calibri Light"/>
          <w:sz w:val="24"/>
          <w:szCs w:val="24"/>
        </w:rPr>
      </w:pPr>
      <w:r w:rsidRPr="00E42983">
        <w:rPr>
          <w:rFonts w:ascii="Calibri Light" w:hAnsi="Calibri Light" w:cs="Calibri Light"/>
          <w:sz w:val="24"/>
          <w:szCs w:val="24"/>
        </w:rPr>
        <w:t>This table illustrates the contradictions between local customs, Islamic law, and national law in the practice of Kawin Tangkap in Sumba</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26615D">
        <w:rPr>
          <w:rFonts w:ascii="Calibri Light" w:hAnsi="Calibri Light" w:cs="Calibri Light"/>
          <w:sz w:val="24"/>
          <w:szCs w:val="24"/>
        </w:rPr>
        <w:instrText>ADDIN CSL_CITATION {"citationItems":[{"id":"ITEM-1","itemData":{"author":[{"dropping-particle":"","family":"Sri Mega Indah Umi Zulfiani","given":"Muthoifin","non-dropping-particle":"","parse-names":false,"suffix":""},{"dropping-particle":"","family":"Rosyadi","given":"Imron","non-dropping-particle":"","parse-names":false,"suffix":""}],"container-title":"Journal of Lifestyle and SDGs Review","id":"ITEM-1","issued":{"date-parts":[["2024"]]},"page":"1-20","title":"CORPORATE SOCIAL RESPONSIBILITY ( CSR ) PRACTICES OF SHARIACONSUMER COOPERATIVES FOR SUSTAINABLE DEVELOPMENT GOALS ( SDGS ) ETHICAL PERSPECTIVE","type":"article-journal","volume":"4"},"uris":["http://www.mendeley.com/documents/?uuid=5fe3375c-f14c-4bc7-8171-c6554ddad06f"]},{"id":"ITEM-2","itemData":{"author":[{"dropping-particle":"","family":"Muthoifin","given":"Najib Yaman","non-dropping-particle":"","parse-names":false,"suffix":""},{"dropping-particle":"","family":"Isman","given":"Imron Rosyadi","non-dropping-particle":"","parse-names":false,"suffix":""},{"dropping-particle":"","family":"Ishmah Afiyah","given":"Masithoh","non-dropping-particle":"","parse-names":false,"suffix":""}],"container-title":"Journal of Lifestyle and SDGs Review","id":"ITEM-2","issued":{"date-parts":[["2024"]]},"page":"1-19","title":"FOSTERING THE UMMAH ' S ECONOMY THROUGH THE STOCKINVESTMENT SYSTEM : THE VIEWS OF THE MUI FOR SUSTAINABLEDEVELOPMENT GOALS ( SDGS )","type":"article-journal","volume":"4"},"uris":["http://www.mendeley.com/documents/?uuid=68bb0e10-9293-4484-bceb-dddd810c0723"]},{"id":"ITEM-3","itemData":{"author":[{"dropping-particle":"","family":"Suwarsono, Bambang Setiadji, Musa Asy’arie, Waston, Muthoifin","given":"Andri Nirwana","non-dropping-particle":"","parse-names":false,"suffix":""}],"container-title":"Journal of Lifestyle and SDGs Review","id":"ITEM-3","issued":{"date-parts":[["2024"]]},"page":"1-19","title":"THE FUTURE OF THE CIVILIZATION OF THE UMMAH IS REVIEWED FROM THE SOCIOLOGY OF EDUCATION FOR THE SUSTAINABLE DEVELOPMENT GOALS ( SDG ' S )","type":"article-journal","volume":"4"},"uris":["http://www.mendeley.com/documents/?uuid=7c3df353-aea2-4368-81b4-cc90eba1f619"]}],"mendeley":{"formattedCitation":"(N. Y. Muthoifin, Isman, et al., 2024; Sri Mega Indah Umi Zulfiani &amp; Rosyadi, 2024; Suwarsono, Bambang Setiadji, Musa Asy’arie, Waston, Muthoifin, 2024)","manualFormatting":"(Isman, et al., 2024)","plainTextFormattedCitation":"(N. Y. Muthoifin, Isman, et al., 2024; Sri Mega Indah Umi Zulfiani &amp; Rosyadi, 2024; Suwarsono, Bambang Setiadji, Musa Asy’arie, Waston, Muthoifin, 2024)","previouslyFormattedCitation":"(N. Y. Muthoifin, Isman, et al., 2024; Sri Mega Indah Umi Zulfiani &amp; Rosyadi, 2024; Suwarsono, Bambang Setiadji, Musa Asy’arie, Waston, Muthoifin,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(Isman, et al., 2024)</w:t>
      </w:r>
      <w:r w:rsidR="00111B01">
        <w:rPr>
          <w:rFonts w:ascii="Calibri Light" w:hAnsi="Calibri Light" w:cs="Calibri Light"/>
          <w:sz w:val="24"/>
          <w:szCs w:val="24"/>
        </w:rPr>
        <w:fldChar w:fldCharType="end"/>
      </w:r>
      <w:r w:rsidR="004C11CD">
        <w:rPr>
          <w:rFonts w:ascii="Calibri Light" w:hAnsi="Calibri Light" w:cs="Calibri Light"/>
          <w:sz w:val="24"/>
          <w:szCs w:val="24"/>
        </w:rPr>
        <w:t>.</w:t>
      </w:r>
    </w:p>
    <w:p w14:paraId="5CFF8318" w14:textId="68778368"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cultural practice of Paneta Mawinne or Kawin Tangkap in the Sumbanese tribe of East Nusa Tenggara has long been a topic of discussion due to its controversial nature. This traditional practice, which involves the forceful taking of a woman for marriage, raises significant concerns regarding human rights, gender equality, and legal legitimacy. Despite its deep-rooted presence in Sumbanese customs, the practice has been increasingly scrutinized in light of national laws and religious perspectives, particularly Islamic law. This study aims to analyze Paneta Mawinne from the standpoint of Islamic legal principles to evaluate its compatibility with Islamic ethics and jurisprudence</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26615D">
        <w:rPr>
          <w:rFonts w:ascii="Calibri Light" w:hAnsi="Calibri Light" w:cs="Calibri Light"/>
          <w:sz w:val="24"/>
          <w:szCs w:val="24"/>
        </w:rPr>
        <w:instrText>ADDIN CSL_CITATION {"citationItems":[{"id":"ITEM-1","itemData":{"DOI":"10.31893/multirev.2024133","ISSN":"2595-3982","abstract":"This present research seeks to determine the performance of dropshipper on Bukalapak.com and Tokopedia.com sites viewed from the sharia perspective. This research deployed the qualitative method using the fiqh muamalah point of view. The approach was selected to enable the researchers to investigate dropshipper behavior and the case from Islamic law. The results of this research show that the existence of Tokopedia.com and Bukalapak.com is very obliging as it eases the way people carry out transactions, provides security in online transactions, and dropshipping model used by the two platforms is a solution for those who want to open a business with less capital. However, the dropshipper must also understand the types of transaction models to avoid the prohibited transaction. Items sold through the system must not change either in size, shape, or nature, and the dropshipper must be a guarantor when complaints arose. If all criteria are fulfilled, the business system is deemed relevant and appropriate to develop viewed from sharia perspective.","author":[{"dropping-particle":"","family":"Muthoifin","given":"Muthoifin","non-dropping-particle":"","parse-names":false,"suffix":""},{"dropping-particle":"","family":"Rosyadi","given":"Imron","non-dropping-particle":"","parse-names":false,"suffix":""},{"dropping-particle":"","family":"Prasetyo","given":"Hery","non-dropping-particle":"","parse-names":false,"suffix":""}],"container-title":"Multidisciplinary Reviews","id":"ITEM-1","issue":"8","issued":{"date-parts":[["2024","5"]]},"page":"2024133","title":"The phenomenon of the rise of online transactions: A case study Tokopedia.com and Bukalapak.com sharia perspective","type":"article-journal","volume":"7"},"uris":["http://www.mendeley.com/documents/?uuid=b96e5331-500d-4775-8f72-97a59dfee13d"]},{"id":"ITEM-2","itemData":{"DOI":"10.31893/multirev.2024132","ISSN":"2595-3982","abstract":"This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Reviews","id":"ITEM-2","issue":"8","issued":{"date-parts":[["2024","5"]]},"page":"2024132","title":"Islamic accounting: Ethics and contextualization of recording in Muamalah transactions","type":"article-journal","volume":"7"},"uris":["http://www.mendeley.com/documents/?uuid=bf36aa08-f3cc-4187-b631-88ef9f47ca9e"]},{"id":"ITEM-3","itemData":{"DOI":"10.21833/ijaas.2023.11.011","ISSN":"23133724","abstract":"Islamic social finance (ISF) has recently received much attention for its potential to address social problems such as poverty, hunger, and unequal wealth distribution. This study aims to map ISF research through a bibliometric analysis of 502 publications in the Scopus database from 1979 to 2022. Using state-of-the-art tools such as VOSviewer and R Studio, we uncover publication trends, co-authorship networks, and bibliographic integration in the field. Our results show a promising annual growth rate of 9.26% in ISF publications, with Malaysia and Hasan M. K. leading and Malaysia International Islamic University as the affiliate with the highest publication contribution. This study provides valuable recommendations for future research to enhance our understanding of ISF and unlock its potential social impact. However, we must first acknowledge the limitations of using Scopus data exclusively. Through this study, we hope to inspire further exploration of the power of ISF to create positive change in our world.","author":[{"dropping-particle":"","family":"Apriantoro","given":"Muhamad Subhi","non-dropping-particle":"","parse-names":false,"suffix":""},{"dropping-particle":"","family":"Muthoifin","given":"Muthoifin","non-dropping-particle":"","parse-names":false,"suffix":""},{"dropping-particle":"","family":"Athief","given":"Fauzul Hanif Noor","non-dropping-particle":"","parse-names":false,"suffix":""}],"container-title":"International Journal of Advanced and Applied Sciences","id":"ITEM-3","issue":"11","issued":{"date-parts":[["2023"]]},"page":"81-89","title":"Advancing social impact through Islamic social finance: A comprehensive bibliometric analysis","type":"article-journal","volume":"10"},"uris":["http://www.mendeley.com/documents/?uuid=d8a11b1b-8817-40bd-aacc-0d092febc74d"]},{"id":"ITEM-4","itemData":{"ISBN":"0000000213","author":[{"dropping-particle":"","family":"Suwoko, Waston, Bambang Setiaji, Muthoifin, Huda Kurnia Maulana","given":"Eko Bayu Gumilar","non-dropping-particle":"","parse-names":false,"suffix":""}],"container-title":"Revista de Gestão Social e Ambiental","id":"ITEM-4","issue":"6","issued":{"date-parts":[["2024"]]},"page":"1-19","title":"Family Education to Improve the Quality of Human Resources and Sustainable Development in Samarinda","type":"article-journal","volume":"18"},"uris":["http://www.mendeley.com/documents/?uuid=897bde90-77d3-4c3b-97c8-d2846fab179b"]},{"id":"ITEM-5","itemData":{"author":[{"dropping-particle":"","family":"Waston, Muthoifin, Soleh Amini, Roni Ismail, Sekar Ayu Aryani","given":"Andri Nirwana","non-dropping-particle":"","parse-names":false,"suffix":""}],"container-title":"Revista de Gestao Social e Ambiental","id":"ITEM-5","issue":"6","issued":{"date-parts":[["2024"]]},"page":"1-22","title":"Religiosity to Minimize Violence: A Study of Solo Indonesian","type":"article-journal","volume":"18"},"uris":["http://www.mendeley.com/documents/?uuid=eaab1486-2d08-4f09-9669-45ca05ca8ac7"]},{"id":"ITEM-6","itemData":{"DOI":"10.31893/multirev.2024134","ISSN":"25953982","abstract":"This research aims to uncover and analyze the concepts and strategies for empowering the people's economy through the management of the Al-Falah Sragen pilot Mosque from the Maqasid Sharia perspective. This study uses qualitative methods with descriptive, sociological, and normative approaches. The research was located at the Al-Falah Mosque in Sragen, Central Java, Indonesia, the second pilot Mosque after the Jogokariyan Mosque in Yogyakarta. Data collection techniques by direct interviews with sources at the al-Falah Mosque, observation, and documentation. The study results show that the economic empowerment of the people around the Al-Falah Mosque has several appropriate management strategies, including 1). This Mosque has a clear vision and mission; 2). The distribution of neat Mosque management, 3). Solid Ta’mir organization, 4). Integrated MSME (micro small and Medium Enterprises) development. With these various strategies, the existence of this Mosque will be prosperous and beneficial for Indonesian Muslims in general and the community around the Al-Falah Mosque in Sragen in particular. While the economic empowerment activities of the Al-Falah Mosque in Sragen vary, including: 1). Religious studies, 2). Learning to read the Koran, 3). Tahsin qiro'ah, 4). Dhikr together, 5). Distribution of groceries, and 6) Incidental training, which makes the Al-Falah Mosque's breadwinner community continue to grow. In addition, from a Sharia point of view, all economic empowerment activities for the Al-Falah Sragen Mosque are by the Maqasid Sharia conceptualized by As-Syatibi, namely, to safeguard religion, property, soul, lineage, and honor.","author":[{"dropping-particle":"","family":"Muthoifin","given":"Muthoifin","non-dropping-particle":"","parse-names":false,"suffix":""},{"dropping-particle":"","family":"Rhezaldi","given":"Adnanda Yudha","non-dropping-particle":"","parse-names":false,"suffix":""}],"container-title":"Multidisciplinary Reviews","id":"ITEM-6","issue":"8","issued":{"date-parts":[["2024"]]},"title":"Community economic empowerment through mosque management to improve people's welfare","type":"article-journal","volume":"7"},"uris":["http://www.mendeley.com/documents/?uuid=a430837a-2f62-4f06-842f-80540ec9d655"]}],"mendeley":{"formattedCitation":"(Apriantoro, Muthoifin, et al., 2023; M. Muthoifin, Amelia, et al., 2024; M. Muthoifin, Rosyadi, et al., 2024; M. Muthoifin &amp; Rhezaldi, 2024; Suwoko, Waston, Bambang Setiaji, Muthoifin, Huda Kurnia Maulana, 2024; Waston, Muthoifin, Soleh Amini, Roni Ismail, Sekar Ayu Aryani, 2024)","manualFormatting":"(Amelia, et al., 2024)","plainTextFormattedCitation":"(Apriantoro, Muthoifin, et al., 2023; M. Muthoifin, Amelia, et al., 2024; M. Muthoifin, Rosyadi, et al., 2024; M. Muthoifin &amp; Rhezaldi, 2024; Suwoko, Waston, Bambang Setiaji, Muthoifin, Huda Kurnia Maulana, 2024; Waston, Muthoifin, Soleh Amini, Roni Ismail, Sekar Ayu Aryani, 2024)","previouslyFormattedCitation":"(Apriantoro, Muthoifin, et al., 2023; M. Muthoifin, Amelia, et al., 2024; M. Muthoifin, Rosyadi, et al., 2024; M. Muthoifin &amp; Rhezaldi, 2024; Suwoko, Waston, Bambang Setiaji, Muthoifin, Huda Kurnia Maulana, 2024; Waston, Muthoifin, Soleh Amini, Roni Ismail, Sekar Ayu Aryani,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(Amelia, et al., 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481FD051" w14:textId="18247A13"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significance of this research lies in its exploration of a culturally ingrained yet legally and ethically problematic practice. While local traditions often play a crucial role in shaping societal norms, they must be examined through legal and moral frameworks to ensure justice and human dignity. This study provides an essential discourse on the intersection between customary laws and Islamic teachings, highlighting the challenges of harmonizing cultural traditions with religious and legal standards. By delving into the historical and sociocultural context of Paneta Mawinne, this research seeks to uncover the underlying factors contributing to its persistence and the implications it has for women's rights and marital consent in Sumbanese society</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{"citationItems":[{"id":"ITEM-1","itemData":{"DOI":"10.24857/rgsa.v18n6-005","ISBN":"0000000304771","ISSN":"1981982X","abstract":"Objective: The purpose to be achieved in this writing is to achieve what are the factors of grants in Islamic banks regulated by law and also to study how the performance of Islamic banks in the profit-sharing system is carried out according to the views of existing Islamic law. The performance in question is not only financial performance that will be measured and researched but also a performance by measuring profit or profit and will analyze profit but also measured sharia maqasid so that the bank has management performance by the operational conditions of Islamic banks that will use Islamic law. Method: This research uses quantitative methods by analyzing the financial statements of Islamic banks from 2012 to 2023. This data is taken from the annual financial report and calculated using the Islamic maqashid model index with quadrant analysis measurement. In this case, we can know the performance of Islamic banks in terms of finance. Result: The results of this study show that the best bank performance is BRI Syariah Bank. In contrast, the bank that has the best performance according to Sharia Maqasid is BNI Syariah Bank. In contrast, banks that have good performance are Jateng Sharia Bank, Mandiri Syariah Bank, Panin Bank Syariah, and BCA Syariah. Conclusion: It can be concluded that this study shows that the best bank performance is BRI Sharia Bank while the bank that has the best performance according to sharia maqasid is BNI Sharia Bank while banks that have good performance are Bank Jateng Syariah, Bank Syariah Indonesia, Bank Panin, Bank BCA Syariah, and so on. Thus this research is carried out hopefully can provide new enlightenment for all, including the next researcher, and banking actors in Indonesia.","author":[{"dropping-particle":"","family":"Muthoifin","given":"","non-dropping-particle":"","parse-names":false,"suffix":""},{"dropping-particle":"","family":"Firdaus","given":"Nabila","non-dropping-particle":"","parse-names":false,"suffix":""},{"dropping-particle":"","family":"Sukisno","given":"","non-dropping-particle":"","parse-names":false,"suffix":""},{"dropping-particle":"","family":"Anwar","given":"Sholihul","non-dropping-particle":"","parse-names":false,"suffix":""},{"dropping-particle":"","family":"Ulum","given":"Muhammad Nurul","non-dropping-particle":"","parse-names":false,"suffix":""},{"dropping-particle":"","family":"Irchamni","given":"Achmad","non-dropping-particle":"","parse-names":false,"suffix":""},{"dropping-particle":"","family":"Widodo","given":"","non-dropping-particle":"","parse-names":false,"suffix":""},{"dropping-particle":"","family":"Murtyaningsih","given":"Rina","non-dropping-particle":"","parse-names":false,"suffix":""}],"container-title":"Revista de Gestao Social e Ambiental","id":"ITEM-1","issue":"6","issued":{"date-parts":[["2024"]]},"page":"1-17","title":"Profit-Sharing Practices To Increase Profits and Development of Indonesian Sharia Banking","type":"article-journal","volume":"18"},"uris":["http://www.mendeley.com/documents/?uuid=f58add4a-ebdb-446b-b8fe-6d396511f1ed"]},{"id":"ITEM-2","itemData":{"DOI":"10.31893/multirev.2024139","ISSN":"2595-3982","abstract":"The purpose of this study is to investigate and analyze how the development of the concept of Islamic education to build and improve the personality of school-age children in the 5.0 era. This research method uses a type of qualitative research with a type of literature research. Researchers examine the concept of Islamic Education for children and the study of era 5.0 perspectives of Islamic education from various literature. The results of the study found that every human being has a different personality from one another, these differences make humans unique creatures, and uniqueness is due to factors that affect their personality, including innate factors (inside), environmental factors (outside), and mental maturity factors. Islam views that everyone has mental and physical potential that can elevate his dignity as a leader on earth. Man has the potential of a soul consisting of heart, lust, reason and spirit. From here, parents become the main and first role in the family to develop, build, and increase good personal potential. The role of education as a medium for realizing a good personality so that children can be directed to become good and superior individuals.","author":[{"dropping-particle":"","family":"Anwar","given":"Sholihul","non-dropping-particle":"","parse-names":false,"suffix":""},{"dropping-particle":"","family":"Sukisno","given":"Sukisno","non-dropping-particle":"","parse-names":false,"suffix":""},{"dropping-particle":"","family":"Waston","given":"Waston","non-dropping-particle":"","parse-names":false,"suffix":""},{"dropping-particle":"","family":"Nirwana","given":"Andri","non-dropping-particle":"","parse-names":false,"suffix":""},{"dropping-particle":"","family":"Utami","given":"Yeri","non-dropping-particle":"","parse-names":false,"suffix":""},{"dropping-particle":"","family":"Reistanti","given":"Agustina Putri","non-dropping-particle":"","parse-names":false,"suffix":""},{"dropping-particle":"","family":"Nurhartanto","given":"Armin","non-dropping-particle":"","parse-names":false,"suffix":""},{"dropping-particle":"","family":"Muthoifin","given":"Muthoifin","non-dropping-particle":"","parse-names":false,"suffix":""}],"container-title":"Multidisciplinary Reviews","id":"ITEM-2","issue":"8","issued":{"date-parts":[["2024","5"]]},"page":"2024139","title":"Development of the concept of Islamic education to build and improve the personality of school-age children","type":"article-journal","volume":"7"},"uris":["http://www.mendeley.com/documents/?uuid=f94381a7-cd6a-4110-b866-5f062c2758e6"]},{"id":"ITEM-3","itemData":{"DOI":"10.24857/rgsa.v18n2-075","ISSN":"1981-982X","abstract":"Purpose: This study aims to explain the relationship between Islamophobia and the issue of Communism in Indonesia today. Methods: This research is a type of Data collecting was carried out on the mass media and social media and a literature review to discover this; then, the analysis was carried out using a philosophical approach. Results and Conclusion: This study found that the government policies that were seen opposing Islamism aspirations were considered a form of Islamophobia. The tendency of Islamophobia is resulted from the government and the winning party's closeness to China, especially the Chinese Communist Party, which results in the chaos of the law and efforts to reduce the ideology of the Pancasila (Five Principles). This condition presents a classic contestation between Islamism and Communism in the socio-political realm of contemporary Indonesia. In the contestation, Islamophobia continued in the form of negative imagery of Islam, Arabic, and Islamic politics. The response of Islamic groups to this condition is the strengthening of Islamism under the pretext of defending the state ideology. Research implications: The Development of Islamophobia: This research can provide insight into how Islamophobia develops and is maintained in the Indonesian context, which can provide a better understanding of its root causes and potential consequences in society. Impact on Interreligious and Interthought Relations: The implications of this research may go beyond political issues and touch aspects of interreligious and interthought relations in Indonesia. This can strengthen or weaken social relations between different groups. Public Policy: This study can provide a basis for the development of better public policy in addressing issues related to Islamophobia and society's understanding of communism. Policies created based on this research can be aimed at promoting tolerance and social justice. Further Research: This research may spark interest in further research on the same or related topics. Follow-up studies could dig deeper into the specific aspects revealed in this research or broaden the scope to understand a broader phenomenon. Global Influence: The implications of this research are not only limited to Indonesia, but can also provide valuable insight into how the phenomenon of Islamophobia and the stigma against communism is developing at the global level. This can help in understanding the impact of globalization and interconnectivity in spr…","author":[{"dropping-particle":"","family":"Waston","given":"","non-dropping-particle":"","parse-names":false,"suffix":""},{"dropping-particle":"","family":"Wiranto","given":"Erham Budi","non-dropping-particle":"","parse-names":false,"suffix":""},{"dropping-particle":"","family":"Ali","given":"Mudzakir","non-dropping-particle":"","parse-names":false,"suffix":""},{"dropping-particle":"","family":"Achmad","given":"Noor","non-dropping-particle":"","parse-names":false,"suffix":""},{"dropping-particle":"","family":"Ramdhani","given":"Deddy","non-dropping-particle":"","parse-names":false,"suffix":""},{"dropping-particle":"","family":"Muthoifin","given":"","non-dropping-particle":"","parse-names":false,"suffix":""},{"dropping-particle":"","family":"AN","given":"Andri Nirwana","non-dropping-particle":"","parse-names":false,"suffix":""}],"container-title":"Revista de Gestão Social e Ambiental","id":"ITEM-3","issue":"2","issued":{"date-parts":[["2024","2"]]},"page":"e04875","title":"Islamophobia and Communism: Perpetual Prejudice in Contemporary Indonesia","type":"article-journal","volume":"18"},"uris":["http://www.mendeley.com/documents/?uuid=d880c768-ff08-4189-867a-c5ffb7442bfc"]}],"mendeley":{"formattedCitation":"(Anwar, Sukisno, et al., 2024; Muthoifin, Firdaus, et al., 2024; Waston et al., 2024)","manualFormatting":"(Waston et al., 2024)","plainTextFormattedCitation":"(Anwar, Sukisno, et al., 2024; Muthoifin, Firdaus, et al., 2024; Waston et al., 2024)","previouslyFormattedCitation":"(Anwar, Sukisno, et al., 2024; Muthoifin, Firdaus, et al., 2024; Waston et al.,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(Waston et al., 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76F85339" w14:textId="57DE6AFF"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novelty of this study lies in its focused examination of Paneta Mawinne through the lens of Islamic law, a perspective that has been relatively underexplored in existing literature. While previous studies have discussed Kawin Tangkap in relation to Indonesian legal frameworks and human rights perspectives, limited research has comprehensively analyzed this practice based on Islamic jurisprudence (fiqh). This study seeks to bridge this gap by employing Islamic legal principles, particularly those concerning marriage, consent, and justice, to critically assess the legitimacy of Paneta Mawinne. Additionally, it offers an evaluative comparison between customary norms and Islamic ethical values, providing a unique contribution to the discourse on cultural traditions and religious legal systems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author":[{"dropping-particle":"","family":"Waston","given":"Waston","non-dropping-particle":"","parse-names":false,"suffix":""},{"dropping-particle":"","family":"Amini","given":"Soleh","non-dropping-particle":"","parse-names":false,"suffix":""},{"dropping-particle":"","family":"Arifin","given":"Muhtar","non-dropping-particle":"","parse-names":false,"suffix":""}],"container-title":"Multidisciplinary Reviews","id":"ITEM-1","issued":{"date-parts":[["2024"]]},"title":"A moral-based curriculum to improve civilization and human resource development in Bangladesh","type":"article-journal"},"uris":["http://www.mendeley.com/documents/?uuid=a190cda1-b41a-437f-9506-fecfa2352f95"]},{"id":"ITEM-2","itemData":{"DOI":"https://doi.org/10.31893/multirev.2024163 Parenting","abstract":"Waston, Mahmudulhassan, Andri Nirwana, &amp; Muthoifin, M. (2024). Parenting problems in the digital age and their solution development in the frame of value education. Multidisciplinary Reviews, (| Accepted Articles). Retrieved from https://malque.pub/ojs/index.php/mr/article/view/2191","author":[{"dropping-particle":"","family":"Waston, Mahmudulhassan, Andri Nirwana, &amp; Muthoifin","given":"M.","non-dropping-particle":"","parse-names":false,"suffix":""}],"container-title":"Multidisciplinary Reviews","id":"ITEM-2","issue":"8","issued":{"date-parts":[["2024"]]},"page":"21-91","title":"Parenting problems in the digital age and their solution development in the frame of value education","type":"article-journal","volume":"7"},"uris":["http://www.mendeley.com/documents/?uuid=cae99e09-12e8-48a3-9169-ef7277d79685"]},{"id":"ITEM-3","itemData":{"author":[{"dropping-particle":"","family":"Muthoifin","given":"Muthoifin","non-dropping-particle":"","parse-names":false,"suffix":""}],"container-title":"Multidisciplinary Reviews","id":"ITEM-3","issued":{"date-parts":[["2024"]]},"title":"The phenomenon of the rise of online transactions : A case study Tokopedia . com and Bukalapak . com","type":"article-journal"},"uris":["http://www.mendeley.com/documents/?uuid=a5ce9961-101f-4e36-bdf4-5a9cb8e75391"]},{"id":"ITEM-4","itemData":{"author":[{"dropping-particle":"","family":"Muthoifin","given":"Muthoifin","non-dropping-particle":"","parse-names":false,"suffix":""}],"container-title":"Multidisciplinary Reviews","id":"ITEM-4","issued":{"date-parts":[["2024"]]},"title":"Islamic accounting : Ethics and contextualization of recording in Muamalah transactions","type":"article-journal"},"uris":["http://www.mendeley.com/documents/?uuid=b7474eeb-15bd-4733-8945-37add8c5edbf"]},{"id":"ITEM-5","itemData":{"DOI":"10.13189/ujaf.2021.090421","author":[{"dropping-particle":"","family":"Muthoifin","given":"","non-dropping-particle":"","parse-names":false,"suffix":""}],"container-title":"Universal Journal of Accounting and Finance","id":"ITEM-5","issue":"4","issued":{"date-parts":[["2021"]]},"page":"757-763","title":"The Performance of Sharia Financing Amid the COVID-19 Pandemic in Indonesia","type":"article-journal","volume":"9"},"uris":["http://www.mendeley.com/documents/?uuid=2816e6a3-b17e-4671-97da-bfed096d3f70"]},{"id":"ITEM-6","itemData":{"DOI":"10.13189/ujer.2020.080954","ISSN":"13475231","abstract":"This study aims to uncover the basis used to construct the leadership trilogy in Indonesia, and examine it from Islamic education perspective, using a qualitative model with literature study. Meanwhile, data is obtained through written relics, both in form of books, journals and proceedings relevant to the subject. Furthermore, a historical, biographical and normative approach is used, and the data analysis techniques used are content, comparative and inductive. Based on the discussions, there are three bases used to construct leadership theory, and it is often referred to as the trilogy concept, which are ing ngarso sung tulodo, ing madyo mangun karso, tut wuri handayani. The meaning of these theories is “in front should set an example”, “in the middle should take initiative and be cooperative” and “at the back should give support”. This is relevant to the Islamic leadership concept such as Shiddiq, Amanah, Tabligh, and Fathonah. This research impact can be applied at different educational levels which expect visionary and Islamic teaching, as well as leadership. Furthermore, the novelty is exploring the style of Ki Hadjar Dewantara's thinking about the leadership trilogy contained in educational book, which until now has been a reference for Islamic education.","author":[{"dropping-particle":"","family":"Muthoifin, Nuha","given":"Sudarno Shobron","non-dropping-particle":"","parse-names":false,"suffix":""}],"container-title":"Universal Journal of Educational Research","id":"ITEM-6","issue":"9","issued":{"date-parts":[["2020"]]},"page":"4282-4286","title":"Education and Leadership in Indonesia: A Trilogy Concept in Islamic Perspective","type":"article-journal","volume":"8"},"uris":["http://www.mendeley.com/documents/?uuid=124b6919-8f54-4b65-8cb0-cf4020c30f2e"]}],"mendeley":{"formattedCitation":"(Muthoifin, Nuha, 2020; Muthoifin, 2021; M. Muthoifin, 2024b, 2024a; Waston, Mahmudulhassan, Andri Nirwana, &amp; Muthoifin, 2024; W. Waston et al., 2024)","manualFormatting":"(Muthoifin et al., 2024)","plainTextFormattedCitation":"(Muthoifin, Nuha, 2020; Muthoifin, 2021; M. Muthoifin, 2024b, 2024a; Waston, Mahmudulhassan, Andri Nirwana, &amp; Muthoifin, 2024; W. Waston et al., 2024)","previouslyFormattedCitation":"(Muthoifin, Nuha, 2020; Muthoifin, 2021; M. Muthoifin, 2024b, 2024a; Waston, Mahmudulhassan, Andri Nirwana, &amp; Muthoifin, 2024; W. Waston et al.,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(Muthoifin</w:t>
      </w:r>
      <w:r w:rsidR="00FD590C">
        <w:rPr>
          <w:rFonts w:ascii="Calibri Light" w:hAnsi="Calibri Light" w:cs="Calibri Light"/>
          <w:noProof/>
          <w:sz w:val="24"/>
          <w:szCs w:val="24"/>
        </w:rPr>
        <w:t xml:space="preserve"> et al., </w:t>
      </w:r>
      <w:r w:rsidR="006420BA" w:rsidRPr="006420BA">
        <w:rPr>
          <w:rFonts w:ascii="Calibri Light" w:hAnsi="Calibri Light" w:cs="Calibri Light"/>
          <w:noProof/>
          <w:sz w:val="24"/>
          <w:szCs w:val="24"/>
        </w:rPr>
        <w:t>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5103DAB4" w14:textId="30C88321"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Ultimately, this research aspires to contribute to the broader efforts of advocating for human rights and legal reforms, particularly in regions where cultural practices still pose challenges to gender equality and justice. By bringing Islamic law into the discussion, this study aims to provide alternative perspectives that encourage ethical and legal transformations within the Sumbanese community, ensuring that traditional customs align with the principles of justice and human dignity upheld in Islam</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{"citationItems":[{"id":"ITEM-1","itemData":{"DOI":"10.13189/ujer.2020.080744","author":[{"dropping-particle":"","family":"Muthoifin, Shobron","given":"Sudarno","non-dropping-particle":"","parse-names":false,"suffix":""},{"dropping-particle":"","family":"Anshori","given":"Ari","non-dropping-particle":"","parse-names":false,"suffix":""}],"container-title":"Universal Journal of Educational Research","id":"ITEM-1","issue":"7","issued":{"date-parts":[["2020"]]},"page":"3155-3159","title":"Method for Developing Soft Skills Education for Students","type":"article-journal","volume":"8"},"uris":["http://www.mendeley.com/documents/?uuid=7c131d71-87eb-4d7b-bca6-e77ffc6d6625"]},{"id":"ITEM-2","itemData":{"DOI":"10.18510/hssr.2019.74133","ISSN":"23956518","abstract":"Purpose: The focus of research to reveal the development of the sharia hospitality industry in Surakarta in terms of effectiveness, existence and Syariah hotel. Methodology: Methodology used in analytical phenomenology and descriptive. Result: The results and conclusions of this study are that the development of sharia hotel industry in Surakarta is now increasing. Sharia hotel business in Surakarta is also considered effective in accordance with the concept of sharia. The existence of sharia hotels has been running well. His mission is to do Islamic business and preaching amar ma'ruf nahi munkar. Applications: This research can be used for universities, teachers, and students. Novelty/Originality: By taking the research location at Zaen Hotel Syariah, Hotel Al-Madinah Syariah and Solo Hotel Syariah. While the data collection through interviews and observation. Data analysis by reducing data, presenting data and drawing conclusions.","author":[{"dropping-particle":"","family":"Muthoifin","given":"","non-dropping-particle":"","parse-names":false,"suffix":""}],"container-title":"Humanities and Social Sciences Reviews","id":"ITEM-2","issue":"4","issued":{"date-parts":[["2019"]]},"page":"973-979","title":"Shariah hotel and mission religion in surakarta indonesia","type":"article-journal","volume":"7"},"uris":["http://www.mendeley.com/documents/?uuid=7a66cf20-24ef-48c1-a51e-e9db040c1122"]},{"id":"ITEM-3","itemData":{"author":[{"dropping-particle":"","family":"Muthoifin, Shobron","given":"Sudarno","non-dropping-particle":"","parse-names":false,"suffix":""},{"dropping-particle":"","family":"Rahman","given":"Suhaimi Ab","non-dropping-particle":"","parse-names":false,"suffix":""}],"container-title":"Humanities &amp; Social Sciences Reviews","id":"ITEM-3","issue":"6","issued":{"date-parts":[["2019"]]},"page":"780-786","title":"Humanist islam in indonesia ahmad syafii maarif perspective","type":"article-journal","volume":"7"},"uris":["http://www.mendeley.com/documents/?uuid=e25131a9-4cc7-4480-a9ef-a5d85d5bda20"]},{"id":"ITEM-4","itemData":{"author":[{"dropping-particle":"","family":"Muthoifin, Nuha, Gamal","given":"Mohamed","non-dropping-particle":"","parse-names":false,"suffix":""},{"dropping-particle":"","family":"Elbasiouny","given":"Ibrahim","non-dropping-particle":"","parse-names":false,"suffix":""},{"dropping-particle":"","family":"E-sor","given":"Abdulrohim","non-dropping-particle":"","parse-names":false,"suffix":""},{"dropping-particle":"","family":"Sule","given":"Muhammad Maga","non-dropping-particle":"","parse-names":false,"suffix":""}],"container-title":"Journal of Lifestyle and SDG'S Review","id":"ITEM-4","issued":{"date-parts":[["2025"]]},"page":"1-21","title":"ANALYSIS OF COMPLIANCE WITH THE MUAMALAH VERSE IN BMT ATTUNNISA BOYOLALI AND ITS IMPLICATIONS FOR THE SUSTAINABLE DEVELOPMENT GOALS ( SDGS ) Baitul Maal Wat Tamwil ( BMT ) is one of the Islamic financial institutions that plays an important role in the co","type":"article-journal","volume":"5"},"uris":["http://www.mendeley.com/documents/?uuid=9b6174a9-f925-44d7-9bf9-9cbcfc2867c7"]},{"id":"ITEM-5","itemData":{"DOI":"10.53935/jomw.v2024i4.546","author":[{"dropping-particle":"","family":"Nugroho","given":"Rico Setyo","non-dropping-particle":"","parse-names":false,"suffix":""},{"dropping-particle":"","family":"Asy","given":"Musa","non-dropping-particle":"","parse-names":false,"suffix":""},{"dropping-particle":"","family":"An","given":"Andri Nirwana","non-dropping-particle":"","parse-names":false,"suffix":""},{"dropping-particle":"","family":"Elbanna, Mariam","given":"Muthoifin","non-dropping-particle":"","parse-names":false,"suffix":""}],"container-title":"Journal of Management World","id":"ITEM-5","issue":"Elbanna","issued":{"date-parts":[["2025"]]},"page":"840-847","title":"Household Justice Management in Views of Polygamy Practitioners : A Key Principle for Familial Stability and Harmony in Islamic Education","type":"article-journal"},"uris":["http://www.mendeley.com/documents/?uuid=c544d3ef-f324-4872-8212-5875a687730d"]},{"id":"ITEM-6","itemData":{"author":[{"dropping-particle":"","family":"Inayati","given":"Nurul Latifatul","non-dropping-particle":"","parse-names":false,"suffix":""},{"dropping-particle":"","family":"Mustofa","given":"Triono Ali","non-dropping-particle":"","parse-names":false,"suffix":""},{"dropping-particle":"","family":"Anggraini, Fadhilla Nangroe","given":"Muthoifin","non-dropping-particle":"","parse-names":false,"suffix":""}],"container-title":"Journal of Lifestyle and SDG'S Review","id":"ITEM-6","issued":{"date-parts":[["2025"]]},"page":"1-22","title":"DEVELOPMENT OF RELIGIOUS EDUCATION IN JUNIOR HIGH SCHOOLS FOR SUSTAINABLE DEVELOPMENT GOALS ( SDGS ): A STUDY IN SURAKARTA","type":"article-journal","volume":"5"},"uris":["http://www.mendeley.com/documents/?uuid=f0208f00-a15f-405b-a239-a477d462ced6"]}],"mendeley":{"formattedCitation":"(Inayati et al., 2025; Muthoifin, Nuha, Gamal et al., 2025; Muthoifin, Shobron &amp; Anshori, 2020; Muthoifin, Shobron &amp; Rahman, 2019; Muthoifin, 2019; Nugroho et al., 2025)","manualFormatting":"(Gamal et al., 2025)","plainTextFormattedCitation":"(Inayati et al., 2025; Muthoifin, Nuha, Gamal et al., 2025; Muthoifin, Shobron &amp; Anshori, 2020; Muthoifin, Shobron &amp; Rahman, 2019; Muthoifin, 2019; Nugroho et al., 2025)","previouslyFormattedCitation":"(Inayati et al., 2025; Muthoifin, Nuha, Gamal et al., 2025; Muthoifin, Shobron &amp; Anshori, 2020; Muthoifin, Shobron &amp; Rahman, 2019; Muthoifin, 2019; Nugroho et al., 2025)"},"properties":{"noteIndex":0},"schema":"https://github.com/citation-style-language/schema/raw/master/csl-citation.json"}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(Gamal et al., 2025)</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6794983F" w14:textId="0BF1CC3D" w:rsidR="005C2B6A" w:rsidRDefault="00334792" w:rsidP="00CF5FD4">
      <w:pPr>
        <w:numPr>
          <w:ilvl w:val="0"/>
          <w:numId w:val="15"/>
        </w:numPr>
        <w:autoSpaceDE/>
        <w:autoSpaceDN/>
        <w:spacing w:before="120" w:after="120"/>
        <w:ind w:left="426" w:hanging="219"/>
        <w:rPr>
          <w:rFonts w:ascii="Calibri Light" w:hAnsi="Calibri Light" w:cs="Calibri Light"/>
          <w:sz w:val="24"/>
          <w:szCs w:val="24"/>
        </w:rPr>
      </w:pPr>
      <w:r w:rsidRPr="00122F5F">
        <w:rPr>
          <w:rFonts w:ascii="Calibri Light" w:hAnsi="Calibri Light" w:cs="Calibri Light"/>
          <w:b/>
          <w:sz w:val="24"/>
          <w:szCs w:val="24"/>
          <w:lang w:val="id-ID"/>
        </w:rPr>
        <w:t>METHOD</w:t>
      </w:r>
    </w:p>
    <w:p w14:paraId="3E3AB752" w14:textId="500B6005" w:rsidR="005C2B6A" w:rsidRPr="005C2B6A" w:rsidRDefault="005C2B6A" w:rsidP="005C2B6A">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This study employs a qualitative research method with a specific focus on library research or literature review, designed to examine the cultural practice of capture marriage (Paneta Mawinne) in Sumba, East Nusa Tenggara, through the lens of Islamic law. The qualitative method is appropriate for interpreting socio-cultural phenomena and normative frameworks, particularly when aiming to understand deeply rooted traditional practices and assess their compatibility with religious legal principles</w:t>
      </w:r>
      <w:r w:rsidR="00E4139C">
        <w:rPr>
          <w:rFonts w:ascii="Calibri Light" w:hAnsi="Calibri Light" w:cs="Calibri Light"/>
          <w:sz w:val="24"/>
          <w:szCs w:val="24"/>
        </w:rPr>
        <w:t xml:space="preserve"> </w:t>
      </w:r>
      <w:r w:rsidR="00E4139C" w:rsidRPr="00DD0A7A">
        <w:rPr>
          <w:rFonts w:ascii="Calibri Light" w:hAnsi="Calibri Light" w:cs="Calibri Light"/>
          <w:noProof/>
          <w:sz w:val="24"/>
          <w:szCs w:val="24"/>
        </w:rPr>
        <w:fldChar w:fldCharType="begin" w:fldLock="1"/>
      </w:r>
      <w:r w:rsidR="00E4139C" w:rsidRPr="00DD0A7A">
        <w:rPr>
          <w:rFonts w:ascii="Calibri Light" w:hAnsi="Calibri Light" w:cs="Calibri Light"/>
          <w:noProof/>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Teologi","type":"article-journal","volume":"3"},"uris":["http://www.mendeley.com/documents/?uuid=8c979c26-e0f1-4ada-9b5f-f39ca268b354","http://www.mendeley.com/documents/?uuid=bc742ef0-ec15-4c88-9e48-821ee35590eb"]}],"mendeley":{"formattedCitation":"(Manurung, 2022)","manualFormatting":"(Manurung, 2022)","plainTextFormattedCitation":"(Manurung, 2022)","previouslyFormattedCitation":"(Manurung, 2022)"},"properties":{"noteIndex":0},"schema":"https://github.com/citation-style-language/schema/raw/master/csl-citation.json"}</w:instrText>
      </w:r>
      <w:r w:rsidR="00E4139C" w:rsidRPr="00DD0A7A">
        <w:rPr>
          <w:rFonts w:ascii="Calibri Light" w:hAnsi="Calibri Light" w:cs="Calibri Light"/>
          <w:noProof/>
          <w:sz w:val="24"/>
          <w:szCs w:val="24"/>
        </w:rPr>
        <w:fldChar w:fldCharType="separate"/>
      </w:r>
      <w:r w:rsidR="00E4139C" w:rsidRPr="00DD0A7A">
        <w:rPr>
          <w:rFonts w:ascii="Calibri Light" w:hAnsi="Calibri Light" w:cs="Calibri Light"/>
          <w:noProof/>
          <w:sz w:val="24"/>
          <w:szCs w:val="24"/>
        </w:rPr>
        <w:t>(</w:t>
      </w:r>
      <w:hyperlink w:anchor="no21" w:history="1">
        <w:r w:rsidR="00E4139C" w:rsidRPr="00DD0A7A">
          <w:rPr>
            <w:rFonts w:ascii="Calibri Light" w:hAnsi="Calibri Light" w:cs="Calibri Light"/>
            <w:noProof/>
            <w:sz w:val="24"/>
            <w:szCs w:val="24"/>
          </w:rPr>
          <w:t>Manurung</w:t>
        </w:r>
      </w:hyperlink>
      <w:r w:rsidR="00E4139C" w:rsidRPr="00DD0A7A">
        <w:rPr>
          <w:rFonts w:ascii="Calibri Light" w:hAnsi="Calibri Light" w:cs="Calibri Light"/>
          <w:noProof/>
          <w:sz w:val="24"/>
          <w:szCs w:val="24"/>
        </w:rPr>
        <w:t>, 2022)</w:t>
      </w:r>
      <w:r w:rsidR="00E4139C" w:rsidRPr="00DD0A7A">
        <w:rPr>
          <w:rFonts w:ascii="Calibri Light" w:hAnsi="Calibri Light" w:cs="Calibri Light"/>
          <w:noProof/>
          <w:sz w:val="24"/>
          <w:szCs w:val="24"/>
        </w:rPr>
        <w:fldChar w:fldCharType="end"/>
      </w:r>
      <w:r w:rsidR="00E4139C" w:rsidRPr="00342520">
        <w:rPr>
          <w:rFonts w:ascii="Calibri Light" w:hAnsi="Calibri Light" w:cs="Calibri Light"/>
          <w:sz w:val="24"/>
          <w:szCs w:val="24"/>
        </w:rPr>
        <w:t>.</w:t>
      </w:r>
    </w:p>
    <w:p w14:paraId="6999BB98" w14:textId="5DC969B9" w:rsidR="005C2B6A" w:rsidRPr="005C2B6A" w:rsidRDefault="005C2B6A" w:rsidP="005C2B6A">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The research applies a normative juridical approach, which emphasizes the study of legal norms found in classical Islamic jurisprudence (fiqh), national regulations, and academic discourse. This approach allows the researcher to evaluate the extent to which the tradition of capture marriage aligns with or contradicts Islamic legal standards, particularly those related to marriage, human dignity, and personal consent</w:t>
      </w:r>
      <w:r w:rsidR="00E4139C">
        <w:rPr>
          <w:rFonts w:ascii="Calibri Light" w:hAnsi="Calibri Light" w:cs="Calibri Light"/>
          <w:sz w:val="24"/>
          <w:szCs w:val="24"/>
        </w:rPr>
        <w:t xml:space="preserve"> </w:t>
      </w:r>
      <w:r w:rsidR="00E4139C">
        <w:rPr>
          <w:rFonts w:ascii="Calibri Light" w:hAnsi="Calibri Light" w:cs="Calibri Light"/>
          <w:sz w:val="24"/>
          <w:szCs w:val="24"/>
        </w:rPr>
        <w:fldChar w:fldCharType="begin" w:fldLock="1"/>
      </w:r>
      <w:r w:rsidR="00E4139C">
        <w:rPr>
          <w:rFonts w:ascii="Calibri Light" w:hAnsi="Calibri Light" w:cs="Calibri Light"/>
          <w:sz w:val="24"/>
          <w:szCs w:val="24"/>
        </w:rPr>
        <w:instrText>ADDIN CSL_CITATION {"citationItems":[{"id":"ITEM-1","itemData":{"DOI":"10.31893/jabb.2024034","ISSN":"23181265","abstract":"This study aims to observe and analyze the response and behavior of cows and goats during the slaughter process of sacrificial animals on Eid al-Adha 1445H in Surakarta, Indonesia. The study focuses on the various stages of slaughter, from transportation, placement, slaughter process, to post slaughter handling, with the aim of improving the welfare of animals through a better understanding of their behavior under these conditions. The research method used is a qualitative approach by conducting participatory observations, in-depth interviews, and visual documentation (photos and videos) at several slaughter sites in Surakarta. Research participants include slaughtering officers, qurbani organizers, veterinary experts, and the surrounding community. The data were analyzed thematically to identify the behavior patterns and responses of animals and the factors that influence them. The object of the study consisted of cows and goats prepared for qurban. The study found that cows that were transported and treated gently showed lower levels of stress than those who were treated roughly. Cows tend to exhibit aggressive behavior when they feel threatened. Goats, on the other hand, are quicker to show signs of stress and agitation during transportation and placement, but tend to be less aggressive than cows. The study results indicate that quick and Islamic slaughter techniques, the use of sharp and clean tools, and gentle handling by personnel can reduce animal stress and aggression. A calm and orderly environment also helps alleviate animal anxiety during the slaughtering process. Similarly, the reactions of other animals near the slaughter site show signs of anxiety, affirming that animals can perceive the distress of their peers. These findings emphasize that slaughter practices aligned with Islamic ethics enhance animal welfare through swift slaughter and stress minimization, impacting meat quality, ethical compliance, and consumer satisfaction positively. The novelty or originality of this study lies in its holistic approach, encompassing all stages of sacrificial animal slaughter and focusing on two commonly used species, cows and goats. This research makes a significant contribution by providing practical recommendations to improve the welfare of sacrificial animals, taking into account technical and behavioral aspects specific to each species. The practical implications of these findings include the need for training slaughter personnel to understand p…","author":[{"dropping-particle":"","family":"Muthoifin","given":"","non-dropping-particle":"","parse-names":false,"suffix":""},{"dropping-particle":"","family":"Afiyah","given":"Ishmah","non-dropping-particle":"","parse-names":false,"suffix":""},{"dropping-particle":"","family":"Nuha","given":"","non-dropping-particle":"","parse-names":false,"suffix":""}],"container-title":"Journal of Animal Behaviour and Biometeorology","id":"ITEM-1","issue":"4","issued":{"date-parts":[["2024"]]},"title":"Behavioral responses of cows and goats during slaughtering for Eid Al-Adha: A field study in Surakarta","type":"article-journal","volume":"12"},"uris":["http://www.mendeley.com/documents/?uuid=eb12fa34-1956-446b-8322-ac60d8ea0696"]},{"id":"ITEM-2","itemData":{"author":[{"dropping-particle":"","family":"Muthoifin, Rohimat","given":"Asep Maulana","non-dropping-particle":"","parse-names":false,"suffix":""},{"dropping-particle":"","family":"Irsyad","given":"Mohamad","non-dropping-particle":"","parse-names":false,"suffix":""},{"dropping-particle":"","family":"Nurrohim","given":"Ahmad","non-dropping-particle":"","parse-names":false,"suffix":""},{"dropping-particle":"","family":"Afiyah","given":"Ishmah","non-dropping-particle":"","parse-names":false,"suffix":""}],"container-title":"Journal of Lifestyle and SDG'S Review","id":"ITEM-2","issued":{"date-parts":[["2025"]]},"page":"1-19","title":"SHARIA ECONOMIC EMPOWERMENT OF LOW-INCOME COMMUNITIES AND SUBSIDY RECIPIENTS IN BOYOLALI FOR SUSTAINABLE DEVELOPMENT GOALS","type":"article-journal","volume":"5"},"uris":["http://www.mendeley.com/documents/?uuid=a4fe52e3-9233-4eba-a8b5-3eaad0e5a53b"]},{"id":"ITEM-3","itemData":{"author":[{"dropping-particle":"","family":"Waston","given":"Saif Uddin Ahmed Khondoker","non-dropping-particle":"","parse-names":false,"suffix":""},{"dropping-particle":"","family":"Muthoifin, Andri Nirwana An","given":"Mahmudulhassan","non-dropping-particle":"","parse-names":false,"suffix":""}],"container-title":"Journal of Lifestyle and SDG'S Review","id":"ITEM-3","issued":{"date-parts":[["2025"]]},"page":"1-19","title":"THE ROLE OF FAITH-BASED EDUCATION IN BANGLADESH ’ S MULTICULTURAL SYSTEM AND ITS IMPACT ON THE SUSTAINABLE DEVELOPMENT GOALS ( SDGS )","type":"article-journal","volume":"5"},"uris":["http://www.mendeley.com/documents/?uuid=248f6880-00d1-4a58-bc7b-af56e3dfb5cf"]}],"mendeley":{"formattedCitation":"(Muthoifin, Rohimat et al., 2025; Muthoifin, Afiyah, et al., 2024; S. U. A. K. Waston &amp; Muthoifin, Andri Nirwana An, 2025)","manualFormatting":"(Afiyah, et al., 2024)","plainTextFormattedCitation":"(Muthoifin, Rohimat et al., 2025; Muthoifin, Afiyah, et al., 2024; S. U. A. K. Waston &amp; Muthoifin, Andri Nirwana An, 2025)","previouslyFormattedCitation":"(Muthoifin, Rohimat et al., 2025; Muthoifin, Afiyah, et al., 2024; S. U. A. K. Waston &amp; Muthoifin, Andri Nirwana An, 2025)"},"properties":{"noteIndex":0},"schema":"https://github.com/citation-style-language/schema/raw/master/csl-citation.json"}</w:instrText>
      </w:r>
      <w:r w:rsidR="00E4139C">
        <w:rPr>
          <w:rFonts w:ascii="Calibri Light" w:hAnsi="Calibri Light" w:cs="Calibri Light"/>
          <w:sz w:val="24"/>
          <w:szCs w:val="24"/>
        </w:rPr>
        <w:fldChar w:fldCharType="separate"/>
      </w:r>
      <w:r w:rsidR="00E4139C" w:rsidRPr="006420BA">
        <w:rPr>
          <w:rFonts w:ascii="Calibri Light" w:hAnsi="Calibri Light" w:cs="Calibri Light"/>
          <w:noProof/>
          <w:sz w:val="24"/>
          <w:szCs w:val="24"/>
        </w:rPr>
        <w:t>(Afiyah, et al., 2024)</w:t>
      </w:r>
      <w:r w:rsidR="00E4139C">
        <w:rPr>
          <w:rFonts w:ascii="Calibri Light" w:hAnsi="Calibri Light" w:cs="Calibri Light"/>
          <w:sz w:val="24"/>
          <w:szCs w:val="24"/>
        </w:rPr>
        <w:fldChar w:fldCharType="end"/>
      </w:r>
      <w:r w:rsidRPr="005C2B6A">
        <w:rPr>
          <w:rFonts w:ascii="Calibri Light" w:hAnsi="Calibri Light" w:cs="Calibri Light"/>
          <w:sz w:val="24"/>
          <w:szCs w:val="24"/>
        </w:rPr>
        <w:t>. The main research question posed is: How is the tradition of capture marriage (Paneta Mawinne) in Sumba perceived from the perspective of Islamic law?</w:t>
      </w:r>
    </w:p>
    <w:p w14:paraId="31164530" w14:textId="098E083D" w:rsidR="005C2B6A" w:rsidRDefault="005C2B6A" w:rsidP="005C2B6A">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In terms of data and data sources, this study draws upon both primary and secondary data. Primary data consists of authoritative Islamic legal texts, such as the Qur’an, Hadith, and classical fiqh books from various schools of Islamic law. In addition, interviews with Islamic scholars (ulama), legal experts, and local community leaders who are familiar with the practice of Paneta Mawinne are included to provide contextual insights and contemporary interpretations. Secondary data includes peer-reviewed journal articles, Indonesian legal documents, online news reports, and social media videos that document real-life cases and public perceptions related to this tradition</w:t>
      </w:r>
      <w:r w:rsidR="00F86BE6">
        <w:rPr>
          <w:rFonts w:ascii="Calibri Light" w:hAnsi="Calibri Light" w:cs="Calibri Light"/>
          <w:sz w:val="24"/>
          <w:szCs w:val="24"/>
        </w:rPr>
        <w:t xml:space="preserve"> </w:t>
      </w:r>
      <w:r w:rsidR="00F86BE6">
        <w:rPr>
          <w:rFonts w:ascii="Calibri Light" w:hAnsi="Calibri Light" w:cs="Calibri Light"/>
          <w:sz w:val="24"/>
          <w:szCs w:val="24"/>
        </w:rPr>
        <w:fldChar w:fldCharType="begin" w:fldLock="1"/>
      </w:r>
      <w:r w:rsidR="00F86BE6">
        <w:rPr>
          <w:rFonts w:ascii="Calibri Light" w:hAnsi="Calibri Light" w:cs="Calibri Light"/>
          <w:sz w:val="24"/>
          <w:szCs w:val="24"/>
        </w:rPr>
        <w:instrText>ADDIN CSL_CITATION {"citationItems":[{"id":"ITEM-1","itemData":{"author":[{"dropping-particle":"","family":"Mohamad Ali, Waston, Muthoifin, Fauziyah Qurrota A’yun Tamami","given":"Siti Rahmawati","non-dropping-particle":"","parse-names":false,"suffix":""},{"dropping-particle":"","family":"Mariam","given":"Elbanna","non-dropping-particle":"","parse-names":false,"suffix":""},{"dropping-particle":"","family":"AN, Mahmudulhassan","given":"Andri Nirwana","non-dropping-particle":"","parse-names":false,"suffix":""}],"container-title":"Journal of Lifestyle and SDG'S Review","id":"ITEM-1","issued":{"date-parts":[["2025"]]},"page":"1-23","title":"TRACKING EDUCATION TRANSFORMATION TOWARDS SUSTAINABLE DEVELOPMENT GOALS : A BIBLIOMETRIC REVIEW ON THE INFLUENCE OF SOCIOECONOMIC FACTORS IN THE EDUCATION ECOSYSTEM","type":"article-journal","volume":"5"},"uris":["http://www.mendeley.com/documents/?uuid=f7ad8812-b2d3-4dda-a9a4-d30597d37893"]},{"id":"ITEM-2","itemData":{"DOI":"10.47172/2965-730X.SDGsReview.v4.n03.pe01720","ISSN":"2965730X","abstract":"Objective: This study aims to explore the contribution of interfaith perspectives in multicultural education to the achievement of the Sustainable Development Goals (SDGs). The focus is to develop a deeper understanding of how religious values can strengthen tolerance, social cohesion, and peace among students. Theoretical Framework: This study uses a multicultural educational framework and an interfaith perspective as its theoretical foundation. Multicultural education is seen as an important strategy to promote respect for diversity, while an interfaith perspective contributes fundamental moral values to sustainable social development. Method: A qualitative analysis of content technique is employed in the study to analyze Hadith and Quranic texts and lessons. To find themes and subjects about interfaith dialogue and multicultural education, the texts are methodically classified and categorized. Results and Discussion: This research results in a deeper understanding of best practices and challenges in integrating interfaith perspectives in multicultural education. The results show that the integration of religious values can effectively strengthen understanding and appreciation of diversity, as well as support the creation of an inclusive and harmonious educational environment that contributes to the achievement of the (SDGs). The study also offers practical recommendations for educators and policymakers to improve the implementation of multicultural education based on interfaith values. Research Implications: Policymakers, educators, and interfaith workers should take note of the study's significant ramifications. It provides a framework for multicultural education with a strong religious foundation that may be utilized to develop inclusive lesson plans and teaching techniques. Originality/Value: The interdisciplinary approach of this research, which blends Islamic religious teachings with contemporary educational theories, makes it distinctive. It adds something unique to the continuing conversation about diversity and inclusivity in education by providing an Islamic perspective. The study is important because it has the potential to change educational practices and regulations, which will help different groups have more inclusive and respectful learning environments.","author":[{"dropping-particle":"","family":"Muthoifin","given":"","non-dropping-particle":"","parse-names":false,"suffix":""},{"dropping-particle":"","family":"Erawati","given":"Desi","non-dropping-particle":"","parse-names":false,"suffix":""},{"dropping-particle":"","family":"Nashihin","given":"Husna","non-dropping-particle":"","parse-names":false,"suffix":""},{"dropping-particle":"","family":"Mahmudulhassan","given":"","non-dropping-particle":"","parse-names":false,"suffix":""},{"dropping-particle":"","family":"Setiawan","given":"Bahar Agus","non-dropping-particle":"","parse-names":false,"suffix":""},{"dropping-particle":"","family":"Rofi","given":"Sofyan","non-dropping-particle":"","parse-names":false,"suffix":""},{"dropping-particle":"","family":"Hafidz","given":"","non-dropping-particle":"","parse-names":false,"suffix":""}],"container-title":"Journal of Lifestyle and SDG'S Review","id":"ITEM-2","issue":"3","issued":{"date-parts":[["2024"]]},"page":"1-17","title":"an Interfaith Perspective on Multicultural Education for Sustainable Development Goals (Sdgs)","type":"article-journal","volume":"4"},"uris":["http://www.mendeley.com/documents/?uuid=61f58e2a-5643-4645-aadf-2199386ccba0"]},{"id":"ITEM-3","itemData":{"DOI":"10.47172/2965-730X.SDGsReview.v5.n01.pe01687","ISSN":"2965730X","abstract":"Purpose: This service aims to foster harmony in a multicultural community in the city of Solo as a concrete step to increase peace and support the achievement of the Sustainable Development Goals (SDGs). Theoretical Framework: This study uses a cultural integration thinking framework and a participatory approach to building social harmony. The focus is on developing an understanding and appreciation of cultural diversity, as well as increasing positive interactions between ethnicities and religions to create an inclusive environment. Methods: This service uses a participatory approach involving a variety of local stakeholders, including ethnic and religious communities, local governments, and community institutions. Activities include organizing intercultural dialogue workshops, cultural diversity training, and public campaigns to promote tolerance and peace. Results and Conclusion: The results of this service show an increased awareness of cultural diversity and appreciation for differences among the people of Solo. Inter-ethnic and religious interactions are increasing, creating a stronger foundation for social harmony. In conclusion, participatory and integrative approaches are effective in building harmony in multicultural societies to support peace and sustainable development. Implications: This service has a positive impact by increasing tolerance, reducing social conflicts, and strengthening social cohesion in the city of Solo. The impact is also seen in increasing community participation in local development activities and achieving related SDGs targets. Originality/value: Its uniqueness lies in its participatory approach that actively involves all relevant parties, as well as focusing on cultural integration as the main foundation for the development of sustainable social harmony in a multicultural environment such as the city of Solo.","author":[{"dropping-particle":"","family":"Muthoifin","given":"","non-dropping-particle":"","parse-names":false,"suffix":""},{"dropping-particle":"","family":"Abuzar","given":"Muhammad","non-dropping-particle":"","parse-names":false,"suffix":""},{"dropping-particle":"","family":"Mahmudulhassan","given":"","non-dropping-particle":"","parse-names":false,"suffix":""},{"dropping-particle":"","family":"Afiyah","given":"Ishmah","non-dropping-particle":"","parse-names":false,"suffix":""},{"dropping-particle":"","family":"Nirwana","given":"Andri","non-dropping-particle":"","parse-names":false,"suffix":""},{"dropping-particle":"","family":"Nuha","given":"","non-dropping-particle":"","parse-names":false,"suffix":""},{"dropping-particle":"","family":"Setianto","given":"Gigih","non-dropping-particle":"","parse-names":false,"suffix":""},{"dropping-particle":"","family":"Waston","given":"","non-dropping-particle":"","parse-names":false,"suffix":""}],"container-title":"Journal of Lifestyle and SDG'S Review","id":"ITEM-3","issue":"1","issued":{"date-parts":[["2025"]]},"page":"1-20","title":"Fostering Multicultural Community Harmony To Enhance Peace and Sustainable Development Goals (Sdg’S)","type":"article-journal","volume":"5"},"uris":["http://www.mendeley.com/documents/?uuid=187c9f63-47d7-4d4b-8a07-b9bc8e2e72d1"]}],"mendeley":{"formattedCitation":"(Mohamad Ali, Waston, Muthoifin, Fauziyah Qurrota A’yun Tamami et al., 2025; Muthoifin, Abuzar, et al., 2025; Muthoifin, Erawati, et al., 2024)","manualFormatting":"(Erawati, et al., 2024)","plainTextFormattedCitation":"(Mohamad Ali, Waston, Muthoifin, Fauziyah Qurrota A’yun Tamami et al., 2025; Muthoifin, Abuzar, et al., 2025; Muthoifin, Erawati, et al., 2024)","previouslyFormattedCitation":"(Mohamad Ali, Waston, Muthoifin, Fauziyah Qurrota A’yun Tamami et al., 2025; Muthoifin, Abuzar, et al., 2025; Muthoifin, Erawati, et al., 2024)"},"properties":{"noteIndex":0},"schema":"https://github.com/citation-style-language/schema/raw/master/csl-citation.json"}</w:instrText>
      </w:r>
      <w:r w:rsidR="00F86BE6">
        <w:rPr>
          <w:rFonts w:ascii="Calibri Light" w:hAnsi="Calibri Light" w:cs="Calibri Light"/>
          <w:sz w:val="24"/>
          <w:szCs w:val="24"/>
        </w:rPr>
        <w:fldChar w:fldCharType="separate"/>
      </w:r>
      <w:r w:rsidR="00F86BE6" w:rsidRPr="006420BA">
        <w:rPr>
          <w:rFonts w:ascii="Calibri Light" w:hAnsi="Calibri Light" w:cs="Calibri Light"/>
          <w:noProof/>
          <w:sz w:val="24"/>
          <w:szCs w:val="24"/>
        </w:rPr>
        <w:t>(Erawati, et al., 2024)</w:t>
      </w:r>
      <w:r w:rsidR="00F86BE6">
        <w:rPr>
          <w:rFonts w:ascii="Calibri Light" w:hAnsi="Calibri Light" w:cs="Calibri Light"/>
          <w:sz w:val="24"/>
          <w:szCs w:val="24"/>
        </w:rPr>
        <w:fldChar w:fldCharType="end"/>
      </w:r>
      <w:r w:rsidR="00F86BE6" w:rsidRPr="00B948C4">
        <w:rPr>
          <w:rFonts w:ascii="Calibri Light" w:hAnsi="Calibri Light" w:cs="Calibri Light"/>
          <w:sz w:val="24"/>
          <w:szCs w:val="24"/>
        </w:rPr>
        <w:t>.</w:t>
      </w:r>
    </w:p>
    <w:p w14:paraId="60326FB0" w14:textId="1E098B66" w:rsidR="005C2B6A" w:rsidRPr="005C2B6A" w:rsidRDefault="005C2B6A" w:rsidP="005C2B6A">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Data collection techniques used in this study involve systematic document analysis and semi-structured interviews. Document analysis was conducted over several weeks to gather relevant information from scholarly works, legislation, and digital media. The documents were selected based on credibility, relevance, and recency. Semi-structured interviews were conducted with experts from religious and legal fields, offering interpretive depth and community-based perspectives. This dual method ensures a robust understanding of both theoretical foundations and real-world applications</w:t>
      </w:r>
      <w:r w:rsidR="00BC16C2">
        <w:rPr>
          <w:rFonts w:ascii="Calibri Light" w:hAnsi="Calibri Light" w:cs="Calibri Light"/>
          <w:sz w:val="24"/>
          <w:szCs w:val="24"/>
        </w:rPr>
        <w:t xml:space="preserve"> </w:t>
      </w:r>
      <w:r w:rsidR="0026615D">
        <w:rPr>
          <w:rFonts w:ascii="Calibri Light" w:hAnsi="Calibri Light" w:cs="Calibri Light"/>
          <w:sz w:val="24"/>
          <w:szCs w:val="24"/>
        </w:rPr>
        <w:fldChar w:fldCharType="begin" w:fldLock="1"/>
      </w:r>
      <w:r w:rsidR="00E944B0">
        <w:rPr>
          <w:rFonts w:ascii="Calibri Light" w:hAnsi="Calibri Light" w:cs="Calibri Light"/>
          <w:sz w:val="24"/>
          <w:szCs w:val="24"/>
        </w:rPr>
        <w:instrText>ADDIN CSL_CITATION {"citationItems":[{"id":"ITEM-1","itemData":{"DOI":"10.57239/PJLSS-2024-22.2.00105","ISSN":"17274915","abstract":"A thorough bibliometric examination of the body of research on memory, learning, and educational methods from 1897 to 2024 is presented in this paper. This study uses a quantitative approach to analyze 6,328 documents that were gathered from a Boolean search on a large academic database. Vosviewer, Microsoft Excel, and r/r-studio are used in the analysis to look into document and network metrics. Key findings show a consistent 4.57% yearly growth rate, with notable increases in research efforts starting in 2010. The dataset highlights the widespread interest in these subjects worldwide by displaying a wide range of sources and considerable international collaboration. Network visualizations draw attention to key concepts including memory, cognition, learning, and education as well as new developments in deep learning and e-learning. Highly cited works by writers such as Dehaene S., Cheng H-T., and Zhang H. Show how they have an impact on the conversation. This study identifies historical trends, present concerns, and future directions in cognitive and educational research, offering insightful information to scholars, educators, and policymakers. The results support continued research into cognitive processes and successful teaching methods, encouraging creativity and multidisciplinary cooperation","author":[{"dropping-particle":"","family":"Ardiansyah., Waston., Mahmudulhassan., Daud","given":"Zainora","non-dropping-particle":"","parse-names":false,"suffix":""},{"dropping-particle":"","family":"Salleh., Norsaleha Mohd., AN, Andri Nirwana.","given":"Muthoifin","non-dropping-particle":"","parse-names":false,"suffix":""}],"container-title":"Pakistan Journal of Life and Social Sciences (PJLSS)","id":"ITEM-1","issue":"2","issued":{"date-parts":[["2024"]]},"page":"1493-1509","title":"Tracing Trends in Quran Memorization and Cognitive Learning: A Bibliometric Analysis from the Scopus Database","type":"article-journal","volume":"22"},"uris":["http://www.mendeley.com/documents/?uuid=c72f5fab-d698-4697-81b6-00fcdafc1ab1"]},{"id":"ITEM-2","itemData":{"DOI":"10.31893/jabb.2024034","ISSN":"23181265","abstract":"This study aims to observe and analyze the response and behavior of cows and goats during the slaughter process of sacrificial animals on Eid al-Adha 1445H in Surakarta, Indonesia. The study focuses on the various stages of slaughter, from transportation, placement, slaughter process, to post slaughter handling, with the aim of improving the welfare of animals through a better understanding of their behavior under these conditions. The research method used is a qualitative approach by conducting participatory observations, in-depth interviews, and visual documentation (photos and videos) at several slaughter sites in Surakarta. Research participants include slaughtering officers, qurbani organizers, veterinary experts, and the surrounding community. The data were analyzed thematically to identify the behavior patterns and responses of animals and the factors that influence them. The object of the study consisted of cows and goats prepared for qurban. The study found that cows that were transported and treated gently showed lower levels of stress than those who were treated roughly. Cows tend to exhibit aggressive behavior when they feel threatened. Goats, on the other hand, are quicker to show signs of stress and agitation during transportation and placement, but tend to be less aggressive than cows. The study results indicate that quick and Islamic slaughter techniques, the use of sharp and clean tools, and gentle handling by personnel can reduce animal stress and aggression. A calm and orderly environment also helps alleviate animal anxiety during the slaughtering process. Similarly, the reactions of other animals near the slaughter site show signs of anxiety, affirming that animals can perceive the distress of their peers. These findings emphasize that slaughter practices aligned with Islamic ethics enhance animal welfare through swift slaughter and stress minimization, impacting meat quality, ethical compliance, and consumer satisfaction positively. The novelty or originality of this study lies in its holistic approach, encompassing all stages of sacrificial animal slaughter and focusing on two commonly used species, cows and goats. This research makes a significant contribution by providing practical recommendations to improve the welfare of sacrificial animals, taking into account technical and behavioral aspects specific to each species. The practical implications of these findings include the need for training slaughter personnel to understand p…","author":[{"dropping-particle":"","family":"Muthoifin","given":"","non-dropping-particle":"","parse-names":false,"suffix":""},{"dropping-particle":"","family":"Afiyah","given":"Ishmah","non-dropping-particle":"","parse-names":false,"suffix":""},{"dropping-particle":"","family":"Nuha","given":"","non-dropping-particle":"","parse-names":false,"suffix":""}],"container-title":"Journal of Animal Behaviour and Biometeorology","id":"ITEM-2","issue":"4","issued":{"date-parts":[["2024"]]},"title":"Behavioral responses of cows and goats during slaughtering for Eid Al-Adha: A field study in Surakarta","type":"article-journal","volume":"12"},"uris":["http://www.mendeley.com/documents/?uuid=eb12fa34-1956-446b-8322-ac60d8ea0696"]}],"mendeley":{"formattedCitation":"(Ardiansyah., Waston., Mahmudulhassan., Daud &amp; Salleh., Norsaleha Mohd., AN, Andri Nirwana., 2024; Muthoifin, Afiyah, et al., 2024)","manualFormatting":"(Afiyah, et al., 2024)","plainTextFormattedCitation":"(Ardiansyah., Waston., Mahmudulhassan., Daud &amp; Salleh., Norsaleha Mohd., AN, Andri Nirwana., 2024; Muthoifin, Afiyah, et al., 2024)","previouslyFormattedCitation":"(Ardiansyah., Waston., Mahmudulhassan., Daud &amp; Salleh., Norsaleha Mohd., AN, Andri Nirwana., 2024; Muthoifin, Afiyah, et al., 2024)"},"properties":{"noteIndex":0},"schema":"https://github.com/citation-style-language/schema/raw/master/csl-citation.json"}</w:instrText>
      </w:r>
      <w:r w:rsidR="0026615D">
        <w:rPr>
          <w:rFonts w:ascii="Calibri Light" w:hAnsi="Calibri Light" w:cs="Calibri Light"/>
          <w:sz w:val="24"/>
          <w:szCs w:val="24"/>
        </w:rPr>
        <w:fldChar w:fldCharType="separate"/>
      </w:r>
      <w:r w:rsidR="0026615D" w:rsidRPr="0026615D">
        <w:rPr>
          <w:rFonts w:ascii="Calibri Light" w:hAnsi="Calibri Light" w:cs="Calibri Light"/>
          <w:noProof/>
          <w:sz w:val="24"/>
          <w:szCs w:val="24"/>
        </w:rPr>
        <w:t>(Afiyah, et al., 2024)</w:t>
      </w:r>
      <w:r w:rsidR="0026615D">
        <w:rPr>
          <w:rFonts w:ascii="Calibri Light" w:hAnsi="Calibri Light" w:cs="Calibri Light"/>
          <w:sz w:val="24"/>
          <w:szCs w:val="24"/>
        </w:rPr>
        <w:fldChar w:fldCharType="end"/>
      </w:r>
      <w:r w:rsidRPr="005C2B6A">
        <w:rPr>
          <w:rFonts w:ascii="Calibri Light" w:hAnsi="Calibri Light" w:cs="Calibri Light"/>
          <w:sz w:val="24"/>
          <w:szCs w:val="24"/>
        </w:rPr>
        <w:t>.</w:t>
      </w:r>
    </w:p>
    <w:p w14:paraId="640CCAAE" w14:textId="195D15DD" w:rsidR="005C2B6A" w:rsidRDefault="005C2B6A" w:rsidP="005C2B6A">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For the data analysis, this research adopts a comparative and descriptive-analytical approach. The data collected are categorized and analyzed thematically, focusing on key concepts such as consent, coercion, justice, and human rights within marriage. These concepts are then examined in relation to both Islamic legal doctrines and the customary laws of the Sumba people. A critical comparison is made between the principles of Islamic law and the local tradition of Paneta Mawinne, highlighting areas of convergence and divergence</w:t>
      </w:r>
      <w:r w:rsidR="00B03D56">
        <w:rPr>
          <w:rFonts w:ascii="Calibri Light" w:hAnsi="Calibri Light" w:cs="Calibri Light"/>
          <w:sz w:val="24"/>
          <w:szCs w:val="24"/>
        </w:rPr>
        <w:t xml:space="preserve">, As shown in the picture below </w:t>
      </w:r>
      <w:r w:rsidR="00F86BE6">
        <w:rPr>
          <w:rFonts w:ascii="Calibri Light" w:hAnsi="Calibri Light" w:cs="Calibri Light"/>
          <w:sz w:val="24"/>
          <w:szCs w:val="24"/>
        </w:rPr>
        <w:fldChar w:fldCharType="begin" w:fldLock="1"/>
      </w:r>
      <w:r w:rsidR="00F86BE6">
        <w:rPr>
          <w:rFonts w:ascii="Calibri Light" w:hAnsi="Calibri Light" w:cs="Calibri Light"/>
          <w:sz w:val="24"/>
          <w:szCs w:val="24"/>
        </w:rPr>
        <w:instrText>ADDIN CSL_CITATION {"citationItems":[{"id":"ITEM-1","itemData":{"author":[{"dropping-particle":"","family":"Uddin","given":"Saif","non-dropping-particle":"","parse-names":false,"suffix":""},{"dropping-particle":"","family":"Khondoker","given":"Ahmed","non-dropping-particle":"","parse-names":false,"suffix":""},{"dropping-particle":"","family":"Abuzar","given":"Muhammad","non-dropping-particle":"","parse-names":false,"suffix":""}],"container-title":"Profetika: Jurnal Studi Islam","id":"ITEM-1","issue":"2","issued":{"date-parts":[["2024"]]},"page":"273-286","title":"Ethical Curriculum Development : Insights From Islamic Epistemology Towards Sustainable Development Goals ( SDGs )","type":"article-journal","volume":"25"},"uris":["http://www.mendeley.com/documents/?uuid=d96451a4-3bb0-46e2-ba13-3f319768840e"]},{"id":"ITEM-2","itemData":{"author":[{"dropping-particle":"","family":"Mahmud","given":"Abdullah","non-dropping-particle":"","parse-names":false,"suffix":""},{"dropping-particle":"","family":"Ilyas","given":"Hamim","non-dropping-particle":"","parse-names":false,"suffix":""}],"container-title":"Profetika: Jurnal Studi Islam","id":"ITEM-2","issue":"2","issued":{"date-parts":[["2024"]]},"page":"387-404","title":"Islam and Tolerance Education for the Sustainable Development Goals ( SDGs )","type":"article-journal","volume":"25"},"uris":["http://www.mendeley.com/documents/?uuid=7fb0bb11-9ca3-4e42-8c0a-7e9fc2233006"]},{"id":"ITEM-3","itemData":{"author":[{"dropping-particle":"","family":"Misfah","given":"Masfuroh; Rizka; Muthoifin","non-dropping-particle":"","parse-names":false,"suffix":""}],"container-title":"Profetika: Jurnal Studi Islam","id":"ITEM-3","issue":"2","issued":{"date-parts":[["2024"]]},"page":"405-420","title":"Management Strategies of the Modern Islamic Boarding School Assalaam Cooperative to Enhance Productive Economy in Supporting the Achievement of SDGs","type":"article-journal","volume":"25"},"uris":["http://www.mendeley.com/documents/?uuid=7cd38d16-8443-4754-bb4c-fffd8a764da7"]}],"mendeley":{"formattedCitation":"(Mahmud &amp; Ilyas, 2024; Misfah, 2024; Uddin et al., 2024)","manualFormatting":"(Uddin et al., 2024)","plainTextFormattedCitation":"(Mahmud &amp; Ilyas, 2024; Misfah, 2024; Uddin et al., 2024)","previouslyFormattedCitation":"(Mahmud &amp; Ilyas, 2024; Misfah, 2024; Uddin et al., 2024)"},"properties":{"noteIndex":0},"schema":"https://github.com/citation-style-language/schema/raw/master/csl-citation.json"}</w:instrText>
      </w:r>
      <w:r w:rsidR="00F86BE6">
        <w:rPr>
          <w:rFonts w:ascii="Calibri Light" w:hAnsi="Calibri Light" w:cs="Calibri Light"/>
          <w:sz w:val="24"/>
          <w:szCs w:val="24"/>
        </w:rPr>
        <w:fldChar w:fldCharType="separate"/>
      </w:r>
      <w:r w:rsidR="00F86BE6">
        <w:rPr>
          <w:rFonts w:ascii="Calibri Light" w:hAnsi="Calibri Light" w:cs="Calibri Light"/>
          <w:noProof/>
          <w:sz w:val="24"/>
          <w:szCs w:val="24"/>
        </w:rPr>
        <w:t>(</w:t>
      </w:r>
      <w:r w:rsidR="00F86BE6" w:rsidRPr="006420BA">
        <w:rPr>
          <w:rFonts w:ascii="Calibri Light" w:hAnsi="Calibri Light" w:cs="Calibri Light"/>
          <w:noProof/>
          <w:sz w:val="24"/>
          <w:szCs w:val="24"/>
        </w:rPr>
        <w:t>Uddin et al., 2024)</w:t>
      </w:r>
      <w:r w:rsidR="00F86BE6">
        <w:rPr>
          <w:rFonts w:ascii="Calibri Light" w:hAnsi="Calibri Light" w:cs="Calibri Light"/>
          <w:sz w:val="24"/>
          <w:szCs w:val="24"/>
        </w:rPr>
        <w:fldChar w:fldCharType="end"/>
      </w:r>
      <w:r w:rsidR="00F86BE6" w:rsidRPr="00B948C4">
        <w:rPr>
          <w:rFonts w:ascii="Calibri Light" w:hAnsi="Calibri Light" w:cs="Calibri Light"/>
          <w:sz w:val="24"/>
          <w:szCs w:val="24"/>
        </w:rPr>
        <w:t>.</w:t>
      </w:r>
    </w:p>
    <w:p w14:paraId="4CC2356C" w14:textId="77777777" w:rsidR="00722048" w:rsidRDefault="00722048" w:rsidP="00722048">
      <w:pPr>
        <w:spacing w:before="120" w:after="120"/>
        <w:ind w:left="426"/>
        <w:jc w:val="center"/>
        <w:rPr>
          <w:rFonts w:ascii="Calibri Light" w:hAnsi="Calibri Light" w:cs="Calibri Light"/>
          <w:sz w:val="24"/>
          <w:szCs w:val="24"/>
        </w:rPr>
      </w:pPr>
      <w:r w:rsidRPr="00853A3C">
        <w:rPr>
          <w:rFonts w:ascii="Calibri Light" w:hAnsi="Calibri Light" w:cs="Calibri Light"/>
          <w:noProof/>
          <w:sz w:val="24"/>
          <w:szCs w:val="24"/>
        </w:rPr>
        <w:drawing>
          <wp:inline distT="0" distB="0" distL="0" distR="0" wp14:anchorId="761E1A98" wp14:editId="7BEF3B97">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r:embed="rId11"/>
                    <a:stretch>
                      <a:fillRect/>
                    </a:stretch>
                  </pic:blipFill>
                  <pic:spPr>
                    <a:xfrm>
                      <a:off x="0" y="0"/>
                      <a:ext cx="4542616" cy="2556000"/>
                    </a:xfrm>
                    <a:prstGeom prst="rect">
                      <a:avLst/>
                    </a:prstGeom>
                  </pic:spPr>
                </pic:pic>
              </a:graphicData>
            </a:graphic>
          </wp:inline>
        </w:drawing>
      </w:r>
    </w:p>
    <w:p w14:paraId="5188547D" w14:textId="77777777" w:rsidR="00722048" w:rsidRDefault="00722048" w:rsidP="00722048">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1. Research Location</w:t>
      </w:r>
    </w:p>
    <w:p w14:paraId="79286004" w14:textId="2D488705" w:rsidR="005C2B6A" w:rsidRPr="00B948C4" w:rsidRDefault="005C2B6A" w:rsidP="005C2B6A">
      <w:pPr>
        <w:spacing w:before="120" w:after="120"/>
        <w:ind w:left="426"/>
        <w:jc w:val="both"/>
        <w:rPr>
          <w:rFonts w:ascii="Calibri Light" w:hAnsi="Calibri Light" w:cs="Calibri Light"/>
          <w:sz w:val="24"/>
          <w:szCs w:val="24"/>
        </w:rPr>
      </w:pPr>
      <w:r w:rsidRPr="005C2B6A">
        <w:rPr>
          <w:rFonts w:ascii="Calibri Light" w:hAnsi="Calibri Light" w:cs="Calibri Light"/>
          <w:sz w:val="24"/>
          <w:szCs w:val="24"/>
        </w:rPr>
        <w:t>To strengthen the normative evaluation, this study incorporates the maqashid shariah (objectives of Islamic law) framework as an analytical tool. This framework assesses the practice in terms of its adherence to core Islamic values, including the preservation of religion (din), life (nafs), intellect (‘aql), lineage (nasl), and wealth (mal). Special emphasis is placed on the values of justice, human dignity, and gender equality, which are essential pillars in Islamic marital ethics.</w:t>
      </w:r>
      <w:r>
        <w:rPr>
          <w:rFonts w:ascii="Calibri Light" w:hAnsi="Calibri Light" w:cs="Calibri Light"/>
          <w:sz w:val="24"/>
          <w:szCs w:val="24"/>
        </w:rPr>
        <w:t xml:space="preserve"> </w:t>
      </w:r>
      <w:r w:rsidRPr="005C2B6A">
        <w:rPr>
          <w:rFonts w:ascii="Calibri Light" w:hAnsi="Calibri Light" w:cs="Calibri Light"/>
          <w:sz w:val="24"/>
          <w:szCs w:val="24"/>
        </w:rPr>
        <w:t>In conclusion, this methodology allows for a comprehensive and nuanced understanding of Paneta Mawinne, situated within both the cultural context of Sumba and the legal-ethical framework of Islamic law. By bridging normative theory with empirical insights, the study contributes to broader discourses on legal pluralism, gender justice, and cultural transformation in Muslim societies</w:t>
      </w:r>
      <w:r w:rsidR="00F27104">
        <w:rPr>
          <w:rFonts w:ascii="Calibri Light" w:hAnsi="Calibri Light" w:cs="Calibri Light"/>
          <w:sz w:val="24"/>
          <w:szCs w:val="24"/>
        </w:rPr>
        <w:t xml:space="preserve"> </w:t>
      </w:r>
      <w:r w:rsidR="00F27104">
        <w:rPr>
          <w:rFonts w:ascii="Calibri Light" w:hAnsi="Calibri Light" w:cs="Calibri Light"/>
          <w:sz w:val="24"/>
          <w:szCs w:val="24"/>
        </w:rPr>
        <w:fldChar w:fldCharType="begin" w:fldLock="1"/>
      </w:r>
      <w:r w:rsidR="00DB5317">
        <w:rPr>
          <w:rFonts w:ascii="Calibri Light" w:hAnsi="Calibri Light" w:cs="Calibri Light"/>
          <w:sz w:val="24"/>
          <w:szCs w:val="24"/>
        </w:rPr>
        <w:instrText>ADDIN CSL_CITATION {"citationItems":[{"id":"ITEM-1","itemData":{"DOI":"10.48161/qaj.v4n4a981","ISSN":"27098206","abstract":"The study aims to examine patterns, subjects, and developments in scholarly works concerning Quranic studies and contemporary technology between the years 2000 and 2024. A thorough bibliometric analysis was used in the study, utilizing information from 1,225 publications from 668 sources that were indexed in Scopus. The information was gathered using keywords like “Quran,” “technology,” “computer,” “internet,” “digital,” and “science.” R/R-Studio was used for document and citation analysis, VOSviewer was used for network visualizations, and Microsoft Excel was used for data administration. The findings show noteworthy trends in the theme groupings, authorship patterns, and annual publishing rates. With an average of 5.081 citations per document and an average document age of 6.94 years, the study indicated an annual growth rate of 9.42%. 2,708 authors in all made contributions to the topic, with 10.45% of them collaborating internationally. Important phrases like “Quran,” \"ontology,” and “engineering education” became crucial to narrowly targeted study projects. Leading contributors were found to be Malaysia, Indonesia, and Turkey, with research activity peaking between 2015 and 2022. The study provides insightful suggestions for future research possibilities while highlighting the transnational and collaborative nature of present Quranic studies and modern technology research. Future research should focus on enhancing multidisciplinary collaboration and leveraging advanced visualization tools to further refine research focus and effectiveness. These results offer important new perspectives on resource allocation in this dynamic field for academics and policymakers.","author":[{"dropping-particle":"","family":"Andri Nirwana","given":"A. N.","non-dropping-particle":"","parse-names":false,"suffix":""},{"dropping-particle":"","family":"Mahmudulhassan","given":"","non-dropping-particle":"","parse-names":false,"suffix":""},{"dropping-particle":"","family":"Ali","given":"Mohamad","non-dropping-particle":"","parse-names":false,"suffix":""},{"dropping-particle":"","family":"Muthoifin","given":"","non-dropping-particle":"","parse-names":false,"suffix":""},{"dropping-particle":"","family":"Waston","given":"","non-dropping-particle":"","parse-names":false,"suffix":""},{"dropping-particle":"","family":"Senathirajah","given":"Abdul Rahman Bin S.","non-dropping-particle":"","parse-names":false,"suffix":""}],"container-title":"Qubahan Academic Journal","id":"ITEM-1","issue":"4","issued":{"date-parts":[["2024"]]},"page":"178-190","title":"The Intersection of Quranic Studies and Modern Technology: A Bibliometric Analysis of Academic Publications from 2000 to 2024","type":"article-journal","volume":"4"},"uris":["http://www.mendeley.com/documents/?uuid=34c5763e-9e62-4664-aa8a-24a25f4a14d3"]},{"id":"ITEM-2","itemData":{"author":[{"dropping-particle":"","family":"Muthoifin","given":"Muthoifin","non-dropping-particle":"","parse-names":false,"suffix":""}],"container-title":"Multidisciplinary Reviews","id":"ITEM-2","issued":{"date-parts":[["2024"]]},"title":"Islamic accounting : Ethics and contextualization of recording in Muamalah transactions","type":"article-journal"},"uris":["http://www.mendeley.com/documents/?uuid=b7474eeb-15bd-4733-8945-37add8c5edbf"]},{"id":"ITEM-3","itemData":{"author":[{"dropping-particle":"","family":"Muthoifin","given":"Muthoifin","non-dropping-particle":"","parse-names":false,"suffix":""}],"container-title":"Multidisciplinary Reviews","id":"ITEM-3","issued":{"date-parts":[["2024"]]},"title":"The phenomenon of the rise of online transactions : A case study Tokopedia . com and Bukalapak . com","type":"article-journal"},"uris":["http://www.mendeley.com/documents/?uuid=a5ce9961-101f-4e36-bdf4-5a9cb8e75391"]}],"mendeley":{"formattedCitation":"(Andri Nirwana, Mahmudulhassan, Ali, et al., 2024; M. Muthoifin, 2024a, 2024b)","manualFormatting":"(Ali, et al., 2024)","plainTextFormattedCitation":"(Andri Nirwana, Mahmudulhassan, Ali, et al., 2024; M. Muthoifin, 2024a, 2024b)","previouslyFormattedCitation":"(Andri Nirwana, Mahmudulhassan, Ali, et al., 2024; M. Muthoifin, 2024a, 2024b)"},"properties":{"noteIndex":0},"schema":"https://github.com/citation-style-language/schema/raw/master/csl-citation.json"}</w:instrText>
      </w:r>
      <w:r w:rsidR="00F27104">
        <w:rPr>
          <w:rFonts w:ascii="Calibri Light" w:hAnsi="Calibri Light" w:cs="Calibri Light"/>
          <w:sz w:val="24"/>
          <w:szCs w:val="24"/>
        </w:rPr>
        <w:fldChar w:fldCharType="separate"/>
      </w:r>
      <w:r w:rsidR="00F27104" w:rsidRPr="00F27104">
        <w:rPr>
          <w:rFonts w:ascii="Calibri Light" w:hAnsi="Calibri Light" w:cs="Calibri Light"/>
          <w:noProof/>
          <w:sz w:val="24"/>
          <w:szCs w:val="24"/>
        </w:rPr>
        <w:t>(Ali, et al., 2024)</w:t>
      </w:r>
      <w:r w:rsidR="00F27104">
        <w:rPr>
          <w:rFonts w:ascii="Calibri Light" w:hAnsi="Calibri Light" w:cs="Calibri Light"/>
          <w:sz w:val="24"/>
          <w:szCs w:val="24"/>
        </w:rPr>
        <w:fldChar w:fldCharType="end"/>
      </w:r>
      <w:r w:rsidRPr="005C2B6A">
        <w:rPr>
          <w:rFonts w:ascii="Calibri Light" w:hAnsi="Calibri Light" w:cs="Calibri Light"/>
          <w:sz w:val="24"/>
          <w:szCs w:val="24"/>
        </w:rPr>
        <w:t>.</w:t>
      </w:r>
    </w:p>
    <w:p w14:paraId="192BF6B1" w14:textId="47CBB457" w:rsidR="00D26ADD" w:rsidRPr="00122F5F" w:rsidRDefault="00334792" w:rsidP="00342520">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RESULT AND DISCUSSION</w:t>
      </w:r>
    </w:p>
    <w:p w14:paraId="42DC8066" w14:textId="68C03B77" w:rsidR="001B7227" w:rsidRPr="001B7227" w:rsidRDefault="001B7227" w:rsidP="001B7227">
      <w:pPr>
        <w:spacing w:before="120" w:after="120"/>
        <w:ind w:left="426"/>
        <w:jc w:val="both"/>
        <w:rPr>
          <w:rFonts w:ascii="Calibri Light" w:hAnsi="Calibri Light" w:cs="Calibri Light"/>
          <w:sz w:val="24"/>
          <w:szCs w:val="24"/>
        </w:rPr>
      </w:pPr>
      <w:bookmarkStart w:id="1" w:name="_Hlk153981906"/>
      <w:r w:rsidRPr="001B7227">
        <w:rPr>
          <w:rFonts w:ascii="Calibri Light" w:hAnsi="Calibri Light" w:cs="Calibri Light"/>
          <w:sz w:val="24"/>
          <w:szCs w:val="24"/>
        </w:rPr>
        <w:t>The practice of capture marriage, locally referred to as Paneta Mawinne, is a traditional custom still found among certain communities in Sumba, East Nusa Tenggara. This cultural practice involves a man forcibly taking a woman—often without her prior knowledge or consent—with the intent of making her his wife. While the custom is defended by some as part of local identity and heritage, it raises serious ethical and legal concerns, particularly when analyzed from the standpoint of Islamic law.</w:t>
      </w:r>
      <w:r>
        <w:rPr>
          <w:rFonts w:ascii="Calibri Light" w:hAnsi="Calibri Light" w:cs="Calibri Light"/>
          <w:sz w:val="24"/>
          <w:szCs w:val="24"/>
        </w:rPr>
        <w:t xml:space="preserve"> </w:t>
      </w:r>
      <w:r w:rsidRPr="001B7227">
        <w:rPr>
          <w:rFonts w:ascii="Calibri Light" w:hAnsi="Calibri Light" w:cs="Calibri Light"/>
          <w:sz w:val="24"/>
          <w:szCs w:val="24"/>
        </w:rPr>
        <w:t>From an Islamic legal perspective, Paneta Mawinne is considered inappropriate and invalid due to its coercive nature. Islamic marriage requires the ijab and qabul (offer and acceptance) to be carried out willingly by both the bride and groom. The absence of the bride’s free consent contradicts the core Islamic principle that marriage must be based on mutual agreement and justice</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691EB4">
        <w:rPr>
          <w:rFonts w:ascii="Calibri Light" w:hAnsi="Calibri Light" w:cs="Calibri Light"/>
          <w:sz w:val="24"/>
          <w:szCs w:val="24"/>
        </w:rPr>
        <w:instrText>ADDIN CSL_CITATION {"citationItems":[{"id":"ITEM-1","itemData":{"DOI":"https://doi.org/10.31893/multirev.2024163 Parenting","abstract":"Waston, Mahmudulhassan, Andri Nirwana, &amp; Muthoifin, M. (2024). Parenting problems in the digital age and their solution development in the frame of value education. Multidisciplinary Reviews, (| Accepted Articles). Retrieved from https://malque.pub/ojs/index.php/mr/article/view/2191","author":[{"dropping-particle":"","family":"Waston, Mahmudulhassan, Andri Nirwana, &amp; Muthoifin","given":"M.","non-dropping-particle":"","parse-names":false,"suffix":""}],"container-title":"Multidisciplinary Reviews","id":"ITEM-1","issue":"8","issued":{"date-parts":[["2024"]]},"page":"21-91","title":"Parenting problems in the digital age and their solution development in the frame of value education","type":"article-journal","volume":"7"},"uris":["http://www.mendeley.com/documents/?uuid=cae99e09-12e8-48a3-9169-ef7277d79685"]},{"id":"ITEM-2","itemData":{"ISBN":"0000000213","author":[{"dropping-particle":"","family":"Suwoko, Waston, Bambang Setiaji, Muthoifin, Huda Kurnia Maulana","given":"Eko Bayu Gumilar","non-dropping-particle":"","parse-names":false,"suffix":""}],"container-title":"Revista de Gestão Social e Ambiental","id":"ITEM-2","issue":"6","issued":{"date-parts":[["2024"]]},"page":"1-19","title":"Family Education to Improve the Quality of Human Resources and Sustainable Development in Samarinda","type":"article-journal","volume":"18"},"uris":["http://www.mendeley.com/documents/?uuid=897bde90-77d3-4c3b-97c8-d2846fab179b"]}],"mendeley":{"formattedCitation":"(Suwoko, Waston, Bambang Setiaji, Muthoifin, Huda Kurnia Maulana, 2024; Waston, Mahmudulhassan, Andri Nirwana, &amp; Muthoifin, 2024)","manualFormatting":"(Setiaji, 2024)","plainTextFormattedCitation":"(Suwoko, Waston, Bambang Setiaji, Muthoifin, Huda Kurnia Maulana, 2024; Waston, Mahmudulhassan, Andri Nirwana, &amp; Muthoifin, 2024)","previouslyFormattedCitation":"(Suwoko, Waston, Bambang Setiaji, Muthoifin, Huda Kurnia Maulana, 2024; Waston, Mahmudulhassan, Andri Nirwana, &amp; Muthoifin, 2024)"},"properties":{"noteIndex":0},"schema":"https://github.com/citation-style-language/schema/raw/master/csl-citation.json"}</w:instrText>
      </w:r>
      <w:r w:rsidR="00626EC5">
        <w:rPr>
          <w:rFonts w:ascii="Calibri Light" w:hAnsi="Calibri Light" w:cs="Calibri Light"/>
          <w:sz w:val="24"/>
          <w:szCs w:val="24"/>
        </w:rPr>
        <w:fldChar w:fldCharType="separate"/>
      </w:r>
      <w:r w:rsidR="00626EC5" w:rsidRPr="00626EC5">
        <w:rPr>
          <w:rFonts w:ascii="Calibri Light" w:hAnsi="Calibri Light" w:cs="Calibri Light"/>
          <w:noProof/>
          <w:sz w:val="24"/>
          <w:szCs w:val="24"/>
        </w:rPr>
        <w:t>(Setiaji, 2024)</w:t>
      </w:r>
      <w:r w:rsidR="00626EC5">
        <w:rPr>
          <w:rFonts w:ascii="Calibri Light" w:hAnsi="Calibri Light" w:cs="Calibri Light"/>
          <w:sz w:val="24"/>
          <w:szCs w:val="24"/>
        </w:rPr>
        <w:fldChar w:fldCharType="end"/>
      </w:r>
      <w:r w:rsidRPr="001B7227">
        <w:rPr>
          <w:rFonts w:ascii="Calibri Light" w:hAnsi="Calibri Light" w:cs="Calibri Light"/>
          <w:sz w:val="24"/>
          <w:szCs w:val="24"/>
        </w:rPr>
        <w:t>.</w:t>
      </w:r>
    </w:p>
    <w:p w14:paraId="2036B3E8" w14:textId="07D3541D" w:rsidR="001B7227" w:rsidRPr="001B7227" w:rsidRDefault="001B7227" w:rsidP="001B7227">
      <w:pPr>
        <w:spacing w:before="120" w:after="120"/>
        <w:ind w:left="426"/>
        <w:jc w:val="both"/>
        <w:rPr>
          <w:rFonts w:ascii="Calibri Light" w:hAnsi="Calibri Light" w:cs="Calibri Light"/>
          <w:sz w:val="24"/>
          <w:szCs w:val="24"/>
        </w:rPr>
      </w:pPr>
      <w:r w:rsidRPr="001B7227">
        <w:rPr>
          <w:rFonts w:ascii="Calibri Light" w:hAnsi="Calibri Light" w:cs="Calibri Light"/>
          <w:sz w:val="24"/>
          <w:szCs w:val="24"/>
        </w:rPr>
        <w:t>The results of this study affirm that while cultural traditions hold social significance, they must not override fundamental religious and moral standards. The practice of capture marriage fails to meet the criteria of lawful marriage in Islam and, therefore, should be reconsidered or reformed to ensure alignment with Islamic ethics and the protection of individual rights</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9E0950">
        <w:rPr>
          <w:rFonts w:ascii="Calibri Light" w:hAnsi="Calibri Light" w:cs="Calibri Light"/>
          <w:sz w:val="24"/>
          <w:szCs w:val="24"/>
        </w:rPr>
        <w:instrText>ADDIN CSL_CITATION {"citationItems":[{"id":"ITEM-1","itemData":{"author":[{"dropping-particle":"","family":"Waston, Muthoifin, Soleh Amini, Roni Ismail, Sekar Ayu Aryani","given":"Andri Nirwana","non-dropping-particle":"","parse-names":false,"suffix":""}],"container-title":"Revista de Gestao Social e Ambiental","id":"ITEM-1","issue":"6","issued":{"date-parts":[["2024"]]},"page":"1-22","title":"Religiosity to Minimize Violence: A Study of Solo Indonesian","type":"article-journal","volume":"18"},"uris":["http://www.mendeley.com/documents/?uuid=eaab1486-2d08-4f09-9669-45ca05ca8ac7"]},{"id":"ITEM-2","itemData":{"DOI":"10.22219/ljih.v32i2.35088","ISSN":"25494600","abstract":"Scholarly interest in the study of social justice and human rights in Quranic contexts has increased in light of global conversations about ethical governance, equality, and justice. To fully comprehend how Islamic texts contribute to current human rights discourses, this study aims to present a bibliometric analysis of key trends, authors, and themes in the literature surrounding these problems. Using R/R-Studio, Vosviewer, Microsoft Excel, and a Boolean search on Scopus, data from 2019 to 2024 is analysed to identify important trends, authors, affiliations, and thematic developments within these interconnected disciplines. The results show a wide range of research interests and substantial publication activity with noteworthy contributions from different nations and institutions. Network visualisations highlight the transdisciplinary nature of the discourse by illuminating the relationships and co-occurrences of important terms. This study offers important insights into the development of scholarly research on these important subjects, laying the groundwork for further research and educating practitioners and politicians on the relationship between social justice, legal doctrine, and religious texts.","author":[{"dropping-particle":"","family":"Andri Nirwana","given":"A. N.","non-dropping-particle":"","parse-names":false,"suffix":""},{"dropping-particle":"","family":"Mahmudulhassan","given":"","non-dropping-particle":"","parse-names":false,"suffix":""},{"dropping-particle":"","family":"Marshal","given":"Fahmi Dolles","non-dropping-particle":"","parse-names":false,"suffix":""},{"dropping-particle":"","family":"Muthoifin","given":"","non-dropping-particle":"","parse-names":false,"suffix":""},{"dropping-particle":"","family":"Fadli","given":"Nazar","non-dropping-particle":"","parse-names":false,"suffix":""}],"container-title":"Legality: Jurnal Ilmiah Hukum","id":"ITEM-2","issue":"2","issued":{"date-parts":[["2024"]]},"page":"453-471","title":"Human Rights and Social Justice in Quranic Contexts: A Global Trend","type":"article-journal","volume":"32"},"uris":["http://www.mendeley.com/documents/?uuid=6c38225d-55a2-4624-97fd-ff13bd6f4d9c"]},{"id":"ITEM-3","itemData":{"author":[{"dropping-particle":"","family":"Muthoifin, Shobron","given":"Sudarno","non-dropping-particle":"","parse-names":false,"suffix":""},{"dropping-particle":"","family":"Rahman","given":"Suhaimi Ab","non-dropping-particle":"","parse-names":false,"suffix":""}],"container-title":"Humanities &amp; Social Sciences Reviews","id":"ITEM-3","issue":"6","issued":{"date-parts":[["2019"]]},"page":"780-786","title":"Humanist islam in indonesia ahmad syafii maarif perspective","type":"article-journal","volume":"7"},"uris":["http://www.mendeley.com/documents/?uuid=e25131a9-4cc7-4480-a9ef-a5d85d5bda20"]}],"mendeley":{"formattedCitation":"(Andri Nirwana, Mahmudulhassan, Marshal, et al., 2024; Muthoifin, Shobron &amp; Rahman, 2019; Waston, Muthoifin, Soleh Amini, Roni Ismail, Sekar Ayu Aryani, 2024)","manualFormatting":"(Marshal, et al., 2024)","plainTextFormattedCitation":"(Andri Nirwana, Mahmudulhassan, Marshal, et al., 2024; Muthoifin, Shobron &amp; Rahman, 2019; Waston, Muthoifin, Soleh Amini, Roni Ismail, Sekar Ayu Aryani, 2024)","previouslyFormattedCitation":"(Andri Nirwana, Mahmudulhassan, Marshal, et al., 2024; Muthoifin, Shobron &amp; Rahman, 2019; Waston, Muthoifin, Soleh Amini, Roni Ismail, Sekar Ayu Aryani, 2024)"},"properties":{"noteIndex":0},"schema":"https://github.com/citation-style-language/schema/raw/master/csl-citation.json"}</w:instrText>
      </w:r>
      <w:r w:rsidR="00626EC5">
        <w:rPr>
          <w:rFonts w:ascii="Calibri Light" w:hAnsi="Calibri Light" w:cs="Calibri Light"/>
          <w:sz w:val="24"/>
          <w:szCs w:val="24"/>
        </w:rPr>
        <w:fldChar w:fldCharType="separate"/>
      </w:r>
      <w:r w:rsidR="00626EC5" w:rsidRPr="00626EC5">
        <w:rPr>
          <w:rFonts w:ascii="Calibri Light" w:hAnsi="Calibri Light" w:cs="Calibri Light"/>
          <w:noProof/>
          <w:sz w:val="24"/>
          <w:szCs w:val="24"/>
        </w:rPr>
        <w:t>(Marshal, et al., 2024)</w:t>
      </w:r>
      <w:r w:rsidR="00626EC5">
        <w:rPr>
          <w:rFonts w:ascii="Calibri Light" w:hAnsi="Calibri Light" w:cs="Calibri Light"/>
          <w:sz w:val="24"/>
          <w:szCs w:val="24"/>
        </w:rPr>
        <w:fldChar w:fldCharType="end"/>
      </w:r>
      <w:r w:rsidRPr="001B7227">
        <w:rPr>
          <w:rFonts w:ascii="Calibri Light" w:hAnsi="Calibri Light" w:cs="Calibri Light"/>
          <w:sz w:val="24"/>
          <w:szCs w:val="24"/>
        </w:rPr>
        <w:t>.</w:t>
      </w:r>
    </w:p>
    <w:p w14:paraId="48BAE534" w14:textId="16EEEB6E" w:rsidR="00ED6947" w:rsidRDefault="00ED6947" w:rsidP="005C2120">
      <w:pPr>
        <w:spacing w:before="120" w:after="120"/>
        <w:ind w:left="426"/>
        <w:jc w:val="both"/>
        <w:rPr>
          <w:rFonts w:ascii="Calibri Light" w:hAnsi="Calibri Light" w:cs="Calibri Light"/>
          <w:b/>
          <w:bCs/>
          <w:sz w:val="24"/>
          <w:szCs w:val="24"/>
        </w:rPr>
      </w:pPr>
      <w:r>
        <w:rPr>
          <w:rFonts w:ascii="Calibri Light" w:hAnsi="Calibri Light" w:cs="Calibri Light"/>
          <w:b/>
          <w:bCs/>
          <w:sz w:val="24"/>
          <w:szCs w:val="24"/>
        </w:rPr>
        <w:t>Result</w:t>
      </w:r>
      <w:r w:rsidR="00681F83">
        <w:rPr>
          <w:rFonts w:ascii="Calibri Light" w:hAnsi="Calibri Light" w:cs="Calibri Light"/>
          <w:b/>
          <w:bCs/>
          <w:sz w:val="24"/>
          <w:szCs w:val="24"/>
        </w:rPr>
        <w:t>s</w:t>
      </w:r>
    </w:p>
    <w:p w14:paraId="1EBDA7A7" w14:textId="163F429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Indonesia is a country of wealth, both biological and non-biological wealth from Sabang to Marauke a lot of biological and non-biological wealth, especially culture and tradition. Let's look at and discuss one of the cultures or traditions of captive marriage. The tradition of Capture marriage is defined as marriage after the arrest of a pair of women by the family of the man, where they are secluded in a house or other quiet place with indications of conjugal relations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Kemanusiaan","id":"ITEM-1","issue":"2","issued":{"date-parts":[["2018"]]},"page":"175","title":"Hukum Islam sebagai rekayasa sosial dan implikasinya dalam undang-undang perkawinan di Indonesia","type":"article-journal","volume":"17"},"uris":["http://www.mendeley.com/documents/?uuid=7117e9e9-2127-4f89-ba66-a160ff709888","http://www.mendeley.com/documents/?uuid=aa3373c8-6860-44a8-a53a-834b2dd0841d"]},{"id":"ITEM-2","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Jurnal","id":"ITEM-2","issue":"2","issued":{"date-parts":[["2022"]]},"page":"107-115","title":"Tradisi Kawin Tangkap Sumba Dan Prespektif Undang-Undang R I Nomor 1 Tahun 1974 Tentang Perkawinan","type":"article-journal","volume":"2"},"uris":["http://www.mendeley.com/documents/?uuid=61adf143-341d-4c87-8105-42f92cf190cc","http://www.mendeley.com/documents/?uuid=160aee03-6fc2-4ea9-a28f-0a2884fd6ecc"]},{"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Indonesia","type":"article-journal","volume":"21"},"uris":["http://www.mendeley.com/documents/?uuid=34f68181-95b4-4460-b410-12730b9866cd","http://www.mendeley.com/documents/?uuid=acb355dd-254e-4099-b5a9-dedfc9bb6f56"]}],"mendeley":{"formattedCitation":"(Dewi, 2022; Setiyanto, 2018; Subeitan, 2022)","manualFormatting":"(Dewi, 2022; Setiyanto, 2018; Subeitan, 2022)","plainTextFormattedCitation":"(Dewi, 2022; Setiyanto, 2018; Subeitan, 2022)","previouslyFormattedCitation":"(Dewi, 2022; Setiyanto, 2018;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0" w:history="1">
        <w:r w:rsidR="00DB63CC" w:rsidRPr="00DD0A7A">
          <w:rPr>
            <w:rStyle w:val="Hyperlink"/>
            <w:rFonts w:ascii="Calibri Light" w:hAnsi="Calibri Light" w:cs="Calibri Light"/>
            <w:noProof/>
            <w:color w:val="000000" w:themeColor="text1"/>
            <w:sz w:val="24"/>
            <w:szCs w:val="24"/>
            <w:u w:val="none"/>
          </w:rPr>
          <w:t>Subeitan</w:t>
        </w:r>
      </w:hyperlink>
      <w:r w:rsidR="00522DE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6CD586A2" w14:textId="31192C3A"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other studies that discuss capture marriage, it can be interpreted as forced marriage where marriage can occur due to family problems such as; Zina, Being alone in a quiet place, Visiting beyond visiting hours, or Being pregnant out of wedlock </w:t>
      </w:r>
      <w:r w:rsidRPr="005C21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Islam","type":"article-journal","volume":"3"},"uris":["http://www.mendeley.com/documents/?uuid=b83df302-1ed9-46e6-ab98-a7068f6523a6","http://www.mendeley.com/documents/?uuid=4ebf157f-e64c-478d-b9b5-d9f4d5692d82"]}],"mendeley":{"formattedCitation":"(Israfil et al., 2021)","plainTextFormattedCitation":"(Israfil et al., 2021)","previouslyFormattedCitation":"(Israfil et al., 2021)"},"properties":{"noteIndex":0},"schema":"https://github.com/citation-style-language/schema/raw/master/csl-citation.json"}</w:instrText>
      </w:r>
      <w:r w:rsidRPr="005C2120">
        <w:rPr>
          <w:rFonts w:ascii="Calibri Light" w:hAnsi="Calibri Light" w:cs="Calibri Light"/>
          <w:sz w:val="24"/>
          <w:szCs w:val="24"/>
        </w:rPr>
        <w:fldChar w:fldCharType="separate"/>
      </w:r>
      <w:r w:rsidR="006420BA" w:rsidRPr="006420BA">
        <w:rPr>
          <w:rFonts w:ascii="Calibri Light" w:hAnsi="Calibri Light" w:cs="Calibri Light"/>
          <w:noProof/>
          <w:sz w:val="24"/>
          <w:szCs w:val="24"/>
        </w:rPr>
        <w:t>(Israfil et al., 2021)</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So capture marriage can be interpreted as forced marriage where the marriage occurs because there is an indication that a man and woman have a relationship like husband and wife or can also be accused of conjugal relations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http://www.mendeley.com/documents/?uuid=9e1c4e61-207d-4aaa-94c3-51912442c96a"]},{"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id":"ITEM-3","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Keadilan","id":"ITEM-3","issue":"3","issued":{"date-parts":[["2023"]]},"page":"138-152","title":"Analisis Yuridis Tradisi Pemaksaan Perkawinan Berdasarkan Perspektif Hak Asasi Manusia (Studi Kasus Kawin Tangkap di Suku Sumba Nusa Tenggara Timur)","type":"article-journal","volume":"10"},"uris":["http://www.mendeley.com/documents/?uuid=e05aacee-b3cb-481e-aa68-f1b22333dde8","http://www.mendeley.com/documents/?uuid=30f50bc8-b26c-49cf-9322-5afaa7d42a2d","http://www.mendeley.com/documents/?uuid=06867000-cf33-4a25-8267-aa0bcac00d84"]}],"mendeley":{"formattedCitation":"(Agust, 2022; Sanjaya &amp; Rahardi, 2021; Toriq, 2023)","manualFormatting":"(Agust, 2022; Sanjaya and Rahardi, 2021; Toriq, 2023)","plainTextFormattedCitation":"(Agust, 2022; Sanjaya &amp; Rahardi, 2021; Toriq, 2023)","previouslyFormattedCitation":"(Agust, 2022; Sanjaya &amp; Rahardi, 2021; 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6" w:history="1">
        <w:r w:rsidR="00DB63CC" w:rsidRPr="00DD0A7A">
          <w:rPr>
            <w:rStyle w:val="Hyperlink"/>
            <w:rFonts w:ascii="Calibri Light" w:hAnsi="Calibri Light" w:cs="Calibri Light"/>
            <w:noProof/>
            <w:color w:val="000000" w:themeColor="text1"/>
            <w:sz w:val="24"/>
            <w:szCs w:val="24"/>
            <w:u w:val="none"/>
          </w:rPr>
          <w:t>Sanjaya and Rahardi</w:t>
        </w:r>
      </w:hyperlink>
      <w:r w:rsidR="00905DDD"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02882AA6" w14:textId="7E324131" w:rsidR="009F0A49" w:rsidRDefault="009F0A49" w:rsidP="00395525">
      <w:pPr>
        <w:spacing w:before="120" w:after="120"/>
        <w:ind w:left="426"/>
        <w:jc w:val="center"/>
        <w:rPr>
          <w:rFonts w:ascii="Calibri Light" w:hAnsi="Calibri Light" w:cs="Calibri Light"/>
          <w:sz w:val="24"/>
          <w:szCs w:val="24"/>
        </w:rPr>
      </w:pPr>
      <w:r w:rsidRPr="009F0A49">
        <w:rPr>
          <w:rFonts w:ascii="Calibri Light" w:hAnsi="Calibri Light" w:cs="Calibri Light"/>
          <w:noProof/>
          <w:sz w:val="24"/>
          <w:szCs w:val="24"/>
        </w:rPr>
        <w:drawing>
          <wp:inline distT="0" distB="0" distL="0" distR="0" wp14:anchorId="68FC0170" wp14:editId="78D7D0DC">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r:embed="rId12"/>
                    <a:stretch>
                      <a:fillRect/>
                    </a:stretch>
                  </pic:blipFill>
                  <pic:spPr>
                    <a:xfrm>
                      <a:off x="0" y="0"/>
                      <a:ext cx="3433880" cy="2556000"/>
                    </a:xfrm>
                    <a:prstGeom prst="rect">
                      <a:avLst/>
                    </a:prstGeom>
                  </pic:spPr>
                </pic:pic>
              </a:graphicData>
            </a:graphic>
          </wp:inline>
        </w:drawing>
      </w:r>
    </w:p>
    <w:p w14:paraId="0882C176" w14:textId="77777777" w:rsidR="00DE1928" w:rsidRPr="005C2120" w:rsidRDefault="00DE1928" w:rsidP="00024A0D">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2. Procession and Discussion of the Implementation of Capture Marriage</w:t>
      </w:r>
    </w:p>
    <w:p w14:paraId="734A458D" w14:textId="45E352B8" w:rsidR="005827FE" w:rsidRPr="005827FE" w:rsidRDefault="005827FE" w:rsidP="005C2120">
      <w:pPr>
        <w:spacing w:before="120" w:after="120"/>
        <w:ind w:left="426"/>
        <w:jc w:val="both"/>
        <w:rPr>
          <w:rFonts w:ascii="Calibri Light" w:hAnsi="Calibri Light" w:cs="Calibri Light"/>
          <w:sz w:val="24"/>
          <w:szCs w:val="24"/>
        </w:rPr>
      </w:pPr>
      <w:r w:rsidRPr="005827FE">
        <w:rPr>
          <w:rFonts w:ascii="Calibri Light" w:hAnsi="Calibri Light" w:cs="Calibri Light"/>
          <w:sz w:val="24"/>
          <w:szCs w:val="24"/>
        </w:rPr>
        <w:t>This image captures a traditional procession and communal discussion surrounding the practice of capture marriage (Paneta Mawinne) in Sumba, East Nusa Tenggara. The gathering often involves elders, family members, and local leaders who negotiate the terms following the forced act of taking the bride. While culturally significant to some, the scene reflects the complex social dynamics and ethical concerns related to consent and gender roles. In the context of Islamic law, such a practice raises critical issues, especially regarding the requirement for mutual agreement in a valid and just marriage contract</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557804">
        <w:rPr>
          <w:rFonts w:ascii="Calibri Light" w:hAnsi="Calibri Light" w:cs="Calibri Light"/>
          <w:sz w:val="24"/>
          <w:szCs w:val="24"/>
        </w:rPr>
        <w:instrText>ADDIN CSL_CITATION {"citationItems":[{"id":"ITEM-1","itemData":{"author":[{"dropping-particle":"","family":"Waston","given":"Waston","non-dropping-particle":"","parse-names":false,"suffix":""},{"dropping-particle":"","family":"Amini","given":"Soleh","non-dropping-particle":"","parse-names":false,"suffix":""},{"dropping-particle":"","family":"Arifin","given":"Muhtar","non-dropping-particle":"","parse-names":false,"suffix":""}],"container-title":"Multidisciplinary Reviews","id":"ITEM-1","issued":{"date-parts":[["2024"]]},"title":"A moral-based curriculum to improve civilization and human resource development in Bangladesh","type":"article-journal"},"uris":["http://www.mendeley.com/documents/?uuid=a190cda1-b41a-437f-9506-fecfa2352f95"]},{"id":"ITEM-2","itemData":{"DOI":"10.13189/ujer.2020.080744","author":[{"dropping-particle":"","family":"Muthoifin, Shobron","given":"Sudarno","non-dropping-particle":"","parse-names":false,"suffix":""},{"dropping-particle":"","family":"Anshori","given":"Ari","non-dropping-particle":"","parse-names":false,"suffix":""}],"container-title":"Universal Journal of Educational Research","id":"ITEM-2","issue":"7","issued":{"date-parts":[["2020"]]},"page":"3155-3159","title":"Method for Developing Soft Skills Education for Students","type":"article-journal","volume":"8"},"uris":["http://www.mendeley.com/documents/?uuid=7c131d71-87eb-4d7b-bca6-e77ffc6d6625"]}],"mendeley":{"formattedCitation":"(Muthoifin, Shobron &amp; Anshori, 2020; W. Waston et al., 2024)","manualFormatting":"(Waston et al., 2024)","plainTextFormattedCitation":"(Muthoifin, Shobron &amp; Anshori, 2020; W. Waston et al., 2024)","previouslyFormattedCitation":"(Muthoifin, Shobron &amp; Anshori, 2020; W. Waston et al., 2024)"},"properties":{"noteIndex":0},"schema":"https://github.com/citation-style-language/schema/raw/master/csl-citation.json"}</w:instrText>
      </w:r>
      <w:r w:rsidR="00626EC5">
        <w:rPr>
          <w:rFonts w:ascii="Calibri Light" w:hAnsi="Calibri Light" w:cs="Calibri Light"/>
          <w:sz w:val="24"/>
          <w:szCs w:val="24"/>
        </w:rPr>
        <w:fldChar w:fldCharType="separate"/>
      </w:r>
      <w:r w:rsidR="00626EC5" w:rsidRPr="00626EC5">
        <w:rPr>
          <w:rFonts w:ascii="Calibri Light" w:hAnsi="Calibri Light" w:cs="Calibri Light"/>
          <w:noProof/>
          <w:sz w:val="24"/>
          <w:szCs w:val="24"/>
        </w:rPr>
        <w:t>(Waston et al., 2024)</w:t>
      </w:r>
      <w:r w:rsidR="00626EC5">
        <w:rPr>
          <w:rFonts w:ascii="Calibri Light" w:hAnsi="Calibri Light" w:cs="Calibri Light"/>
          <w:sz w:val="24"/>
          <w:szCs w:val="24"/>
        </w:rPr>
        <w:fldChar w:fldCharType="end"/>
      </w:r>
      <w:r w:rsidRPr="005827FE">
        <w:rPr>
          <w:rFonts w:ascii="Calibri Light" w:hAnsi="Calibri Light" w:cs="Calibri Light"/>
          <w:sz w:val="24"/>
          <w:szCs w:val="24"/>
        </w:rPr>
        <w:t>.</w:t>
      </w:r>
    </w:p>
    <w:p w14:paraId="569AF44E" w14:textId="37592E19"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History and development of the practice of captive marriage in Sumba, East Nusa Tenggara</w:t>
      </w:r>
    </w:p>
    <w:p w14:paraId="119B2D21" w14:textId="4FA0582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practice of captur</w:t>
      </w:r>
      <w:r w:rsidR="00476E35">
        <w:rPr>
          <w:rFonts w:ascii="Calibri Light" w:hAnsi="Calibri Light" w:cs="Calibri Light"/>
          <w:sz w:val="24"/>
          <w:szCs w:val="24"/>
        </w:rPr>
        <w:t>ing</w:t>
      </w:r>
      <w:r w:rsidRPr="005C2120">
        <w:rPr>
          <w:rFonts w:ascii="Calibri Light" w:hAnsi="Calibri Light" w:cs="Calibri Light"/>
          <w:sz w:val="24"/>
          <w:szCs w:val="24"/>
        </w:rPr>
        <w:t xml:space="preserve"> marriage in Sumba, East Nusa Tenggara (NTT) has recently attracted controversy. This tradition is considered to lead to the abduction of women,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violations of women's rights and human rights. Capture mating is considered a tradition from their ancestors for generations to this day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9e1c4e61-207d-4aaa-94c3-51912442c96a","http://www.mendeley.com/documents/?uuid=18dcfa35-0c95-4b51-b650-09aa3ff46ea6"]},{"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d43ec093-1845-4a59-ae66-61292b45eafd","http://www.mendeley.com/documents/?uuid=2afc2e2f-3688-4786-9f89-f26c4d037400","http://www.mendeley.com/documents/?uuid=a8d9db3a-3636-4d4a-a900-ddef09d49a38"]}],"mendeley":{"formattedCitation":"(Agust, 2022; Kleden, 2017)","manualFormatting":"(Agust, 2022; Kleden, 2017)","plainTextFormattedCitation":"(Agust, 2022; Kleden, 2017)","previouslyFormattedCitation":"(Agust, 2022; Kleden, 2017)"},"properties":{"noteIndex":0},"schema":"https://github.com/citation-style-language/schema/raw/master/csl-citation.json"}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 w:history="1">
        <w:r w:rsidR="00DB63CC" w:rsidRPr="00DD0A7A">
          <w:rPr>
            <w:rStyle w:val="Hyperlink"/>
            <w:rFonts w:ascii="Calibri Light" w:hAnsi="Calibri Light" w:cs="Calibri Light"/>
            <w:noProof/>
            <w:color w:val="000000" w:themeColor="text1"/>
            <w:sz w:val="24"/>
            <w:szCs w:val="24"/>
            <w:u w:val="none"/>
          </w:rPr>
          <w:t>Agust</w:t>
        </w:r>
      </w:hyperlink>
      <w:r w:rsidR="00C8212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18" w:history="1">
        <w:r w:rsidR="00DB63CC" w:rsidRPr="00DD0A7A">
          <w:rPr>
            <w:rStyle w:val="Hyperlink"/>
            <w:rFonts w:ascii="Calibri Light" w:hAnsi="Calibri Light" w:cs="Calibri Light"/>
            <w:noProof/>
            <w:color w:val="000000" w:themeColor="text1"/>
            <w:sz w:val="24"/>
            <w:szCs w:val="24"/>
            <w:u w:val="none"/>
          </w:rPr>
          <w:t>Kleden</w:t>
        </w:r>
      </w:hyperlink>
      <w:r w:rsidR="009A2DB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w:t>
      </w:r>
    </w:p>
    <w:p w14:paraId="091F07D5" w14:textId="4858E9AA"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the old tradition of Sumba society, capture marriage is usually carried out by the groom's family who </w:t>
      </w:r>
      <w:r w:rsidR="00476E35">
        <w:rPr>
          <w:rFonts w:ascii="Calibri Light" w:hAnsi="Calibri Light" w:cs="Calibri Light"/>
          <w:sz w:val="24"/>
          <w:szCs w:val="24"/>
        </w:rPr>
        <w:t>is</w:t>
      </w:r>
      <w:r w:rsidRPr="005C2120">
        <w:rPr>
          <w:rFonts w:ascii="Calibri Light" w:hAnsi="Calibri Light" w:cs="Calibri Light"/>
          <w:sz w:val="24"/>
          <w:szCs w:val="24"/>
        </w:rPr>
        <w:t xml:space="preserve"> hindered by belis or high dowry from the woman's side. Capture marriage is a category of marriage without marriage that occurs because there is no family agreement on the amount of belis or dowry. At the beginning of this tradition, a woman was dressed. The bridegroom has also been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http://www.mendeley.com/documents/?uuid=07677a13-048d-41a6-8fc0-3024fcb313b7"]},{"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http://www.mendeley.com/documents/?uuid=33a92dc8-f754-41c4-87f7-fb6bb0986714"]}],"mendeley":{"formattedCitation":"(Dewi et al., 2022; Mardiani et al., 2021; Tanggu et al., 2021)","manualFormatting":"(Dewi, 2022; Mardiani, Jati Nugroho, and Rogo Yuono, 2021; Tanggu, Kudubun, and Utomo, 2021)","plainTextFormattedCitation":"(Dewi et al., 2022; Mardiani et al., 2021; Tanggu et al., 2021)","previouslyFormattedCitation":"(Dewi et al., 2022; Mardiani et al.,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1" w:history="1">
        <w:r w:rsidR="00DB63CC" w:rsidRPr="00DD0A7A">
          <w:rPr>
            <w:rStyle w:val="Hyperlink"/>
            <w:rFonts w:ascii="Calibri Light" w:hAnsi="Calibri Light" w:cs="Calibri Light"/>
            <w:noProof/>
            <w:color w:val="000000" w:themeColor="text1"/>
            <w:sz w:val="24"/>
            <w:szCs w:val="24"/>
            <w:u w:val="none"/>
          </w:rPr>
          <w:t xml:space="preserve">Tanggu, </w:t>
        </w:r>
      </w:hyperlink>
      <w:r w:rsidR="00DB63CC" w:rsidRPr="00DD0A7A">
        <w:rPr>
          <w:rFonts w:ascii="Calibri Light" w:hAnsi="Calibri Light" w:cs="Calibri Light"/>
          <w:noProof/>
          <w:color w:val="000000" w:themeColor="text1"/>
          <w:sz w:val="24"/>
          <w:szCs w:val="24"/>
        </w:rPr>
        <w:t>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067C3CBE" w14:textId="74943245"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Along with the times, the practice of captive marriage that was carried out was not </w:t>
      </w:r>
      <w:r w:rsidR="00476E35">
        <w:rPr>
          <w:rFonts w:ascii="Calibri Light" w:hAnsi="Calibri Light" w:cs="Calibri Light"/>
          <w:sz w:val="24"/>
          <w:szCs w:val="24"/>
        </w:rPr>
        <w:t>by</w:t>
      </w:r>
      <w:r w:rsidRPr="005C2120">
        <w:rPr>
          <w:rFonts w:ascii="Calibri Light" w:hAnsi="Calibri Light" w:cs="Calibri Light"/>
          <w:sz w:val="24"/>
          <w:szCs w:val="24"/>
        </w:rPr>
        <w:t xml:space="preserve"> the initial procedures </w:t>
      </w:r>
      <w:r w:rsidR="00476E35">
        <w:rPr>
          <w:rFonts w:ascii="Calibri Light" w:hAnsi="Calibri Light" w:cs="Calibri Light"/>
          <w:sz w:val="24"/>
          <w:szCs w:val="24"/>
        </w:rPr>
        <w:t>of</w:t>
      </w:r>
      <w:r w:rsidRPr="005C2120">
        <w:rPr>
          <w:rFonts w:ascii="Calibri Light" w:hAnsi="Calibri Light" w:cs="Calibri Light"/>
          <w:sz w:val="24"/>
          <w:szCs w:val="24"/>
        </w:rPr>
        <w:t xml:space="preserve"> tradition. Later, this tradition went awry and harmed women personally. Recent captive marriages seem to make women feel like they are kidnapped, tortured, abused, even humiliated</w:t>
      </w:r>
      <w:r w:rsidR="00476E35">
        <w:rPr>
          <w:rFonts w:ascii="Calibri Light" w:hAnsi="Calibri Light" w:cs="Calibri Light"/>
          <w:sz w:val="24"/>
          <w:szCs w:val="24"/>
        </w:rPr>
        <w:t>,</w:t>
      </w:r>
      <w:r w:rsidRPr="005C2120">
        <w:rPr>
          <w:rFonts w:ascii="Calibri Light" w:hAnsi="Calibri Light" w:cs="Calibri Light"/>
          <w:sz w:val="24"/>
          <w:szCs w:val="24"/>
        </w:rPr>
        <w:t xml:space="preserve"> and worthless </w:t>
      </w:r>
      <w:r w:rsidRPr="00DD0A7A">
        <w:rPr>
          <w:rFonts w:ascii="Calibri Light" w:hAnsi="Calibri Light" w:cs="Calibri Light"/>
          <w:color w:val="000000" w:themeColor="text1"/>
          <w:sz w:val="24"/>
          <w:szCs w:val="24"/>
        </w:rPr>
        <w:fldChar w:fldCharType="begin" w:fldLock="1"/>
      </w:r>
      <w:r w:rsidR="00370CA0">
        <w:rPr>
          <w:rFonts w:ascii="Calibri Light" w:hAnsi="Calibri Light" w:cs="Calibri Light"/>
          <w:color w:val="000000" w:themeColor="text1"/>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http://www.mendeley.com/documents/?uuid=2f79c554-d62f-4e24-a4bc-6ee3f5868490"]},{"id":"ITEM-2","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Indonesia","id":"ITEM-2","issue":"2","issued":{"date-parts":[["2022"]]},"title":"Posisi Perempuan Dalam Adat Pernikahan Budaya Sumba Dan Korelasinya Dengan Budaya Osing Di Banyuwangi Dan Sasak Di Lombok","type":"article-journal","volume":"7"},"uris":["http://www.mendeley.com/documents/?uuid=9e1c4e61-207d-4aaa-94c3-51912442c96a","http://www.mendeley.com/documents/?uuid=18dcfa35-0c95-4b51-b650-09aa3ff46ea6"]},{"id":"ITEM-3","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Indonesia","id":"ITEM-3","issue":"2","issued":{"date-parts":[["2021"]]},"page":"12","title":"Kajian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http://www.mendeley.com/documents/?uuid=9673ce77-7d49-4fdc-a238-d5d122474791"]},{"id":"ITEM-4","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Nusantara","id":"ITEM-4","issue":"1","issued":{"date-parts":[["2017"]]},"page":"18-27","title":"Belis dan Harga Seorang Perempuan Sumba (Perkawinan Adat Suku Wewewa, Sumba Barat Daya, NTT)","type":"article-journal","volume":"1"},"uris":["http://www.mendeley.com/documents/?uuid=d43ec093-1845-4a59-ae66-61292b45eafd","http://www.mendeley.com/documents/?uuid=2afc2e2f-3688-4786-9f89-f26c4d037400","http://www.mendeley.com/documents/?uuid=5895fb6a-f2f2-4890-90aa-5f86ca68833b"]}],"mendeley":{"formattedCitation":"(Agust, 2022; Kleden, 2017; Mahfudhi &amp; Arrosid, 2021; Sanjaya &amp; Rahardi, 2021)","manualFormatting":"(Sanjaya and Rahardi, 2021)","plainTextFormattedCitation":"(Agust, 2022; Kleden, 2017; Mahfudhi &amp; Arrosid, 2021; Sanjaya &amp; Rahardi, 2021)","previouslyFormattedCitation":"(Agust, 2022; Kleden, 2017; Mahfudhi &amp; Arrosid, 2021; Sanjaya &amp; Rahardi,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6" w:history="1">
        <w:r w:rsidR="00DB63CC" w:rsidRPr="00DD0A7A">
          <w:rPr>
            <w:rStyle w:val="Hyperlink"/>
            <w:rFonts w:ascii="Calibri Light" w:hAnsi="Calibri Light" w:cs="Calibri Light"/>
            <w:noProof/>
            <w:color w:val="000000" w:themeColor="text1"/>
            <w:sz w:val="24"/>
            <w:szCs w:val="24"/>
            <w:u w:val="none"/>
          </w:rPr>
          <w:t>Sanjaya and Rahardi</w:t>
        </w:r>
      </w:hyperlink>
      <w:r w:rsidR="00905DDD"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6732E7A3" w14:textId="268F96EA"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Influential factors in marriage include economic factors in terms of debt-related, social strata factors, education</w:t>
      </w:r>
      <w:r w:rsidR="00476E35">
        <w:rPr>
          <w:rFonts w:ascii="Calibri Light" w:hAnsi="Calibri Light" w:cs="Calibri Light"/>
          <w:sz w:val="24"/>
          <w:szCs w:val="24"/>
        </w:rPr>
        <w:t>,</w:t>
      </w:r>
      <w:r w:rsidRPr="005C2120">
        <w:rPr>
          <w:rFonts w:ascii="Calibri Light" w:hAnsi="Calibri Light" w:cs="Calibri Light"/>
          <w:sz w:val="24"/>
          <w:szCs w:val="24"/>
        </w:rPr>
        <w:t xml:space="preserve"> and trust. Women in this case are used as ransom for family debts. One of the factors that became the motive for captive marriage was to build kinship between the two families so that relations remained and the wealth given as belis was not given to others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Timur)","type":"article-journal","volume":"10"},"uris":["http://www.mendeley.com/documents/?uuid=e05aacee-b3cb-481e-aa68-f1b22333dde8","http://www.mendeley.com/documents/?uuid=30f50bc8-b26c-49cf-9322-5afaa7d42a2d"]}],"mendeley":{"formattedCitation":"(Toriq, 2023)","manualFormatting":"(Toriq, 2023)","plainTextFormattedCitation":"(Toriq, 2023)","previouslyFormattedCitation":"(Toriq,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3" w:history="1">
        <w:r w:rsidR="00DB63CC" w:rsidRPr="00DD0A7A">
          <w:rPr>
            <w:rStyle w:val="Hyperlink"/>
            <w:rFonts w:ascii="Calibri Light" w:hAnsi="Calibri Light" w:cs="Calibri Light"/>
            <w:noProof/>
            <w:color w:val="000000" w:themeColor="text1"/>
            <w:sz w:val="24"/>
            <w:szCs w:val="24"/>
            <w:u w:val="none"/>
          </w:rPr>
          <w:t>Toriq</w:t>
        </w:r>
      </w:hyperlink>
      <w:r w:rsidR="00DE6B26"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w:t>
      </w:r>
    </w:p>
    <w:p w14:paraId="08A62F73" w14:textId="05B2DBFD" w:rsidR="00CD600D" w:rsidRDefault="00CD600D" w:rsidP="00CD600D">
      <w:pPr>
        <w:spacing w:before="120" w:after="120"/>
        <w:ind w:left="426"/>
        <w:jc w:val="center"/>
        <w:rPr>
          <w:rFonts w:ascii="Calibri Light" w:hAnsi="Calibri Light" w:cs="Calibri Light"/>
          <w:sz w:val="24"/>
          <w:szCs w:val="24"/>
        </w:rPr>
      </w:pPr>
      <w:r w:rsidRPr="00CD600D">
        <w:rPr>
          <w:rFonts w:ascii="Calibri Light" w:hAnsi="Calibri Light" w:cs="Calibri Light"/>
          <w:noProof/>
          <w:sz w:val="24"/>
          <w:szCs w:val="24"/>
        </w:rPr>
        <w:drawing>
          <wp:inline distT="0" distB="0" distL="0" distR="0" wp14:anchorId="39AE3AC6" wp14:editId="5A830955">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r:embed="rId13"/>
                    <a:stretch>
                      <a:fillRect/>
                    </a:stretch>
                  </pic:blipFill>
                  <pic:spPr>
                    <a:xfrm>
                      <a:off x="0" y="0"/>
                      <a:ext cx="3878477" cy="2556000"/>
                    </a:xfrm>
                    <a:prstGeom prst="rect">
                      <a:avLst/>
                    </a:prstGeom>
                  </pic:spPr>
                </pic:pic>
              </a:graphicData>
            </a:graphic>
          </wp:inline>
        </w:drawing>
      </w:r>
    </w:p>
    <w:p w14:paraId="0B85625F" w14:textId="37863D46" w:rsidR="00024A0D" w:rsidRPr="005C2120" w:rsidRDefault="00024A0D" w:rsidP="007C5171">
      <w:pPr>
        <w:spacing w:before="120" w:after="120"/>
        <w:ind w:left="426"/>
        <w:jc w:val="center"/>
        <w:rPr>
          <w:rFonts w:ascii="Calibri Light" w:hAnsi="Calibri Light" w:cs="Calibri Light"/>
          <w:sz w:val="24"/>
          <w:szCs w:val="24"/>
        </w:rPr>
      </w:pPr>
      <w:r>
        <w:rPr>
          <w:rFonts w:ascii="Calibri Light" w:hAnsi="Calibri Light" w:cs="Calibri Light"/>
          <w:sz w:val="24"/>
          <w:szCs w:val="24"/>
        </w:rPr>
        <w:t xml:space="preserve">Figure 3. The action of "Marriage Arrest" </w:t>
      </w:r>
      <w:r w:rsidR="00CC1A9A">
        <w:rPr>
          <w:rFonts w:ascii="Calibri Light" w:hAnsi="Calibri Light" w:cs="Calibri Light"/>
          <w:sz w:val="24"/>
          <w:szCs w:val="24"/>
        </w:rPr>
        <w:t>C</w:t>
      </w:r>
      <w:r>
        <w:rPr>
          <w:rFonts w:ascii="Calibri Light" w:hAnsi="Calibri Light" w:cs="Calibri Light"/>
          <w:sz w:val="24"/>
          <w:szCs w:val="24"/>
        </w:rPr>
        <w:t xml:space="preserve">aught on </w:t>
      </w:r>
      <w:r w:rsidR="00CC1A9A">
        <w:rPr>
          <w:rFonts w:ascii="Calibri Light" w:hAnsi="Calibri Light" w:cs="Calibri Light"/>
          <w:sz w:val="24"/>
          <w:szCs w:val="24"/>
        </w:rPr>
        <w:t>C</w:t>
      </w:r>
      <w:r>
        <w:rPr>
          <w:rFonts w:ascii="Calibri Light" w:hAnsi="Calibri Light" w:cs="Calibri Light"/>
          <w:sz w:val="24"/>
          <w:szCs w:val="24"/>
        </w:rPr>
        <w:t>amera</w:t>
      </w:r>
    </w:p>
    <w:p w14:paraId="482BEE3C" w14:textId="35D051E1" w:rsidR="00EA3EC8" w:rsidRPr="006E45D9" w:rsidRDefault="006E45D9" w:rsidP="005C2120">
      <w:pPr>
        <w:spacing w:before="120" w:after="120"/>
        <w:ind w:left="426"/>
        <w:jc w:val="both"/>
        <w:rPr>
          <w:rFonts w:ascii="Calibri Light" w:hAnsi="Calibri Light" w:cs="Calibri Light"/>
          <w:sz w:val="24"/>
          <w:szCs w:val="24"/>
        </w:rPr>
      </w:pPr>
      <w:r>
        <w:br/>
      </w:r>
      <w:r w:rsidRPr="006E45D9">
        <w:rPr>
          <w:rFonts w:ascii="Calibri Light" w:hAnsi="Calibri Light" w:cs="Calibri Light"/>
          <w:sz w:val="24"/>
          <w:szCs w:val="24"/>
        </w:rPr>
        <w:t>The image above depicts a real-life incident of the traditional practice known as “Paneta Mawinne” or capture marriage, as it occurred in East Nusa Tenggara. Captured by CCTV footage, the scene shows a woman being forcibly taken by a group of men, symbolizing the beginning of the marriage process without her prior consent. This visual evidence illustrates the coercive nature of the practice and raises significant concerns regarding human rights, gender equality, and religious legality, particularly when viewed through the lens of Islamic law, which strictly upholds the principle of voluntary consent in marriage</w:t>
      </w:r>
      <w:r w:rsidR="00626EC5">
        <w:rPr>
          <w:rFonts w:ascii="Calibri Light" w:hAnsi="Calibri Light" w:cs="Calibri Light"/>
          <w:sz w:val="24"/>
          <w:szCs w:val="24"/>
        </w:rPr>
        <w:t xml:space="preserve"> </w:t>
      </w:r>
      <w:r w:rsidR="00626EC5">
        <w:rPr>
          <w:rFonts w:ascii="Calibri Light" w:hAnsi="Calibri Light" w:cs="Calibri Light"/>
          <w:sz w:val="24"/>
          <w:szCs w:val="24"/>
        </w:rPr>
        <w:fldChar w:fldCharType="begin" w:fldLock="1"/>
      </w:r>
      <w:r w:rsidR="00090B9F">
        <w:rPr>
          <w:rFonts w:ascii="Calibri Light" w:hAnsi="Calibri Light" w:cs="Calibri Light"/>
          <w:sz w:val="24"/>
          <w:szCs w:val="24"/>
        </w:rPr>
        <w:instrText>ADDIN CSL_CITATION {"citationItems":[{"id":"ITEM-1","itemData":{"DOI":"10.22521/edupij.2025.14.12","ISSN":"25648020","abstract":"Background/purpose. Recent developments in information and communication technology have opened up many new opportunities in various research fields, including religious studies (Burton, 2020). One of the most notable innovations was integrating artificial intelligence and deep learning in religious studies, including Quranic education and research. This study conducted a bibliometric analysis of Quranic education and research integrating deep learning and artificial intelligence. The study evaluated five key indicators in bibliometrics: scientific production, authors, country level, affiliations, and sources or journals. Materials/methods. Data were collected from the Scopus database using Boolean search, and the final data set included 244 studies published between 1966 and 2024. Data were analyzed using R/R-Studio, VOSViewer, and Microsoft Excel software. Results. The results showed that most publications were from the United States, the United Kingdom, and China, with the University of Michigan and Ann Arbor as the most productive institutions. The analysis also revealed that publications integrating DL and AI in Quranic research peaked in 2023. Network visualization identified three main clusters that illustrate the relationship between terms and concepts, with keywords such as \"religion\" and \"Artificial Intelligence\" being the most frequently discussed topics. Conclusion. The study provides significant methodological insights for researchers interested in integrating AI and DL in religious research and encourages further research.","author":[{"dropping-particle":"","family":"An","given":"Andri Nirwana","non-dropping-particle":"","parse-names":false,"suffix":""},{"dropping-particle":"","family":"Tamami","given":"Fauziyah Qurrota Ayun","non-dropping-particle":"","parse-names":false,"suffix":""},{"dropping-particle":"","family":"Daud","given":"Zainora","non-dropping-particle":"","parse-names":false,"suffix":""},{"dropping-particle":"","family":"Salleh","given":"Norsaleha Mohd","non-dropping-particle":"","parse-names":false,"suffix":""},{"dropping-particle":"bin","family":"Ishak","given":"Mohamad Haeqal","non-dropping-particle":"","parse-names":false,"suffix":""},{"dropping-particle":"","family":"Muthoifin","given":"Muthoifin","non-dropping-particle":"","parse-names":false,"suffix":""}],"container-title":"Educational Process: International Journal","id":"ITEM-1","issued":{"date-parts":[["2025"]]},"title":"Understanding the Integration of Deep Learning and Artificial Intelligence in Quranic Education and Research through Bibliometric Analysis","type":"article-journal","volume":"14"},"uris":["http://www.mendeley.com/documents/?uuid=91b48788-6550-4a1a-abaa-4c8cb8fb00cc"]},{"id":"ITEM-2","itemData":{"author":[{"dropping-particle":"","family":"Putri","given":"Ardhalia Nirmala","non-dropping-particle":"","parse-names":false,"suffix":""},{"dropping-particle":"","family":"Husnayain","given":"Fathimah","non-dropping-particle":"","parse-names":false,"suffix":""},{"dropping-particle":"","family":"Fauziah","given":"Fatimah","non-dropping-particle":"","parse-names":false,"suffix":""},{"dropping-particle":"","family":"A","given":"Nadya Qurrota","non-dropping-particle":"","parse-names":false,"suffix":""},{"dropping-particle":"","family":"Al-atsariyah","given":"Naurotul Himmah","non-dropping-particle":"","parse-names":false,"suffix":""}],"container-title":"Demak Universal Journal of Islam and Sharia","id":"ITEM-2","issue":"3","issued":{"date-parts":[["2024"]]},"page":"243-256","title":"The Relevance of Weton Calculation Tradition in Javanese Culture in Determining Marriage Contracts : A Sharia Perspective","type":"article-journal","volume":"2"},"uris":["http://www.mendeley.com/documents/?uuid=45a1549e-76be-4b19-94b4-88fa957d2c2b"]},{"id":"ITEM-3","itemData":{"author":[{"dropping-particle":"","family":"Abuzar","given":"Muhammad","non-dropping-particle":"","parse-names":false,"suffix":""}],"container-title":"Demak Universal Journal of Islam and Sharia","id":"ITEM-3","issue":"3","issued":{"date-parts":[["2024"]]},"page":"221-230","title":"Harmony in the Family : Indicators of Marriage Success in Cultural and Religious Foundations in Bangladesh","type":"article-journal","volume":"2"},"uris":["http://www.mendeley.com/documents/?uuid=6fc17676-ea45-494e-9420-5a869a3520aa"]},{"id":"ITEM-4","itemData":{"author":[{"dropping-particle":"","family":"Thaib","given":"Yahya Muhammad","non-dropping-particle":"","parse-names":false,"suffix":""},{"dropping-particle":"","family":"Elsakhawy","given":"Rania Mahmoud","non-dropping-particle":"","parse-names":false,"suffix":""},{"dropping-particle":"","family":"Al-","given":"Thufail","non-dropping-particle":"","parse-names":false,"suffix":""}],"container-title":"Demak Universal Journal of Islam and Sharia","id":"ITEM-4","issue":"2","issued":{"date-parts":[["2023"]]},"page":"67-82","title":"Marriages of More Than Four and its Impacts on Community Perspective of Islamic Law and Indonesian Law","type":"article-journal","volume":"1"},"uris":["http://www.mendeley.com/documents/?uuid=aedbdfb6-ef5d-4ad5-98a6-4dea64736d8a"]}],"mendeley":{"formattedCitation":"(Abuzar, 2024; An et al., 2025; Putri et al., 2024; Thaib et al., 2023)","manualFormatting":"(Thaib et al., 2023)","plainTextFormattedCitation":"(Abuzar, 2024; An et al., 2025; Putri et al., 2024; Thaib et al., 2023)"},"properties":{"noteIndex":0},"schema":"https://github.com/citation-style-language/schema/raw/master/csl-citation.json"}</w:instrText>
      </w:r>
      <w:r w:rsidR="00626EC5">
        <w:rPr>
          <w:rFonts w:ascii="Calibri Light" w:hAnsi="Calibri Light" w:cs="Calibri Light"/>
          <w:sz w:val="24"/>
          <w:szCs w:val="24"/>
        </w:rPr>
        <w:fldChar w:fldCharType="separate"/>
      </w:r>
      <w:r w:rsidR="00626EC5" w:rsidRPr="00626EC5">
        <w:rPr>
          <w:rFonts w:ascii="Calibri Light" w:hAnsi="Calibri Light" w:cs="Calibri Light"/>
          <w:noProof/>
          <w:sz w:val="24"/>
          <w:szCs w:val="24"/>
        </w:rPr>
        <w:t>(Thaib et al., 2023)</w:t>
      </w:r>
      <w:r w:rsidR="00626EC5">
        <w:rPr>
          <w:rFonts w:ascii="Calibri Light" w:hAnsi="Calibri Light" w:cs="Calibri Light"/>
          <w:sz w:val="24"/>
          <w:szCs w:val="24"/>
        </w:rPr>
        <w:fldChar w:fldCharType="end"/>
      </w:r>
      <w:r w:rsidRPr="006E45D9">
        <w:rPr>
          <w:rFonts w:ascii="Calibri Light" w:hAnsi="Calibri Light" w:cs="Calibri Light"/>
          <w:sz w:val="24"/>
          <w:szCs w:val="24"/>
        </w:rPr>
        <w:t>.</w:t>
      </w:r>
    </w:p>
    <w:p w14:paraId="5B7CF486" w14:textId="2BA8318F" w:rsidR="00EA3EC8" w:rsidRDefault="00EA3EC8" w:rsidP="005C2120">
      <w:pPr>
        <w:spacing w:before="120" w:after="120"/>
        <w:ind w:left="426"/>
        <w:jc w:val="both"/>
        <w:rPr>
          <w:rFonts w:ascii="Calibri Light" w:hAnsi="Calibri Light" w:cs="Calibri Light"/>
          <w:b/>
          <w:bCs/>
          <w:sz w:val="24"/>
          <w:szCs w:val="24"/>
        </w:rPr>
      </w:pPr>
      <w:r>
        <w:rPr>
          <w:rFonts w:ascii="Calibri Light" w:hAnsi="Calibri Light" w:cs="Calibri Light"/>
          <w:b/>
          <w:bCs/>
          <w:sz w:val="24"/>
          <w:szCs w:val="24"/>
        </w:rPr>
        <w:t>Discussion</w:t>
      </w:r>
    </w:p>
    <w:p w14:paraId="17BD987B" w14:textId="4C2CAECB"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Muslims are now facing very complex challenges related to conflicting legal, customary</w:t>
      </w:r>
      <w:r w:rsidR="00476E35">
        <w:rPr>
          <w:rFonts w:ascii="Calibri Light" w:hAnsi="Calibri Light" w:cs="Calibri Light"/>
          <w:sz w:val="24"/>
          <w:szCs w:val="24"/>
        </w:rPr>
        <w:t>,</w:t>
      </w:r>
      <w:r w:rsidRPr="005C2120">
        <w:rPr>
          <w:rFonts w:ascii="Calibri Light" w:hAnsi="Calibri Light" w:cs="Calibri Light"/>
          <w:sz w:val="24"/>
          <w:szCs w:val="24"/>
        </w:rPr>
        <w:t xml:space="preserve"> and religious issues. Among these issues </w:t>
      </w:r>
      <w:r w:rsidR="00476E35">
        <w:rPr>
          <w:rFonts w:ascii="Calibri Light" w:hAnsi="Calibri Light" w:cs="Calibri Light"/>
          <w:sz w:val="24"/>
          <w:szCs w:val="24"/>
        </w:rPr>
        <w:t>ar</w:t>
      </w:r>
      <w:r w:rsidRPr="005C2120">
        <w:rPr>
          <w:rFonts w:ascii="Calibri Light" w:hAnsi="Calibri Light" w:cs="Calibri Light"/>
          <w:sz w:val="24"/>
          <w:szCs w:val="24"/>
        </w:rPr>
        <w:t xml:space="preserve">e human rights (HAM), gender equality, relations between Muslims and non-Muslims, the environment, human resource development,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the development of science and technology are very prominent issues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Jerman","author":[{"dropping-particle":"","family":"Yayuli","given":"Yayuli","non-dropping-particle":"","parse-names":false,"suffix":""}],"container-title":"Suhuf","id":"ITEM-1","issue":"2","issued":{"date-parts":[["2015"]]},"page":"217-219","title":"Membumikan Hukum Islam","type":"article","volume":"27"},"uris":["http://www.mendeley.com/documents/?uuid=d8624cff-8305-4b09-ae47-5e5731b612e8","http://www.mendeley.com/documents/?uuid=826b151f-c6fa-475c-83ed-99d28118d8b2"]},{"id":"ITEM-2","itemData":{"abstract":"Dalam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Yunus","non-dropping-particle":"","parse-names":false,"suffix":""}],"container-title":"Istiqra'","id":"ITEM-2","issue":"1","issued":{"date-parts":[["2017"]]},"page":"76","title":"Hukum Pernikahan dalam Islam","type":"article-journal","volume":"5"},"uris":["http://www.mendeley.com/documents/?uuid=d492e376-bb8c-49c4-af87-081b9697c853","http://www.mendeley.com/documents/?uuid=343a2ba2-68f8-4651-88e0-e8591de337e8"]}],"mendeley":{"formattedCitation":"(Shamad, 2017; Yayuli, 2015)","manualFormatting":"(Shamad, 2017; Yayuli, 2015)","plainTextFormattedCitation":"(Shamad, 2017; Yayuli, 2015)","previouslyFormattedCitation":"(Shamad, 2017; Yayuli, 2015)"},"properties":{"noteIndex":0},"schema":"https://github.com/citation-style-language/schema/raw/master/csl-citation.json"}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8" w:history="1">
        <w:r w:rsidR="00DB63CC" w:rsidRPr="00DD0A7A">
          <w:rPr>
            <w:rStyle w:val="Hyperlink"/>
            <w:rFonts w:ascii="Calibri Light" w:hAnsi="Calibri Light" w:cs="Calibri Light"/>
            <w:noProof/>
            <w:color w:val="000000" w:themeColor="text1"/>
            <w:sz w:val="24"/>
            <w:szCs w:val="24"/>
            <w:u w:val="none"/>
          </w:rPr>
          <w:t>Shamad</w:t>
        </w:r>
      </w:hyperlink>
      <w:r w:rsidR="0018634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5F8F653F" w14:textId="38196FE9"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According to fiqh scholars, initially</w:t>
      </w:r>
      <w:r w:rsidR="00476E35">
        <w:rPr>
          <w:rFonts w:ascii="Calibri Light" w:hAnsi="Calibri Light" w:cs="Calibri Light"/>
          <w:sz w:val="24"/>
          <w:szCs w:val="24"/>
        </w:rPr>
        <w:t>,</w:t>
      </w:r>
      <w:r w:rsidRPr="005C2120">
        <w:rPr>
          <w:rFonts w:ascii="Calibri Light" w:hAnsi="Calibri Light" w:cs="Calibri Light"/>
          <w:sz w:val="24"/>
          <w:szCs w:val="24"/>
        </w:rPr>
        <w:t xml:space="preserve"> the pattern of government relations with the people was determined by customs. Because these customs are not written, in this relationship there are no strict boundaries regarding the rights and obligations of each party. All forms of response that often emerge from Muslims to these challenges are defensive-apologetic attitudes and counter-productive actions. Some have carried out ijtihad, but are still limited to reading old things over and over again and do not </w:t>
      </w:r>
      <w:r w:rsidR="00476E35">
        <w:rPr>
          <w:rFonts w:ascii="Calibri Light" w:hAnsi="Calibri Light" w:cs="Calibri Light"/>
          <w:sz w:val="24"/>
          <w:szCs w:val="24"/>
        </w:rPr>
        <w:t>dar</w:t>
      </w:r>
      <w:r w:rsidRPr="005C2120">
        <w:rPr>
          <w:rFonts w:ascii="Calibri Light" w:hAnsi="Calibri Light" w:cs="Calibri Light"/>
          <w:sz w:val="24"/>
          <w:szCs w:val="24"/>
        </w:rPr>
        <w:t xml:space="preserve">e to carry out new ijtihad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{"citationItems":[{"id":"ITEM-1","itemData":{"abstract":"Persoalan konstitusi menjadi perdebatan yang tidak pernah berakhir di kalangan ahli politik Islam, terutama ketika dihadapkan pada masalah hubungan agama dan negara. Dalam hal ini, ada tiga teori tentang hubungan negara dan agama; Pertama, teori sekularistik bahwa Islam tidak ada hubungannya dengan negara. Model teori politik ini, Negara menghapus sama sekali syari’ah Islam dari dasar negaranya. Kedua, teori simbiotik yang menawarkan pandangan bahwa agama dan negara berhubungan satu sama lain secara timbal balik dan saling memerlukan..Model teori politik ini lebih menekankan pada subtansi daripada legal formal.bentuk Negara. Ketiga, teori integralistik yang menawarkan konsep bersatunya negara dengan agama. Agama dan negara tidak dapat dipisahkan. Apa yang menjadi habithot (wilayah) agama otomatis menjadi habithot politik. Konsekwensi dari teori politik ini, maka Islam harus menjadi dasar negara, dan syari’ah harus diterima sebagai konstitusi Negara. Berangkat dari ketiga teori tersebut, penulis perlu mengkaji secara pustaka, bagaimana seharusnya bentuk kontitusi dalam sebuah Negara menurut pemikiran hukum Islam. Berdasar kajian pustaka yang penulis cermati ditemukan bahwa aturan hukum Islam mengenai kehidupan bernegara tidaklah menunjuk kepada suatu model tertentu, termasuk bentuk atau model konstitusi sebagai hukum tertulis yang mengatur penyelenggaraan pemerintahan .Oleh karena itu, soal negara dan pemerintahan serta rumusan konstitusinya lebih banyak diserahkan kepada ijtihad manusia yang sangat dipengaruhi oleh latar belakang sejarah negara yang bersangkutan, baik masyarakatnya, politik maupun budayanya.","author":[{"dropping-particle":"","family":"Harun","given":"","non-dropping-particle":"","parse-names":false,"suffix":""}],"container-title":"Suhuf","id":"ITEM-1","issue":"1","issued":{"date-parts":[["2012"]]},"page":"26-38","title":"Konstitusi Dalam Perspektif Hukum Islam","type":"article-journal","volume":"24"},"uris":["http://www.mendeley.com/documents/?uuid=b1c7ac00-70d5-47a5-8127-75bce13b42ed","http://www.mendeley.com/documents/?uuid=5bf41d32-66eb-465a-885a-54c117bc34f7"]}],"mendeley":{"formattedCitation":"(Harun, 2012)","manualFormatting":"(Harun, 2012)","plainTextFormattedCitation":"(Harun, 2012)","previouslyFormattedCitation":"(Harun, 2012)"},"properties":{"noteIndex":0},"schema":"https://github.com/citation-style-language/schema/raw/master/csl-citation.json"}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4" w:history="1">
        <w:r w:rsidR="00DB63CC" w:rsidRPr="00DD0A7A">
          <w:rPr>
            <w:rStyle w:val="Hyperlink"/>
            <w:rFonts w:ascii="Calibri Light" w:hAnsi="Calibri Light" w:cs="Calibri Light"/>
            <w:noProof/>
            <w:color w:val="000000" w:themeColor="text1"/>
            <w:sz w:val="24"/>
            <w:szCs w:val="24"/>
            <w:u w:val="none"/>
          </w:rPr>
          <w:t>Harun</w:t>
        </w:r>
      </w:hyperlink>
      <w:r w:rsidR="00D8581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1B2C156E" w14:textId="23BCEE0C"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Islam","type":"article-journal","volume":"1"},"uris":["http://www.mendeley.com/documents/?uuid=9cf109f3-35af-440c-8b61-a009855f6b42","http://www.mendeley.com/documents/?uuid=f7d39e6d-8785-4021-8809-a79becc823c8"]},{"id":"ITEM-2","itemData":{"ISSN":"2527-2934","abstract":"Kata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Jerman","author":[{"dropping-particle":"","family":"Yayuli","given":"Yayuli","non-dropping-particle":"","parse-names":false,"suffix":""}],"container-title":"Suhuf","id":"ITEM-2","issue":"2","issued":{"date-parts":[["2015"]]},"page":"217-219","title":"Membumikan Hukum Islam","type":"article","volume":"27"},"uris":["http://www.mendeley.com/documents/?uuid=826b151f-c6fa-475c-83ed-99d28118d8b2","http://www.mendeley.com/documents/?uuid=d8624cff-8305-4b09-ae47-5e5731b612e8"]},{"id":"ITEM-3","itemData":{"abstract":"Dalam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Yunus","non-dropping-particle":"","parse-names":false,"suffix":""}],"container-title":"Istiqra'","id":"ITEM-3","issue":"1","issued":{"date-parts":[["2017"]]},"page":"76","title":"Hukum Pernikahan dalam Islam","type":"article-journal","volume":"5"},"uris":["http://www.mendeley.com/documents/?uuid=d492e376-bb8c-49c4-af87-081b9697c853","http://www.mendeley.com/documents/?uuid=343a2ba2-68f8-4651-88e0-e8591de337e8","http://www.mendeley.com/documents/?uuid=b35e0413-2f2d-4970-8968-57155955dc06"]},{"id":"ITEM-4","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Keluarga","id":"ITEM-4","issue":"2","issued":{"date-parts":[["2021"]]},"page":"119-136","title":"Teori Adat Dalam Qowaid Fiqhiyah Dan Penerapanya Dalam Hukum Keluarga Islam","type":"article-journal","volume":"2"},"uris":["http://www.mendeley.com/documents/?uuid=2f79c554-d62f-4e24-a4bc-6ee3f5868490","http://www.mendeley.com/documents/?uuid=d0bbb37e-868f-4c6b-84a2-b1b0a941b558","http://www.mendeley.com/documents/?uuid=d8ce7369-f555-40bd-ad94-ebbee61bc95c"]}],"mendeley":{"formattedCitation":"(Mahfudhi &amp; Arrosid, 2021; Malisi, 2022; Shamad, 2017; Yayuli, 2015)","manualFormatting":"(Mahfudhi and Arrosid, 2021; Malisi, 2022; Shamad, 2017; Yayuli, 2015)","plainTextFormattedCitation":"(Mahfudhi &amp; Arrosid, 2021; Malisi, 2022; Shamad, 2017; Yayuli, 2015)","previouslyFormattedCitation":"(Mahfudhi &amp; Arrosid, 2021; Malisi, 2022; Shamad, 2017; Yayuli, 2015)"},"properties":{"noteIndex":0},"schema":"https://github.com/citation-style-language/schema/raw/master/csl-citation.json"}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9" w:history="1">
        <w:r w:rsidR="00DB63CC" w:rsidRPr="00DD0A7A">
          <w:rPr>
            <w:rStyle w:val="Hyperlink"/>
            <w:rFonts w:ascii="Calibri Light" w:hAnsi="Calibri Light" w:cs="Calibri Light"/>
            <w:noProof/>
            <w:color w:val="000000" w:themeColor="text1"/>
            <w:sz w:val="24"/>
            <w:szCs w:val="24"/>
            <w:u w:val="none"/>
          </w:rPr>
          <w:t>Mahfudhi and Arrosid</w:t>
        </w:r>
      </w:hyperlink>
      <w:r w:rsidR="0012243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4CC0B717" w14:textId="27B84738" w:rsidR="00853A3C" w:rsidRDefault="00FA185F" w:rsidP="008E7E0B">
      <w:pPr>
        <w:spacing w:before="120" w:after="120"/>
        <w:ind w:left="426"/>
        <w:jc w:val="center"/>
        <w:rPr>
          <w:rFonts w:ascii="Calibri Light" w:hAnsi="Calibri Light" w:cs="Calibri Light"/>
          <w:sz w:val="24"/>
          <w:szCs w:val="24"/>
        </w:rPr>
      </w:pPr>
      <w:r w:rsidRPr="00FA185F">
        <w:rPr>
          <w:rFonts w:ascii="Calibri Light" w:hAnsi="Calibri Light" w:cs="Calibri Light"/>
          <w:noProof/>
          <w:sz w:val="24"/>
          <w:szCs w:val="24"/>
        </w:rPr>
        <w:drawing>
          <wp:inline distT="0" distB="0" distL="0" distR="0" wp14:anchorId="6390EC55" wp14:editId="6EEAC341">
            <wp:extent cx="4518625" cy="212400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r:embed="rId14"/>
                    <a:stretch>
                      <a:fillRect/>
                    </a:stretch>
                  </pic:blipFill>
                  <pic:spPr>
                    <a:xfrm>
                      <a:off x="0" y="0"/>
                      <a:ext cx="4518625" cy="2124000"/>
                    </a:xfrm>
                    <a:prstGeom prst="rect">
                      <a:avLst/>
                    </a:prstGeom>
                  </pic:spPr>
                </pic:pic>
              </a:graphicData>
            </a:graphic>
          </wp:inline>
        </w:drawing>
      </w:r>
    </w:p>
    <w:p w14:paraId="71A78558" w14:textId="77777777" w:rsidR="00DA030C" w:rsidRPr="005C2120" w:rsidRDefault="00DA030C" w:rsidP="008E7E0B">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4. Marriage Captures Islamic Perspective</w:t>
      </w:r>
    </w:p>
    <w:p w14:paraId="053ED3E3" w14:textId="79247F9F"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Compared to aqidah and morals, Islamic law and fiqh are much more intense in their struggle with the dynamics of contemporary life, fiqh is directly related to everyday reality. Faced with contemporary dynamics, the old scientific knowledge of jurisprudence is no longer able to answer it. Therefore, reform efforts towards the understanding of Islamic teachings should not be aimed at Islamic law or fiqh, but should be aimed directly at Islamic legal philosophy or ushul al-fiqh which is the producer of fiqh laws which in this case </w:t>
      </w:r>
      <w:r w:rsidR="00476E35">
        <w:rPr>
          <w:rFonts w:ascii="Calibri Light" w:hAnsi="Calibri Light" w:cs="Calibri Light"/>
          <w:sz w:val="24"/>
          <w:szCs w:val="24"/>
        </w:rPr>
        <w:t>is</w:t>
      </w:r>
      <w:r w:rsidRPr="005C2120">
        <w:rPr>
          <w:rFonts w:ascii="Calibri Light" w:hAnsi="Calibri Light" w:cs="Calibri Light"/>
          <w:sz w:val="24"/>
          <w:szCs w:val="24"/>
        </w:rPr>
        <w:t xml:space="preserve"> related to how Islamic law is viewed and whether it is practiced. paneta mawinne (arrest marriage) in the Sumba tribe of East Nusa Tenggara is </w:t>
      </w:r>
      <w:r w:rsidR="00476E35">
        <w:rPr>
          <w:rFonts w:ascii="Calibri Light" w:hAnsi="Calibri Light" w:cs="Calibri Light"/>
          <w:sz w:val="24"/>
          <w:szCs w:val="24"/>
        </w:rPr>
        <w:t>from</w:t>
      </w:r>
      <w:r w:rsidRPr="005C2120">
        <w:rPr>
          <w:rFonts w:ascii="Calibri Light" w:hAnsi="Calibri Light" w:cs="Calibri Light"/>
          <w:sz w:val="24"/>
          <w:szCs w:val="24"/>
        </w:rPr>
        <w:t xml:space="preserve"> the perspective of Islamic law itself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32-33","type":"article-journal","volume":"5"},"uris":["http://www.mendeley.com/documents/?uuid=a5f3d480-dcc8-4835-8ef0-2962dfda0b2b","http://www.mendeley.com/documents/?uuid=2d50f65f-b0e7-4a6d-b721-056b74c2cace"]},{"id":"ITEM-2","itemData":{"abstract":"Perkawinan ialah ikatan lahir batin antara pria dan wanita sebagai suami istri membentuk keluarga yang bahagia dan kekal berdasarkan Ketuhanan Yang Maha Esa. Perjanjian pra nikah sebagaimana diatur dalam Undang-Undang Nomor 1 Tahun 1974 tentang Perkawinan dan Kompilasi Hukum Islam Inpres Nomor 1 Tahun 1991 dapat dijadikan sebagai sarana hukum untuk melindungi hak dan kewajiban suami istri saat kehidupan perkawinan berlangsung. Penelitian ini mengkaji tentang eksistensi perjanjian pra nikah menurut Hukum Islam, syarat dan prosedur perjanjian pra nikah menurut Hukum Islam, dan akibat hukum yang ditimbulkan perjanjian pra nikah menurut Hukum Islam. Jenis penelitian yang digunakan pada penulisan ini adalah jenis penelitian hukum normatif dengan menggunakan pendekatan undang-undang (statue approach). Hasil penelitian dan pembahasan menentukan eksistensi perjanjian pra nikah dalam Hukum Islam adalah diperbolehkan. Keberadaan perjanjian pra nikah diharapkan membantu suami dan istri dalam meningkatkan pemahaman dan kesadaran terhadap kewajiban dan hak mereka.Syarat melaksanakan perjanjian pra nikah dalam Hukum Islam adalah substansinya tidak boleh melanggar ketentuan hukum dan agama yang berlaku. Prosedur pelaksanaan perjanjian pra nikah menurut Hukum Islam dilaksanakan di Kantor Urusan Agama masing-masing wilayah. Akibat hukum yang ditimbulkan dari perjanjian pra nikah menurut Hukum Islam yaitu para pihak yang terlibat terikat dan wajib melaksanakan perjanjian tersebut.","author":[{"dropping-particle":"","family":"Siswanti","given":"Elin","non-dropping-particle":"","parse-names":false,"suffix":""}],"container-title":"Ilmu Hukum","id":"ITEM-2","issue":"2","issued":{"date-parts":[["2021"]]},"title":"Perjanjian Pra Nikah Dalam Prespektif Hukum Islam","type":"article-journal","volume":"7"},"uris":["http://www.mendeley.com/documents/?uuid=723e968b-e97d-4a22-b687-3f4488d59c15","http://www.mendeley.com/documents/?uuid=4ec0330a-6a41-4ce1-a78d-2a3ee5f4c54f"]},{"id":"ITEM-3","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Al-Syakhsiyah)","id":"ITEM-3","issue":"1","issued":{"date-parts":[["2022"]]},"title":"Tradisi Kawin Tangkap di Tinjau Dari Perspektif Hukum Islam","type":"article-journal","volume":"3"},"uris":["http://www.mendeley.com/documents/?uuid=7bed0cea-6e60-4219-8016-c0097c0f6312","http://www.mendeley.com/documents/?uuid=ff641e0b-9889-4282-ae4e-c25cee751de5"]},{"id":"ITEM-4","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Hukum","id":"ITEM-4","issue":"1","issued":{"date-parts":[["2022"]]},"page":"22-28","title":"Pernikahan Dalam Islam","type":"article-journal","volume":"1"},"uris":["http://www.mendeley.com/documents/?uuid=f7d39e6d-8785-4021-8809-a79becc823c8","http://www.mendeley.com/documents/?uuid=9cf109f3-35af-440c-8b61-a009855f6b42","http://www.mendeley.com/documents/?uuid=037ff9e4-ecd7-4a63-8b0a-122830fd9234"]},{"id":"ITEM-5","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Jerman","author":[{"dropping-particle":"","family":"Yayuli","given":"Yayuli","non-dropping-particle":"","parse-names":false,"suffix":""}],"container-title":"Suhuf","id":"ITEM-5","issue":"2","issued":{"date-parts":[["2015"]]},"page":"217-219","title":"Membumikan Hukum Islam","type":"article","volume":"27"},"uris":["http://www.mendeley.com/documents/?uuid=826b151f-c6fa-475c-83ed-99d28118d8b2","http://www.mendeley.com/documents/?uuid=d8624cff-8305-4b09-ae47-5e5731b612e8","http://www.mendeley.com/documents/?uuid=2ec7147f-90d1-4deb-84d9-b3437dccf893"]}],"mendeley":{"formattedCitation":"(Indrama, 2022; Malisi, 2022; Siswanti, 2021; Yayuli, 2015; Zulfikar, 2020)","manualFormatting":"(Indrama, 2022; Malisi, 2022; Siswanti, 2021; Yayuli, 2015; Zulfikar 2020)","plainTextFormattedCitation":"(Indrama, 2022; Malisi, 2022; Siswanti, 2021; Yayuli, 2015; Zulfikar, 2020)","previouslyFormattedCitation":"(Indrama, 2022; Malisi, 2022; Siswanti, 2021; Yayuli, 2015; Zulfikar,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0" w:history="1">
        <w:r w:rsidR="00DB63CC" w:rsidRPr="00DD0A7A">
          <w:rPr>
            <w:rStyle w:val="Hyperlink"/>
            <w:rFonts w:ascii="Calibri Light" w:hAnsi="Calibri Light" w:cs="Calibri Light"/>
            <w:noProof/>
            <w:color w:val="000000" w:themeColor="text1"/>
            <w:sz w:val="24"/>
            <w:szCs w:val="24"/>
            <w:u w:val="none"/>
          </w:rPr>
          <w:t>Malisi</w:t>
        </w:r>
      </w:hyperlink>
      <w:r w:rsidR="002F0C1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56536469" w14:textId="1B65AF0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Capture marriage when viewed from practice can be classified as kidnapping because it is carried out without the consent of the woman. Kidnapping is a criminal act and is a prohibited act in the teachings of Islam, which is known to the wider community </w:t>
      </w:r>
      <w:r w:rsidR="00476E35">
        <w:rPr>
          <w:rFonts w:ascii="Calibri Light" w:hAnsi="Calibri Light" w:cs="Calibri Light"/>
          <w:sz w:val="24"/>
          <w:szCs w:val="24"/>
        </w:rPr>
        <w:t>and</w:t>
      </w:r>
      <w:r w:rsidRPr="005C2120">
        <w:rPr>
          <w:rFonts w:ascii="Calibri Light" w:hAnsi="Calibri Light" w:cs="Calibri Light"/>
          <w:sz w:val="24"/>
          <w:szCs w:val="24"/>
        </w:rPr>
        <w:t xml:space="preserve"> can be described as the deprivation and abduction of others against their will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Islam","type":"article-journal","volume":"2"},"uris":["http://www.mendeley.com/documents/?uuid=cfcc5bd7-004c-4bb9-9abf-154629eb969f","http://www.mendeley.com/documents/?uuid=29b48946-14dd-4396-b4b5-ad58189f8e47"]},{"id":"ITEM-2","itemData":{"abstract":"Discrimination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Sumba","type":"article-journal","volume":"18"},"uris":["http://www.mendeley.com/documents/?uuid=e959fb75-3af4-4d2c-b50a-958f41659556","http://www.mendeley.com/documents/?uuid=844092fa-ed6a-4b74-ac73-58a2887f50ea"]}],"mendeley":{"formattedCitation":"(Bire et al., 2023; Musyafah, 2020)","manualFormatting":"(Bire et al. 2023; Musyafah, 2020)","plainTextFormattedCitation":"(Bire et al., 2023; Musyafah, 2020)","previouslyFormattedCitation":"(Bire et al., 2023; Musyafah,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8" w:history="1">
        <w:r w:rsidR="00DB63CC" w:rsidRPr="00DD0A7A">
          <w:rPr>
            <w:rStyle w:val="Hyperlink"/>
            <w:rFonts w:ascii="Calibri Light" w:hAnsi="Calibri Light" w:cs="Calibri Light"/>
            <w:noProof/>
            <w:color w:val="000000" w:themeColor="text1"/>
            <w:sz w:val="24"/>
            <w:szCs w:val="24"/>
            <w:u w:val="none"/>
          </w:rPr>
          <w:t>Bire et al</w:t>
        </w:r>
      </w:hyperlink>
      <w:r w:rsidR="00DB63CC" w:rsidRPr="00DD0A7A">
        <w:rPr>
          <w:rFonts w:ascii="Calibri Light" w:hAnsi="Calibri Light" w:cs="Calibri Light"/>
          <w:noProof/>
          <w:color w:val="000000" w:themeColor="text1"/>
          <w:sz w:val="24"/>
          <w:szCs w:val="24"/>
        </w:rPr>
        <w:t>. 2023)</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In practice, capture mating can occur either by the use of force or by deception or inducement.  Before and after the change in practice in capture marriage, both were carried out without the consent of women and ended in coercion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{"citationItems":[{"id":"ITEM-1","itemData":{"DOI":"https://doi.org/10.32764/abdimasagama.v3i3.3154","ISSN":"2774-7964","abstract":"… Evaluasi dilakukan sebelum dan sesudah kajian pernikahan. Kriteria mulai jumlah peserta … dari kajian pernikahan adalah peserta memahami konsep pernikahan perspektif fiqih dan …","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 “Fiqih Munakahat” pada Pemuda Pemudi di Desa Sidomulyo","type":"article-journal","volume":"3"},"uris":["http://www.mendeley.com/documents/?uuid=b0b55fe9-e47d-4666-a1ba-95f65868b37a","http://www.mendeley.com/documents/?uuid=0d49e73d-e39d-49c6-b6f6-601f6d6cc38a"]}],"mendeley":{"formattedCitation":"(Aisa et al., 2022)","manualFormatting":"(Aisa et al., 2022)","plainTextFormattedCitation":"(Aisa et al., 2022)","previouslyFormattedCitation":"(Aisa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 w:history="1">
        <w:r w:rsidR="00DB63CC" w:rsidRPr="00DD0A7A">
          <w:rPr>
            <w:rStyle w:val="Hyperlink"/>
            <w:rFonts w:ascii="Calibri Light" w:hAnsi="Calibri Light" w:cs="Calibri Light"/>
            <w:noProof/>
            <w:color w:val="000000" w:themeColor="text1"/>
            <w:sz w:val="24"/>
            <w:szCs w:val="24"/>
            <w:u w:val="none"/>
          </w:rPr>
          <w:t>Aisa et al</w:t>
        </w:r>
      </w:hyperlink>
      <w:r w:rsidR="00DB63CC" w:rsidRPr="00DD0A7A">
        <w:rPr>
          <w:rFonts w:ascii="Calibri Light" w:hAnsi="Calibri Light" w:cs="Calibri Light"/>
          <w:noProof/>
          <w:color w:val="000000" w:themeColor="text1"/>
          <w:sz w:val="24"/>
          <w:szCs w:val="24"/>
        </w:rPr>
        <w:t>.</w:t>
      </w:r>
      <w:r w:rsidR="00B41835"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583FEBC8" w14:textId="0316B100"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If you look at the source or basis of marriage law, such as the Qur'an, al-Sunnah, or Ijma', of course</w:t>
      </w:r>
      <w:r w:rsidR="00476E35">
        <w:rPr>
          <w:rFonts w:ascii="Calibri Light" w:hAnsi="Calibri Light" w:cs="Calibri Light"/>
          <w:sz w:val="24"/>
          <w:szCs w:val="24"/>
        </w:rPr>
        <w:t>,</w:t>
      </w:r>
      <w:r w:rsidRPr="005C2120">
        <w:rPr>
          <w:rFonts w:ascii="Calibri Light" w:hAnsi="Calibri Light" w:cs="Calibri Light"/>
          <w:sz w:val="24"/>
          <w:szCs w:val="24"/>
        </w:rPr>
        <w:t xml:space="preserve"> this capture </w:t>
      </w:r>
      <w:r w:rsidR="00476E35">
        <w:rPr>
          <w:rFonts w:ascii="Calibri Light" w:hAnsi="Calibri Light" w:cs="Calibri Light"/>
          <w:sz w:val="24"/>
          <w:szCs w:val="24"/>
        </w:rPr>
        <w:t xml:space="preserve">of </w:t>
      </w:r>
      <w:r w:rsidRPr="005C2120">
        <w:rPr>
          <w:rFonts w:ascii="Calibri Light" w:hAnsi="Calibri Light" w:cs="Calibri Light"/>
          <w:sz w:val="24"/>
          <w:szCs w:val="24"/>
        </w:rPr>
        <w:t xml:space="preserve">marriage is not explicitly mentioned. While the law of origin of marriage is mubah (permissible). However, the law can be changed to obligatory, sunnah, makruh, and haram, depending on the 'illat that affects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{"citationItems":[{"id":"ITEM-1","itemData":{"DOI":"10.25157/jigj.v5i2.795","ISSN":"1410-7406","abstract":"Dalam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menjalin","author":[{"dropping-particle":"","family":"Undang-undang","given":"D A N Penerapannya Dalam","non-dropping-particle":"","parse-names":false,"suffix":""},{"dropping-particle":"","family":"Iain","given":"Pascasarjana","non-dropping-particle":"","parse-names":false,"suffix":""},{"dropping-particle":"","family":"Intan","given":"Raden","non-dropping-particle":"","parse-names":false,"suffix":""},{"dropping-particle":"","family":"Alam","given":"Jl Z A Pagar","non-dropping-particle":"","parse-names":false,"suffix":""},{"dropping-particle":"","family":"Lampung","given":"Bandar","non-dropping-particle":"","parse-names":false,"suffix":""},{"dropping-particle":"","family":"Perkawinan","given":"Undang","non-dropping-particle":"","parse-names":false,"suffix":""},{"dropping-particle":"","family":"Artikel","given":"Islam","non-dropping-particle":"","parse-names":false,"suffix":""},{"dropping-particle":"","family":"Taufik","given":"Otong Husni","non-dropping-particle":"","parse-names":false,"suffix":""},{"dropping-particle":"","family":"Fauzi","given":"Ali","non-dropping-particle":"","parse-names":false,"suffix":""},{"dropping-particle":"","family":"Septiani","given":"Heppi","non-dropping-particle":"","parse-names":false,"suffix":""},{"dropping-particle":"","family":"Sholehah","given":"Zainatus","non-dropping-particle":"","parse-names":false,"suffix":""},{"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dropping-particle":"","family":"Agust","given":"Amara Ridha Amalia","non-dropping-particle":"","parse-names":false,"suffix":""},{"dropping-particle":"","family":"Mahfudhi","given":"Heri","non-dropping-particle":"","parse-names":false,"suffix":""},{"dropping-particle":"","family":"Arrosid","given":"M. Kholis","non-dropping-particle":"","parse-names":false,"suffix":""},{"dropping-particle":"","family":"Sanjaya","given":"Fransiskus O","non-dropping-particle":"","parse-names":false,"suffix":""},{"dropping-particle":"","family":"Rahardi","given":"R. Kunjana","non-dropping-particle":"","parse-names":false,"suffix":""},{"dropping-particle":"","family":"Setiyanto","given":"Danu Aris","non-dropping-particle":"","parse-names":false,"suffix":""},{"dropping-particle":"","family":"Kleden","given":"Dony","non-dropping-particle":"","parse-names":false,"suffix":""},{"dropping-particle":"","family":"Mardiani","given":"Martha","non-dropping-particle":"","parse-names":false,"suffix":""},{"dropping-particle":"","family":"Jati Nugroho","given":"Fibry","non-dropping-particle":"","parse-names":false,"suffix":""},{"dropping-particle":"","family":"Rogo Yuono","given":"Yusup","non-dropping-particle":"","parse-names":false,"suffix":""},{"dropping-particle":"","family":"Hakim","given":"Zainul","non-dropping-particle":"","parse-names":false,"suffix":""},{"dropping-particle":"","family":"Florea","given":"Dumitrita","non-dropping-particle":"","parse-names":false,"suffix":""},{"dropping-particle":"","family":"Dasor","given":"Yohanes Wendelinus","non-dropping-particle":"","parse-names":false,"suffix":""},{"dropping-particle":"","family":"Hermaditoyo","given":"Stanislaus","non-dropping-particle":"","parse-names":false,"suffix":""},{"dropping-particle":"","family":"Muthoifin","given":"M","non-dropping-particle":"","parse-names":false,"suffix":""},{"dropping-particle":"","family":"Dewi","given":"Dian Kemala","non-dropping-particle":"","parse-names":false,"suffix":""},{"dropping-particle":"","family":"Indonesia","given":"Universitas Dharmawangsa","non-dropping-particle":"","parse-names":false,"suffix":""},{"dropping-particle":"","family":"Medan","given":"Kota","non-dropping-particle":"","parse-names":false,"suffix":""},{"dropping-particle":"","family":"Indrama","given":"Dedi","non-dropping-particle":"","parse-names":false,"suffix":""},{"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Cahyanii","non-dropping-particle":"","parse-names":false,"suffix":""},{"dropping-particle":"","family":"Fajariyah","given":"Linda","non-dropping-particle":"","parse-names":false,"suffix":""},{"dropping-particle":"","family":"Shamad","given":"Muhammad Yunus","non-dropping-particle":"","parse-names":false,"suffix":""}],"container-title":"Prosiding University Research Colloquium","id":"ITEM-1","issue":"2","issued":{"date-parts":[["2022"]]},"page":"246","title":"The Legal Status of Women in Islam","type":"article-journal","volume":"3"},"uris":["http://www.mendeley.com/documents/?uuid=5c954bb4-c2b7-441e-922f-b37d33cc61ef","http://www.mendeley.com/documents/?uuid=7cd5182a-8abd-44fd-bdca-c922d076531b"]},{"id":"ITEM-2","itemData":{"author":[{"dropping-particle":"","family":"Ridlo, Muhammad Rosyid, Imron rosyadi","given":"Muthoifin","non-dropping-particle":"","parse-names":false,"suffix":""}],"container-title":"Profetika: Jurnal Studi Islam","id":"ITEM-2","issue":"2","issued":{"date-parts":[["2022"]]},"page":"321-330","title":"THE LAW OF NASAB FOR CHILDREN BORN OUTSIDE OF LEGAL MARRIAGE ACCORDING TO IMAM IBN QAYYIM AL-JAUZIYYAH","type":"article-journal","volume":"23"},"uris":["http://www.mendeley.com/documents/?uuid=b34a8450-ba68-495b-a0fb-14c9c952206b"]},{"id":"ITEM-3","itemData":{"DOI":"10.17561/tahrj.v14.5474","ISSN":"23409592","abstract":"Forced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Journal","id":"ITEM-3","issued":{"date-parts":[["2020"]]},"page":"1-18","title":"Forced marriages in Europe: A form of gender-based violence and violation of human rights","type":"article-journal","volume":"14"},"uris":["http://www.mendeley.com/documents/?uuid=8a91f171-814c-43fb-b0cf-a3e77bbeba2d","http://www.mendeley.com/documents/?uuid=f355972a-c26e-42e8-8936-f9d189f5b0ff"]},{"id":"ITEM-4","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Hukum","id":"ITEM-4","issue":"3","issued":{"date-parts":[["2021"]]},"page":"656-660","title":"Tradisi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6029b249-e084-4617-b514-f972e7cf17a8"]}],"mendeley":{"formattedCitation":"(Campmajó, 2020; Doko et al., 2021; Ridlo, Muhammad Rosyid, Imron rosyadi, 2022; Undang-undang et al., 2022)","manualFormatting":"(Campmajó, 2020; Doko, Suwitra, and Sudibya, 2021; Ridlo, Muhammad Rosyid, Imron rosyadi, 2022; Undang-undang et al., 2022)","plainTextFormattedCitation":"(Campmajó, 2020; Doko et al., 2021; Ridlo, Muhammad Rosyid, Imron rosyadi, 2022; Undang-undang et al., 2022)","previouslyFormattedCitation":"(Campmajó, 2020; Doko et al., 2021; Ridlo, Muhammad Rosyid, Imron rosyadi, 2022; Undang-undang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9" w:history="1">
        <w:r w:rsidR="00DB63CC" w:rsidRPr="00DD0A7A">
          <w:rPr>
            <w:rStyle w:val="Hyperlink"/>
            <w:rFonts w:ascii="Calibri Light" w:hAnsi="Calibri Light" w:cs="Calibri Light"/>
            <w:noProof/>
            <w:color w:val="000000" w:themeColor="text1"/>
            <w:sz w:val="24"/>
            <w:szCs w:val="24"/>
            <w:u w:val="none"/>
          </w:rPr>
          <w:t>Campmajó</w:t>
        </w:r>
      </w:hyperlink>
      <w:r w:rsidR="002C0F49">
        <w:rPr>
          <w:noProof/>
        </w:rPr>
        <w:t xml:space="preserve"> et al.</w:t>
      </w:r>
      <w:r w:rsidR="00F26AA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2745371E" w14:textId="0A4F7DFB"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marriage law becomes mandatory if a person is considered physically mature and has a fixed income, and he is very willing to marry so that if he does not marry he is feared to fall into adultery. Al-Qurthubi said, "A person who is able and worried about himself and his religion becomes corrupted by celibacy, so that it is impossible to overcome it except by marrying, there is not the slightest difference of opinion to declare that he is obliged to marry. </w:t>
      </w:r>
      <w:r w:rsidR="00476E35">
        <w:rPr>
          <w:rFonts w:ascii="Calibri Light" w:hAnsi="Calibri Light" w:cs="Calibri Light"/>
          <w:sz w:val="24"/>
          <w:szCs w:val="24"/>
        </w:rPr>
        <w:t>S</w:t>
      </w:r>
      <w:r w:rsidRPr="005C2120">
        <w:rPr>
          <w:rFonts w:ascii="Calibri Light" w:hAnsi="Calibri Light" w:cs="Calibri Light"/>
          <w:sz w:val="24"/>
          <w:szCs w:val="24"/>
        </w:rPr>
        <w:t xml:space="preserve">till, if the desire for marriage is great but unable to provide for the wife, then it should carry out the direction of Allah SWT </w:t>
      </w:r>
      <w:r w:rsidRPr="005C21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Islam","type":"article-journal","volume":"3"},"uris":["http://www.mendeley.com/documents/?uuid=7bed0cea-6e60-4219-8016-c0097c0f6312","http://www.mendeley.com/documents/?uuid=ff641e0b-9889-4282-ae4e-c25cee751de5"]}],"mendeley":{"formattedCitation":"(Indrama, 2022)","manualFormatting":"(Indrama, 2022)","plainTextFormattedCitation":"(Indrama, 2022)","previouslyFormattedCitation":"(Indrama,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noProof/>
          <w:sz w:val="24"/>
          <w:szCs w:val="24"/>
        </w:rPr>
        <w:t>(</w:t>
      </w:r>
      <w:hyperlink w:anchor="no15" w:history="1">
        <w:r w:rsidR="00DB63CC" w:rsidRPr="00DD0A7A">
          <w:rPr>
            <w:rStyle w:val="Hyperlink"/>
            <w:rFonts w:ascii="Calibri Light" w:hAnsi="Calibri Light" w:cs="Calibri Light"/>
            <w:noProof/>
            <w:color w:val="000000" w:themeColor="text1"/>
            <w:sz w:val="24"/>
            <w:szCs w:val="24"/>
            <w:u w:val="none"/>
          </w:rPr>
          <w:t>Indrama</w:t>
        </w:r>
      </w:hyperlink>
      <w:r w:rsidR="00F26AA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w:t>
      </w:r>
      <w:r w:rsidR="00DB63CC" w:rsidRPr="005C2120">
        <w:rPr>
          <w:rFonts w:ascii="Calibri Light" w:hAnsi="Calibri Light" w:cs="Calibri Light"/>
          <w:noProof/>
          <w:sz w:val="24"/>
          <w:szCs w:val="24"/>
        </w:rPr>
        <w:t>2)</w:t>
      </w:r>
      <w:r w:rsidRPr="005C2120">
        <w:rPr>
          <w:rFonts w:ascii="Calibri Light" w:hAnsi="Calibri Light" w:cs="Calibri Light"/>
          <w:sz w:val="24"/>
          <w:szCs w:val="24"/>
        </w:rPr>
        <w:fldChar w:fldCharType="end"/>
      </w:r>
      <w:r w:rsidRPr="005C2120">
        <w:rPr>
          <w:rFonts w:ascii="Calibri Light" w:hAnsi="Calibri Light" w:cs="Calibri Light"/>
          <w:sz w:val="24"/>
          <w:szCs w:val="24"/>
        </w:rPr>
        <w:t>. In his statement Q.S An-Nur Verse 33 which reads:</w:t>
      </w:r>
    </w:p>
    <w:p w14:paraId="25603D1C" w14:textId="77777777" w:rsidR="00A406E4" w:rsidRPr="005C2120" w:rsidRDefault="00A406E4" w:rsidP="00A406E4">
      <w:pPr>
        <w:spacing w:after="160" w:line="360" w:lineRule="auto"/>
        <w:ind w:left="360" w:firstLine="720"/>
        <w:jc w:val="right"/>
        <w:rPr>
          <w:rFonts w:ascii="Traditional Arabic" w:hAnsi="Traditional Arabic" w:cs="Traditional Arabic"/>
          <w:bCs/>
          <w:noProof/>
          <w:sz w:val="28"/>
          <w:szCs w:val="28"/>
          <w:lang w:val="id-ID"/>
        </w:rPr>
      </w:pPr>
      <w:r w:rsidRPr="005C2120">
        <w:rPr>
          <w:rFonts w:ascii="Traditional Arabic" w:hAnsi="Traditional Arabic" w:cs="Traditional Arabic" w:hint="cs"/>
          <w:bCs/>
          <w:noProof/>
          <w:sz w:val="28"/>
          <w:szCs w:val="28"/>
          <w:lang w:val="id-ID"/>
        </w:rPr>
        <w:t>وَلْيَسْتَعْفِفِ الَّذِيْنَ لَا يَجِدُوْنَ نِكَاحًا حَتّٰى يُغْنِيَهُمُ اللّٰهُ مِنْ فَضْلِه</w:t>
      </w:r>
      <w:r w:rsidRPr="005C2120">
        <w:rPr>
          <w:bCs/>
          <w:noProof/>
          <w:sz w:val="28"/>
          <w:szCs w:val="28"/>
          <w:lang w:val="id-ID"/>
        </w:rPr>
        <w:t>ٖ</w:t>
      </w:r>
      <w:r w:rsidRPr="005C2120">
        <w:rPr>
          <w:rFonts w:ascii="Traditional Arabic" w:hAnsi="Traditional Arabic" w:cs="Traditional Arabic" w:hint="cs"/>
          <w:bCs/>
          <w:noProof/>
          <w:sz w:val="28"/>
          <w:szCs w:val="28"/>
          <w:lang w:val="id-ID"/>
        </w:rPr>
        <w:t xml:space="preserve"> ۗوَالَّذِيْنَ يَبْتَغُوْنَ الْكِتٰبَ مِمَّا مَلَكَتْ اَيْمَانُكُمْ فَكَاتِبُوْهُمْ اِنْ عَلِمْتُمْ فِيْهِمْ خَيْرًا وَّاٰتُوْهُمْ مِّنْ مَّالِ اللّٰهِ الَّذِيْٓ اٰتٰىكُمْ ۗوَلَا تُكْرِهُوْا فَتَيٰتِكُمْ عَلَى الْبِغَاۤءِ اِنْ اَرَدْنَ تَحَصُّنًا لِّتَبْتَغُوْا عَرَضَ الْحَيٰوةِ الدُّنْيَا ۗوَمَنْ يُّكْرِهْهُّنَّ فَاِنَّ اللّٰهَ مِنْۢ بَعْدِ اِكْرَاهِهِنَّ غَفُوْرٌ رَّحِيْمٌ</w:t>
      </w:r>
    </w:p>
    <w:p w14:paraId="78153263" w14:textId="3155EF54" w:rsidR="00A406E4" w:rsidRPr="005C2120" w:rsidRDefault="00A406E4" w:rsidP="005C2120">
      <w:pPr>
        <w:spacing w:before="120" w:after="120"/>
        <w:ind w:left="426"/>
        <w:jc w:val="both"/>
        <w:rPr>
          <w:rFonts w:ascii="Calibri Light" w:hAnsi="Calibri Light" w:cs="Calibri Light"/>
          <w:i/>
          <w:iCs/>
          <w:sz w:val="24"/>
          <w:szCs w:val="24"/>
        </w:rPr>
      </w:pPr>
      <w:r w:rsidRPr="005C2120">
        <w:rPr>
          <w:rFonts w:ascii="Calibri Light" w:hAnsi="Calibri Light" w:cs="Calibri Light"/>
          <w:i/>
          <w:iCs/>
          <w:sz w:val="24"/>
          <w:szCs w:val="24"/>
        </w:rPr>
        <w:t>Means: And those who are unable to marry should keep them chaste until God enables them with His gifts. And if the servants of the sahaya you have desire</w:t>
      </w:r>
      <w:r w:rsidR="00476E35">
        <w:rPr>
          <w:rFonts w:ascii="Calibri Light" w:hAnsi="Calibri Light" w:cs="Calibri Light"/>
          <w:i/>
          <w:iCs/>
          <w:sz w:val="24"/>
          <w:szCs w:val="24"/>
        </w:rPr>
        <w:t>d</w:t>
      </w:r>
      <w:r w:rsidRPr="005C2120">
        <w:rPr>
          <w:rFonts w:ascii="Calibri Light" w:hAnsi="Calibri Light" w:cs="Calibri Light"/>
          <w:i/>
          <w:iCs/>
          <w:sz w:val="24"/>
          <w:szCs w:val="24"/>
        </w:rPr>
        <w:t xml:space="preserve"> a covenant (freedom), make a covenant with them, if you know there is good in them, and give them a portion of the treasure of Allah which He has given you. And do not force your female servants to engage in prostitution, while they desire chastity, for you seek the benefits of worldly life. Whoever forces them, then truly, Allah is Most Forgiving, Most Merciful (to them) after they are forced.</w:t>
      </w:r>
    </w:p>
    <w:p w14:paraId="603AEA49" w14:textId="49B2D5A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makruh when a person is physically and of sufficient age even though it is not too urgent.  But he does not have a fixed income so if he marries it will bring life misery to his wife's children. The law of marriage becomes haram when a man marries a woman </w:t>
      </w:r>
      <w:r w:rsidR="00476E35">
        <w:rPr>
          <w:rFonts w:ascii="Calibri Light" w:hAnsi="Calibri Light" w:cs="Calibri Light"/>
          <w:sz w:val="24"/>
          <w:szCs w:val="24"/>
        </w:rPr>
        <w:t>to molest or ridicule</w:t>
      </w:r>
      <w:r w:rsidRPr="005C2120">
        <w:rPr>
          <w:rFonts w:ascii="Calibri Light" w:hAnsi="Calibri Light" w:cs="Calibri Light"/>
          <w:sz w:val="24"/>
          <w:szCs w:val="24"/>
        </w:rPr>
        <w:t xml:space="preserve"> or to take revenge </w:t>
      </w:r>
      <w:r w:rsidRPr="00DD0A7A">
        <w:rPr>
          <w:rFonts w:ascii="Calibri Light" w:hAnsi="Calibri Light" w:cs="Calibri Light"/>
          <w:color w:val="000000" w:themeColor="text1"/>
          <w:sz w:val="24"/>
          <w:szCs w:val="24"/>
        </w:rPr>
        <w:fldChar w:fldCharType="begin" w:fldLock="1"/>
      </w:r>
      <w:r w:rsidR="00646293">
        <w:rPr>
          <w:rFonts w:ascii="Calibri Light" w:hAnsi="Calibri Light" w:cs="Calibri Light"/>
          <w:color w:val="000000" w:themeColor="text1"/>
          <w:sz w:val="24"/>
          <w:szCs w:val="24"/>
        </w:rPr>
        <w:instrText>ADDIN CSL_CITATION {"citationItems":[{"id":"ITEM-1","itemData":{"ISSN":"2477-5339","author":[{"dropping-particle":"","family":"Apriantoro","given":"Muhamad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Islam","id":"ITEM-1","issue":"1","issued":{"date-parts":[["2023"]]},"page":"47-62","title":"Islamic law perspective on the bajo indigenous people's marriage tradition in Adonara village","type":"article-journal","volume":"14"},"uris":["http://www.mendeley.com/documents/?uuid=6a82ef50-5ee1-4cc9-b78b-85356924bfe0","http://www.mendeley.com/documents/?uuid=fb9fde0a-9205-4c22-a2bb-55efbaeb73e1"]},{"id":"ITEM-2","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Hukum","id":"ITEM-2","issue":"3","issued":{"date-parts":[["2021"]]},"page":"656-660","title":"Tradisi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ff3ac4c6-f3fa-40da-a546-c0c0d2e89070"]},{"id":"ITEM-3","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Kristiani","id":"ITEM-3","issue":"1","issued":{"date-parts":[["2021"]]},"page":"176-198","title":"Tinjauan Teologis terhadap Tradisi Kawin Tangkap di Pulau Sumba–Nusa Tenggara Timur","type":"article-journal","volume":"6"},"uris":["http://www.mendeley.com/documents/?uuid=db7eddb7-2013-4091-8a92-575167fb49f0","http://www.mendeley.com/documents/?uuid=6a1cfa0d-cc30-4dd7-aaee-f6699a09a236","http://www.mendeley.com/documents/?uuid=c6885b58-c091-4ea7-b7ed-7668b5637a25"]},{"id":"ITEM-4","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Al-Syakhsiyah)","id":"ITEM-4","issue":"1","issued":{"date-parts":[["2022"]]},"title":"Tradisi Kawin Tangkap di Tinjau Dari Perspektif Hukum Islam","type":"article-journal","volume":"3"},"uris":["http://www.mendeley.com/documents/?uuid=7bed0cea-6e60-4219-8016-c0097c0f6312","http://www.mendeley.com/documents/?uuid=ff641e0b-9889-4282-ae4e-c25cee751de5","http://www.mendeley.com/documents/?uuid=8f265ebd-6602-4ae6-8718-e5dbcf2b1318"]}],"mendeley":{"formattedCitation":"(Apriantoro, Makin, et al., 2023; Doko et al., 2021; Indrama, 2022; Kamuri &amp; Toumeluk, 2021)","manualFormatting":"( Kamuri and Toumeluk, 2021)","plainTextFormattedCitation":"(Apriantoro, Makin, et al., 2023; Doko et al., 2021; Indrama, 2022; Kamuri &amp; Toumeluk, 2021)","previouslyFormattedCitation":"(Apriantoro, Makin, et al., 2023; Doko et al., 2021; Indrama, 2022; 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7" w:history="1">
        <w:r w:rsidR="00DB63CC" w:rsidRPr="00DD0A7A">
          <w:rPr>
            <w:rStyle w:val="Hyperlink"/>
            <w:rFonts w:ascii="Calibri Light" w:hAnsi="Calibri Light" w:cs="Calibri Light"/>
            <w:noProof/>
            <w:color w:val="000000" w:themeColor="text1"/>
            <w:sz w:val="24"/>
            <w:szCs w:val="24"/>
            <w:u w:val="none"/>
          </w:rPr>
          <w:t>Kamuri and Toumeluk</w:t>
        </w:r>
      </w:hyperlink>
      <w:r w:rsidR="00B35C5A"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4B174730" w14:textId="0C30FE0C"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From the marriage law above, we can see that for a marriage to be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become haram for the couple.  Remembering marriage or marriage is a very big worship reward because all our romantic actions to</w:t>
      </w:r>
      <w:r w:rsidR="00284301">
        <w:rPr>
          <w:rFonts w:ascii="Calibri Light" w:hAnsi="Calibri Light" w:cs="Calibri Light"/>
          <w:sz w:val="24"/>
          <w:szCs w:val="24"/>
        </w:rPr>
        <w:t>ward</w:t>
      </w:r>
      <w:r w:rsidRPr="005C2120">
        <w:rPr>
          <w:rFonts w:ascii="Calibri Light" w:hAnsi="Calibri Light" w:cs="Calibri Light"/>
          <w:sz w:val="24"/>
          <w:szCs w:val="24"/>
        </w:rPr>
        <w:t xml:space="preserve"> the wife are the source of our reward as husbands there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2f79c554-d62f-4e24-a4bc-6ee3f5868490","http://www.mendeley.com/documents/?uuid=d0bbb37e-868f-4c6b-84a2-b1b0a941b558"]},{"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http://www.mendeley.com/documents/?uuid=eab1a07b-2c48-4987-a0df-403ee8a74e0a"]},{"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http://www.mendeley.com/documents/?uuid=e4c85371-9318-4763-a10b-15da71f72cee"]},{"id":"ITEM-4","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Kemanusiaan","id":"ITEM-4","issue":"2","issued":{"date-parts":[["2018"]]},"page":"175","title":"Hukum Islam sebagai rekayasa sosial dan implikasinya dalam undang-undang perkawinan di Indonesia","type":"article-journal","volume":"17"},"uris":["http://www.mendeley.com/documents/?uuid=aa3373c8-6860-44a8-a53a-834b2dd0841d","http://www.mendeley.com/documents/?uuid=7117e9e9-2127-4f89-ba66-a160ff709888","http://www.mendeley.com/documents/?uuid=1a15afb2-86dd-45b2-b5d5-59aad43d7e39"]}],"mendeley":{"formattedCitation":"(Mahfudhi &amp; Arrosid, 2021; Sanjaya &amp; Rahardi, 2021; Setiyanto, 2018; Subeitan, 2022)","manualFormatting":"(Mahfudhi and Arrosid, 2021; Sanjaya and Rahardi, 2021; Setiyanto, 2018; Subeitan, 2022)","plainTextFormattedCitation":"(Mahfudhi &amp; Arrosid, 2021; Sanjaya &amp; Rahardi, 2021; Setiyanto, 2018; Subeitan, 2022)","previouslyFormattedCitation":"(Mahfudhi &amp; Arrosid, 2021; Sanjaya &amp; Rahardi, 2021; Setiyanto, 2018;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9" w:history="1">
        <w:r w:rsidR="00DB63CC" w:rsidRPr="00DD0A7A">
          <w:rPr>
            <w:rStyle w:val="Hyperlink"/>
            <w:rFonts w:ascii="Calibri Light" w:hAnsi="Calibri Light" w:cs="Calibri Light"/>
            <w:noProof/>
            <w:color w:val="000000" w:themeColor="text1"/>
            <w:sz w:val="24"/>
            <w:szCs w:val="24"/>
            <w:u w:val="none"/>
          </w:rPr>
          <w:t>Mahfudhi and Arrosid</w:t>
        </w:r>
      </w:hyperlink>
      <w:r w:rsidR="0012243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bookmarkEnd w:id="1"/>
    </w:p>
    <w:p w14:paraId="1A194153" w14:textId="67F4786E"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The analysis of Paneta Mawinne within the framework of Islamic law reveals a significant tension between cultural traditions and religious principles. Islamic jurisprudence emphasizes mutual consent (ridha) in marriage, which directly contradicts the forced nature of Paneta Mawinne. According to Islamic teachings, marriage is a solemn contract that requires the voluntary agreement of both parties, ensuring that the dignity and autonomy of individuals are preserved. This principle is reinforced by the Quranic verse: “Do not inherit women against their will” (Qur'an 4:19), highlighting the necessity of free will in marital arrangements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{"citationItems":[{"id":"ITEM-1","itemData":{"author":[{"dropping-particle":"","family":"Abuzar","given":"Muhammad","non-dropping-particle":"","parse-names":false,"suffix":""}],"container-title":"Demak Universal Journal of Islam and Sharia","id":"ITEM-1","issue":"3","issued":{"date-parts":[["2024"]]},"page":"221-230","title":"Harmony in the Family : Indicators of Marriage Success in Cultural and Religious Foundations in Bangladesh","type":"article-journal","volume":"2"},"uris":["http://www.mendeley.com/documents/?uuid=6fc17676-ea45-494e-9420-5a869a3520aa"]},{"id":"ITEM-2","itemData":{"author":[{"dropping-particle":"","family":"Putri","given":"Ardhalia Nirmala","non-dropping-particle":"","parse-names":false,"suffix":""},{"dropping-particle":"","family":"Husnayain","given":"Fathimah","non-dropping-particle":"","parse-names":false,"suffix":""},{"dropping-particle":"","family":"Fauziah","given":"Fatimah","non-dropping-particle":"","parse-names":false,"suffix":""},{"dropping-particle":"","family":"A","given":"Nadya Qurrota","non-dropping-particle":"","parse-names":false,"suffix":""},{"dropping-particle":"","family":"Al-atsariyah","given":"Naurotul Himmah","non-dropping-particle":"","parse-names":false,"suffix":""}],"container-title":"Demak Universal Journal of Islam and Sharia","id":"ITEM-2","issue":"3","issued":{"date-parts":[["2024"]]},"page":"243-256","title":"The Relevance of Weton Calculation Tradition in Javanese Culture in Determining Marriage Contracts : A Sharia Perspective","type":"article-journal","volume":"2"},"uris":["http://www.mendeley.com/documents/?uuid=45a1549e-76be-4b19-94b4-88fa957d2c2b"]},{"id":"ITEM-3","itemData":{"author":[{"dropping-particle":"","family":"Thaib","given":"Yahya Muhammad","non-dropping-particle":"","parse-names":false,"suffix":""},{"dropping-particle":"","family":"Elsakhawy","given":"Rania Mahmoud","non-dropping-particle":"","parse-names":false,"suffix":""},{"dropping-particle":"","family":"Al-","given":"Thufail","non-dropping-particle":"","parse-names":false,"suffix":""}],"container-title":"Demak Universal Journal of Islam and Sharia","id":"ITEM-3","issue":"2","issued":{"date-parts":[["2023"]]},"page":"67-82","title":"Marriages of More Than Four and its Impacts on Community Perspective of Islamic Law and Indonesian Law","type":"article-journal","volume":"1"},"uris":["http://www.mendeley.com/documents/?uuid=aedbdfb6-ef5d-4ad5-98a6-4dea64736d8a"]}],"mendeley":{"formattedCitation":"(Abuzar, 2024; Putri et al., 2024; Thaib et al., 2023)","manualFormatting":"(Thaib et al., 2023)","plainTextFormattedCitation":"(Abuzar, 2024; Putri et al., 2024; Thaib et al., 2023)","previouslyFormattedCitation":"(Abuzar, 2024; Putri et al., 2024; Thaib et al., 2023)"},"properties":{"noteIndex":0},"schema":"https://github.com/citation-style-language/schema/raw/master/csl-citation.json"}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(Thaib et al., 2023)</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50AB6DC3" w14:textId="2E403F4B"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From a legal standpoint, Paneta Mawinne conflicts with the principles of maqashid shariah, particularly in safeguarding life (hifz an-nafs) and protecting human dignity (hifz al-‘ird). The act of forcefully taking a woman for marriage can lead to psychological distress, social marginalization, and violations of fundamental rights. Islamic law promotes justice (adl) and opposes oppression (zulm), further questioning the legitimacy of a practice that disregards the well-being of women</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{"citationItems":[{"id":"ITEM-1","itemData":{"author":[{"dropping-particle":"","family":"Aryani","given":"Sekar Ayu","non-dropping-particle":"","parse-names":false,"suffix":""},{"dropping-particle":"","family":"Budi","given":"Erham","non-dropping-particle":"","parse-names":false,"suffix":""},{"dropping-particle":"","family":"Amini","given":"Soleh","non-dropping-particle":"","parse-names":false,"suffix":""}],"container-title":"Solo International Collaboration and Publication of Social Sciences and Humanities","id":"ITEM-1","issue":"2","issued":{"date-parts":[["2024"]]},"page":"107-120","title":"Fostering Community Awareness of the Importance of Religiosity to Minimize Conflict and Violence","type":"article-journal","volume":"2"},"uris":["http://www.mendeley.com/documents/?uuid=3913f8cc-c7c0-482b-99f8-bc85647db030"]},{"id":"ITEM-2","itemData":{"author":[{"dropping-particle":"","family":"Afiyah","given":"Ishmah","non-dropping-particle":"","parse-names":false,"suffix":""},{"dropping-particle":"","family":"Macsudov","given":"Valijon Ghafurjonovich","non-dropping-particle":"","parse-names":false,"suffix":""}],"container-title":"Solo International Colaboration and Publication of Social Sciences and Humanitieslaboration and Publication of Social Sciences and Humanities","id":"ITEM-2","issue":"1","issued":{"date-parts":[["2024"]]},"page":"25-36","title":"Impact Analysis of Marital Dispensation : Economic Implications and Family Welfare in Social and Legal Context","type":"article-journal","volume":"2"},"uris":["http://www.mendeley.com/documents/?uuid=d9b85919-af42-4e19-a145-f2310550b42c"]},{"id":"ITEM-3","itemData":{"author":[{"dropping-particle":"","family":"Al-rahman","given":"Zahrina Iza","non-dropping-particle":"","parse-names":false,"suffix":""}],"container-title":"Solo International Collaboration and Publication of Social Sciences and Humanities","id":"ITEM-3","issue":"3","issued":{"date-parts":[["2024"]]},"page":"205-214","title":"Offering Justice : Women ' s Emancipation in an Islamic Perspective for Gender Equality and Human Rights Liberation","type":"article-journal","volume":"2"},"uris":["http://www.mendeley.com/documents/?uuid=087ca894-1f54-4ca3-9bc9-6f40daa755d0"]},{"id":"ITEM-4","itemData":{"author":[{"dropping-particle":"","family":"Santika","given":"Aprilia Puteri","non-dropping-particle":"","parse-names":false,"suffix":""},{"dropping-particle":"","family":"Hilmawati","given":"Febriana","non-dropping-particle":"","parse-names":false,"suffix":""},{"dropping-particle":"","family":"Gita","given":"Putri","non-dropping-particle":"","parse-names":false,"suffix":""},{"dropping-particle":"","family":"Safitri","given":"Ayu","non-dropping-particle":"","parse-names":false,"suffix":""},{"dropping-particle":"","family":"Rafiqi","given":"Yoeri","non-dropping-particle":"","parse-names":false,"suffix":""},{"dropping-particle":"","family":"Hanafi","given":"Al","non-dropping-particle":"","parse-names":false,"suffix":""},{"dropping-particle":"","family":"Suryaman","given":"Sulistia","non-dropping-particle":"","parse-names":false,"suffix":""}],"container-title":"Solo International Collaboration and Publication of Social Sciences and Humanities","id":"ITEM-4","issue":"1","issued":{"date-parts":[["2024"]]},"page":"1-10","title":"Islamic Perspective in Administering the Covid-19 Vaccine to Children : A Literature Review","type":"article-journal","volume":"2"},"uris":["http://www.mendeley.com/documents/?uuid=d7bb9b88-ae05-4b1f-846e-21cd80b038a7"]}],"mendeley":{"formattedCitation":"(Afiyah &amp; Macsudov, 2024; Al-rahman, 2024; Aryani et al., 2024; Santika et al., 2024)","manualFormatting":"(Afiyah &amp; Macsudov, 2024)","plainTextFormattedCitation":"(Afiyah &amp; Macsudov, 2024; Al-rahman, 2024; Aryani et al., 2024; Santika et al., 2024)","previouslyFormattedCitation":"(Afiyah &amp; Macsudov, 2024; Al-rahman, 2024; Aryani et al., 2024; Santika et al., 2024)"},"properties":{"noteIndex":0},"schema":"https://github.com/citation-style-language/schema/raw/master/csl-citation.json"}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(Afiyah &amp; Macsudov, 2024)</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7E49F3AE" w14:textId="0E15A71B"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Furthermore, a comparative analysis with Indonesian national law indicates that Paneta Mawinne violates statutory marriage regulations. The Indonesian Marriage Law (Law No. 1 of 1974) stipulates that marriage must be based on the mutual consent of both parties. Additionally, human rights perspectives categorize Paneta Mawinne as a form of gender-based violence, emphasizing the need for protective measures and legal reforms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{"citationItems":[{"id":"ITEM-1","itemData":{"author":[{"dropping-particle":"","family":"Mahmud","given":"Abdullah","non-dropping-particle":"","parse-names":false,"suffix":""}],"container-title":"Solo Universal Journal of Islamic Education and Multiculturalism","id":"ITEM-1","issue":"3","issued":{"date-parts":[["2024"]]},"page":"205-220","title":"Multicultural Democratic and Tolerant : Qur ' anic Perspectives and Islamic Education at the Universitas Muhammadiyah Surakarta","type":"article-journal","volume":"1"},"uris":["http://www.mendeley.com/documents/?uuid=ecaffcb2-c58d-4f19-97ca-61b45a9f3900"]},{"id":"ITEM-2","itemData":{"author":[{"dropping-particle":"","family":"Hidayat","given":"Syamsul","non-dropping-particle":"","parse-names":false,"suffix":""},{"dropping-particle":"","family":"Ghani","given":"Ismail Abdul","non-dropping-particle":"","parse-names":false,"suffix":""}],"container-title":"Solo Universal Journal of Islamic Education and Multiculturalism","id":"ITEM-2","issue":"2","issued":{"date-parts":[["2023"]]},"page":"147-160","title":"Values of Progressive Islamic Education and Multicultural Education in Alaq : 1-5","type":"article-journal","volume":"1"},"uris":["http://www.mendeley.com/documents/?uuid=7b73c278-0555-470f-b681-5d1694522d6d"]},{"id":"ITEM-3","itemData":{"author":[{"dropping-particle":"","family":"Barry","given":"Aboubacar","non-dropping-particle":"","parse-names":false,"suffix":""},{"dropping-particle":"","family":"Elbanna","given":"Mariam","non-dropping-particle":"","parse-names":false,"suffix":""}],"container-title":"Solo Universal Journal of Islamic Education and Multiculturalism","id":"ITEM-3","issue":"1","issued":{"date-parts":[["2025"]]},"page":"67-82","title":"The Challenges Confronting Islamic Education in Guinea","type":"article-journal","volume":"3"},"uris":["http://www.mendeley.com/documents/?uuid=211911eb-db57-4275-bdfd-c4ed2e91c0ad"]},{"id":"ITEM-4","itemData":{"author":[{"dropping-particle":"","family":"Abuzar","given":"Muhammad","non-dropping-particle":"","parse-names":false,"suffix":""},{"dropping-particle":"","family":"Yafi","given":"Lukman","non-dropping-particle":"","parse-names":false,"suffix":""},{"dropping-particle":"","family":"Afiyah","given":"Ishmah","non-dropping-particle":"","parse-names":false,"suffix":""},{"dropping-particle":"","family":"Amelia","given":"Ishma","non-dropping-particle":"","parse-names":false,"suffix":""}],"container-title":"Solo Universal Journal of Islamic Education and Multiculturalism","id":"ITEM-4","issue":"2","issued":{"date-parts":[["2024"]]},"page":"167-180","title":"Strategy and Implementation of Islamic Personality Development through the Internalization of Religious Values at Madrasah Aliyah Dakka , Bangladesh","type":"article-journal","volume":"2"},"uris":["http://www.mendeley.com/documents/?uuid=c7c295f6-bb7f-4bc4-be21-877f0397ff8e"]}],"mendeley":{"formattedCitation":"(Abuzar et al., 2024; Barry &amp; Elbanna, 2025; Hidayat &amp; Ghani, 2023; Mahmud, 2024)","manualFormatting":"(Abuzar et al., 2024)","plainTextFormattedCitation":"(Abuzar et al., 2024; Barry &amp; Elbanna, 2025; Hidayat &amp; Ghani, 2023; Mahmud, 2024)","previouslyFormattedCitation":"(Abuzar et al., 2024; Barry &amp; Elbanna, 2025; Hidayat &amp; Ghani, 2023; Mahmud, 2024)"},"properties":{"noteIndex":0},"schema":"https://github.com/citation-style-language/schema/raw/master/csl-citation.json"}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(Abuzar et al., 2024)</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1BBB49DB" w14:textId="7421B91C"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Despite its cultural significance, the persistence of Paneta Mawinne suggests a need for community engagement and educational interventions. Religious leaders and legal authorities should collaborate in advocating for reforms that align customary traditions with Islamic ethical standards. Encouraging dialogue between cultural and religious institutions can help promote alternative practices that respect both tradition and individual rights.</w:t>
      </w:r>
      <w:r w:rsidR="00151CCC" w:rsidRPr="00151CCC">
        <w:rPr>
          <w:rFonts w:ascii="Calibri Light" w:hAnsi="Calibri Light" w:cs="Calibri Light"/>
          <w:sz w:val="24"/>
          <w:szCs w:val="24"/>
        </w:rPr>
        <w:t xml:space="preserve"> </w:t>
      </w:r>
      <w:r w:rsidRPr="00151CCC">
        <w:rPr>
          <w:rFonts w:ascii="Calibri Light" w:hAnsi="Calibri Light" w:cs="Calibri Light"/>
          <w:sz w:val="24"/>
          <w:szCs w:val="24"/>
        </w:rPr>
        <w:t>In conclusion, while Paneta Mawinne remains deeply rooted in Sumbanese culture, its legitimacy under Islamic law is highly questionable. The practice contradicts fundamental Islamic principles of justice, dignity, and mutual consent. Legal and educational efforts must be intensified to ensure that cultural traditions evolve in a manner that upholds both Islamic values and universal human rights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{"citationItems":[{"id":"ITEM-1","itemData":{"DOI":"10.23917/qist.v2i3.2769","ISSN":"2828-2779","abstract":"Looking at the times, humanitarian problems have developed so complex, ranging from genetics, space exploration, education, interfaith relations, gender issues, human rights, and so on. The rapid development of the times makes Islamic sciences inevitably have to follow the flow of the times, and without exception the science of interpretation. The science of interpretation is required to always develop in the face of the complexity of humanitarian problems. It was here that the idea of the use of hermeneutics became a necessity for today's interpreters. Hermeneutics as a methodology in the interpretation of the Quran is considered quite important and urgent to do because hermeneutics does not only speak at the level of the text alone but also considers the context and role of subjectivity of an interpreter, so that by using the method of hermeneutics, interpretation or study of the Quran is expected to be able to become an actual contextual and answer the challenges of the times. The problem in this study is how Muhammad Syahrul's hermeneutic method in interpreting Quranic verses about Polygamy. The purpose of the study was to know and analyse Muhammad Shahrur's hermeneutics in interpreting Qur'anic verses about polygamy. The research method used in writing this paper is a qualitative research method through library research or literature review method using descriptive analysis writing method. The results showed that using his Limit Theory (Nadzariyah al-Hudud), Syahrur tried to reconstruct the understanding of polygamy by using quantity and quality standards together. In terms of quantity, the minimum standard limit for a person to marry is once (one wife), and the maximum limit is four wives. Islam allows a person to marry 4 (four) people together (polygamy), but in quality it is necessary to distinguish between the status of the first wife and the status of the second, third and fourth wives. For first wives (first marriages) one can marry a woman who is a virgin or widow whether or not she has children, but in a second, third, and/or fourth marriage (polygamy), the wife must be widowed and have orphans. So one cannot marry all one's wives in virgin condition, but on the contrary it is quite possible one marries wives who are all widows. This is in accordance with the main purpose of polygamy, which is to provide protection and protection and ensure the welfare and happiness of orphans living in intact families so as not to become homeless and avoid…","author":[{"dropping-particle":"","family":"Saprudin","given":"Udin","non-dropping-particle":"","parse-names":false,"suffix":""},{"dropping-particle":"","family":"Junaedi","given":"J","non-dropping-particle":"","parse-names":false,"suffix":""},{"dropping-particle":"","family":"Kerwanto","given":"K","non-dropping-particle":"","parse-names":false,"suffix":""},{"dropping-particle":"","family":"Anurogo","given":"Dito","non-dropping-particle":"","parse-names":false,"suffix":""}],"container-title":"QiST: Journal of Quran and Tafseer Studies","id":"ITEM-1","issue":"3","issued":{"date-parts":[["2023","9"]]},"page":"347-368","title":"LIMITING THE NUMBER OF POLYGAMIES TO REALIZE ECONOMIC JUSTICE: A HERMENEUTIC ANALYSIS OF MUHAMMAD SYAHRUR","type":"article-journal","volume":"2"},"uris":["http://www.mendeley.com/documents/?uuid=4524d254-6654-45e1-8931-ace4ebbe0cb4"]},{"id":"ITEM-2","itemData":{"author":[{"dropping-particle":"","family":"Anurogo","given":"Dito","non-dropping-particle":"","parse-names":false,"suffix":""}],"id":"ITEM-2","issue":"1","issued":{"date-parts":[["2023"]]},"page":"36-51","title":"Ecofeminism 5.0","type":"article-journal","volume":"1"},"uris":["http://www.mendeley.com/documents/?uuid=1a56b66e-00a9-469d-906b-79188a94d5af"]},{"id":"ITEM-3","itemData":{"author":[{"dropping-particle":"","family":"Anurogo","given":"Dito","non-dropping-particle":"","parse-names":false,"suffix":""},{"dropping-particle":"","family":"Sasmita","given":"Niken Sasadhara","non-dropping-particle":"","parse-names":false,"suffix":""},{"dropping-particle":"","family":"Syarif","given":"Ubed Abdilah","non-dropping-particle":"","parse-names":false,"suffix":""},{"dropping-particle":"","family":"Awaliah","given":"Rahmah","non-dropping-particle":"","parse-names":false,"suffix":""},{"dropping-particle":"","family":"Rachman","given":"Budhy Munawar","non-dropping-particle":"","parse-names":false,"suffix":""},{"dropping-particle":"","family":"Yi","given":"Jia","non-dropping-particle":"","parse-names":false,"suffix":""}],"id":"ITEM-3","issue":"2","issued":{"date-parts":[["2023"]]},"page":"63-82","title":"The Art of Healthy Neurophilocommunication","type":"article-journal","volume":"1"},"uris":["http://www.mendeley.com/documents/?uuid=d35e322c-56c2-4686-9417-435603aaa73c"]},{"id":"ITEM-4","itemData":{"author":[{"dropping-particle":"","family":"Wachidah","given":"Nur Hanif","non-dropping-particle":"","parse-names":false,"suffix":""},{"dropping-particle":"","family":"Shobron","given":"Sudarno","non-dropping-particle":"","parse-names":false,"suffix":""},{"dropping-particle":"","family":"Afiyah","given":"Ishmah","non-dropping-particle":"","parse-names":false,"suffix":""},{"dropping-particle":"","family":"Srifyan","given":"Jihan Husna","non-dropping-particle":"","parse-names":false,"suffix":""}],"container-title":"Journal of World Thinkers","id":"ITEM-4","issue":"1","issued":{"date-parts":[["2024"]]},"page":"31-42","title":"R.A Kartini's Thoughts on Women's Emancipation Progress","type":"article-journal","volume":"1"},"uris":["http://www.mendeley.com/documents/?uuid=ce04d1ff-0265-47bb-8584-48f3e09b4d75"]},{"id":"ITEM-5","itemData":{"author":[{"dropping-particle":"","family":"Afiyah","given":"Ishmah","non-dropping-particle":"","parse-names":false,"suffix":""}],"container-title":"Journal of World Thinkers","id":"ITEM-5","issue":"1","issued":{"date-parts":[["2024"]]},"page":"55-62","title":"Zakiyah Daradjat's Thoughts on Child Education Psychology","type":"article-journal","volume":"1"},"uris":["http://www.mendeley.com/documents/?uuid=f1a3623c-a2fb-43f4-8958-adb22dbc7ac3"]},{"id":"ITEM-6","itemData":{"author":[{"dropping-particle":"","family":"Rosyadi","given":"Imron","non-dropping-particle":"","parse-names":false,"suffix":""},{"dropping-particle":"","family":"Fathul","given":"Arafiq","non-dropping-particle":"","parse-names":false,"suffix":""},{"dropping-particle":"","family":"Rumaf","given":"Haq","non-dropping-particle":"","parse-names":false,"suffix":""},{"dropping-particle":"","family":"Fatimah","given":"Meti","non-dropping-particle":"","parse-names":false,"suffix":""},{"dropping-particle":"","family":"Yaman","given":"Najib","non-dropping-particle":"","parse-names":false,"suffix":""}],"container-title":"Journal of World Thinkers","id":"ITEM-6","issue":"1","issued":{"date-parts":[["2024"]]},"page":"63-74","title":"Syathibi's Thoughts on Maslahah Mursalah and its Impact on The Development of Islamic Law","type":"article-journal","volume":"1"},"uris":["http://www.mendeley.com/documents/?uuid=dc7b384a-26bb-4704-9104-25217a531236"]},{"id":"ITEM-7","itemData":{"author":[{"dropping-particle":"","family":"Mahmudulhassan","given":"Muthoifin","non-dropping-particle":"","parse-names":false,"suffix":""}],"container-title":"Maktabah Reviews","id":"ITEM-7","issue":"1","issued":{"date-parts":[["2024"]]},"page":"43-72","title":"Transactions Without Ijab Qabul in the 5.0 Era: An Analysis of Opportunities, Challenges, and Laws in the Modern Market","type":"article-journal","volume":"1"},"uris":["http://www.mendeley.com/documents/?uuid=b076c173-a208-41a6-b110-1182d167d854"]},{"id":"ITEM-8","itemData":{"author":[{"dropping-particle":"","family":"Subhan","given":"Ishmah Afiyah","non-dropping-particle":"","parse-names":false,"suffix":""}],"container-title":"Maktabah Reviews","id":"ITEM-8","issue":"1","issued":{"date-parts":[["2024"]]},"page":"43-72","title":"Speaking Harmony: Teacher-Santri Communication Style for Moral Value Optimization at MA Ribhul Ulum Demak","type":"article-journal","volume":"1"},"uris":["http://www.mendeley.com/documents/?uuid=d85d1e93-415c-4a9a-bcd7-aba8a7e7dbfa"]},{"id":"ITEM-9","itemData":{"abstract":"This study aims to identify effective strategies for navigating the dilemma of profit and sharia compliance in murabahah transactions in Islamic financial institutions. The main focus of the …","author":[{"dropping-particle":"","family":"Rowi","given":"M R M","non-dropping-particle":"","parse-names":false,"suffix":""},{"dropping-particle":"","family":"Abdurrahman","given":"A","non-dropping-particle":"","parse-names":false,"suffix":""},{"dropping-particle":"","family":"...","given":"","non-dropping-particle":"","parse-names":false,"suffix":""}],"container-title":"Maktabah Reviews","id":"ITEM-9","issue":"1","issued":{"date-parts":[["2024"]]},"page":"73-84","title":"Navigating Business Ethics: Strategies for Overcoming the Dilemma of Profit and Compliance in Murabahah Transactions","type":"article-journal","volume":"1"},"uris":["http://www.mendeley.com/documents/?uuid=c4427fd4-255f-4781-8d4c-afb17a2283e7"]}],"mendeley":{"formattedCitation":"(Afiyah, 2024; Anurogo, 2023; Anurogo et al., 2023; Mahmudulhassan, 2024; Rosyadi et al., 2024; Rowi et al., 2024; Saprudin et al., 2023; Subhan, 2024; Wachidah et al., 2024)","manualFormatting":"(Anurogo et al., 2023)","plainTextFormattedCitation":"(Afiyah, 2024; Anurogo, 2023; Anurogo et al., 2023; Mahmudulhassan, 2024; Rosyadi et al., 2024; Rowi et al., 2024; Saprudin et al., 2023; Subhan, 2024; Wachidah et al., 2024)","previouslyFormattedCitation":"(Afiyah, 2024; Anurogo, 2023; Anurogo et al., 2023; Mahmudulhassan, 2024; Rosyadi et al., 2024; Rowi et al., 2024; Saprudin et al., 2023; Subhan, 2024; Wachidah et al., 2024)"},"properties":{"noteIndex":0},"schema":"https://github.com/citation-style-language/schema/raw/master/csl-citation.json"}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(Anurogo et al., 2023)</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1B0E5DF6" w14:textId="4CFC875B"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CONCLUSION</w:t>
      </w:r>
    </w:p>
    <w:p w14:paraId="53F0770A" w14:textId="43EBCDA7" w:rsidR="00501C67" w:rsidRPr="00501C67" w:rsidRDefault="00501C67" w:rsidP="00501C67">
      <w:pPr>
        <w:pStyle w:val="ListParagraph"/>
        <w:spacing w:before="120" w:after="120" w:line="240" w:lineRule="auto"/>
        <w:ind w:left="440" w:right="-1" w:hanging="14"/>
        <w:contextualSpacing w:val="0"/>
        <w:jc w:val="both"/>
        <w:rPr>
          <w:rFonts w:ascii="Calibri Light" w:hAnsi="Calibri Light" w:cs="Calibri Light"/>
          <w:sz w:val="24"/>
          <w:szCs w:val="24"/>
        </w:rPr>
      </w:pPr>
      <w:r w:rsidRPr="00501C67">
        <w:rPr>
          <w:rFonts w:ascii="Calibri Light" w:hAnsi="Calibri Light" w:cs="Calibri Light"/>
          <w:sz w:val="24"/>
          <w:szCs w:val="24"/>
        </w:rPr>
        <w:t>In light of the findings presented, it is clear that the practice of capture marriage, locally known as Paneta Mawinne, among the Sumbanese community in East Nusa Tenggara, is incompatible with the fundamental principles of Islamic law. Islamic jurisprudence places a strong emphasis on the mutual consent of both individuals entering into a marriage. Consent must be given freely and without any form of coercion, as this reflects the Islamic values of justice, dignity, and individual autonomy.</w:t>
      </w:r>
      <w:r>
        <w:rPr>
          <w:rFonts w:ascii="Calibri Light" w:hAnsi="Calibri Light" w:cs="Calibri Light"/>
          <w:sz w:val="24"/>
          <w:szCs w:val="24"/>
        </w:rPr>
        <w:t xml:space="preserve"> </w:t>
      </w:r>
      <w:r w:rsidRPr="00501C67">
        <w:rPr>
          <w:rFonts w:ascii="Calibri Light" w:hAnsi="Calibri Light" w:cs="Calibri Light"/>
          <w:sz w:val="24"/>
          <w:szCs w:val="24"/>
        </w:rPr>
        <w:t>The concept of justice (‘adl) in Islamic law is not limited to legal fairness but extends to the ethical and social dimensions of human relationships, including marriage. Marriage in Islam is viewed as a solemn contract (‘aqd) that requires the voluntary and willing participation of both the bride and the groom. Any form of pressure, compulsion, or force used to obtain a woman’s agreement to marriage invalidates the spirit, if not the legal form, of the marital contract. Therefore, the Paneta Mawinne tradition, which involves capturing a woman and forcing her into marriage, fundamentally contradicts the essence of Islamic marital ethics.</w:t>
      </w:r>
      <w:r>
        <w:rPr>
          <w:rFonts w:ascii="Calibri Light" w:hAnsi="Calibri Light" w:cs="Calibri Light"/>
          <w:sz w:val="24"/>
          <w:szCs w:val="24"/>
        </w:rPr>
        <w:t xml:space="preserve"> </w:t>
      </w:r>
      <w:r w:rsidRPr="00501C67">
        <w:rPr>
          <w:rFonts w:ascii="Calibri Light" w:hAnsi="Calibri Light" w:cs="Calibri Light"/>
          <w:sz w:val="24"/>
          <w:szCs w:val="24"/>
        </w:rPr>
        <w:t>Furthermore, such practices may also lead to broader violations of human rights and undermine efforts to promote gender equality and protect women's rights within both religious and national legal frameworks. From the perspective of maqashid shariah—the higher objectives of Islamic law—this tradition fails to uphold the essential goals of preserving human dignity (karamah insaniyah) and protecting lineage (hifz al-nasl) in a manner consistent with Islamic teachings.</w:t>
      </w:r>
      <w:r w:rsidRPr="00501C67">
        <w:rPr>
          <w:rFonts w:ascii="Calibri Light" w:hAnsi="Calibri Light" w:cs="Calibri Light"/>
          <w:sz w:val="24"/>
          <w:szCs w:val="24"/>
        </w:rPr>
        <w:t xml:space="preserve"> </w:t>
      </w:r>
      <w:r w:rsidRPr="00501C67">
        <w:rPr>
          <w:rFonts w:ascii="Calibri Light" w:hAnsi="Calibri Light" w:cs="Calibri Light"/>
          <w:sz w:val="24"/>
          <w:szCs w:val="24"/>
        </w:rPr>
        <w:t>In conclusion, while cultural traditions form an important part of community identity, they must evolve in ways that uphold justice, respect individual autonomy, and align with universal ethical and religious values. The practice of Paneta Mawinne should be critically reassessed and reformed in accordance with the principles of Islamic law to ensure the protection and dignity of all individuals involved.</w:t>
      </w:r>
    </w:p>
    <w:p w14:paraId="63A9A0DD" w14:textId="4D55B322"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ACKNOWLEDGEMENTS</w:t>
      </w:r>
    </w:p>
    <w:p w14:paraId="7D8D3A70" w14:textId="1ADF19F1" w:rsidR="00741058" w:rsidRPr="00122F5F" w:rsidRDefault="00A406E4"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 xml:space="preserve">This research may not </w:t>
      </w:r>
      <w:r w:rsidR="00476E35">
        <w:rPr>
          <w:rFonts w:ascii="Calibri Light" w:hAnsi="Calibri Light" w:cs="Calibri Light"/>
          <w:sz w:val="24"/>
          <w:szCs w:val="24"/>
        </w:rPr>
        <w:t>have been</w:t>
      </w:r>
      <w:r w:rsidRPr="00A406E4">
        <w:rPr>
          <w:rFonts w:ascii="Calibri Light" w:hAnsi="Calibri Light" w:cs="Calibri Light"/>
          <w:sz w:val="24"/>
          <w:szCs w:val="24"/>
        </w:rPr>
        <w:t xml:space="preserve"> completed properly without the support of several parties who contributed, therefore</w:t>
      </w:r>
      <w:r w:rsidR="00A7697B">
        <w:rPr>
          <w:rFonts w:ascii="Calibri Light" w:hAnsi="Calibri Light" w:cs="Calibri Light"/>
          <w:sz w:val="24"/>
          <w:szCs w:val="24"/>
        </w:rPr>
        <w:t>,</w:t>
      </w:r>
      <w:r w:rsidRPr="00A406E4">
        <w:rPr>
          <w:rFonts w:ascii="Calibri Light" w:hAnsi="Calibri Light" w:cs="Calibri Light"/>
          <w:sz w:val="24"/>
          <w:szCs w:val="24"/>
        </w:rPr>
        <w:t xml:space="preserve"> the author would like to thank Allah SWT</w:t>
      </w:r>
      <w:r w:rsidR="00A7697B">
        <w:rPr>
          <w:rFonts w:ascii="Calibri Light" w:hAnsi="Calibri Light" w:cs="Calibri Light"/>
          <w:sz w:val="24"/>
          <w:szCs w:val="24"/>
        </w:rPr>
        <w:t>,</w:t>
      </w:r>
      <w:r w:rsidRPr="00A406E4">
        <w:rPr>
          <w:rFonts w:ascii="Calibri Light" w:hAnsi="Calibri Light" w:cs="Calibri Light"/>
          <w:sz w:val="24"/>
          <w:szCs w:val="24"/>
        </w:rPr>
        <w:t xml:space="preserve"> who has given the author the blessing of health so that this research runs smoothly. Second, the researcher expressed his gratitude to both parents whose prayers did not stop in accompanying the author's study period.</w:t>
      </w:r>
    </w:p>
    <w:p w14:paraId="3BBE73DA" w14:textId="597838FA" w:rsidR="00781D8B" w:rsidRPr="00DB63CC" w:rsidRDefault="00741058" w:rsidP="00DB63CC">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REFERENCES</w:t>
      </w:r>
    </w:p>
    <w:p w14:paraId="751A845B" w14:textId="456564BE" w:rsidR="00BB42B2" w:rsidRPr="00BB42B2" w:rsidRDefault="006420BA" w:rsidP="00BB42B2">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szCs w:val="24"/>
        </w:rPr>
        <w:fldChar w:fldCharType="begin" w:fldLock="1"/>
      </w:r>
      <w:r w:rsidRPr="00BB42B2">
        <w:rPr>
          <w:rFonts w:ascii="Calibri Light" w:hAnsi="Calibri Light" w:cs="Calibri Light"/>
          <w:sz w:val="24"/>
          <w:szCs w:val="24"/>
        </w:rPr>
        <w:instrText xml:space="preserve">ADDIN Mendeley Bibliography CSL_BIBLIOGRAPHY </w:instrText>
      </w:r>
      <w:r w:rsidRPr="00BB42B2">
        <w:rPr>
          <w:rFonts w:ascii="Calibri Light" w:hAnsi="Calibri Light" w:cs="Calibri Light"/>
          <w:sz w:val="24"/>
          <w:szCs w:val="24"/>
        </w:rPr>
        <w:fldChar w:fldCharType="separate"/>
      </w:r>
      <w:r w:rsidR="00626EC5" w:rsidRPr="00BB42B2">
        <w:rPr>
          <w:rFonts w:ascii="Calibri Light" w:hAnsi="Calibri Light" w:cs="Calibri Light"/>
          <w:sz w:val="24"/>
        </w:rPr>
        <w:t xml:space="preserve">Abuzar, M. (2024). Harmony in the Family: Indicators of Marriage Success in Cultural and Religious Foundations in Bangladesh. </w:t>
      </w:r>
      <w:r w:rsidR="00626EC5" w:rsidRPr="00BB42B2">
        <w:rPr>
          <w:rFonts w:ascii="Calibri Light" w:hAnsi="Calibri Light" w:cs="Calibri Light"/>
          <w:i/>
          <w:iCs/>
          <w:sz w:val="24"/>
        </w:rPr>
        <w:t>Demak Universal Journal of Islam and Sharia</w:t>
      </w:r>
      <w:r w:rsidR="00626EC5" w:rsidRPr="00BB42B2">
        <w:rPr>
          <w:rFonts w:ascii="Calibri Light" w:hAnsi="Calibri Light" w:cs="Calibri Light"/>
          <w:sz w:val="24"/>
        </w:rPr>
        <w:t xml:space="preserve">, </w:t>
      </w:r>
      <w:r w:rsidR="00626EC5" w:rsidRPr="00BB42B2">
        <w:rPr>
          <w:rFonts w:ascii="Calibri Light" w:hAnsi="Calibri Light" w:cs="Calibri Light"/>
          <w:i/>
          <w:iCs/>
          <w:sz w:val="24"/>
        </w:rPr>
        <w:t>2</w:t>
      </w:r>
      <w:r w:rsidR="00626EC5" w:rsidRPr="00BB42B2">
        <w:rPr>
          <w:rFonts w:ascii="Calibri Light" w:hAnsi="Calibri Light" w:cs="Calibri Light"/>
          <w:sz w:val="24"/>
        </w:rPr>
        <w:t>(3), 221–230.</w:t>
      </w:r>
      <w:r w:rsidR="00A93CEF">
        <w:rPr>
          <w:rFonts w:ascii="Calibri Light" w:hAnsi="Calibri Light" w:cs="Calibri Light"/>
          <w:sz w:val="24"/>
        </w:rPr>
        <w:t xml:space="preserve"> </w:t>
      </w:r>
      <w:r w:rsidR="00A93CEF" w:rsidRPr="00A93CEF">
        <w:rPr>
          <w:rStyle w:val="value"/>
        </w:rPr>
        <w:t xml:space="preserve">https://doi.org/10.61455/deujis.v2i03.136 </w:t>
      </w:r>
    </w:p>
    <w:p w14:paraId="3EEA6992" w14:textId="4A28DB45" w:rsidR="00BB42B2" w:rsidRPr="00BB42B2" w:rsidRDefault="00626EC5" w:rsidP="00BB42B2">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Abuzar, M., Yafi, L., Afiyah, I., &amp; Amelia, I. (2024). Strategy and Implementation of Islamic Personality Development through the Internalization of Religious Values at Madrasah Aliyah Dakka , Bangladesh. </w:t>
      </w:r>
      <w:r w:rsidRPr="00BB42B2">
        <w:rPr>
          <w:rFonts w:ascii="Calibri Light" w:hAnsi="Calibri Light" w:cs="Calibri Light"/>
          <w:i/>
          <w:iCs/>
          <w:sz w:val="24"/>
        </w:rPr>
        <w:t>Solo Universal Journal of Islamic Education and Multiculturalism</w:t>
      </w:r>
      <w:r w:rsidRPr="00BB42B2">
        <w:rPr>
          <w:rFonts w:ascii="Calibri Light" w:hAnsi="Calibri Light" w:cs="Calibri Light"/>
          <w:sz w:val="24"/>
        </w:rPr>
        <w:t xml:space="preserve">, </w:t>
      </w:r>
      <w:r w:rsidRPr="00BB42B2">
        <w:rPr>
          <w:rFonts w:ascii="Calibri Light" w:hAnsi="Calibri Light" w:cs="Calibri Light"/>
          <w:i/>
          <w:iCs/>
          <w:sz w:val="24"/>
        </w:rPr>
        <w:t>2</w:t>
      </w:r>
      <w:r w:rsidRPr="00BB42B2">
        <w:rPr>
          <w:rFonts w:ascii="Calibri Light" w:hAnsi="Calibri Light" w:cs="Calibri Light"/>
          <w:sz w:val="24"/>
        </w:rPr>
        <w:t>(2), 167–180.</w:t>
      </w:r>
      <w:r w:rsidR="003313B9">
        <w:rPr>
          <w:rFonts w:ascii="Calibri Light" w:hAnsi="Calibri Light" w:cs="Calibri Light"/>
          <w:sz w:val="24"/>
        </w:rPr>
        <w:t xml:space="preserve"> </w:t>
      </w:r>
      <w:hyperlink r:id="rId15" w:history="1">
        <w:r w:rsidR="003313B9">
          <w:rPr>
            <w:rStyle w:val="Hyperlink"/>
          </w:rPr>
          <w:t xml:space="preserve">https://doi.org/10.61455/sujiem.v2i02.201 </w:t>
        </w:r>
      </w:hyperlink>
    </w:p>
    <w:p w14:paraId="03E611F5" w14:textId="1A5F1294" w:rsidR="00BB42B2" w:rsidRPr="00BB42B2" w:rsidRDefault="00626EC5" w:rsidP="00BB42B2">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Afiyah, I., &amp; Macsudov, V. G. (2024). Impact Analysis of Marital Dispensation : Economic Implications and Family Welfare in Social and Legal Context. </w:t>
      </w:r>
      <w:r w:rsidRPr="00BB42B2">
        <w:rPr>
          <w:rFonts w:ascii="Calibri Light" w:hAnsi="Calibri Light" w:cs="Calibri Light"/>
          <w:i/>
          <w:iCs/>
          <w:sz w:val="24"/>
        </w:rPr>
        <w:t>Solo International Colaboration and Publication of Social Sciences and Humanitieslaboration and Publication of Social Sciences and Humanities</w:t>
      </w:r>
      <w:r w:rsidRPr="00BB42B2">
        <w:rPr>
          <w:rFonts w:ascii="Calibri Light" w:hAnsi="Calibri Light" w:cs="Calibri Light"/>
          <w:sz w:val="24"/>
        </w:rPr>
        <w:t xml:space="preserve">, </w:t>
      </w:r>
      <w:r w:rsidRPr="00BB42B2">
        <w:rPr>
          <w:rFonts w:ascii="Calibri Light" w:hAnsi="Calibri Light" w:cs="Calibri Light"/>
          <w:i/>
          <w:iCs/>
          <w:sz w:val="24"/>
        </w:rPr>
        <w:t>2</w:t>
      </w:r>
      <w:r w:rsidRPr="00BB42B2">
        <w:rPr>
          <w:rFonts w:ascii="Calibri Light" w:hAnsi="Calibri Light" w:cs="Calibri Light"/>
          <w:sz w:val="24"/>
        </w:rPr>
        <w:t>(1), 25–36.</w:t>
      </w:r>
      <w:r w:rsidR="00B42573">
        <w:rPr>
          <w:rFonts w:ascii="Calibri Light" w:hAnsi="Calibri Light" w:cs="Calibri Light"/>
          <w:sz w:val="24"/>
        </w:rPr>
        <w:t xml:space="preserve"> </w:t>
      </w:r>
      <w:hyperlink r:id="rId16" w:history="1">
        <w:r w:rsidR="00B42573">
          <w:rPr>
            <w:rStyle w:val="Hyperlink"/>
          </w:rPr>
          <w:t xml:space="preserve">https://doi.org/10.61455/sicopus.v2i01.117 </w:t>
        </w:r>
      </w:hyperlink>
    </w:p>
    <w:p w14:paraId="785D2422" w14:textId="77777777" w:rsidR="00BB42B2" w:rsidRPr="00BB42B2" w:rsidRDefault="00626EC5" w:rsidP="00BB42B2">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Agust, A. R. A. (2022). Posisi Perempuan Dalam Adat Pernikahan Budaya Sumba Dan Korelasinya Dengan Budaya Osing Di Banyuwangi Dan Sasak Di Lombok. </w:t>
      </w:r>
      <w:r w:rsidRPr="00BB42B2">
        <w:rPr>
          <w:rFonts w:ascii="Calibri Light" w:hAnsi="Calibri Light" w:cs="Calibri Light"/>
          <w:i/>
          <w:iCs/>
          <w:sz w:val="24"/>
        </w:rPr>
        <w:t>Bahtera Indonesia; Jurnal Penelitian Bahasa Dan Sastra Indonesia</w:t>
      </w:r>
      <w:r w:rsidRPr="00BB42B2">
        <w:rPr>
          <w:rFonts w:ascii="Calibri Light" w:hAnsi="Calibri Light" w:cs="Calibri Light"/>
          <w:sz w:val="24"/>
        </w:rPr>
        <w:t xml:space="preserve">, </w:t>
      </w:r>
      <w:r w:rsidRPr="00BB42B2">
        <w:rPr>
          <w:rFonts w:ascii="Calibri Light" w:hAnsi="Calibri Light" w:cs="Calibri Light"/>
          <w:i/>
          <w:iCs/>
          <w:sz w:val="24"/>
        </w:rPr>
        <w:t>7</w:t>
      </w:r>
      <w:r w:rsidRPr="00BB42B2">
        <w:rPr>
          <w:rFonts w:ascii="Calibri Light" w:hAnsi="Calibri Light" w:cs="Calibri Light"/>
          <w:sz w:val="24"/>
        </w:rPr>
        <w:t>(2). https://doi.org/10.31943/bi.v7i2.230</w:t>
      </w:r>
    </w:p>
    <w:p w14:paraId="6823EB57" w14:textId="77777777" w:rsidR="00BB42B2" w:rsidRPr="00BB42B2" w:rsidRDefault="00626EC5" w:rsidP="00BB42B2">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Aisa, A., Hidayah, N., Putra, W. H., Irfan, M. A., Husniah, L. N. C., &amp; Fajariyah, L. (2022). Meningkatkan Pemahaman Konsep Pernikahan dalam Pandangan “Fiqih Munakahat” pada Pemuda Pemudi di Desa Sidomulyo. </w:t>
      </w:r>
      <w:r w:rsidRPr="00BB42B2">
        <w:rPr>
          <w:rFonts w:ascii="Calibri Light" w:hAnsi="Calibri Light" w:cs="Calibri Light"/>
          <w:i/>
          <w:iCs/>
          <w:sz w:val="24"/>
        </w:rPr>
        <w:t>Jumat Keagamaan: Jurnal Pengabdian Masyarakat</w:t>
      </w:r>
      <w:r w:rsidRPr="00BB42B2">
        <w:rPr>
          <w:rFonts w:ascii="Calibri Light" w:hAnsi="Calibri Light" w:cs="Calibri Light"/>
          <w:sz w:val="24"/>
        </w:rPr>
        <w:t xml:space="preserve">, </w:t>
      </w:r>
      <w:r w:rsidRPr="00BB42B2">
        <w:rPr>
          <w:rFonts w:ascii="Calibri Light" w:hAnsi="Calibri Light" w:cs="Calibri Light"/>
          <w:i/>
          <w:iCs/>
          <w:sz w:val="24"/>
        </w:rPr>
        <w:t>3</w:t>
      </w:r>
      <w:r w:rsidRPr="00BB42B2">
        <w:rPr>
          <w:rFonts w:ascii="Calibri Light" w:hAnsi="Calibri Light" w:cs="Calibri Light"/>
          <w:sz w:val="24"/>
        </w:rPr>
        <w:t>(3), 128–131. https://doi.org/https://doi.org/10.32764/abdimasagama.v3i3.3154</w:t>
      </w:r>
    </w:p>
    <w:p w14:paraId="52F6B103" w14:textId="399C4C84" w:rsidR="00BB42B2" w:rsidRPr="00BB42B2" w:rsidRDefault="00626EC5" w:rsidP="00BB42B2">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Al-rahman, Z. I. (2024). Offering Justice : </w:t>
      </w:r>
      <w:r w:rsidR="00037395">
        <w:rPr>
          <w:rFonts w:ascii="Calibri Light" w:hAnsi="Calibri Light" w:cs="Calibri Light"/>
          <w:sz w:val="24"/>
        </w:rPr>
        <w:t>Women</w:t>
      </w:r>
      <w:r w:rsidR="006847A1">
        <w:rPr>
          <w:rFonts w:ascii="Calibri Light" w:hAnsi="Calibri Light" w:cs="Calibri Light"/>
          <w:sz w:val="24"/>
        </w:rPr>
        <w:t>'s</w:t>
      </w:r>
      <w:r w:rsidRPr="00BB42B2">
        <w:rPr>
          <w:rFonts w:ascii="Calibri Light" w:hAnsi="Calibri Light" w:cs="Calibri Light"/>
          <w:sz w:val="24"/>
        </w:rPr>
        <w:t xml:space="preserve"> Emancipation in an Islamic Perspective for Gender Equality and Human Rights Liberation. </w:t>
      </w:r>
      <w:r w:rsidRPr="00BB42B2">
        <w:rPr>
          <w:rFonts w:ascii="Calibri Light" w:hAnsi="Calibri Light" w:cs="Calibri Light"/>
          <w:i/>
          <w:iCs/>
          <w:sz w:val="24"/>
        </w:rPr>
        <w:t>Solo International Collaboration and Publication of Social Sciences and Humanities</w:t>
      </w:r>
      <w:r w:rsidRPr="00BB42B2">
        <w:rPr>
          <w:rFonts w:ascii="Calibri Light" w:hAnsi="Calibri Light" w:cs="Calibri Light"/>
          <w:sz w:val="24"/>
        </w:rPr>
        <w:t xml:space="preserve">, </w:t>
      </w:r>
      <w:r w:rsidRPr="00BB42B2">
        <w:rPr>
          <w:rFonts w:ascii="Calibri Light" w:hAnsi="Calibri Light" w:cs="Calibri Light"/>
          <w:i/>
          <w:iCs/>
          <w:sz w:val="24"/>
        </w:rPr>
        <w:t>2</w:t>
      </w:r>
      <w:r w:rsidRPr="00BB42B2">
        <w:rPr>
          <w:rFonts w:ascii="Calibri Light" w:hAnsi="Calibri Light" w:cs="Calibri Light"/>
          <w:sz w:val="24"/>
        </w:rPr>
        <w:t>(3), 205–214.</w:t>
      </w:r>
      <w:r w:rsidR="001E5686">
        <w:rPr>
          <w:rFonts w:ascii="Calibri Light" w:hAnsi="Calibri Light" w:cs="Calibri Light"/>
          <w:sz w:val="24"/>
        </w:rPr>
        <w:t xml:space="preserve"> </w:t>
      </w:r>
      <w:hyperlink r:id="rId17" w:history="1">
        <w:r w:rsidR="001E5686">
          <w:rPr>
            <w:rStyle w:val="Hyperlink"/>
          </w:rPr>
          <w:t xml:space="preserve">https://doi.org/10.61455/sicopus.v2i03.152 </w:t>
        </w:r>
      </w:hyperlink>
      <w:r w:rsidR="001E5686">
        <w:rPr>
          <w:rFonts w:ascii="Calibri Light" w:hAnsi="Calibri Light" w:cs="Calibri Light"/>
          <w:sz w:val="24"/>
        </w:rPr>
        <w:t xml:space="preserve"> </w:t>
      </w:r>
    </w:p>
    <w:p w14:paraId="3162C670" w14:textId="1A57E46C" w:rsidR="00BB42B2" w:rsidRPr="00BB42B2" w:rsidRDefault="00626EC5" w:rsidP="00BB42B2">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Amin, H. Al, &amp; Muhdi, M. (2021). Catch Marriage In Maqashid Al-Syari’ah And Indonesian Law Perspective. </w:t>
      </w:r>
      <w:r w:rsidR="00B263AC" w:rsidRPr="00BB42B2">
        <w:rPr>
          <w:rFonts w:ascii="Calibri Light" w:hAnsi="Calibri Light" w:cs="Calibri Light"/>
          <w:i/>
          <w:iCs/>
          <w:sz w:val="24"/>
        </w:rPr>
        <w:t>Shakhsiyah Burhaniyah</w:t>
      </w:r>
      <w:r w:rsidRPr="00BB42B2">
        <w:rPr>
          <w:rFonts w:ascii="Calibri Light" w:hAnsi="Calibri Light" w:cs="Calibri Light"/>
          <w:i/>
          <w:iCs/>
          <w:sz w:val="24"/>
        </w:rPr>
        <w:t>: Jurnal Penelitian Hukum Islam</w:t>
      </w:r>
      <w:r w:rsidRPr="00BB42B2">
        <w:rPr>
          <w:rFonts w:ascii="Calibri Light" w:hAnsi="Calibri Light" w:cs="Calibri Light"/>
          <w:sz w:val="24"/>
        </w:rPr>
        <w:t xml:space="preserve">, </w:t>
      </w:r>
      <w:r w:rsidRPr="00BB42B2">
        <w:rPr>
          <w:rFonts w:ascii="Calibri Light" w:hAnsi="Calibri Light" w:cs="Calibri Light"/>
          <w:i/>
          <w:iCs/>
          <w:sz w:val="24"/>
        </w:rPr>
        <w:t>6</w:t>
      </w:r>
      <w:r w:rsidRPr="00BB42B2">
        <w:rPr>
          <w:rFonts w:ascii="Calibri Light" w:hAnsi="Calibri Light" w:cs="Calibri Light"/>
          <w:sz w:val="24"/>
        </w:rPr>
        <w:t>(2). https://doi.org/10.33752/sbjphi.v6i2.3948</w:t>
      </w:r>
    </w:p>
    <w:p w14:paraId="7C6F3429" w14:textId="77777777" w:rsidR="00BF1B2A" w:rsidRPr="00BF1B2A" w:rsidRDefault="00626EC5" w:rsidP="00BF1B2A">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B42B2">
        <w:rPr>
          <w:rFonts w:ascii="Calibri Light" w:hAnsi="Calibri Light" w:cs="Calibri Light"/>
          <w:sz w:val="24"/>
        </w:rPr>
        <w:t xml:space="preserve">Amrin, A., Muthoifin, M., Shobron, S., &amp; Putra P, H. R. (2020). Islamic Values of the Peta Kapanca Tradition at the Mbojo Tribe’s Marriage, West Nusa Tenggara, Indonesia. </w:t>
      </w:r>
      <w:r w:rsidRPr="00BB42B2">
        <w:rPr>
          <w:rFonts w:ascii="Calibri Light" w:hAnsi="Calibri Light" w:cs="Calibri Light"/>
          <w:i/>
          <w:iCs/>
          <w:sz w:val="24"/>
        </w:rPr>
        <w:t>Cakrawala: Jurnal Studi Islam</w:t>
      </w:r>
      <w:r w:rsidRPr="00BB42B2">
        <w:rPr>
          <w:rFonts w:ascii="Calibri Light" w:hAnsi="Calibri Light" w:cs="Calibri Light"/>
          <w:sz w:val="24"/>
        </w:rPr>
        <w:t xml:space="preserve">, </w:t>
      </w:r>
      <w:r w:rsidRPr="00BB42B2">
        <w:rPr>
          <w:rFonts w:ascii="Calibri Light" w:hAnsi="Calibri Light" w:cs="Calibri Light"/>
          <w:i/>
          <w:iCs/>
          <w:sz w:val="24"/>
        </w:rPr>
        <w:t>15</w:t>
      </w:r>
      <w:r w:rsidRPr="00BB42B2">
        <w:rPr>
          <w:rFonts w:ascii="Calibri Light" w:hAnsi="Calibri Light" w:cs="Calibri Light"/>
          <w:sz w:val="24"/>
        </w:rPr>
        <w:t>(2), 93–104. https://doi.org/10.31603/cakrawala.3405</w:t>
      </w:r>
    </w:p>
    <w:p w14:paraId="2612D741"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F1B2A">
        <w:rPr>
          <w:rFonts w:ascii="Calibri Light" w:hAnsi="Calibri Light" w:cs="Calibri Light"/>
          <w:sz w:val="24"/>
        </w:rPr>
        <w:t xml:space="preserve">AN, A. N., . M., . M., &amp; . W. (2024). Bibliometric Analysis of Islamic Education and Character Development in Religious Education Practices in Indonesia. </w:t>
      </w:r>
      <w:r w:rsidRPr="00BF1B2A">
        <w:rPr>
          <w:rFonts w:ascii="Calibri Light" w:hAnsi="Calibri Light" w:cs="Calibri Light"/>
          <w:i/>
          <w:iCs/>
          <w:sz w:val="24"/>
        </w:rPr>
        <w:t>Pakistan Journal of Life and Social Sciences (PJLSS)</w:t>
      </w:r>
      <w:r w:rsidRPr="00BF1B2A">
        <w:rPr>
          <w:rFonts w:ascii="Calibri Light" w:hAnsi="Calibri Light" w:cs="Calibri Light"/>
          <w:sz w:val="24"/>
        </w:rPr>
        <w:t xml:space="preserve">, </w:t>
      </w:r>
      <w:r w:rsidRPr="00BF1B2A">
        <w:rPr>
          <w:rFonts w:ascii="Calibri Light" w:hAnsi="Calibri Light" w:cs="Calibri Light"/>
          <w:i/>
          <w:iCs/>
          <w:sz w:val="24"/>
        </w:rPr>
        <w:t>22</w:t>
      </w:r>
      <w:r w:rsidRPr="00BF1B2A">
        <w:rPr>
          <w:rFonts w:ascii="Calibri Light" w:hAnsi="Calibri Light" w:cs="Calibri Light"/>
          <w:sz w:val="24"/>
        </w:rPr>
        <w:t>(2), 1231–1245. https://doi.org/10.57239/PJLSS-2024-22.2.0086</w:t>
      </w:r>
    </w:p>
    <w:p w14:paraId="370C9BE4"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 A. N., Tamami, F. Q. A., Daud, Z., Salleh, N. M., Ishak, M. H. bin, &amp; Muthoifin, M. (2025). Understanding the Integration of Deep Learning and Artificial Intelligence in Quranic Education and Research through Bibliometric Analysis. </w:t>
      </w:r>
      <w:r w:rsidRPr="00DA6ABC">
        <w:rPr>
          <w:rFonts w:ascii="Calibri Light" w:hAnsi="Calibri Light" w:cs="Calibri Light"/>
          <w:i/>
          <w:iCs/>
          <w:sz w:val="24"/>
        </w:rPr>
        <w:t>Educational Process: International Journal</w:t>
      </w:r>
      <w:r w:rsidRPr="00DA6ABC">
        <w:rPr>
          <w:rFonts w:ascii="Calibri Light" w:hAnsi="Calibri Light" w:cs="Calibri Light"/>
          <w:sz w:val="24"/>
        </w:rPr>
        <w:t xml:space="preserve">, </w:t>
      </w:r>
      <w:r w:rsidRPr="00DA6ABC">
        <w:rPr>
          <w:rFonts w:ascii="Calibri Light" w:hAnsi="Calibri Light" w:cs="Calibri Light"/>
          <w:i/>
          <w:iCs/>
          <w:sz w:val="24"/>
        </w:rPr>
        <w:t>14</w:t>
      </w:r>
      <w:r w:rsidRPr="00DA6ABC">
        <w:rPr>
          <w:rFonts w:ascii="Calibri Light" w:hAnsi="Calibri Light" w:cs="Calibri Light"/>
          <w:sz w:val="24"/>
        </w:rPr>
        <w:t>. https://doi.org/10.22521/edupij.2025.14.12</w:t>
      </w:r>
    </w:p>
    <w:p w14:paraId="541BE6BC"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Andri Nirwana, A. N., Mahmudulhassan, Ali, M., Muthoifin, Waston, &amp; Senathirajah, A. R. B. S. (2024). The Intersection of Quranic Studies and Modern Technology: A Bibliometric Analysis of Academic Publications from 2000 to 2024. </w:t>
      </w:r>
      <w:r w:rsidRPr="00DA6ABC">
        <w:rPr>
          <w:rFonts w:ascii="Calibri Light" w:hAnsi="Calibri Light" w:cs="Calibri Light"/>
          <w:i/>
          <w:iCs/>
          <w:sz w:val="24"/>
        </w:rPr>
        <w:t>Qubahan Academic Journal</w:t>
      </w:r>
      <w:r w:rsidRPr="00DA6ABC">
        <w:rPr>
          <w:rFonts w:ascii="Calibri Light" w:hAnsi="Calibri Light" w:cs="Calibri Light"/>
          <w:sz w:val="24"/>
        </w:rPr>
        <w:t xml:space="preserve">, </w:t>
      </w:r>
      <w:r w:rsidRPr="00DA6ABC">
        <w:rPr>
          <w:rFonts w:ascii="Calibri Light" w:hAnsi="Calibri Light" w:cs="Calibri Light"/>
          <w:i/>
          <w:iCs/>
          <w:sz w:val="24"/>
        </w:rPr>
        <w:t>4</w:t>
      </w:r>
      <w:r w:rsidRPr="00DA6ABC">
        <w:rPr>
          <w:rFonts w:ascii="Calibri Light" w:hAnsi="Calibri Light" w:cs="Calibri Light"/>
          <w:sz w:val="24"/>
        </w:rPr>
        <w:t>(4), 178–190. https://doi.org/10.48161/qaj.v4n4a981</w:t>
      </w:r>
    </w:p>
    <w:p w14:paraId="560B6160"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Andri Nirwana, A. N., Mahmudulhassan, Marshal, F. D., Muthoifin, &amp; Fadli, N. (2024). Human Rights and Social Justice in Quranic Contexts: A Global Trend. </w:t>
      </w:r>
      <w:r w:rsidRPr="00DA6ABC">
        <w:rPr>
          <w:rFonts w:ascii="Calibri Light" w:hAnsi="Calibri Light" w:cs="Calibri Light"/>
          <w:i/>
          <w:iCs/>
          <w:sz w:val="24"/>
        </w:rPr>
        <w:t>Legality: Jurnal Ilmiah Hukum</w:t>
      </w:r>
      <w:r w:rsidRPr="00DA6ABC">
        <w:rPr>
          <w:rFonts w:ascii="Calibri Light" w:hAnsi="Calibri Light" w:cs="Calibri Light"/>
          <w:sz w:val="24"/>
        </w:rPr>
        <w:t xml:space="preserve">, </w:t>
      </w:r>
      <w:r w:rsidRPr="00DA6ABC">
        <w:rPr>
          <w:rFonts w:ascii="Calibri Light" w:hAnsi="Calibri Light" w:cs="Calibri Light"/>
          <w:i/>
          <w:iCs/>
          <w:sz w:val="24"/>
        </w:rPr>
        <w:t>32</w:t>
      </w:r>
      <w:r w:rsidRPr="00DA6ABC">
        <w:rPr>
          <w:rFonts w:ascii="Calibri Light" w:hAnsi="Calibri Light" w:cs="Calibri Light"/>
          <w:sz w:val="24"/>
        </w:rPr>
        <w:t>(2), 453–471. https://doi.org/10.22219/ljih.v32i2.35088</w:t>
      </w:r>
    </w:p>
    <w:p w14:paraId="3CE9315A" w14:textId="1F8DA406"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Anurogo, D. (2023). </w:t>
      </w:r>
      <w:r w:rsidRPr="00DA6ABC">
        <w:rPr>
          <w:rFonts w:ascii="Calibri Light" w:hAnsi="Calibri Light" w:cs="Calibri Light"/>
          <w:i/>
          <w:iCs/>
          <w:sz w:val="24"/>
        </w:rPr>
        <w:t>Ecofeminism 5.0</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(1), 36–51.</w:t>
      </w:r>
      <w:r w:rsidR="003F33CE">
        <w:rPr>
          <w:rFonts w:ascii="Calibri Light" w:hAnsi="Calibri Light" w:cs="Calibri Light"/>
          <w:sz w:val="24"/>
        </w:rPr>
        <w:t xml:space="preserve"> </w:t>
      </w:r>
      <w:hyperlink r:id="rId18" w:history="1">
        <w:r w:rsidR="003F33CE">
          <w:rPr>
            <w:rStyle w:val="Hyperlink"/>
          </w:rPr>
          <w:t xml:space="preserve">https://doi.org/10.23917/mier.v1i1.2828 </w:t>
        </w:r>
      </w:hyperlink>
    </w:p>
    <w:p w14:paraId="25512E99" w14:textId="2DE4C61C"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Anurogo, D., Sasmita, N. S., Syarif, U. A., Awaliah, R., Rachman, B. M., &amp; Yi, J. (2023). </w:t>
      </w:r>
      <w:r w:rsidRPr="00DA6ABC">
        <w:rPr>
          <w:rFonts w:ascii="Calibri Light" w:hAnsi="Calibri Light" w:cs="Calibri Light"/>
          <w:i/>
          <w:iCs/>
          <w:sz w:val="24"/>
        </w:rPr>
        <w:t>The Art of Healthy Neurophilocommunication</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(2), 63–82.</w:t>
      </w:r>
      <w:r w:rsidR="003F33CE">
        <w:rPr>
          <w:rFonts w:ascii="Calibri Light" w:hAnsi="Calibri Light" w:cs="Calibri Light"/>
          <w:sz w:val="24"/>
        </w:rPr>
        <w:t xml:space="preserve"> </w:t>
      </w:r>
      <w:hyperlink r:id="rId19" w:history="1">
        <w:r w:rsidR="003F33CE">
          <w:rPr>
            <w:rStyle w:val="Hyperlink"/>
          </w:rPr>
          <w:t xml:space="preserve">https://doi.org/10.23917/mier.v1i2.2893 </w:t>
        </w:r>
      </w:hyperlink>
    </w:p>
    <w:p w14:paraId="774DA0F7" w14:textId="0DA41E2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Anwar, S., Permatasari, K. G., Nur, S., Munawar, M., &amp; Shabrina, M. N. (2024). History of Muhammadiyah in Blora Mustika City : Development and Challenges. </w:t>
      </w:r>
      <w:r w:rsidRPr="00DA6ABC">
        <w:rPr>
          <w:rFonts w:ascii="Calibri Light" w:hAnsi="Calibri Light" w:cs="Calibri Light"/>
          <w:i/>
          <w:iCs/>
          <w:sz w:val="24"/>
        </w:rPr>
        <w:t>Pakistan Journal of Life and Social Sciences (PJLSS)</w:t>
      </w:r>
      <w:r w:rsidRPr="00DA6ABC">
        <w:rPr>
          <w:rFonts w:ascii="Calibri Light" w:hAnsi="Calibri Light" w:cs="Calibri Light"/>
          <w:sz w:val="24"/>
        </w:rPr>
        <w:t xml:space="preserve">, </w:t>
      </w:r>
      <w:r w:rsidRPr="00DA6ABC">
        <w:rPr>
          <w:rFonts w:ascii="Calibri Light" w:hAnsi="Calibri Light" w:cs="Calibri Light"/>
          <w:i/>
          <w:iCs/>
          <w:sz w:val="24"/>
        </w:rPr>
        <w:t>22</w:t>
      </w:r>
      <w:r w:rsidRPr="00DA6ABC">
        <w:rPr>
          <w:rFonts w:ascii="Calibri Light" w:hAnsi="Calibri Light" w:cs="Calibri Light"/>
          <w:sz w:val="24"/>
        </w:rPr>
        <w:t>, 812–821.</w:t>
      </w:r>
      <w:r w:rsidR="00BC5133">
        <w:rPr>
          <w:rFonts w:ascii="Calibri Light" w:hAnsi="Calibri Light" w:cs="Calibri Light"/>
          <w:sz w:val="24"/>
        </w:rPr>
        <w:t xml:space="preserve"> </w:t>
      </w:r>
      <w:r w:rsidR="00194349" w:rsidRPr="00194349">
        <w:rPr>
          <w:rFonts w:ascii="Calibri Light" w:hAnsi="Calibri Light" w:cs="Calibri Light"/>
          <w:sz w:val="24"/>
        </w:rPr>
        <w:t>https://doi.org/10.57239/PJLSS-2024-22.2.0059</w:t>
      </w:r>
    </w:p>
    <w:p w14:paraId="3E01C42E"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Anwar, S., Sukisno, S., Waston, W., Nirwana, A., Utami, Y., Reistanti, A. P., Nurhartanto, A., &amp; Muthoifin, M. (2024). Development of the concept of Islamic education to build and improve the personality of school-age children. </w:t>
      </w:r>
      <w:r w:rsidRPr="00DA6ABC">
        <w:rPr>
          <w:rFonts w:ascii="Calibri Light" w:hAnsi="Calibri Light" w:cs="Calibri Light"/>
          <w:i/>
          <w:iCs/>
          <w:sz w:val="24"/>
        </w:rPr>
        <w:t>Multidisciplinary Reviews</w:t>
      </w:r>
      <w:r w:rsidRPr="00DA6ABC">
        <w:rPr>
          <w:rFonts w:ascii="Calibri Light" w:hAnsi="Calibri Light" w:cs="Calibri Light"/>
          <w:sz w:val="24"/>
        </w:rPr>
        <w:t xml:space="preserve">, </w:t>
      </w:r>
      <w:r w:rsidRPr="00DA6ABC">
        <w:rPr>
          <w:rFonts w:ascii="Calibri Light" w:hAnsi="Calibri Light" w:cs="Calibri Light"/>
          <w:i/>
          <w:iCs/>
          <w:sz w:val="24"/>
        </w:rPr>
        <w:t>7</w:t>
      </w:r>
      <w:r w:rsidRPr="00DA6ABC">
        <w:rPr>
          <w:rFonts w:ascii="Calibri Light" w:hAnsi="Calibri Light" w:cs="Calibri Light"/>
          <w:sz w:val="24"/>
        </w:rPr>
        <w:t>(8), 2024139. https://doi.org/10.31893/multirev.2024139</w:t>
      </w:r>
    </w:p>
    <w:p w14:paraId="22959385"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Apriantoro, M. S., Muthoifin, M., &amp; Athief, F. H. N. (2023). Advancing social impact through Islamic social finance: A comprehensive bibliometric analysis. </w:t>
      </w:r>
      <w:r w:rsidRPr="00DA6ABC">
        <w:rPr>
          <w:rFonts w:ascii="Calibri Light" w:hAnsi="Calibri Light" w:cs="Calibri Light"/>
          <w:i/>
          <w:iCs/>
          <w:sz w:val="24"/>
        </w:rPr>
        <w:t>International Journal of Advanced and Applied Sciences</w:t>
      </w:r>
      <w:r w:rsidRPr="00DA6ABC">
        <w:rPr>
          <w:rFonts w:ascii="Calibri Light" w:hAnsi="Calibri Light" w:cs="Calibri Light"/>
          <w:sz w:val="24"/>
        </w:rPr>
        <w:t xml:space="preserve">, </w:t>
      </w:r>
      <w:r w:rsidRPr="00DA6ABC">
        <w:rPr>
          <w:rFonts w:ascii="Calibri Light" w:hAnsi="Calibri Light" w:cs="Calibri Light"/>
          <w:i/>
          <w:iCs/>
          <w:sz w:val="24"/>
        </w:rPr>
        <w:t>10</w:t>
      </w:r>
      <w:r w:rsidRPr="00DA6ABC">
        <w:rPr>
          <w:rFonts w:ascii="Calibri Light" w:hAnsi="Calibri Light" w:cs="Calibri Light"/>
          <w:sz w:val="24"/>
        </w:rPr>
        <w:t>(11), 81–89. https://doi.org/10.21833/ijaas.2023.11.011</w:t>
      </w:r>
    </w:p>
    <w:p w14:paraId="0734E679"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Ardiansyah., Waston., Mahmudulhassan., Daud, Z., &amp; Salleh., Norsaleha Mohd., AN, Andri Nirwana., M. (2024). Tracing Trends in Quran Memorization and Cognitive Learning: A Bibliometric Analysis from the Scopus Database. </w:t>
      </w:r>
      <w:r w:rsidRPr="00DA6ABC">
        <w:rPr>
          <w:rFonts w:ascii="Calibri Light" w:hAnsi="Calibri Light" w:cs="Calibri Light"/>
          <w:i/>
          <w:iCs/>
          <w:sz w:val="24"/>
        </w:rPr>
        <w:t>Pakistan Journal of Life and Social Sciences (PJLSS)</w:t>
      </w:r>
      <w:r w:rsidRPr="00DA6ABC">
        <w:rPr>
          <w:rFonts w:ascii="Calibri Light" w:hAnsi="Calibri Light" w:cs="Calibri Light"/>
          <w:sz w:val="24"/>
        </w:rPr>
        <w:t xml:space="preserve">, </w:t>
      </w:r>
      <w:r w:rsidRPr="00DA6ABC">
        <w:rPr>
          <w:rFonts w:ascii="Calibri Light" w:hAnsi="Calibri Light" w:cs="Calibri Light"/>
          <w:i/>
          <w:iCs/>
          <w:sz w:val="24"/>
        </w:rPr>
        <w:t>22</w:t>
      </w:r>
      <w:r w:rsidRPr="00DA6ABC">
        <w:rPr>
          <w:rFonts w:ascii="Calibri Light" w:hAnsi="Calibri Light" w:cs="Calibri Light"/>
          <w:sz w:val="24"/>
        </w:rPr>
        <w:t>(2), 1493–1509. https://doi.org/10.57239/PJLSS-2024-22.2.00105</w:t>
      </w:r>
    </w:p>
    <w:p w14:paraId="5D1A67F0" w14:textId="26EB0754"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Aryani, S. A., Budi, E., &amp; Amini, S. (2024). Fostering Community Awareness of the Importance of Religiosity to Minimize Conflict and Violence. </w:t>
      </w:r>
      <w:r w:rsidRPr="00DA6ABC">
        <w:rPr>
          <w:rFonts w:ascii="Calibri Light" w:hAnsi="Calibri Light" w:cs="Calibri Light"/>
          <w:i/>
          <w:iCs/>
          <w:sz w:val="24"/>
        </w:rPr>
        <w:t>Solo International Collaboration and Publication of Social Sciences and Humanities</w:t>
      </w:r>
      <w:r w:rsidRPr="00DA6ABC">
        <w:rPr>
          <w:rFonts w:ascii="Calibri Light" w:hAnsi="Calibri Light" w:cs="Calibri Light"/>
          <w:sz w:val="24"/>
        </w:rPr>
        <w:t xml:space="preserve">, </w:t>
      </w:r>
      <w:r w:rsidRPr="00DA6ABC">
        <w:rPr>
          <w:rFonts w:ascii="Calibri Light" w:hAnsi="Calibri Light" w:cs="Calibri Light"/>
          <w:i/>
          <w:iCs/>
          <w:sz w:val="24"/>
        </w:rPr>
        <w:t>2</w:t>
      </w:r>
      <w:r w:rsidRPr="00DA6ABC">
        <w:rPr>
          <w:rFonts w:ascii="Calibri Light" w:hAnsi="Calibri Light" w:cs="Calibri Light"/>
          <w:sz w:val="24"/>
        </w:rPr>
        <w:t>(2), 107–120.</w:t>
      </w:r>
      <w:r w:rsidR="00454A98">
        <w:rPr>
          <w:rFonts w:ascii="Calibri Light" w:hAnsi="Calibri Light" w:cs="Calibri Light"/>
          <w:sz w:val="24"/>
        </w:rPr>
        <w:t xml:space="preserve"> </w:t>
      </w:r>
      <w:hyperlink r:id="rId20" w:history="1">
        <w:r w:rsidR="00454A98">
          <w:rPr>
            <w:rStyle w:val="Hyperlink"/>
          </w:rPr>
          <w:t xml:space="preserve">https://doi.org/10.61455/sicopus.v2i02.134 </w:t>
        </w:r>
      </w:hyperlink>
    </w:p>
    <w:p w14:paraId="57884CEE" w14:textId="4B7AD09E"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Barry, A., &amp; Elbanna, M. (2025). The Challenges Confronting Islamic Education in Guinea. </w:t>
      </w:r>
      <w:r w:rsidRPr="00DA6ABC">
        <w:rPr>
          <w:rFonts w:ascii="Calibri Light" w:hAnsi="Calibri Light" w:cs="Calibri Light"/>
          <w:i/>
          <w:iCs/>
          <w:sz w:val="24"/>
        </w:rPr>
        <w:t>Solo Universal Journal of Islamic Education and Multiculturalism</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(1), 67–82.</w:t>
      </w:r>
      <w:r w:rsidR="00EB7E59">
        <w:rPr>
          <w:rFonts w:ascii="Calibri Light" w:hAnsi="Calibri Light" w:cs="Calibri Light"/>
          <w:sz w:val="24"/>
        </w:rPr>
        <w:t xml:space="preserve"> </w:t>
      </w:r>
      <w:hyperlink r:id="rId21" w:history="1">
        <w:r w:rsidR="00EB7E59">
          <w:rPr>
            <w:rStyle w:val="Hyperlink"/>
          </w:rPr>
          <w:t>https://doi.org/10.61455/sujiem.v3i01.252</w:t>
        </w:r>
      </w:hyperlink>
    </w:p>
    <w:p w14:paraId="38961057"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Bembot, L., &amp; Sermada, D. (2022). Tradisi Kawin Tangkap di Sumba, NTT Perspektif Filsafat Moral Emmanuel Kant. </w:t>
      </w:r>
      <w:r w:rsidRPr="00DA6ABC">
        <w:rPr>
          <w:rFonts w:ascii="Calibri Light" w:hAnsi="Calibri Light" w:cs="Calibri Light"/>
          <w:i/>
          <w:iCs/>
          <w:sz w:val="24"/>
        </w:rPr>
        <w:t>SAGACITY: Journal of Theology and Christian Education</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(1), 70–78. https://doi.org/10.17605/OSF.IO/8W29U</w:t>
      </w:r>
    </w:p>
    <w:p w14:paraId="30B53213" w14:textId="17006916"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Bire, D., Ratu Radja, M., Dju Bire, C. M., Adi Sucipto Penfui, J., Klp Lima, K., Kupang, K., &amp; Tenggara Timur, N. (2023). Perlindungan Hak Perempuan Berdasarkan Cedaw Dalam Tradisi Kawin Tangkap Di Sumba. </w:t>
      </w:r>
      <w:r w:rsidRPr="00DA6ABC">
        <w:rPr>
          <w:rFonts w:ascii="Calibri Light" w:hAnsi="Calibri Light" w:cs="Calibri Light"/>
          <w:i/>
          <w:iCs/>
          <w:sz w:val="24"/>
        </w:rPr>
        <w:t>Jurnal Hukum</w:t>
      </w:r>
      <w:r w:rsidRPr="00DA6ABC">
        <w:rPr>
          <w:rFonts w:ascii="Calibri Light" w:hAnsi="Calibri Light" w:cs="Calibri Light"/>
          <w:sz w:val="24"/>
        </w:rPr>
        <w:t xml:space="preserve">, </w:t>
      </w:r>
      <w:r w:rsidRPr="00DA6ABC">
        <w:rPr>
          <w:rFonts w:ascii="Calibri Light" w:hAnsi="Calibri Light" w:cs="Calibri Light"/>
          <w:i/>
          <w:iCs/>
          <w:sz w:val="24"/>
        </w:rPr>
        <w:t>18</w:t>
      </w:r>
      <w:r w:rsidRPr="00DA6ABC">
        <w:rPr>
          <w:rFonts w:ascii="Calibri Light" w:hAnsi="Calibri Light" w:cs="Calibri Light"/>
          <w:sz w:val="24"/>
        </w:rPr>
        <w:t>(1), 131–141.</w:t>
      </w:r>
      <w:r w:rsidR="003E6850">
        <w:rPr>
          <w:rFonts w:ascii="Calibri Light" w:hAnsi="Calibri Light" w:cs="Calibri Light"/>
          <w:sz w:val="24"/>
        </w:rPr>
        <w:t xml:space="preserve"> </w:t>
      </w:r>
      <w:hyperlink r:id="rId22" w:history="1">
        <w:r w:rsidR="003E6850">
          <w:rPr>
            <w:rStyle w:val="Hyperlink"/>
          </w:rPr>
          <w:t>https://doi.org/10.33059/jhsk.v18i1.7473</w:t>
        </w:r>
      </w:hyperlink>
    </w:p>
    <w:p w14:paraId="0FFBCE9F"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Campmajó, M. B. (2020). Forced marriages in Europe: A form of gender-based violence and violation of human rights. </w:t>
      </w:r>
      <w:r w:rsidRPr="00DA6ABC">
        <w:rPr>
          <w:rFonts w:ascii="Calibri Light" w:hAnsi="Calibri Light" w:cs="Calibri Light"/>
          <w:i/>
          <w:iCs/>
          <w:sz w:val="24"/>
        </w:rPr>
        <w:t>Age of Human Rights Journal</w:t>
      </w:r>
      <w:r w:rsidRPr="00DA6ABC">
        <w:rPr>
          <w:rFonts w:ascii="Calibri Light" w:hAnsi="Calibri Light" w:cs="Calibri Light"/>
          <w:sz w:val="24"/>
        </w:rPr>
        <w:t xml:space="preserve">, </w:t>
      </w:r>
      <w:r w:rsidRPr="00DA6ABC">
        <w:rPr>
          <w:rFonts w:ascii="Calibri Light" w:hAnsi="Calibri Light" w:cs="Calibri Light"/>
          <w:i/>
          <w:iCs/>
          <w:sz w:val="24"/>
        </w:rPr>
        <w:t>14</w:t>
      </w:r>
      <w:r w:rsidRPr="00DA6ABC">
        <w:rPr>
          <w:rFonts w:ascii="Calibri Light" w:hAnsi="Calibri Light" w:cs="Calibri Light"/>
          <w:sz w:val="24"/>
        </w:rPr>
        <w:t>, 1–18. https://doi.org/10.17561/tahrj.v14.5474</w:t>
      </w:r>
    </w:p>
    <w:p w14:paraId="6723EC6E"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Dewi, D. K. (2022). Tradisi Kawin Tangkap Sumba Dan Prespektif Undang-Undang R I Nomor 1 Tahun 1974 Tentang Perkawinan. </w:t>
      </w:r>
      <w:r w:rsidRPr="00DA6ABC">
        <w:rPr>
          <w:rFonts w:ascii="Calibri Light" w:hAnsi="Calibri Light" w:cs="Calibri Light"/>
          <w:i/>
          <w:iCs/>
          <w:sz w:val="24"/>
        </w:rPr>
        <w:t>Law Jurnal</w:t>
      </w:r>
      <w:r w:rsidRPr="00DA6ABC">
        <w:rPr>
          <w:rFonts w:ascii="Calibri Light" w:hAnsi="Calibri Light" w:cs="Calibri Light"/>
          <w:sz w:val="24"/>
        </w:rPr>
        <w:t xml:space="preserve">, </w:t>
      </w:r>
      <w:r w:rsidRPr="00DA6ABC">
        <w:rPr>
          <w:rFonts w:ascii="Calibri Light" w:hAnsi="Calibri Light" w:cs="Calibri Light"/>
          <w:i/>
          <w:iCs/>
          <w:sz w:val="24"/>
        </w:rPr>
        <w:t>2</w:t>
      </w:r>
      <w:r w:rsidRPr="00DA6ABC">
        <w:rPr>
          <w:rFonts w:ascii="Calibri Light" w:hAnsi="Calibri Light" w:cs="Calibri Light"/>
          <w:sz w:val="24"/>
        </w:rPr>
        <w:t>(2), 107–115. https://doi.org/10.46576/lj.v2i2.1812</w:t>
      </w:r>
    </w:p>
    <w:p w14:paraId="6A674FC3" w14:textId="232E0CAC"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Dewi, D. K., Indonesia, U. D., &amp; Medan, K. (2022). </w:t>
      </w:r>
      <w:r w:rsidRPr="00DA6ABC">
        <w:rPr>
          <w:rFonts w:ascii="Calibri Light" w:hAnsi="Calibri Light" w:cs="Calibri Light"/>
          <w:i/>
          <w:iCs/>
          <w:sz w:val="24"/>
        </w:rPr>
        <w:t>Tradisi Kawin Tangkap Sumba Dan Prespektif Undang-Undang R I Nomor 1 Tahun 1974 Tentang Perkawinan the Tradition of Capture Marriage in Sumba and the Presspective of Law of the Republic of Indonesia Number 1 Year 1974 Regarding Marriage</w:t>
      </w:r>
      <w:r w:rsidRPr="00DA6ABC">
        <w:rPr>
          <w:rFonts w:ascii="Calibri Light" w:hAnsi="Calibri Light" w:cs="Calibri Light"/>
          <w:sz w:val="24"/>
        </w:rPr>
        <w:t xml:space="preserve">. </w:t>
      </w:r>
      <w:r w:rsidRPr="00DA6ABC">
        <w:rPr>
          <w:rFonts w:ascii="Calibri Light" w:hAnsi="Calibri Light" w:cs="Calibri Light"/>
          <w:i/>
          <w:iCs/>
          <w:sz w:val="24"/>
        </w:rPr>
        <w:t>II</w:t>
      </w:r>
      <w:r w:rsidRPr="00DA6ABC">
        <w:rPr>
          <w:rFonts w:ascii="Calibri Light" w:hAnsi="Calibri Light" w:cs="Calibri Light"/>
          <w:sz w:val="24"/>
        </w:rPr>
        <w:t>(1), 107–115.</w:t>
      </w:r>
      <w:r w:rsidR="00E95399">
        <w:rPr>
          <w:rFonts w:ascii="Calibri Light" w:hAnsi="Calibri Light" w:cs="Calibri Light"/>
          <w:sz w:val="24"/>
        </w:rPr>
        <w:t xml:space="preserve"> </w:t>
      </w:r>
      <w:hyperlink r:id="rId23" w:history="1">
        <w:r w:rsidR="00E95399">
          <w:rPr>
            <w:rStyle w:val="Hyperlink"/>
          </w:rPr>
          <w:t>https://doi.org/10.46576/lj.v2i2.1812</w:t>
        </w:r>
      </w:hyperlink>
    </w:p>
    <w:p w14:paraId="4E392629"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Doko, E. W., Suwitra, I. M., &amp; Sudibya, D. gayatry. (2021). Tradisi Kawin Tangkap (Piti Rambang) Suku Sumba di Nusa Tenggara Timur. </w:t>
      </w:r>
      <w:r w:rsidRPr="00DA6ABC">
        <w:rPr>
          <w:rFonts w:ascii="Calibri Light" w:hAnsi="Calibri Light" w:cs="Calibri Light"/>
          <w:i/>
          <w:iCs/>
          <w:sz w:val="24"/>
        </w:rPr>
        <w:t>Jurnal Konstruksi Hukum</w:t>
      </w:r>
      <w:r w:rsidRPr="00DA6ABC">
        <w:rPr>
          <w:rFonts w:ascii="Calibri Light" w:hAnsi="Calibri Light" w:cs="Calibri Light"/>
          <w:sz w:val="24"/>
        </w:rPr>
        <w:t xml:space="preserve">, </w:t>
      </w:r>
      <w:r w:rsidRPr="00DA6ABC">
        <w:rPr>
          <w:rFonts w:ascii="Calibri Light" w:hAnsi="Calibri Light" w:cs="Calibri Light"/>
          <w:i/>
          <w:iCs/>
          <w:sz w:val="24"/>
        </w:rPr>
        <w:t>2</w:t>
      </w:r>
      <w:r w:rsidRPr="00DA6ABC">
        <w:rPr>
          <w:rFonts w:ascii="Calibri Light" w:hAnsi="Calibri Light" w:cs="Calibri Light"/>
          <w:sz w:val="24"/>
        </w:rPr>
        <w:t>(3), 656–660. https://doi.org/10.22225/jkh.2.3.3674.656-660</w:t>
      </w:r>
    </w:p>
    <w:p w14:paraId="1CBC1214"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Florea, D. (2023). The Legal Status of Women in Islam. </w:t>
      </w:r>
      <w:r w:rsidRPr="00DA6ABC">
        <w:rPr>
          <w:rFonts w:ascii="Calibri Light" w:hAnsi="Calibri Light" w:cs="Calibri Light"/>
          <w:i/>
          <w:iCs/>
          <w:sz w:val="24"/>
        </w:rPr>
        <w:t>Logos Universality Mentality Education Novelty: Law</w:t>
      </w:r>
      <w:r w:rsidRPr="00DA6ABC">
        <w:rPr>
          <w:rFonts w:ascii="Calibri Light" w:hAnsi="Calibri Light" w:cs="Calibri Light"/>
          <w:sz w:val="24"/>
        </w:rPr>
        <w:t xml:space="preserve">, </w:t>
      </w:r>
      <w:r w:rsidRPr="00DA6ABC">
        <w:rPr>
          <w:rFonts w:ascii="Calibri Light" w:hAnsi="Calibri Light" w:cs="Calibri Light"/>
          <w:i/>
          <w:iCs/>
          <w:sz w:val="24"/>
        </w:rPr>
        <w:t>10</w:t>
      </w:r>
      <w:r w:rsidRPr="00DA6ABC">
        <w:rPr>
          <w:rFonts w:ascii="Calibri Light" w:hAnsi="Calibri Light" w:cs="Calibri Light"/>
          <w:sz w:val="24"/>
        </w:rPr>
        <w:t>(2), 37–45. https://doi.org/10.18662/lumenlaw/10.2/75</w:t>
      </w:r>
    </w:p>
    <w:p w14:paraId="440006B2"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Hakim, Z. (2021). Peran Fatwa Mui Sebagai Produk Hukum Islam Dalam Masyarakat. </w:t>
      </w:r>
      <w:r w:rsidRPr="00DA6ABC">
        <w:rPr>
          <w:rFonts w:ascii="Calibri Light" w:hAnsi="Calibri Light" w:cs="Calibri Light"/>
          <w:i/>
          <w:iCs/>
          <w:sz w:val="24"/>
        </w:rPr>
        <w:t>Al’Adalah</w:t>
      </w:r>
      <w:r w:rsidRPr="00DA6ABC">
        <w:rPr>
          <w:rFonts w:ascii="Calibri Light" w:hAnsi="Calibri Light" w:cs="Calibri Light"/>
          <w:sz w:val="24"/>
        </w:rPr>
        <w:t xml:space="preserve">, </w:t>
      </w:r>
      <w:r w:rsidRPr="00DA6ABC">
        <w:rPr>
          <w:rFonts w:ascii="Calibri Light" w:hAnsi="Calibri Light" w:cs="Calibri Light"/>
          <w:i/>
          <w:iCs/>
          <w:sz w:val="24"/>
        </w:rPr>
        <w:t>24</w:t>
      </w:r>
      <w:r w:rsidRPr="00DA6ABC">
        <w:rPr>
          <w:rFonts w:ascii="Calibri Light" w:hAnsi="Calibri Light" w:cs="Calibri Light"/>
          <w:sz w:val="24"/>
        </w:rPr>
        <w:t>(2), 105–117. https://doi.org/10.35719/aladalah.v24i2.77</w:t>
      </w:r>
    </w:p>
    <w:p w14:paraId="48289FE0" w14:textId="7AC006E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Hidayat, S., &amp; Ghani, I. A. (2023). Values of Progressive Islamic Education and Multicultural Education in Alaq : 1-5. </w:t>
      </w:r>
      <w:r w:rsidRPr="00DA6ABC">
        <w:rPr>
          <w:rFonts w:ascii="Calibri Light" w:hAnsi="Calibri Light" w:cs="Calibri Light"/>
          <w:i/>
          <w:iCs/>
          <w:sz w:val="24"/>
        </w:rPr>
        <w:t>Solo Universal Journal of Islamic Education and Multiculturalism</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(2), 147–160.</w:t>
      </w:r>
      <w:r w:rsidR="007C7EB4">
        <w:rPr>
          <w:rFonts w:ascii="Calibri Light" w:hAnsi="Calibri Light" w:cs="Calibri Light"/>
          <w:sz w:val="24"/>
        </w:rPr>
        <w:t xml:space="preserve"> </w:t>
      </w:r>
      <w:hyperlink r:id="rId24" w:history="1">
        <w:r w:rsidR="007C7EB4">
          <w:rPr>
            <w:rStyle w:val="Hyperlink"/>
          </w:rPr>
          <w:t>https://doi.org/10.61455/sujiem.v1i02.69</w:t>
        </w:r>
      </w:hyperlink>
    </w:p>
    <w:p w14:paraId="521E1CBE"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Indrama, D. (2022). Tradisi Kawin Tangkap di Tinjau Dari Perspektif Hukum Islam. </w:t>
      </w:r>
      <w:r w:rsidRPr="00DA6ABC">
        <w:rPr>
          <w:rFonts w:ascii="Calibri Light" w:hAnsi="Calibri Light" w:cs="Calibri Light"/>
          <w:i/>
          <w:iCs/>
          <w:sz w:val="24"/>
        </w:rPr>
        <w:t>Al-Risalah: Jurnal Hukum Keluarga Islam (Ahwal Al-Syakhsiyah)</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(1). https://doi.org/10.30863/al-risalah.v3i1.2150</w:t>
      </w:r>
    </w:p>
    <w:p w14:paraId="7775A657"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Israfil, I., Salad, M., Aminullah, A., &amp; Subakti, S. (2021). Penyuluhan Pra Nikah Dalam Perspektif Islam Sebagai Upaya Meningkatkan Pengetahuan Tentang Pernikahan Islam. </w:t>
      </w:r>
      <w:r w:rsidRPr="00DA6ABC">
        <w:rPr>
          <w:rFonts w:ascii="Calibri Light" w:hAnsi="Calibri Light" w:cs="Calibri Light"/>
          <w:i/>
          <w:iCs/>
          <w:sz w:val="24"/>
        </w:rPr>
        <w:t>Sasambo: Jurnal Abdimas (Journal of Community Service)</w:t>
      </w:r>
      <w:r w:rsidRPr="00DA6ABC">
        <w:rPr>
          <w:rFonts w:ascii="Calibri Light" w:hAnsi="Calibri Light" w:cs="Calibri Light"/>
          <w:sz w:val="24"/>
        </w:rPr>
        <w:t xml:space="preserve">, </w:t>
      </w:r>
      <w:r w:rsidRPr="00DA6ABC">
        <w:rPr>
          <w:rFonts w:ascii="Calibri Light" w:hAnsi="Calibri Light" w:cs="Calibri Light"/>
          <w:i/>
          <w:iCs/>
          <w:sz w:val="24"/>
        </w:rPr>
        <w:t>3</w:t>
      </w:r>
      <w:r w:rsidRPr="00DA6ABC">
        <w:rPr>
          <w:rFonts w:ascii="Calibri Light" w:hAnsi="Calibri Light" w:cs="Calibri Light"/>
          <w:sz w:val="24"/>
        </w:rPr>
        <w:t>(2), 92–98. https://doi.org/10.36312/sasambo.v3i2.483</w:t>
      </w:r>
    </w:p>
    <w:p w14:paraId="03E343A9" w14:textId="77777777" w:rsidR="00DA6ABC" w:rsidRPr="00DA6ABC" w:rsidRDefault="00626EC5" w:rsidP="00DA6AB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Kamuri, J. P., &amp; Toumeluk, G. M. (2021). Tinjauan Teologis terhadap Tradisi Kawin Tangkap di Pulau Sumba–Nusa Tenggara Timur. </w:t>
      </w:r>
      <w:r w:rsidRPr="00DA6ABC">
        <w:rPr>
          <w:rFonts w:ascii="Calibri Light" w:hAnsi="Calibri Light" w:cs="Calibri Light"/>
          <w:i/>
          <w:iCs/>
          <w:sz w:val="24"/>
        </w:rPr>
        <w:t>DUNAMIS: Jurnal Teologi Dan Pendidikan Kristiani</w:t>
      </w:r>
      <w:r w:rsidRPr="00DA6ABC">
        <w:rPr>
          <w:rFonts w:ascii="Calibri Light" w:hAnsi="Calibri Light" w:cs="Calibri Light"/>
          <w:sz w:val="24"/>
        </w:rPr>
        <w:t xml:space="preserve">, </w:t>
      </w:r>
      <w:r w:rsidRPr="00DA6ABC">
        <w:rPr>
          <w:rFonts w:ascii="Calibri Light" w:hAnsi="Calibri Light" w:cs="Calibri Light"/>
          <w:i/>
          <w:iCs/>
          <w:sz w:val="24"/>
        </w:rPr>
        <w:t>6</w:t>
      </w:r>
      <w:r w:rsidRPr="00DA6ABC">
        <w:rPr>
          <w:rFonts w:ascii="Calibri Light" w:hAnsi="Calibri Light" w:cs="Calibri Light"/>
          <w:sz w:val="24"/>
        </w:rPr>
        <w:t>(1), 176–198. https://doi.org/10.30648/dun.v6i1.493</w:t>
      </w:r>
    </w:p>
    <w:p w14:paraId="50D497BD" w14:textId="77777777"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DA6ABC">
        <w:rPr>
          <w:rFonts w:ascii="Calibri Light" w:hAnsi="Calibri Light" w:cs="Calibri Light"/>
          <w:sz w:val="24"/>
        </w:rPr>
        <w:t xml:space="preserve">Kleden, D. (2017). Belis dan Harga Seorang Perempuan Sumba (Perkawinan Adat Suku Wewewa, Sumba Barat Daya, NTT). </w:t>
      </w:r>
      <w:r w:rsidRPr="00DA6ABC">
        <w:rPr>
          <w:rFonts w:ascii="Calibri Light" w:hAnsi="Calibri Light" w:cs="Calibri Light"/>
          <w:i/>
          <w:iCs/>
          <w:sz w:val="24"/>
        </w:rPr>
        <w:t>Studi Budaya Nusantara</w:t>
      </w:r>
      <w:r w:rsidRPr="00DA6ABC">
        <w:rPr>
          <w:rFonts w:ascii="Calibri Light" w:hAnsi="Calibri Light" w:cs="Calibri Light"/>
          <w:sz w:val="24"/>
        </w:rPr>
        <w:t xml:space="preserve">, </w:t>
      </w:r>
      <w:r w:rsidRPr="00DA6ABC">
        <w:rPr>
          <w:rFonts w:ascii="Calibri Light" w:hAnsi="Calibri Light" w:cs="Calibri Light"/>
          <w:i/>
          <w:iCs/>
          <w:sz w:val="24"/>
        </w:rPr>
        <w:t>1</w:t>
      </w:r>
      <w:r w:rsidRPr="00DA6ABC">
        <w:rPr>
          <w:rFonts w:ascii="Calibri Light" w:hAnsi="Calibri Light" w:cs="Calibri Light"/>
          <w:sz w:val="24"/>
        </w:rPr>
        <w:t>(1), 18–27. https://doi.org/10.21776/ub.sbn.2017.oo1.01.03</w:t>
      </w:r>
    </w:p>
    <w:p w14:paraId="6BA708B7" w14:textId="77777777"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Mahfudhi, H., &amp; Arrosid, M. K. (2021). Teori Adat Dalam Qowaid Fiqhiyah Dan Penerapanya Dalam Hukum Keluarga Islam. </w:t>
      </w:r>
      <w:r w:rsidRPr="00B23FED">
        <w:rPr>
          <w:rFonts w:ascii="Calibri Light" w:hAnsi="Calibri Light" w:cs="Calibri Light"/>
          <w:i/>
          <w:iCs/>
          <w:sz w:val="24"/>
        </w:rPr>
        <w:t>Familia: Jurnal Hukum Keluarga</w:t>
      </w:r>
      <w:r w:rsidRPr="00B23FED">
        <w:rPr>
          <w:rFonts w:ascii="Calibri Light" w:hAnsi="Calibri Light" w:cs="Calibri Light"/>
          <w:sz w:val="24"/>
        </w:rPr>
        <w:t xml:space="preserve">, </w:t>
      </w:r>
      <w:r w:rsidRPr="00B23FED">
        <w:rPr>
          <w:rFonts w:ascii="Calibri Light" w:hAnsi="Calibri Light" w:cs="Calibri Light"/>
          <w:i/>
          <w:iCs/>
          <w:sz w:val="24"/>
        </w:rPr>
        <w:t>2</w:t>
      </w:r>
      <w:r w:rsidRPr="00B23FED">
        <w:rPr>
          <w:rFonts w:ascii="Calibri Light" w:hAnsi="Calibri Light" w:cs="Calibri Light"/>
          <w:sz w:val="24"/>
        </w:rPr>
        <w:t>(2), 119–136. https://doi.org/10.24239/familia.v2i2.28</w:t>
      </w:r>
    </w:p>
    <w:p w14:paraId="3A6051D3" w14:textId="1B772DD7"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Mahmud, A. (2024). Multicultural Democratic and Tolerant : Qur ’ anic Perspectives and Islamic Education at the Universitas Muhammadiyah Surakarta. </w:t>
      </w:r>
      <w:r w:rsidRPr="00B23FED">
        <w:rPr>
          <w:rFonts w:ascii="Calibri Light" w:hAnsi="Calibri Light" w:cs="Calibri Light"/>
          <w:i/>
          <w:iCs/>
          <w:sz w:val="24"/>
        </w:rPr>
        <w:t>Solo Universal Journal of Islamic Education and Multiculturalism</w:t>
      </w:r>
      <w:r w:rsidRPr="00B23FED">
        <w:rPr>
          <w:rFonts w:ascii="Calibri Light" w:hAnsi="Calibri Light" w:cs="Calibri Light"/>
          <w:sz w:val="24"/>
        </w:rPr>
        <w:t xml:space="preserve">, </w:t>
      </w:r>
      <w:r w:rsidRPr="00B23FED">
        <w:rPr>
          <w:rFonts w:ascii="Calibri Light" w:hAnsi="Calibri Light" w:cs="Calibri Light"/>
          <w:i/>
          <w:iCs/>
          <w:sz w:val="24"/>
        </w:rPr>
        <w:t>1</w:t>
      </w:r>
      <w:r w:rsidRPr="00B23FED">
        <w:rPr>
          <w:rFonts w:ascii="Calibri Light" w:hAnsi="Calibri Light" w:cs="Calibri Light"/>
          <w:sz w:val="24"/>
        </w:rPr>
        <w:t>(3), 205–220.</w:t>
      </w:r>
      <w:r w:rsidR="00991A67">
        <w:rPr>
          <w:rFonts w:ascii="Calibri Light" w:hAnsi="Calibri Light" w:cs="Calibri Light"/>
          <w:sz w:val="24"/>
        </w:rPr>
        <w:t xml:space="preserve"> </w:t>
      </w:r>
      <w:hyperlink r:id="rId25" w:history="1">
        <w:r w:rsidR="00991A67">
          <w:rPr>
            <w:rStyle w:val="Hyperlink"/>
          </w:rPr>
          <w:t>https://doi.org/10.61455/sujiem.v1i03.101</w:t>
        </w:r>
      </w:hyperlink>
    </w:p>
    <w:p w14:paraId="72D70C65" w14:textId="2326F200"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Mahmud, A., &amp; Ilyas, H. (2024). Islam and Tolerance Education for the Sustainable Development Goals ( SDGs ). </w:t>
      </w:r>
      <w:r w:rsidRPr="00B23FED">
        <w:rPr>
          <w:rFonts w:ascii="Calibri Light" w:hAnsi="Calibri Light" w:cs="Calibri Light"/>
          <w:i/>
          <w:iCs/>
          <w:sz w:val="24"/>
        </w:rPr>
        <w:t>Profetika: Jurnal Studi Islam</w:t>
      </w:r>
      <w:r w:rsidRPr="00B23FED">
        <w:rPr>
          <w:rFonts w:ascii="Calibri Light" w:hAnsi="Calibri Light" w:cs="Calibri Light"/>
          <w:sz w:val="24"/>
        </w:rPr>
        <w:t xml:space="preserve">, </w:t>
      </w:r>
      <w:r w:rsidRPr="00B23FED">
        <w:rPr>
          <w:rFonts w:ascii="Calibri Light" w:hAnsi="Calibri Light" w:cs="Calibri Light"/>
          <w:i/>
          <w:iCs/>
          <w:sz w:val="24"/>
        </w:rPr>
        <w:t>25</w:t>
      </w:r>
      <w:r w:rsidRPr="00B23FED">
        <w:rPr>
          <w:rFonts w:ascii="Calibri Light" w:hAnsi="Calibri Light" w:cs="Calibri Light"/>
          <w:sz w:val="24"/>
        </w:rPr>
        <w:t>(2), 387–404.</w:t>
      </w:r>
      <w:r w:rsidR="00B42838">
        <w:rPr>
          <w:rFonts w:ascii="Calibri Light" w:hAnsi="Calibri Light" w:cs="Calibri Light"/>
          <w:sz w:val="24"/>
        </w:rPr>
        <w:t xml:space="preserve"> </w:t>
      </w:r>
      <w:hyperlink r:id="rId26" w:history="1">
        <w:r w:rsidR="00B42838">
          <w:rPr>
            <w:rStyle w:val="Hyperlink"/>
          </w:rPr>
          <w:t xml:space="preserve">https://doi.org/10.23917/profetika.v25i02.8510 </w:t>
        </w:r>
      </w:hyperlink>
    </w:p>
    <w:p w14:paraId="198E5B96" w14:textId="77777777"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Malisi, A. S. (2022). Pernikahan Dalam Islam. </w:t>
      </w:r>
      <w:r w:rsidRPr="00B23FED">
        <w:rPr>
          <w:rFonts w:ascii="Calibri Light" w:hAnsi="Calibri Light" w:cs="Calibri Light"/>
          <w:i/>
          <w:iCs/>
          <w:sz w:val="24"/>
        </w:rPr>
        <w:t>SEIKAT: Jurnal Ilmu Sosial, Politik Dan Hukum</w:t>
      </w:r>
      <w:r w:rsidRPr="00B23FED">
        <w:rPr>
          <w:rFonts w:ascii="Calibri Light" w:hAnsi="Calibri Light" w:cs="Calibri Light"/>
          <w:sz w:val="24"/>
        </w:rPr>
        <w:t xml:space="preserve">, </w:t>
      </w:r>
      <w:r w:rsidRPr="00B23FED">
        <w:rPr>
          <w:rFonts w:ascii="Calibri Light" w:hAnsi="Calibri Light" w:cs="Calibri Light"/>
          <w:i/>
          <w:iCs/>
          <w:sz w:val="24"/>
        </w:rPr>
        <w:t>1</w:t>
      </w:r>
      <w:r w:rsidRPr="00B23FED">
        <w:rPr>
          <w:rFonts w:ascii="Calibri Light" w:hAnsi="Calibri Light" w:cs="Calibri Light"/>
          <w:sz w:val="24"/>
        </w:rPr>
        <w:t>(1), 22–28. https://doi.org/10.55681/seikat.v1i1.97</w:t>
      </w:r>
    </w:p>
    <w:p w14:paraId="0D6B7C31" w14:textId="77777777"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Manurung, K. (2022). Mencermati Penggunaan Metode Kualitatif Di Lingkungan Sekolah Tinggi Teologi. </w:t>
      </w:r>
      <w:r w:rsidRPr="00B23FED">
        <w:rPr>
          <w:rFonts w:ascii="Calibri Light" w:hAnsi="Calibri Light" w:cs="Calibri Light"/>
          <w:i/>
          <w:iCs/>
          <w:sz w:val="24"/>
        </w:rPr>
        <w:t>FILADELFIA: Jurnal Teologi Dan Pendidikan Kristen</w:t>
      </w:r>
      <w:r w:rsidRPr="00B23FED">
        <w:rPr>
          <w:rFonts w:ascii="Calibri Light" w:hAnsi="Calibri Light" w:cs="Calibri Light"/>
          <w:sz w:val="24"/>
        </w:rPr>
        <w:t xml:space="preserve">, </w:t>
      </w:r>
      <w:r w:rsidRPr="00B23FED">
        <w:rPr>
          <w:rFonts w:ascii="Calibri Light" w:hAnsi="Calibri Light" w:cs="Calibri Light"/>
          <w:i/>
          <w:iCs/>
          <w:sz w:val="24"/>
        </w:rPr>
        <w:t>3</w:t>
      </w:r>
      <w:r w:rsidRPr="00B23FED">
        <w:rPr>
          <w:rFonts w:ascii="Calibri Light" w:hAnsi="Calibri Light" w:cs="Calibri Light"/>
          <w:sz w:val="24"/>
        </w:rPr>
        <w:t>(1), 285–300. https://doi.org/10.55772/filadelfia.v3i1.48</w:t>
      </w:r>
    </w:p>
    <w:p w14:paraId="6C5B6B7C" w14:textId="25F617C4"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Misfah, M. R. M. (2024). Management Strategies of the Modern Islamic Boarding School Assalaam Cooperative to Enhance Productive Economy in Supporting the Achievement of SDGs. </w:t>
      </w:r>
      <w:r w:rsidRPr="00B23FED">
        <w:rPr>
          <w:rFonts w:ascii="Calibri Light" w:hAnsi="Calibri Light" w:cs="Calibri Light"/>
          <w:i/>
          <w:iCs/>
          <w:sz w:val="24"/>
        </w:rPr>
        <w:t>Profetika: Jurnal Studi Islam</w:t>
      </w:r>
      <w:r w:rsidRPr="00B23FED">
        <w:rPr>
          <w:rFonts w:ascii="Calibri Light" w:hAnsi="Calibri Light" w:cs="Calibri Light"/>
          <w:sz w:val="24"/>
        </w:rPr>
        <w:t xml:space="preserve">, </w:t>
      </w:r>
      <w:r w:rsidRPr="00B23FED">
        <w:rPr>
          <w:rFonts w:ascii="Calibri Light" w:hAnsi="Calibri Light" w:cs="Calibri Light"/>
          <w:i/>
          <w:iCs/>
          <w:sz w:val="24"/>
        </w:rPr>
        <w:t>25</w:t>
      </w:r>
      <w:r w:rsidRPr="00B23FED">
        <w:rPr>
          <w:rFonts w:ascii="Calibri Light" w:hAnsi="Calibri Light" w:cs="Calibri Light"/>
          <w:sz w:val="24"/>
        </w:rPr>
        <w:t>(2), 405–420.</w:t>
      </w:r>
      <w:r w:rsidR="004C7F56">
        <w:rPr>
          <w:rFonts w:ascii="Calibri Light" w:hAnsi="Calibri Light" w:cs="Calibri Light"/>
          <w:sz w:val="24"/>
        </w:rPr>
        <w:t xml:space="preserve"> </w:t>
      </w:r>
      <w:hyperlink r:id="rId27" w:history="1">
        <w:r w:rsidR="004C7F56">
          <w:rPr>
            <w:rStyle w:val="Hyperlink"/>
          </w:rPr>
          <w:t xml:space="preserve">https://doi.org/10.23917/profetika.v25i02.2182 </w:t>
        </w:r>
      </w:hyperlink>
    </w:p>
    <w:p w14:paraId="0B5F5B0A" w14:textId="77777777"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Muhdi, M. (2020). “Kawin Tangkap” Tradition In Maqasid Al-Syari’ah And Indonesian Law Perspective. </w:t>
      </w:r>
      <w:r w:rsidRPr="00B23FED">
        <w:rPr>
          <w:rFonts w:ascii="Calibri Light" w:hAnsi="Calibri Light" w:cs="Calibri Light"/>
          <w:i/>
          <w:iCs/>
          <w:sz w:val="24"/>
        </w:rPr>
        <w:t>SHAKHSIYAH BURHANIYAH: Jurnal Penelitian Hukum Islam</w:t>
      </w:r>
      <w:r w:rsidRPr="00B23FED">
        <w:rPr>
          <w:rFonts w:ascii="Calibri Light" w:hAnsi="Calibri Light" w:cs="Calibri Light"/>
          <w:sz w:val="24"/>
        </w:rPr>
        <w:t xml:space="preserve">, </w:t>
      </w:r>
      <w:r w:rsidRPr="00B23FED">
        <w:rPr>
          <w:rFonts w:ascii="Calibri Light" w:hAnsi="Calibri Light" w:cs="Calibri Light"/>
          <w:i/>
          <w:iCs/>
          <w:sz w:val="24"/>
        </w:rPr>
        <w:t>5</w:t>
      </w:r>
      <w:r w:rsidRPr="00B23FED">
        <w:rPr>
          <w:rFonts w:ascii="Calibri Light" w:hAnsi="Calibri Light" w:cs="Calibri Light"/>
          <w:sz w:val="24"/>
        </w:rPr>
        <w:t>(2). https://doi.org/10.33752/sbjphi.v5i2.1635</w:t>
      </w:r>
    </w:p>
    <w:p w14:paraId="17CC3DF9" w14:textId="77777777" w:rsidR="00B23FED" w:rsidRPr="00B23FED" w:rsidRDefault="00626EC5" w:rsidP="00B23FED">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Musyafah, A. A. (2020). Perkawinan Dalam Perspektif Filosofis Hukum Islam. </w:t>
      </w:r>
      <w:r w:rsidRPr="00B23FED">
        <w:rPr>
          <w:rFonts w:ascii="Calibri Light" w:hAnsi="Calibri Light" w:cs="Calibri Light"/>
          <w:i/>
          <w:iCs/>
          <w:sz w:val="24"/>
        </w:rPr>
        <w:t>Crepido</w:t>
      </w:r>
      <w:r w:rsidRPr="00B23FED">
        <w:rPr>
          <w:rFonts w:ascii="Calibri Light" w:hAnsi="Calibri Light" w:cs="Calibri Light"/>
          <w:sz w:val="24"/>
        </w:rPr>
        <w:t xml:space="preserve">, </w:t>
      </w:r>
      <w:r w:rsidRPr="00B23FED">
        <w:rPr>
          <w:rFonts w:ascii="Calibri Light" w:hAnsi="Calibri Light" w:cs="Calibri Light"/>
          <w:i/>
          <w:iCs/>
          <w:sz w:val="24"/>
        </w:rPr>
        <w:t>2</w:t>
      </w:r>
      <w:r w:rsidRPr="00B23FED">
        <w:rPr>
          <w:rFonts w:ascii="Calibri Light" w:hAnsi="Calibri Light" w:cs="Calibri Light"/>
          <w:sz w:val="24"/>
        </w:rPr>
        <w:t>(2), 111–122. https://doi.org/10.14710/crepido.2.2.111-122</w:t>
      </w:r>
    </w:p>
    <w:p w14:paraId="75B8ADD5"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23FED">
        <w:rPr>
          <w:rFonts w:ascii="Calibri Light" w:hAnsi="Calibri Light" w:cs="Calibri Light"/>
          <w:sz w:val="24"/>
        </w:rPr>
        <w:t xml:space="preserve">Muthoifin, Nuha, S. S. (2020). Education and Leadership in Indonesia: A Trilogy Concept in Islamic Perspective. </w:t>
      </w:r>
      <w:r w:rsidRPr="00B23FED">
        <w:rPr>
          <w:rFonts w:ascii="Calibri Light" w:hAnsi="Calibri Light" w:cs="Calibri Light"/>
          <w:i/>
          <w:iCs/>
          <w:sz w:val="24"/>
        </w:rPr>
        <w:t>Universal Journal of Educational Research</w:t>
      </w:r>
      <w:r w:rsidRPr="00B23FED">
        <w:rPr>
          <w:rFonts w:ascii="Calibri Light" w:hAnsi="Calibri Light" w:cs="Calibri Light"/>
          <w:sz w:val="24"/>
        </w:rPr>
        <w:t xml:space="preserve">, </w:t>
      </w:r>
      <w:r w:rsidRPr="00B23FED">
        <w:rPr>
          <w:rFonts w:ascii="Calibri Light" w:hAnsi="Calibri Light" w:cs="Calibri Light"/>
          <w:i/>
          <w:iCs/>
          <w:sz w:val="24"/>
        </w:rPr>
        <w:t>8</w:t>
      </w:r>
      <w:r w:rsidRPr="00B23FED">
        <w:rPr>
          <w:rFonts w:ascii="Calibri Light" w:hAnsi="Calibri Light" w:cs="Calibri Light"/>
          <w:sz w:val="24"/>
        </w:rPr>
        <w:t>(9), 4282–4286. https://doi.org/10.13189/ujer.2020.080954</w:t>
      </w:r>
    </w:p>
    <w:p w14:paraId="06574131"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Shobron, S., &amp; Anshori, A. (2020). Method for Developing Soft Skills Education for Students. </w:t>
      </w:r>
      <w:r w:rsidRPr="009B5E94">
        <w:rPr>
          <w:rFonts w:ascii="Calibri Light" w:hAnsi="Calibri Light" w:cs="Calibri Light"/>
          <w:i/>
          <w:iCs/>
          <w:sz w:val="24"/>
        </w:rPr>
        <w:t>Universal Journal of Educational Research</w:t>
      </w:r>
      <w:r w:rsidRPr="009B5E94">
        <w:rPr>
          <w:rFonts w:ascii="Calibri Light" w:hAnsi="Calibri Light" w:cs="Calibri Light"/>
          <w:sz w:val="24"/>
        </w:rPr>
        <w:t xml:space="preserve">, </w:t>
      </w:r>
      <w:r w:rsidRPr="009B5E94">
        <w:rPr>
          <w:rFonts w:ascii="Calibri Light" w:hAnsi="Calibri Light" w:cs="Calibri Light"/>
          <w:i/>
          <w:iCs/>
          <w:sz w:val="24"/>
        </w:rPr>
        <w:t>8</w:t>
      </w:r>
      <w:r w:rsidRPr="009B5E94">
        <w:rPr>
          <w:rFonts w:ascii="Calibri Light" w:hAnsi="Calibri Light" w:cs="Calibri Light"/>
          <w:sz w:val="24"/>
        </w:rPr>
        <w:t>(7), 3155–3159. https://doi.org/10.13189/ujer.2020.080744</w:t>
      </w:r>
    </w:p>
    <w:p w14:paraId="52360BD7"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Shobron, S., &amp; Rahman, S. A. (2019). Humanist islam in indonesia ahmad syafii maarif perspective. </w:t>
      </w:r>
      <w:r w:rsidRPr="009B5E94">
        <w:rPr>
          <w:rFonts w:ascii="Calibri Light" w:hAnsi="Calibri Light" w:cs="Calibri Light"/>
          <w:i/>
          <w:iCs/>
          <w:sz w:val="24"/>
        </w:rPr>
        <w:t>Humanities &amp; Social Sciences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(6), 780–786. https://giapjournals.com/index.php/hssr/article/view/hssr.2019.76118/2384</w:t>
      </w:r>
    </w:p>
    <w:p w14:paraId="2806206A"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(2019). Shariah hotel and mission religion in surakarta indonesia. </w:t>
      </w:r>
      <w:r w:rsidRPr="009B5E94">
        <w:rPr>
          <w:rFonts w:ascii="Calibri Light" w:hAnsi="Calibri Light" w:cs="Calibri Light"/>
          <w:i/>
          <w:iCs/>
          <w:sz w:val="24"/>
        </w:rPr>
        <w:t>Humanities and Social Sciences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(4), 973–979. https://doi.org/10.18510/hssr.2019.74133</w:t>
      </w:r>
    </w:p>
    <w:p w14:paraId="5B66ADA0"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(2021). The Performance of Sharia Financing Amid the COVID-19 Pandemic in Indonesia. </w:t>
      </w:r>
      <w:r w:rsidRPr="009B5E94">
        <w:rPr>
          <w:rFonts w:ascii="Calibri Light" w:hAnsi="Calibri Light" w:cs="Calibri Light"/>
          <w:i/>
          <w:iCs/>
          <w:sz w:val="24"/>
        </w:rPr>
        <w:t>Universal Journal of Accounting and Finance</w:t>
      </w:r>
      <w:r w:rsidRPr="009B5E94">
        <w:rPr>
          <w:rFonts w:ascii="Calibri Light" w:hAnsi="Calibri Light" w:cs="Calibri Light"/>
          <w:sz w:val="24"/>
        </w:rPr>
        <w:t xml:space="preserve">, </w:t>
      </w:r>
      <w:r w:rsidRPr="009B5E94">
        <w:rPr>
          <w:rFonts w:ascii="Calibri Light" w:hAnsi="Calibri Light" w:cs="Calibri Light"/>
          <w:i/>
          <w:iCs/>
          <w:sz w:val="24"/>
        </w:rPr>
        <w:t>9</w:t>
      </w:r>
      <w:r w:rsidRPr="009B5E94">
        <w:rPr>
          <w:rFonts w:ascii="Calibri Light" w:hAnsi="Calibri Light" w:cs="Calibri Light"/>
          <w:sz w:val="24"/>
        </w:rPr>
        <w:t>(4), 757–763. https://doi.org/10.13189/ujaf.2021.090421</w:t>
      </w:r>
    </w:p>
    <w:p w14:paraId="7F44B7DF"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Afiyah, I., &amp; Nuha. (2024). Behavioral responses of cows and goats during slaughtering for Eid Al-Adha: A field study in Surakarta. </w:t>
      </w:r>
      <w:r w:rsidRPr="009B5E94">
        <w:rPr>
          <w:rFonts w:ascii="Calibri Light" w:hAnsi="Calibri Light" w:cs="Calibri Light"/>
          <w:i/>
          <w:iCs/>
          <w:sz w:val="24"/>
        </w:rPr>
        <w:t>Journal of Animal Behaviour and Biometeorology</w:t>
      </w:r>
      <w:r w:rsidRPr="009B5E94">
        <w:rPr>
          <w:rFonts w:ascii="Calibri Light" w:hAnsi="Calibri Light" w:cs="Calibri Light"/>
          <w:sz w:val="24"/>
        </w:rPr>
        <w:t xml:space="preserve">, </w:t>
      </w:r>
      <w:r w:rsidRPr="009B5E94">
        <w:rPr>
          <w:rFonts w:ascii="Calibri Light" w:hAnsi="Calibri Light" w:cs="Calibri Light"/>
          <w:i/>
          <w:iCs/>
          <w:sz w:val="24"/>
        </w:rPr>
        <w:t>12</w:t>
      </w:r>
      <w:r w:rsidRPr="009B5E94">
        <w:rPr>
          <w:rFonts w:ascii="Calibri Light" w:hAnsi="Calibri Light" w:cs="Calibri Light"/>
          <w:sz w:val="24"/>
        </w:rPr>
        <w:t>(4). https://doi.org/10.31893/jabb.2024034</w:t>
      </w:r>
    </w:p>
    <w:p w14:paraId="408D5511"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Firdaus, N., Sukisno, Anwar, S., Ulum, M. N., Irchamni, A., Widodo, &amp; Murtyaningsih, R. (2024). Profit-Sharing Practices To Increase Profits and Development of Indonesian Sharia Banking. </w:t>
      </w:r>
      <w:r w:rsidRPr="009B5E94">
        <w:rPr>
          <w:rFonts w:ascii="Calibri Light" w:hAnsi="Calibri Light" w:cs="Calibri Light"/>
          <w:i/>
          <w:iCs/>
          <w:sz w:val="24"/>
        </w:rPr>
        <w:t>Revista de Gestao Social e Ambiental</w:t>
      </w:r>
      <w:r w:rsidRPr="009B5E94">
        <w:rPr>
          <w:rFonts w:ascii="Calibri Light" w:hAnsi="Calibri Light" w:cs="Calibri Light"/>
          <w:sz w:val="24"/>
        </w:rPr>
        <w:t xml:space="preserve">, </w:t>
      </w:r>
      <w:r w:rsidRPr="009B5E94">
        <w:rPr>
          <w:rFonts w:ascii="Calibri Light" w:hAnsi="Calibri Light" w:cs="Calibri Light"/>
          <w:i/>
          <w:iCs/>
          <w:sz w:val="24"/>
        </w:rPr>
        <w:t>18</w:t>
      </w:r>
      <w:r w:rsidRPr="009B5E94">
        <w:rPr>
          <w:rFonts w:ascii="Calibri Light" w:hAnsi="Calibri Light" w:cs="Calibri Light"/>
          <w:sz w:val="24"/>
        </w:rPr>
        <w:t>(6), 1–17. https://doi.org/10.24857/rgsa.v18n6-005</w:t>
      </w:r>
    </w:p>
    <w:p w14:paraId="18219F34" w14:textId="344D801B"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(2024b). The phenomenon of the rise of online transactions : A case study Tokopedia . com and Bukalapak . com. </w:t>
      </w:r>
      <w:r w:rsidRPr="009B5E94">
        <w:rPr>
          <w:rFonts w:ascii="Calibri Light" w:hAnsi="Calibri Light" w:cs="Calibri Light"/>
          <w:i/>
          <w:iCs/>
          <w:sz w:val="24"/>
        </w:rPr>
        <w:t>Multidisciplinary Reviews</w:t>
      </w:r>
      <w:r w:rsidRPr="009B5E94">
        <w:rPr>
          <w:rFonts w:ascii="Calibri Light" w:hAnsi="Calibri Light" w:cs="Calibri Light"/>
          <w:sz w:val="24"/>
        </w:rPr>
        <w:t>.</w:t>
      </w:r>
      <w:r w:rsidR="009348EB">
        <w:rPr>
          <w:rFonts w:ascii="Calibri Light" w:hAnsi="Calibri Light" w:cs="Calibri Light"/>
          <w:sz w:val="24"/>
        </w:rPr>
        <w:t xml:space="preserve"> </w:t>
      </w:r>
      <w:hyperlink r:id="rId28" w:history="1">
        <w:r w:rsidR="009348EB">
          <w:rPr>
            <w:rStyle w:val="Hyperlink"/>
          </w:rPr>
          <w:t>https://10.31893/multirev.2024133</w:t>
        </w:r>
      </w:hyperlink>
    </w:p>
    <w:p w14:paraId="363B0F1C"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Amelia, I., &amp; Eprahim Ali, A. B. (2024). Islamic accounting: Ethics and contextualization of recording in Muamalah transactions. </w:t>
      </w:r>
      <w:r w:rsidRPr="009B5E94">
        <w:rPr>
          <w:rFonts w:ascii="Calibri Light" w:hAnsi="Calibri Light" w:cs="Calibri Light"/>
          <w:i/>
          <w:iCs/>
          <w:sz w:val="24"/>
        </w:rPr>
        <w:t>Multidisciplinary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(8), 2024132. https://doi.org/10.31893/multirev.2024132</w:t>
      </w:r>
    </w:p>
    <w:p w14:paraId="3802C492"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&amp; Rhezaldi, A. Y. (2024). Community economic empowerment through mosque management to improve people’s welfare. </w:t>
      </w:r>
      <w:r w:rsidRPr="009B5E94">
        <w:rPr>
          <w:rFonts w:ascii="Calibri Light" w:hAnsi="Calibri Light" w:cs="Calibri Light"/>
          <w:i/>
          <w:iCs/>
          <w:sz w:val="24"/>
        </w:rPr>
        <w:t>Multidisciplinary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(8). https://doi.org/10.31893/multirev.2024134</w:t>
      </w:r>
    </w:p>
    <w:p w14:paraId="50876769"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Muthoifin, M., Rosyadi, I., &amp; Prasetyo, H. (2024). The phenomenon of the rise of online transactions: A case study Tokopedia.com and Bukalapak.com sharia perspective. </w:t>
      </w:r>
      <w:r w:rsidRPr="009B5E94">
        <w:rPr>
          <w:rFonts w:ascii="Calibri Light" w:hAnsi="Calibri Light" w:cs="Calibri Light"/>
          <w:i/>
          <w:iCs/>
          <w:sz w:val="24"/>
        </w:rPr>
        <w:t>Multidisciplinary Reviews</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(8), 2024133. https://doi.org/10.31893/multirev.2024133</w:t>
      </w:r>
    </w:p>
    <w:p w14:paraId="445D2A77" w14:textId="6A37E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Putri, A. N., Husnayain, F., Fauziah, F., A, N. Q., &amp; Al-atsariyah, N. H. (2024). The Relevance of Weton Calculation Tradition in Javanese Culture in Determining Marriage Contracts : A Sharia Perspective. </w:t>
      </w:r>
      <w:r w:rsidRPr="009B5E94">
        <w:rPr>
          <w:rFonts w:ascii="Calibri Light" w:hAnsi="Calibri Light" w:cs="Calibri Light"/>
          <w:i/>
          <w:iCs/>
          <w:sz w:val="24"/>
        </w:rPr>
        <w:t>Demak Universal Journal of Islam and Sharia</w:t>
      </w:r>
      <w:r w:rsidRPr="009B5E94">
        <w:rPr>
          <w:rFonts w:ascii="Calibri Light" w:hAnsi="Calibri Light" w:cs="Calibri Light"/>
          <w:sz w:val="24"/>
        </w:rPr>
        <w:t xml:space="preserve">, </w:t>
      </w:r>
      <w:r w:rsidRPr="009B5E94">
        <w:rPr>
          <w:rFonts w:ascii="Calibri Light" w:hAnsi="Calibri Light" w:cs="Calibri Light"/>
          <w:i/>
          <w:iCs/>
          <w:sz w:val="24"/>
        </w:rPr>
        <w:t>2</w:t>
      </w:r>
      <w:r w:rsidRPr="009B5E94">
        <w:rPr>
          <w:rFonts w:ascii="Calibri Light" w:hAnsi="Calibri Light" w:cs="Calibri Light"/>
          <w:sz w:val="24"/>
        </w:rPr>
        <w:t>(3), 243–256.</w:t>
      </w:r>
      <w:r w:rsidR="004D13AD">
        <w:rPr>
          <w:rFonts w:ascii="Calibri Light" w:hAnsi="Calibri Light" w:cs="Calibri Light"/>
          <w:sz w:val="24"/>
        </w:rPr>
        <w:t xml:space="preserve"> </w:t>
      </w:r>
      <w:hyperlink r:id="rId29" w:history="1">
        <w:r w:rsidR="004D13AD">
          <w:rPr>
            <w:rStyle w:val="Hyperlink"/>
          </w:rPr>
          <w:t xml:space="preserve">https://doi.org/10.61455/deujis.v2i03.139 </w:t>
        </w:r>
      </w:hyperlink>
    </w:p>
    <w:p w14:paraId="38DB19AF" w14:textId="0FEBC858"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Ridlo, Muhammad Rosyid, Imron rosyadi, M. (2022). </w:t>
      </w:r>
      <w:r w:rsidR="00F732B7" w:rsidRPr="009B5E94">
        <w:rPr>
          <w:rFonts w:ascii="Calibri Light" w:hAnsi="Calibri Light" w:cs="Calibri Light"/>
          <w:sz w:val="24"/>
        </w:rPr>
        <w:t>The Law Of Nasab For Children Born Outside Of Legal Marriage According To Imam Ibn Qayyim Al-Jauziyyah</w:t>
      </w:r>
      <w:r w:rsidRPr="009B5E94">
        <w:rPr>
          <w:rFonts w:ascii="Calibri Light" w:hAnsi="Calibri Light" w:cs="Calibri Light"/>
          <w:sz w:val="24"/>
        </w:rPr>
        <w:t xml:space="preserve">. </w:t>
      </w:r>
      <w:r w:rsidRPr="009B5E94">
        <w:rPr>
          <w:rFonts w:ascii="Calibri Light" w:hAnsi="Calibri Light" w:cs="Calibri Light"/>
          <w:i/>
          <w:iCs/>
          <w:sz w:val="24"/>
        </w:rPr>
        <w:t>Profetika: Jurnal Studi Islam</w:t>
      </w:r>
      <w:r w:rsidRPr="009B5E94">
        <w:rPr>
          <w:rFonts w:ascii="Calibri Light" w:hAnsi="Calibri Light" w:cs="Calibri Light"/>
          <w:sz w:val="24"/>
        </w:rPr>
        <w:t xml:space="preserve">, </w:t>
      </w:r>
      <w:r w:rsidRPr="009B5E94">
        <w:rPr>
          <w:rFonts w:ascii="Calibri Light" w:hAnsi="Calibri Light" w:cs="Calibri Light"/>
          <w:i/>
          <w:iCs/>
          <w:sz w:val="24"/>
        </w:rPr>
        <w:t>23</w:t>
      </w:r>
      <w:r w:rsidRPr="009B5E94">
        <w:rPr>
          <w:rFonts w:ascii="Calibri Light" w:hAnsi="Calibri Light" w:cs="Calibri Light"/>
          <w:sz w:val="24"/>
        </w:rPr>
        <w:t>(2), 321–330.</w:t>
      </w:r>
      <w:r w:rsidR="004D13AD">
        <w:rPr>
          <w:rFonts w:ascii="Calibri Light" w:hAnsi="Calibri Light" w:cs="Calibri Light"/>
          <w:sz w:val="24"/>
        </w:rPr>
        <w:t xml:space="preserve"> </w:t>
      </w:r>
      <w:hyperlink r:id="rId30" w:history="1">
        <w:r w:rsidR="00F732B7">
          <w:rPr>
            <w:rStyle w:val="Hyperlink"/>
          </w:rPr>
          <w:t xml:space="preserve">https://doi.org/10.23917/profetika.v23i2.19671 </w:t>
        </w:r>
      </w:hyperlink>
    </w:p>
    <w:p w14:paraId="64E8A4D1"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Rowi, M. R. M., Abdurrahman, A., &amp; ... (2024). Navigating Business Ethics: Strategies for Overcoming the Dilemma of Profit and Compliance in Murabahah Transactions. </w:t>
      </w:r>
      <w:r w:rsidRPr="009B5E94">
        <w:rPr>
          <w:rFonts w:ascii="Calibri Light" w:hAnsi="Calibri Light" w:cs="Calibri Light"/>
          <w:i/>
          <w:iCs/>
          <w:sz w:val="24"/>
        </w:rPr>
        <w:t>Maktabah Reviews</w:t>
      </w:r>
      <w:r w:rsidRPr="009B5E94">
        <w:rPr>
          <w:rFonts w:ascii="Calibri Light" w:hAnsi="Calibri Light" w:cs="Calibri Light"/>
          <w:sz w:val="24"/>
        </w:rPr>
        <w:t xml:space="preserve">, </w:t>
      </w:r>
      <w:r w:rsidRPr="009B5E94">
        <w:rPr>
          <w:rFonts w:ascii="Calibri Light" w:hAnsi="Calibri Light" w:cs="Calibri Light"/>
          <w:i/>
          <w:iCs/>
          <w:sz w:val="24"/>
        </w:rPr>
        <w:t>1</w:t>
      </w:r>
      <w:r w:rsidRPr="009B5E94">
        <w:rPr>
          <w:rFonts w:ascii="Calibri Light" w:hAnsi="Calibri Light" w:cs="Calibri Light"/>
          <w:sz w:val="24"/>
        </w:rPr>
        <w:t>(1), 73–84. https://journal.walideminstitute.com/index.php/mr/article/view/133%0Ahttps://journal.walideminstitute.com/index.php/mr/article/download/133/300</w:t>
      </w:r>
    </w:p>
    <w:p w14:paraId="45858FB3"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Sanjaya, F. O., &amp; Rahardi, R. K. (2021). Kajian Ekolinguistik Metaforis Nilai-Nilai Kearifan Lokal Upacara Pernikahan Adat Manggarai, Flores, Nusa Tenggara Timur. </w:t>
      </w:r>
      <w:r w:rsidRPr="009B5E94">
        <w:rPr>
          <w:rFonts w:ascii="Calibri Light" w:hAnsi="Calibri Light" w:cs="Calibri Light"/>
          <w:i/>
          <w:iCs/>
          <w:sz w:val="24"/>
        </w:rPr>
        <w:t>Deiksis: Jurnal Pendidikan Bahasa Dan Sastra Indonesia</w:t>
      </w:r>
      <w:r w:rsidRPr="009B5E94">
        <w:rPr>
          <w:rFonts w:ascii="Calibri Light" w:hAnsi="Calibri Light" w:cs="Calibri Light"/>
          <w:sz w:val="24"/>
        </w:rPr>
        <w:t xml:space="preserve">, </w:t>
      </w:r>
      <w:r w:rsidRPr="009B5E94">
        <w:rPr>
          <w:rFonts w:ascii="Calibri Light" w:hAnsi="Calibri Light" w:cs="Calibri Light"/>
          <w:i/>
          <w:iCs/>
          <w:sz w:val="24"/>
        </w:rPr>
        <w:t>7</w:t>
      </w:r>
      <w:r w:rsidRPr="009B5E94">
        <w:rPr>
          <w:rFonts w:ascii="Calibri Light" w:hAnsi="Calibri Light" w:cs="Calibri Light"/>
          <w:sz w:val="24"/>
        </w:rPr>
        <w:t>(2), 12. https://doi.org/10.33603/deiksis.v7i2.3283</w:t>
      </w:r>
    </w:p>
    <w:p w14:paraId="7AF0D523" w14:textId="3E30BF51"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Santika, A. P., Hilmawati, F., Gita, P., Safitri, A., Rafiqi, Y., Hanafi, A., &amp; Suryaman, S. (2024). Islamic Perspective in Administering the Covid-19 Vaccine to Children : A Literature Review. </w:t>
      </w:r>
      <w:r w:rsidRPr="009B5E94">
        <w:rPr>
          <w:rFonts w:ascii="Calibri Light" w:hAnsi="Calibri Light" w:cs="Calibri Light"/>
          <w:i/>
          <w:iCs/>
          <w:sz w:val="24"/>
        </w:rPr>
        <w:t>Solo International Collaboration and Publication of Social Sciences and Humanities</w:t>
      </w:r>
      <w:r w:rsidRPr="009B5E94">
        <w:rPr>
          <w:rFonts w:ascii="Calibri Light" w:hAnsi="Calibri Light" w:cs="Calibri Light"/>
          <w:sz w:val="24"/>
        </w:rPr>
        <w:t xml:space="preserve">, </w:t>
      </w:r>
      <w:r w:rsidRPr="009B5E94">
        <w:rPr>
          <w:rFonts w:ascii="Calibri Light" w:hAnsi="Calibri Light" w:cs="Calibri Light"/>
          <w:i/>
          <w:iCs/>
          <w:sz w:val="24"/>
        </w:rPr>
        <w:t>2</w:t>
      </w:r>
      <w:r w:rsidRPr="009B5E94">
        <w:rPr>
          <w:rFonts w:ascii="Calibri Light" w:hAnsi="Calibri Light" w:cs="Calibri Light"/>
          <w:sz w:val="24"/>
        </w:rPr>
        <w:t>(1), 1–10.</w:t>
      </w:r>
      <w:r w:rsidR="0039215B">
        <w:rPr>
          <w:rFonts w:ascii="Calibri Light" w:hAnsi="Calibri Light" w:cs="Calibri Light"/>
          <w:sz w:val="24"/>
        </w:rPr>
        <w:t xml:space="preserve"> </w:t>
      </w:r>
      <w:hyperlink r:id="rId31" w:history="1">
        <w:r w:rsidR="0039215B">
          <w:rPr>
            <w:rStyle w:val="Hyperlink"/>
          </w:rPr>
          <w:t xml:space="preserve">https://doi.org/10.61455/sicopus.v2i01.79 </w:t>
        </w:r>
      </w:hyperlink>
    </w:p>
    <w:p w14:paraId="695494E0" w14:textId="37043BCC"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Saprudin, U., Junaedi, J., Kerwanto, K., &amp; Anurogo, D. (2023). </w:t>
      </w:r>
      <w:r w:rsidR="00B5357B" w:rsidRPr="009B5E94">
        <w:rPr>
          <w:rFonts w:ascii="Calibri Light" w:hAnsi="Calibri Light" w:cs="Calibri Light"/>
          <w:sz w:val="24"/>
        </w:rPr>
        <w:t>Limiting The Number Of Polygamies To Realize Economic Justice: A Hermeneutic Analysis Of Muhammad Syahrur</w:t>
      </w:r>
      <w:r w:rsidRPr="009B5E94">
        <w:rPr>
          <w:rFonts w:ascii="Calibri Light" w:hAnsi="Calibri Light" w:cs="Calibri Light"/>
          <w:sz w:val="24"/>
        </w:rPr>
        <w:t xml:space="preserve">. </w:t>
      </w:r>
      <w:r w:rsidRPr="009B5E94">
        <w:rPr>
          <w:rFonts w:ascii="Calibri Light" w:hAnsi="Calibri Light" w:cs="Calibri Light"/>
          <w:i/>
          <w:iCs/>
          <w:sz w:val="24"/>
        </w:rPr>
        <w:t>QiST: Journal of Quran and Tafseer Studies</w:t>
      </w:r>
      <w:r w:rsidRPr="009B5E94">
        <w:rPr>
          <w:rFonts w:ascii="Calibri Light" w:hAnsi="Calibri Light" w:cs="Calibri Light"/>
          <w:sz w:val="24"/>
        </w:rPr>
        <w:t xml:space="preserve">, </w:t>
      </w:r>
      <w:r w:rsidRPr="009B5E94">
        <w:rPr>
          <w:rFonts w:ascii="Calibri Light" w:hAnsi="Calibri Light" w:cs="Calibri Light"/>
          <w:i/>
          <w:iCs/>
          <w:sz w:val="24"/>
        </w:rPr>
        <w:t>2</w:t>
      </w:r>
      <w:r w:rsidRPr="009B5E94">
        <w:rPr>
          <w:rFonts w:ascii="Calibri Light" w:hAnsi="Calibri Light" w:cs="Calibri Light"/>
          <w:sz w:val="24"/>
        </w:rPr>
        <w:t>(3), 347–368. https://doi.org/10.23917/qist.v2i3.2769</w:t>
      </w:r>
    </w:p>
    <w:p w14:paraId="0E2933DC" w14:textId="77777777" w:rsidR="009B5E94" w:rsidRPr="009B5E94" w:rsidRDefault="00626EC5" w:rsidP="009B5E94">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Setiyanto, D. A. (2018). Hukum Islam sebagai rekayasa sosial dan implikasinya dalam undang-undang perkawinan di Indonesia. </w:t>
      </w:r>
      <w:r w:rsidRPr="009B5E94">
        <w:rPr>
          <w:rFonts w:ascii="Calibri Light" w:hAnsi="Calibri Light" w:cs="Calibri Light"/>
          <w:i/>
          <w:iCs/>
          <w:sz w:val="24"/>
        </w:rPr>
        <w:t>Ijtihad : Jurnal Wacana Hukum Islam Dan Kemanusiaan</w:t>
      </w:r>
      <w:r w:rsidRPr="009B5E94">
        <w:rPr>
          <w:rFonts w:ascii="Calibri Light" w:hAnsi="Calibri Light" w:cs="Calibri Light"/>
          <w:sz w:val="24"/>
        </w:rPr>
        <w:t xml:space="preserve">, </w:t>
      </w:r>
      <w:r w:rsidRPr="009B5E94">
        <w:rPr>
          <w:rFonts w:ascii="Calibri Light" w:hAnsi="Calibri Light" w:cs="Calibri Light"/>
          <w:i/>
          <w:iCs/>
          <w:sz w:val="24"/>
        </w:rPr>
        <w:t>17</w:t>
      </w:r>
      <w:r w:rsidRPr="009B5E94">
        <w:rPr>
          <w:rFonts w:ascii="Calibri Light" w:hAnsi="Calibri Light" w:cs="Calibri Light"/>
          <w:sz w:val="24"/>
        </w:rPr>
        <w:t>(2), 175. https://doi.org/10.18326/ijtihad.v17i2.175-189</w:t>
      </w:r>
    </w:p>
    <w:p w14:paraId="562B12F7" w14:textId="77777777" w:rsidR="00090B6C" w:rsidRPr="00090B6C" w:rsidRDefault="00626EC5" w:rsidP="00090B6C">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9B5E94">
        <w:rPr>
          <w:rFonts w:ascii="Calibri Light" w:hAnsi="Calibri Light" w:cs="Calibri Light"/>
          <w:sz w:val="24"/>
        </w:rPr>
        <w:t xml:space="preserve">Subeitan, S. M. (2022). Forced Marriage: Implementation of the Mandatory Provisions of the Bride’s Consent in Indonesia. </w:t>
      </w:r>
      <w:r w:rsidRPr="009B5E94">
        <w:rPr>
          <w:rFonts w:ascii="Calibri Light" w:hAnsi="Calibri Light" w:cs="Calibri Light"/>
          <w:i/>
          <w:iCs/>
          <w:sz w:val="24"/>
        </w:rPr>
        <w:t>Juris: Jurnal Ilmiah Syariah</w:t>
      </w:r>
      <w:r w:rsidRPr="009B5E94">
        <w:rPr>
          <w:rFonts w:ascii="Calibri Light" w:hAnsi="Calibri Light" w:cs="Calibri Light"/>
          <w:sz w:val="24"/>
        </w:rPr>
        <w:t xml:space="preserve">, </w:t>
      </w:r>
      <w:r w:rsidRPr="009B5E94">
        <w:rPr>
          <w:rFonts w:ascii="Calibri Light" w:hAnsi="Calibri Light" w:cs="Calibri Light"/>
          <w:i/>
          <w:iCs/>
          <w:sz w:val="24"/>
        </w:rPr>
        <w:t>21</w:t>
      </w:r>
      <w:r w:rsidRPr="009B5E94">
        <w:rPr>
          <w:rFonts w:ascii="Calibri Light" w:hAnsi="Calibri Light" w:cs="Calibri Light"/>
          <w:sz w:val="24"/>
        </w:rPr>
        <w:t>(1), 77–87. https://doi.org/10.31958/juris.v21i1.5581</w:t>
      </w:r>
    </w:p>
    <w:p w14:paraId="02256E07" w14:textId="412CBAFA"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Suwoko, Waston, Bambang Setiaji, Muthoifin, Huda Kurnia Maulana, E. B. G. (2024). Family Education to Improve the Quality of Human Resources and Sustainable Development in Samarinda. </w:t>
      </w:r>
      <w:r w:rsidRPr="00B76E95">
        <w:rPr>
          <w:rFonts w:ascii="Calibri Light" w:hAnsi="Calibri Light" w:cs="Calibri Light"/>
          <w:i/>
          <w:iCs/>
          <w:sz w:val="24"/>
        </w:rPr>
        <w:t>Revista de Gestão Social e Ambiental</w:t>
      </w:r>
      <w:r w:rsidRPr="00B76E95">
        <w:rPr>
          <w:rFonts w:ascii="Calibri Light" w:hAnsi="Calibri Light" w:cs="Calibri Light"/>
          <w:sz w:val="24"/>
        </w:rPr>
        <w:t xml:space="preserve">, </w:t>
      </w:r>
      <w:r w:rsidRPr="00B76E95">
        <w:rPr>
          <w:rFonts w:ascii="Calibri Light" w:hAnsi="Calibri Light" w:cs="Calibri Light"/>
          <w:i/>
          <w:iCs/>
          <w:sz w:val="24"/>
        </w:rPr>
        <w:t>18</w:t>
      </w:r>
      <w:r w:rsidRPr="00B76E95">
        <w:rPr>
          <w:rFonts w:ascii="Calibri Light" w:hAnsi="Calibri Light" w:cs="Calibri Light"/>
          <w:sz w:val="24"/>
        </w:rPr>
        <w:t>(6), 1–19.</w:t>
      </w:r>
      <w:r w:rsidR="008A46B8">
        <w:rPr>
          <w:rFonts w:ascii="Calibri Light" w:hAnsi="Calibri Light" w:cs="Calibri Light"/>
          <w:sz w:val="24"/>
        </w:rPr>
        <w:t xml:space="preserve"> </w:t>
      </w:r>
      <w:hyperlink r:id="rId32" w:history="1">
        <w:r w:rsidR="008A46B8">
          <w:rPr>
            <w:rStyle w:val="Hyperlink"/>
          </w:rPr>
          <w:t xml:space="preserve">https://doi.org/10.24857/rgsa.v18n6-011 </w:t>
        </w:r>
      </w:hyperlink>
    </w:p>
    <w:p w14:paraId="381A1033" w14:textId="6A97E2CF"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Tanggu, E., Kudubun, E. E., &amp; Utomo, A. W. (2021). Kawin Tangkap ( studi sosiologi tentang makna dan praktik kawin tangkap di desa mareda kalada , kec . Wewewa timur , kab . Sumba barat daya ). </w:t>
      </w:r>
      <w:r w:rsidRPr="00B76E95">
        <w:rPr>
          <w:rFonts w:ascii="Calibri Light" w:hAnsi="Calibri Light" w:cs="Calibri Light"/>
          <w:i/>
          <w:iCs/>
          <w:sz w:val="24"/>
        </w:rPr>
        <w:t>Equalita</w:t>
      </w:r>
      <w:r w:rsidRPr="00B76E95">
        <w:rPr>
          <w:rFonts w:ascii="Calibri Light" w:hAnsi="Calibri Light" w:cs="Calibri Light"/>
          <w:sz w:val="24"/>
        </w:rPr>
        <w:t xml:space="preserve">, </w:t>
      </w:r>
      <w:r w:rsidRPr="00B76E95">
        <w:rPr>
          <w:rFonts w:ascii="Calibri Light" w:hAnsi="Calibri Light" w:cs="Calibri Light"/>
          <w:i/>
          <w:iCs/>
          <w:sz w:val="24"/>
        </w:rPr>
        <w:t>3</w:t>
      </w:r>
      <w:r w:rsidRPr="00B76E95">
        <w:rPr>
          <w:rFonts w:ascii="Calibri Light" w:hAnsi="Calibri Light" w:cs="Calibri Light"/>
          <w:sz w:val="24"/>
        </w:rPr>
        <w:t>(2).</w:t>
      </w:r>
      <w:r w:rsidR="008A46B8">
        <w:rPr>
          <w:rFonts w:ascii="Calibri Light" w:hAnsi="Calibri Light" w:cs="Calibri Light"/>
          <w:sz w:val="24"/>
        </w:rPr>
        <w:t xml:space="preserve"> </w:t>
      </w:r>
      <w:r w:rsidR="008A46B8" w:rsidRPr="008A46B8">
        <w:rPr>
          <w:rFonts w:ascii="Calibri Light" w:hAnsi="Calibri Light" w:cs="Calibri Light"/>
          <w:sz w:val="24"/>
        </w:rPr>
        <w:t>http://syekhnurjati.ac.id/jurnal/index.php/equalita/article/view/9409</w:t>
      </w:r>
    </w:p>
    <w:p w14:paraId="22DFFE5B" w14:textId="7777777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Taufik, O. H. (2017). Kafâah Dalam Pernikahan Menurut Hukum Islam. </w:t>
      </w:r>
      <w:r w:rsidRPr="00B76E95">
        <w:rPr>
          <w:rFonts w:ascii="Calibri Light" w:hAnsi="Calibri Light" w:cs="Calibri Light"/>
          <w:i/>
          <w:iCs/>
          <w:sz w:val="24"/>
        </w:rPr>
        <w:t>Jurnal Ilmiah Galuh Justisi</w:t>
      </w:r>
      <w:r w:rsidRPr="00B76E95">
        <w:rPr>
          <w:rFonts w:ascii="Calibri Light" w:hAnsi="Calibri Light" w:cs="Calibri Light"/>
          <w:sz w:val="24"/>
        </w:rPr>
        <w:t xml:space="preserve">, </w:t>
      </w:r>
      <w:r w:rsidRPr="00B76E95">
        <w:rPr>
          <w:rFonts w:ascii="Calibri Light" w:hAnsi="Calibri Light" w:cs="Calibri Light"/>
          <w:i/>
          <w:iCs/>
          <w:sz w:val="24"/>
        </w:rPr>
        <w:t>5</w:t>
      </w:r>
      <w:r w:rsidRPr="00B76E95">
        <w:rPr>
          <w:rFonts w:ascii="Calibri Light" w:hAnsi="Calibri Light" w:cs="Calibri Light"/>
          <w:sz w:val="24"/>
        </w:rPr>
        <w:t>(2), 246. https://doi.org/10.25157/jigj.v5i2.795</w:t>
      </w:r>
    </w:p>
    <w:p w14:paraId="462C5CCD" w14:textId="3F71A5F9"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Thaib, Y. M., Elsakhawy, R. M., &amp; Al-, T. (2023). Marriages of More Than Four and its Impacts on Community Perspective of Islamic Law and Indonesian Law. </w:t>
      </w:r>
      <w:r w:rsidRPr="00B76E95">
        <w:rPr>
          <w:rFonts w:ascii="Calibri Light" w:hAnsi="Calibri Light" w:cs="Calibri Light"/>
          <w:i/>
          <w:iCs/>
          <w:sz w:val="24"/>
        </w:rPr>
        <w:t>Demak Universal Journal of Islam and Sharia</w:t>
      </w:r>
      <w:r w:rsidRPr="00B76E95">
        <w:rPr>
          <w:rFonts w:ascii="Calibri Light" w:hAnsi="Calibri Light" w:cs="Calibri Light"/>
          <w:sz w:val="24"/>
        </w:rPr>
        <w:t xml:space="preserve">, </w:t>
      </w:r>
      <w:r w:rsidRPr="00B76E95">
        <w:rPr>
          <w:rFonts w:ascii="Calibri Light" w:hAnsi="Calibri Light" w:cs="Calibri Light"/>
          <w:i/>
          <w:iCs/>
          <w:sz w:val="24"/>
        </w:rPr>
        <w:t>1</w:t>
      </w:r>
      <w:r w:rsidRPr="00B76E95">
        <w:rPr>
          <w:rFonts w:ascii="Calibri Light" w:hAnsi="Calibri Light" w:cs="Calibri Light"/>
          <w:sz w:val="24"/>
        </w:rPr>
        <w:t>(2), 67–82.</w:t>
      </w:r>
      <w:r w:rsidR="00E50D69">
        <w:rPr>
          <w:rFonts w:ascii="Calibri Light" w:hAnsi="Calibri Light" w:cs="Calibri Light"/>
          <w:sz w:val="24"/>
        </w:rPr>
        <w:t xml:space="preserve"> </w:t>
      </w:r>
      <w:hyperlink r:id="rId33" w:history="1">
        <w:r w:rsidR="00E50D69">
          <w:rPr>
            <w:rStyle w:val="Hyperlink"/>
          </w:rPr>
          <w:t xml:space="preserve">https://doi.org/10.61455/deujis.v1i02.8 </w:t>
        </w:r>
      </w:hyperlink>
    </w:p>
    <w:p w14:paraId="093A2D68" w14:textId="7777777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Toriq, A. R. (2023). Analisis Yuridis Tradisi Pemaksaan Perkawinan Berdasarkan Perspektif Hak Asasi Manusia (Studi Kasus Kawin Tangkap di Suku Sumba Nusa Tenggara Timur). </w:t>
      </w:r>
      <w:r w:rsidRPr="00B76E95">
        <w:rPr>
          <w:rFonts w:ascii="Calibri Light" w:hAnsi="Calibri Light" w:cs="Calibri Light"/>
          <w:i/>
          <w:iCs/>
          <w:sz w:val="24"/>
        </w:rPr>
        <w:t>Gema Keadilan</w:t>
      </w:r>
      <w:r w:rsidRPr="00B76E95">
        <w:rPr>
          <w:rFonts w:ascii="Calibri Light" w:hAnsi="Calibri Light" w:cs="Calibri Light"/>
          <w:sz w:val="24"/>
        </w:rPr>
        <w:t xml:space="preserve">, </w:t>
      </w:r>
      <w:r w:rsidRPr="00B76E95">
        <w:rPr>
          <w:rFonts w:ascii="Calibri Light" w:hAnsi="Calibri Light" w:cs="Calibri Light"/>
          <w:i/>
          <w:iCs/>
          <w:sz w:val="24"/>
        </w:rPr>
        <w:t>10</w:t>
      </w:r>
      <w:r w:rsidRPr="00B76E95">
        <w:rPr>
          <w:rFonts w:ascii="Calibri Light" w:hAnsi="Calibri Light" w:cs="Calibri Light"/>
          <w:sz w:val="24"/>
        </w:rPr>
        <w:t>(3), 138–152. https://doi.org/10.14710/gk.2023.20493</w:t>
      </w:r>
    </w:p>
    <w:p w14:paraId="26B0B9A7" w14:textId="354D625B"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Uddin, S., Khondoker, A., &amp; Abuzar, M. (2024). Ethical Curriculum Development : Insights From Islamic Epistemology Towards Sustainable Development Goals ( SDGs ). </w:t>
      </w:r>
      <w:r w:rsidRPr="00B76E95">
        <w:rPr>
          <w:rFonts w:ascii="Calibri Light" w:hAnsi="Calibri Light" w:cs="Calibri Light"/>
          <w:i/>
          <w:iCs/>
          <w:sz w:val="24"/>
        </w:rPr>
        <w:t>Profetika: Jurnal Studi Islam</w:t>
      </w:r>
      <w:r w:rsidRPr="00B76E95">
        <w:rPr>
          <w:rFonts w:ascii="Calibri Light" w:hAnsi="Calibri Light" w:cs="Calibri Light"/>
          <w:sz w:val="24"/>
        </w:rPr>
        <w:t xml:space="preserve">, </w:t>
      </w:r>
      <w:r w:rsidRPr="00B76E95">
        <w:rPr>
          <w:rFonts w:ascii="Calibri Light" w:hAnsi="Calibri Light" w:cs="Calibri Light"/>
          <w:i/>
          <w:iCs/>
          <w:sz w:val="24"/>
        </w:rPr>
        <w:t>25</w:t>
      </w:r>
      <w:r w:rsidRPr="00B76E95">
        <w:rPr>
          <w:rFonts w:ascii="Calibri Light" w:hAnsi="Calibri Light" w:cs="Calibri Light"/>
          <w:sz w:val="24"/>
        </w:rPr>
        <w:t>(2), 273–286.</w:t>
      </w:r>
      <w:r w:rsidR="00787014">
        <w:rPr>
          <w:rFonts w:ascii="Calibri Light" w:hAnsi="Calibri Light" w:cs="Calibri Light"/>
          <w:sz w:val="24"/>
        </w:rPr>
        <w:t xml:space="preserve"> </w:t>
      </w:r>
      <w:hyperlink r:id="rId34" w:history="1">
        <w:r w:rsidR="00787014">
          <w:rPr>
            <w:rStyle w:val="Hyperlink"/>
          </w:rPr>
          <w:t xml:space="preserve">https://doi.org/10.23917/profetika.v25i02.7306 </w:t>
        </w:r>
      </w:hyperlink>
    </w:p>
    <w:p w14:paraId="12C73896" w14:textId="7777777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Undang-undang, D. A. N. P. D., Iain, P., Intan, R., Alam, J. Z. A. P., Lampung, B., Perkawinan, U., Artikel, I., Taufik, O. H., Fauzi, A., Septiani, H., Sholehah, Z., Israfil, I., Salad, M., Aminullah, A., Subakti, S., Agust, A. R. A., Mahfudhi, H., Arrosid, M. K., Sanjaya, F. O., … Shamad, M. Y. (2022). The Legal Status of Women in Islam. </w:t>
      </w:r>
      <w:r w:rsidRPr="00B76E95">
        <w:rPr>
          <w:rFonts w:ascii="Calibri Light" w:hAnsi="Calibri Light" w:cs="Calibri Light"/>
          <w:i/>
          <w:iCs/>
          <w:sz w:val="24"/>
        </w:rPr>
        <w:t>Prosiding University Research Colloquium</w:t>
      </w:r>
      <w:r w:rsidRPr="00B76E95">
        <w:rPr>
          <w:rFonts w:ascii="Calibri Light" w:hAnsi="Calibri Light" w:cs="Calibri Light"/>
          <w:sz w:val="24"/>
        </w:rPr>
        <w:t xml:space="preserve">, </w:t>
      </w:r>
      <w:r w:rsidRPr="00B76E95">
        <w:rPr>
          <w:rFonts w:ascii="Calibri Light" w:hAnsi="Calibri Light" w:cs="Calibri Light"/>
          <w:i/>
          <w:iCs/>
          <w:sz w:val="24"/>
        </w:rPr>
        <w:t>3</w:t>
      </w:r>
      <w:r w:rsidRPr="00B76E95">
        <w:rPr>
          <w:rFonts w:ascii="Calibri Light" w:hAnsi="Calibri Light" w:cs="Calibri Light"/>
          <w:sz w:val="24"/>
        </w:rPr>
        <w:t>(2), 246. https://doi.org/10.25157/jigj.v5i2.795</w:t>
      </w:r>
    </w:p>
    <w:p w14:paraId="61052913" w14:textId="7B53EDA3"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Wachidah, N. H., Shobron, S., Afiyah, I., &amp; Srifyan, J. H. (2024). R.A Kartini’s Thoughts on Women’s Emancipation Progress. </w:t>
      </w:r>
      <w:r w:rsidRPr="00B76E95">
        <w:rPr>
          <w:rFonts w:ascii="Calibri Light" w:hAnsi="Calibri Light" w:cs="Calibri Light"/>
          <w:i/>
          <w:iCs/>
          <w:sz w:val="24"/>
        </w:rPr>
        <w:t>Journal of World Thinkers</w:t>
      </w:r>
      <w:r w:rsidRPr="00B76E95">
        <w:rPr>
          <w:rFonts w:ascii="Calibri Light" w:hAnsi="Calibri Light" w:cs="Calibri Light"/>
          <w:sz w:val="24"/>
        </w:rPr>
        <w:t xml:space="preserve">, </w:t>
      </w:r>
      <w:r w:rsidRPr="00B76E95">
        <w:rPr>
          <w:rFonts w:ascii="Calibri Light" w:hAnsi="Calibri Light" w:cs="Calibri Light"/>
          <w:i/>
          <w:iCs/>
          <w:sz w:val="24"/>
        </w:rPr>
        <w:t>1</w:t>
      </w:r>
      <w:r w:rsidRPr="00B76E95">
        <w:rPr>
          <w:rFonts w:ascii="Calibri Light" w:hAnsi="Calibri Light" w:cs="Calibri Light"/>
          <w:sz w:val="24"/>
        </w:rPr>
        <w:t>(1), 31–42.</w:t>
      </w:r>
      <w:r w:rsidR="00787014">
        <w:rPr>
          <w:rFonts w:ascii="Calibri Light" w:hAnsi="Calibri Light" w:cs="Calibri Light"/>
          <w:sz w:val="24"/>
        </w:rPr>
        <w:t xml:space="preserve"> </w:t>
      </w:r>
      <w:r w:rsidR="00B646C3" w:rsidRPr="00B646C3">
        <w:rPr>
          <w:rFonts w:ascii="Calibri Light" w:hAnsi="Calibri Light" w:cs="Calibri Light"/>
          <w:sz w:val="24"/>
        </w:rPr>
        <w:t>https://journal.walideminstitute.com/index.php/jwt/article/view/91</w:t>
      </w:r>
    </w:p>
    <w:p w14:paraId="3EC6BDA6" w14:textId="7777777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Mahmudulhassan, Andri Nirwana, &amp; Muthoifin, M. (2024). Parenting problems in the digital age and their solution development in the frame of value education. </w:t>
      </w:r>
      <w:r w:rsidRPr="00B76E95">
        <w:rPr>
          <w:rFonts w:ascii="Calibri Light" w:hAnsi="Calibri Light" w:cs="Calibri Light"/>
          <w:i/>
          <w:iCs/>
          <w:sz w:val="24"/>
        </w:rPr>
        <w:t>Multidisciplinary Reviews</w:t>
      </w:r>
      <w:r w:rsidRPr="00B76E95">
        <w:rPr>
          <w:rFonts w:ascii="Calibri Light" w:hAnsi="Calibri Light" w:cs="Calibri Light"/>
          <w:sz w:val="24"/>
        </w:rPr>
        <w:t xml:space="preserve">, </w:t>
      </w:r>
      <w:r w:rsidRPr="00B76E95">
        <w:rPr>
          <w:rFonts w:ascii="Calibri Light" w:hAnsi="Calibri Light" w:cs="Calibri Light"/>
          <w:i/>
          <w:iCs/>
          <w:sz w:val="24"/>
        </w:rPr>
        <w:t>7</w:t>
      </w:r>
      <w:r w:rsidRPr="00B76E95">
        <w:rPr>
          <w:rFonts w:ascii="Calibri Light" w:hAnsi="Calibri Light" w:cs="Calibri Light"/>
          <w:sz w:val="24"/>
        </w:rPr>
        <w:t>(8), 21–91. https://doi.org/https://doi.org/10.31893/multirev.2024163 Parenting</w:t>
      </w:r>
    </w:p>
    <w:p w14:paraId="5C7D891E" w14:textId="7D7878D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Muthoifin, Soleh Amini, Roni Ismail, Sekar Ayu Aryani, A. N. (2024). Religiosity to Minimize Violence: A Study of Solo Indonesian. </w:t>
      </w:r>
      <w:r w:rsidRPr="00B76E95">
        <w:rPr>
          <w:rFonts w:ascii="Calibri Light" w:hAnsi="Calibri Light" w:cs="Calibri Light"/>
          <w:i/>
          <w:iCs/>
          <w:sz w:val="24"/>
        </w:rPr>
        <w:t>Revista de Gestao Social e Ambiental</w:t>
      </w:r>
      <w:r w:rsidRPr="00B76E95">
        <w:rPr>
          <w:rFonts w:ascii="Calibri Light" w:hAnsi="Calibri Light" w:cs="Calibri Light"/>
          <w:sz w:val="24"/>
        </w:rPr>
        <w:t xml:space="preserve">, </w:t>
      </w:r>
      <w:r w:rsidRPr="00B76E95">
        <w:rPr>
          <w:rFonts w:ascii="Calibri Light" w:hAnsi="Calibri Light" w:cs="Calibri Light"/>
          <w:i/>
          <w:iCs/>
          <w:sz w:val="24"/>
        </w:rPr>
        <w:t>18</w:t>
      </w:r>
      <w:r w:rsidRPr="00B76E95">
        <w:rPr>
          <w:rFonts w:ascii="Calibri Light" w:hAnsi="Calibri Light" w:cs="Calibri Light"/>
          <w:sz w:val="24"/>
        </w:rPr>
        <w:t>(6), 1–22.</w:t>
      </w:r>
      <w:r w:rsidR="00860710">
        <w:rPr>
          <w:rFonts w:ascii="Calibri Light" w:hAnsi="Calibri Light" w:cs="Calibri Light"/>
          <w:sz w:val="24"/>
        </w:rPr>
        <w:t xml:space="preserve"> </w:t>
      </w:r>
      <w:hyperlink r:id="rId35" w:history="1">
        <w:r w:rsidR="00860710">
          <w:rPr>
            <w:rStyle w:val="Hyperlink"/>
          </w:rPr>
          <w:t xml:space="preserve">https://doi.org/10.24857/rgsa.v18n6-089 </w:t>
        </w:r>
      </w:hyperlink>
    </w:p>
    <w:p w14:paraId="78132C12" w14:textId="56DA5B86"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W., Amini, S., &amp; Arifin, M. (2024). A moral-based curriculum to improve civilization and human resource development in Bangladesh. </w:t>
      </w:r>
      <w:r w:rsidRPr="00B76E95">
        <w:rPr>
          <w:rFonts w:ascii="Calibri Light" w:hAnsi="Calibri Light" w:cs="Calibri Light"/>
          <w:i/>
          <w:iCs/>
          <w:sz w:val="24"/>
        </w:rPr>
        <w:t>Multidisciplinary Reviews</w:t>
      </w:r>
      <w:r w:rsidRPr="00B76E95">
        <w:rPr>
          <w:rFonts w:ascii="Calibri Light" w:hAnsi="Calibri Light" w:cs="Calibri Light"/>
          <w:sz w:val="24"/>
        </w:rPr>
        <w:t>.</w:t>
      </w:r>
      <w:r w:rsidR="00860710">
        <w:rPr>
          <w:rFonts w:ascii="Calibri Light" w:hAnsi="Calibri Light" w:cs="Calibri Light"/>
          <w:sz w:val="24"/>
        </w:rPr>
        <w:t xml:space="preserve"> </w:t>
      </w:r>
      <w:hyperlink r:id="rId36" w:history="1">
        <w:r w:rsidR="00860710">
          <w:rPr>
            <w:rStyle w:val="Hyperlink"/>
          </w:rPr>
          <w:t>https://10.31893/multirev.2024137</w:t>
        </w:r>
      </w:hyperlink>
    </w:p>
    <w:p w14:paraId="6EB00DF8" w14:textId="7777777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Waston, Wiranto, E. B., Ali, M., Achmad, N., Ramdhani, D., Muthoifin, &amp; AN, A. N. (2024). Islamophobia and Communism: Perpetual Prejudice in Contemporary Indonesia. </w:t>
      </w:r>
      <w:r w:rsidRPr="00B76E95">
        <w:rPr>
          <w:rFonts w:ascii="Calibri Light" w:hAnsi="Calibri Light" w:cs="Calibri Light"/>
          <w:i/>
          <w:iCs/>
          <w:sz w:val="24"/>
        </w:rPr>
        <w:t>Revista de Gestão Social e Ambiental</w:t>
      </w:r>
      <w:r w:rsidRPr="00B76E95">
        <w:rPr>
          <w:rFonts w:ascii="Calibri Light" w:hAnsi="Calibri Light" w:cs="Calibri Light"/>
          <w:sz w:val="24"/>
        </w:rPr>
        <w:t xml:space="preserve">, </w:t>
      </w:r>
      <w:r w:rsidRPr="00B76E95">
        <w:rPr>
          <w:rFonts w:ascii="Calibri Light" w:hAnsi="Calibri Light" w:cs="Calibri Light"/>
          <w:i/>
          <w:iCs/>
          <w:sz w:val="24"/>
        </w:rPr>
        <w:t>18</w:t>
      </w:r>
      <w:r w:rsidRPr="00B76E95">
        <w:rPr>
          <w:rFonts w:ascii="Calibri Light" w:hAnsi="Calibri Light" w:cs="Calibri Light"/>
          <w:sz w:val="24"/>
        </w:rPr>
        <w:t>(2), e04875. https://doi.org/10.24857/rgsa.v18n2-075</w:t>
      </w:r>
    </w:p>
    <w:p w14:paraId="60DF4319" w14:textId="7777777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Yusran, Q. Q., &amp; Afiyah, I. (2024). Optimizing the Potential of Zakat to Alleviate Poverty Problems and Improve Community Economy in Surakarta City. </w:t>
      </w:r>
      <w:r w:rsidRPr="00B76E95">
        <w:rPr>
          <w:rFonts w:ascii="Calibri Light" w:hAnsi="Calibri Light" w:cs="Calibri Light"/>
          <w:i/>
          <w:iCs/>
          <w:sz w:val="24"/>
        </w:rPr>
        <w:t>Journal of Ecohumanism</w:t>
      </w:r>
      <w:r w:rsidRPr="00B76E95">
        <w:rPr>
          <w:rFonts w:ascii="Calibri Light" w:hAnsi="Calibri Light" w:cs="Calibri Light"/>
          <w:sz w:val="24"/>
        </w:rPr>
        <w:t xml:space="preserve">, </w:t>
      </w:r>
      <w:r w:rsidRPr="00B76E95">
        <w:rPr>
          <w:rFonts w:ascii="Calibri Light" w:hAnsi="Calibri Light" w:cs="Calibri Light"/>
          <w:i/>
          <w:iCs/>
          <w:sz w:val="24"/>
        </w:rPr>
        <w:t>6798</w:t>
      </w:r>
      <w:r w:rsidRPr="00B76E95">
        <w:rPr>
          <w:rFonts w:ascii="Calibri Light" w:hAnsi="Calibri Light" w:cs="Calibri Light"/>
          <w:sz w:val="24"/>
        </w:rPr>
        <w:t>, 121–132. https://doi.org/https://doi.org/10.62754/joe.v3i3.3394</w:t>
      </w:r>
    </w:p>
    <w:p w14:paraId="09754BDB" w14:textId="77777777" w:rsidR="00B76E95" w:rsidRPr="00B76E95"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Yusran, Q. Q., &amp; Nirwana, A. (2024). The Practice of Changing the Status of Change of Waqf Property in the Islamic Social Economic View. </w:t>
      </w:r>
      <w:r w:rsidRPr="00B76E95">
        <w:rPr>
          <w:rFonts w:ascii="Calibri Light" w:hAnsi="Calibri Light" w:cs="Calibri Light"/>
          <w:i/>
          <w:iCs/>
          <w:sz w:val="24"/>
        </w:rPr>
        <w:t>Journal of Ecohumanism</w:t>
      </w:r>
      <w:r w:rsidRPr="00B76E95">
        <w:rPr>
          <w:rFonts w:ascii="Calibri Light" w:hAnsi="Calibri Light" w:cs="Calibri Light"/>
          <w:sz w:val="24"/>
        </w:rPr>
        <w:t xml:space="preserve">, </w:t>
      </w:r>
      <w:r w:rsidRPr="00B76E95">
        <w:rPr>
          <w:rFonts w:ascii="Calibri Light" w:hAnsi="Calibri Light" w:cs="Calibri Light"/>
          <w:i/>
          <w:iCs/>
          <w:sz w:val="24"/>
        </w:rPr>
        <w:t>6798</w:t>
      </w:r>
      <w:r w:rsidRPr="00B76E95">
        <w:rPr>
          <w:rFonts w:ascii="Calibri Light" w:hAnsi="Calibri Light" w:cs="Calibri Light"/>
          <w:sz w:val="24"/>
        </w:rPr>
        <w:t>, 229–238. https://doi.org/https://doi.org/10.62754/joe.v3i6.3996</w:t>
      </w:r>
    </w:p>
    <w:p w14:paraId="017C641D" w14:textId="101ED245" w:rsidR="00626EC5" w:rsidRPr="001660F6" w:rsidRDefault="00626EC5" w:rsidP="00B76E95">
      <w:pPr>
        <w:pStyle w:val="ListParagraph"/>
        <w:numPr>
          <w:ilvl w:val="0"/>
          <w:numId w:val="34"/>
        </w:numPr>
        <w:spacing w:before="120" w:after="120" w:line="240" w:lineRule="auto"/>
        <w:ind w:left="993" w:right="-1" w:hanging="567"/>
        <w:contextualSpacing w:val="0"/>
        <w:jc w:val="both"/>
        <w:rPr>
          <w:rFonts w:ascii="Calibri Light" w:hAnsi="Calibri Light" w:cs="Calibri Light"/>
          <w:sz w:val="24"/>
          <w:szCs w:val="24"/>
        </w:rPr>
      </w:pPr>
      <w:r w:rsidRPr="00B76E95">
        <w:rPr>
          <w:rFonts w:ascii="Calibri Light" w:hAnsi="Calibri Light" w:cs="Calibri Light"/>
          <w:sz w:val="24"/>
        </w:rPr>
        <w:t xml:space="preserve">Zulfikar, E. (2020). Tinjauan Tafsir Ahkam Tentang Hukum Pernikahan Dalam Al-Qur’an Surat Al-Nur Ayat 32-33. </w:t>
      </w:r>
      <w:r w:rsidRPr="00B76E95">
        <w:rPr>
          <w:rFonts w:ascii="Calibri Light" w:hAnsi="Calibri Light" w:cs="Calibri Light"/>
          <w:i/>
          <w:iCs/>
          <w:sz w:val="24"/>
        </w:rPr>
        <w:t>Mahkamah : Jurnal Kajian Hukum Islam</w:t>
      </w:r>
      <w:r w:rsidRPr="00B76E95">
        <w:rPr>
          <w:rFonts w:ascii="Calibri Light" w:hAnsi="Calibri Light" w:cs="Calibri Light"/>
          <w:sz w:val="24"/>
        </w:rPr>
        <w:t xml:space="preserve">, </w:t>
      </w:r>
      <w:r w:rsidRPr="00B76E95">
        <w:rPr>
          <w:rFonts w:ascii="Calibri Light" w:hAnsi="Calibri Light" w:cs="Calibri Light"/>
          <w:i/>
          <w:iCs/>
          <w:sz w:val="24"/>
        </w:rPr>
        <w:t>5</w:t>
      </w:r>
      <w:r w:rsidRPr="00B76E95">
        <w:rPr>
          <w:rFonts w:ascii="Calibri Light" w:hAnsi="Calibri Light" w:cs="Calibri Light"/>
          <w:sz w:val="24"/>
        </w:rPr>
        <w:t>(2). https://doi.org/10.24235/mahkamah.v5i2.6857</w:t>
      </w:r>
    </w:p>
    <w:p w14:paraId="795777B0" w14:textId="77777777" w:rsidR="001660F6" w:rsidRPr="00B76E95" w:rsidRDefault="001660F6" w:rsidP="001660F6">
      <w:pPr>
        <w:pStyle w:val="ListParagraph"/>
        <w:spacing w:before="120" w:after="120" w:line="240" w:lineRule="auto"/>
        <w:ind w:left="993" w:right="-1"/>
        <w:contextualSpacing w:val="0"/>
        <w:jc w:val="both"/>
        <w:rPr>
          <w:rFonts w:ascii="Calibri Light" w:hAnsi="Calibri Light" w:cs="Calibri Light"/>
          <w:sz w:val="24"/>
          <w:szCs w:val="24"/>
        </w:rPr>
      </w:pPr>
    </w:p>
    <w:p w14:paraId="3C1408CF" w14:textId="11AD34C6" w:rsidR="00930DAC" w:rsidRPr="00A4489B" w:rsidRDefault="006420BA" w:rsidP="00A374ED">
      <w:pPr>
        <w:jc w:val="both"/>
      </w:pPr>
      <w:r w:rsidRPr="00A4489B">
        <w:fldChar w:fldCharType="end"/>
      </w:r>
    </w:p>
    <w:sectPr w:rsidR="00930DAC" w:rsidRPr="00A4489B" w:rsidSect="007816FC">
      <w:headerReference w:type="even" r:id="rId37"/>
      <w:headerReference w:type="default" r:id="rId38"/>
      <w:footerReference w:type="even" r:id="rId39"/>
      <w:footerReference w:type="default" r:id="rId40"/>
      <w:headerReference w:type="first" r:id="rId41"/>
      <w:footerReference w:type="first" r:id="rId42"/>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268728" w14:textId="77777777" w:rsidR="00C21148" w:rsidRDefault="00C21148">
      <w:r>
        <w:separator/>
      </w:r>
    </w:p>
  </w:endnote>
  <w:endnote w:type="continuationSeparator" w:id="0">
    <w:p w14:paraId="7A0B6F66" w14:textId="77777777" w:rsidR="00C21148" w:rsidRDefault="00C211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charset w:val="B2"/>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741833" w14:textId="056A3FA1" w:rsidR="00122F5F" w:rsidRPr="00540F02" w:rsidRDefault="009279B1"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25EE80BA" wp14:editId="3990DC8F">
              <wp:simplePos x="0" y="0"/>
              <wp:positionH relativeFrom="column">
                <wp:posOffset>5151755</wp:posOffset>
              </wp:positionH>
              <wp:positionV relativeFrom="paragraph">
                <wp:posOffset>-64770</wp:posOffset>
              </wp:positionV>
              <wp:extent cx="619760" cy="278130"/>
              <wp:effectExtent l="13335" t="7620" r="5080" b="9525"/>
              <wp:wrapNone/>
              <wp:docPr id="156854066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E80BA"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122F5F" w:rsidRPr="00540F02">
      <w:rPr>
        <w:rFonts w:ascii="Calibri Light" w:hAnsi="Calibri Light" w:cs="Calibri Light"/>
        <w:sz w:val="16"/>
        <w:szCs w:val="16"/>
      </w:rPr>
      <w:t>International Journal Law and Society</w:t>
    </w:r>
  </w:p>
  <w:p w14:paraId="15D114BA"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DDE9C5" w14:textId="633B7C00" w:rsidR="0008220C" w:rsidRPr="00540F02" w:rsidRDefault="009279B1"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49CD306B" wp14:editId="1803C223">
              <wp:simplePos x="0" y="0"/>
              <wp:positionH relativeFrom="column">
                <wp:posOffset>5151755</wp:posOffset>
              </wp:positionH>
              <wp:positionV relativeFrom="paragraph">
                <wp:posOffset>-64770</wp:posOffset>
              </wp:positionV>
              <wp:extent cx="619760" cy="278130"/>
              <wp:effectExtent l="13335" t="7620" r="5080" b="9525"/>
              <wp:wrapNone/>
              <wp:docPr id="87701574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D306B"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08220C" w:rsidRPr="00540F02">
      <w:rPr>
        <w:rFonts w:ascii="Calibri Light" w:hAnsi="Calibri Light" w:cs="Calibri Light"/>
        <w:sz w:val="16"/>
        <w:szCs w:val="16"/>
      </w:rPr>
      <w:t>International Journal Law and Society</w:t>
    </w:r>
  </w:p>
  <w:p w14:paraId="245E1065"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EB5A3" w14:textId="3999BEB7" w:rsidR="00965E3F" w:rsidRPr="0008220C" w:rsidRDefault="009279B1"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4F1DA71" wp14:editId="63C5E2C6">
              <wp:simplePos x="0" y="0"/>
              <wp:positionH relativeFrom="column">
                <wp:posOffset>5151755</wp:posOffset>
              </wp:positionH>
              <wp:positionV relativeFrom="paragraph">
                <wp:posOffset>-64770</wp:posOffset>
              </wp:positionV>
              <wp:extent cx="619760" cy="278130"/>
              <wp:effectExtent l="13335" t="7620" r="5080" b="9525"/>
              <wp:wrapNone/>
              <wp:docPr id="78585516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1DA71"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FF1D30" w:rsidRPr="0008220C">
      <w:rPr>
        <w:rFonts w:ascii="Calibri Light" w:hAnsi="Calibri Light" w:cs="Calibri Light"/>
        <w:sz w:val="16"/>
        <w:szCs w:val="16"/>
      </w:rPr>
      <w:t>International Journal Law and Society</w:t>
    </w:r>
  </w:p>
  <w:p w14:paraId="7B1AE97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C06252" w14:textId="77777777" w:rsidR="00C21148" w:rsidRDefault="00C21148">
      <w:r>
        <w:separator/>
      </w:r>
    </w:p>
  </w:footnote>
  <w:footnote w:type="continuationSeparator" w:id="0">
    <w:p w14:paraId="762DBA32" w14:textId="77777777" w:rsidR="00C21148" w:rsidRDefault="00C211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3962F" w14:textId="76B1F109" w:rsidR="00122F5F" w:rsidRDefault="009279B1" w:rsidP="00122F5F">
    <w:pPr>
      <w:pStyle w:val="Header"/>
    </w:pPr>
    <w:r>
      <w:rPr>
        <w:noProof/>
      </w:rPr>
      <mc:AlternateContent>
        <mc:Choice Requires="wps">
          <w:drawing>
            <wp:anchor distT="0" distB="0" distL="114300" distR="114300" simplePos="0" relativeHeight="251656192" behindDoc="1" locked="0" layoutInCell="1" allowOverlap="1" wp14:anchorId="65EF40E2" wp14:editId="3AA568CA">
              <wp:simplePos x="0" y="0"/>
              <wp:positionH relativeFrom="page">
                <wp:posOffset>962025</wp:posOffset>
              </wp:positionH>
              <wp:positionV relativeFrom="page">
                <wp:posOffset>947420</wp:posOffset>
              </wp:positionV>
              <wp:extent cx="1998980" cy="229870"/>
              <wp:effectExtent l="0" t="4445" r="1270" b="3810"/>
              <wp:wrapNone/>
              <wp:docPr id="13011227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EF40E2"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6991983" wp14:editId="2469B75E">
              <wp:simplePos x="0" y="0"/>
              <wp:positionH relativeFrom="page">
                <wp:posOffset>6497955</wp:posOffset>
              </wp:positionH>
              <wp:positionV relativeFrom="page">
                <wp:posOffset>445135</wp:posOffset>
              </wp:positionV>
              <wp:extent cx="231775" cy="177800"/>
              <wp:effectExtent l="1905" t="0" r="4445" b="0"/>
              <wp:wrapNone/>
              <wp:docPr id="6770059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91983"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A747049" wp14:editId="02912AA5">
              <wp:simplePos x="0" y="0"/>
              <wp:positionH relativeFrom="page">
                <wp:posOffset>3143250</wp:posOffset>
              </wp:positionH>
              <wp:positionV relativeFrom="page">
                <wp:posOffset>784860</wp:posOffset>
              </wp:positionV>
              <wp:extent cx="3523615" cy="416560"/>
              <wp:effectExtent l="0" t="3810" r="635" b="0"/>
              <wp:wrapNone/>
              <wp:docPr id="89005726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68A81"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47049"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12968A81"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4004751D" wp14:editId="6BC828E2">
          <wp:extent cx="1095375" cy="50482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0CE54432" w14:textId="77777777" w:rsidR="00122F5F" w:rsidRDefault="00122F5F" w:rsidP="00122F5F">
    <w:pPr>
      <w:pStyle w:val="Header"/>
      <w:rPr>
        <w:sz w:val="16"/>
        <w:szCs w:val="16"/>
      </w:rPr>
    </w:pPr>
  </w:p>
  <w:p w14:paraId="5275F1B4" w14:textId="77777777" w:rsidR="00AA4AE4" w:rsidRDefault="00AA4AE4" w:rsidP="00122F5F">
    <w:pPr>
      <w:pStyle w:val="Header"/>
      <w:rPr>
        <w:sz w:val="16"/>
        <w:szCs w:val="16"/>
      </w:rPr>
    </w:pPr>
  </w:p>
  <w:p w14:paraId="11C6616F"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D4874" w14:textId="18C18536" w:rsidR="00540F02" w:rsidRDefault="009279B1" w:rsidP="00540F02">
    <w:pPr>
      <w:pStyle w:val="Header"/>
    </w:pPr>
    <w:r>
      <w:rPr>
        <w:noProof/>
      </w:rPr>
      <mc:AlternateContent>
        <mc:Choice Requires="wps">
          <w:drawing>
            <wp:anchor distT="0" distB="0" distL="114300" distR="114300" simplePos="0" relativeHeight="251658240" behindDoc="1" locked="0" layoutInCell="1" allowOverlap="1" wp14:anchorId="060DB626" wp14:editId="031005F7">
              <wp:simplePos x="0" y="0"/>
              <wp:positionH relativeFrom="page">
                <wp:posOffset>962025</wp:posOffset>
              </wp:positionH>
              <wp:positionV relativeFrom="page">
                <wp:posOffset>947420</wp:posOffset>
              </wp:positionV>
              <wp:extent cx="1998980" cy="229870"/>
              <wp:effectExtent l="0" t="4445" r="1270" b="3810"/>
              <wp:wrapNone/>
              <wp:docPr id="2442269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0DB626"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571196C3" wp14:editId="0E8FC16D">
              <wp:simplePos x="0" y="0"/>
              <wp:positionH relativeFrom="page">
                <wp:posOffset>6464300</wp:posOffset>
              </wp:positionH>
              <wp:positionV relativeFrom="page">
                <wp:posOffset>467360</wp:posOffset>
              </wp:positionV>
              <wp:extent cx="231775" cy="177800"/>
              <wp:effectExtent l="0" t="635" r="0" b="2540"/>
              <wp:wrapNone/>
              <wp:docPr id="8418382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196C3"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58D19134" wp14:editId="2C63C8EA">
              <wp:simplePos x="0" y="0"/>
              <wp:positionH relativeFrom="page">
                <wp:posOffset>3143250</wp:posOffset>
              </wp:positionH>
              <wp:positionV relativeFrom="page">
                <wp:posOffset>784860</wp:posOffset>
              </wp:positionV>
              <wp:extent cx="3523615" cy="416560"/>
              <wp:effectExtent l="0" t="3810" r="635" b="0"/>
              <wp:wrapNone/>
              <wp:docPr id="88326129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EF5B0"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19134"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5BCEF5B0"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7ABC53F9" wp14:editId="054DDF83">
          <wp:extent cx="1095375" cy="5048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73A137FF" w14:textId="77777777" w:rsidR="00540F02" w:rsidRDefault="00540F02" w:rsidP="00540F02">
    <w:pPr>
      <w:pStyle w:val="Header"/>
      <w:rPr>
        <w:sz w:val="16"/>
        <w:szCs w:val="16"/>
      </w:rPr>
    </w:pPr>
  </w:p>
  <w:p w14:paraId="0AEE28C7" w14:textId="77777777" w:rsidR="00540F02" w:rsidRDefault="00540F02" w:rsidP="00540F02">
    <w:pPr>
      <w:pStyle w:val="Header"/>
      <w:rPr>
        <w:sz w:val="16"/>
        <w:szCs w:val="16"/>
      </w:rPr>
    </w:pPr>
  </w:p>
  <w:p w14:paraId="6D9F0693"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0F90A" w14:textId="0C30C80C" w:rsidR="00FF1D30" w:rsidRDefault="009279B1">
    <w:pPr>
      <w:pStyle w:val="Header"/>
    </w:pPr>
    <w:r>
      <w:rPr>
        <w:noProof/>
      </w:rPr>
      <mc:AlternateContent>
        <mc:Choice Requires="wps">
          <w:drawing>
            <wp:anchor distT="0" distB="0" distL="114300" distR="114300" simplePos="0" relativeHeight="251652096" behindDoc="1" locked="0" layoutInCell="1" allowOverlap="1" wp14:anchorId="5FC75255" wp14:editId="5F34EB39">
              <wp:simplePos x="0" y="0"/>
              <wp:positionH relativeFrom="page">
                <wp:posOffset>942975</wp:posOffset>
              </wp:positionH>
              <wp:positionV relativeFrom="page">
                <wp:posOffset>947420</wp:posOffset>
              </wp:positionV>
              <wp:extent cx="1998980" cy="229870"/>
              <wp:effectExtent l="0" t="4445" r="1270" b="3810"/>
              <wp:wrapNone/>
              <wp:docPr id="9301795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C75255"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7CAE826F" wp14:editId="237ADD03">
              <wp:simplePos x="0" y="0"/>
              <wp:positionH relativeFrom="page">
                <wp:posOffset>6464300</wp:posOffset>
              </wp:positionH>
              <wp:positionV relativeFrom="page">
                <wp:posOffset>439420</wp:posOffset>
              </wp:positionV>
              <wp:extent cx="231775" cy="177800"/>
              <wp:effectExtent l="0" t="1270" r="0" b="1905"/>
              <wp:wrapNone/>
              <wp:docPr id="184321329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E826F"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4DCECA52" wp14:editId="7AA374FF">
              <wp:simplePos x="0" y="0"/>
              <wp:positionH relativeFrom="page">
                <wp:posOffset>3143250</wp:posOffset>
              </wp:positionH>
              <wp:positionV relativeFrom="page">
                <wp:posOffset>784860</wp:posOffset>
              </wp:positionV>
              <wp:extent cx="3516630" cy="416560"/>
              <wp:effectExtent l="0" t="3810" r="0" b="0"/>
              <wp:wrapNone/>
              <wp:docPr id="12604439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799B6" w14:textId="3F4A7F15" w:rsidR="00FF1D30" w:rsidRPr="00FF1D30" w:rsidRDefault="00053014" w:rsidP="00FF1D30">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00EF45CC" w:rsidRPr="00EF45CC">
                            <w:rPr>
                              <w:rFonts w:ascii="Calibri Light" w:hAnsi="Calibri Light" w:cs="Calibri Light"/>
                              <w:sz w:val="18"/>
                            </w:rPr>
                            <w:t>Al-Gifari</w:t>
                          </w:r>
                          <w:r>
                            <w:rPr>
                              <w:rFonts w:ascii="Calibri Light" w:hAnsi="Calibri Light" w:cs="Calibri Light"/>
                              <w:sz w:val="18"/>
                            </w:rPr>
                            <w:t>., Afiyah, I.,</w:t>
                          </w:r>
                          <w:r w:rsidR="00FF1D30"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ECA52"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104799B6" w14:textId="3F4A7F15" w:rsidR="00FF1D30" w:rsidRPr="00FF1D30" w:rsidRDefault="00053014" w:rsidP="00FF1D30">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00EF45CC" w:rsidRPr="00EF45CC">
                      <w:rPr>
                        <w:rFonts w:ascii="Calibri Light" w:hAnsi="Calibri Light" w:cs="Calibri Light"/>
                        <w:sz w:val="18"/>
                      </w:rPr>
                      <w:t>Al-Gifari</w:t>
                    </w:r>
                    <w:r>
                      <w:rPr>
                        <w:rFonts w:ascii="Calibri Light" w:hAnsi="Calibri Light" w:cs="Calibri Light"/>
                        <w:sz w:val="18"/>
                      </w:rPr>
                      <w:t>., Afiyah, I.,</w:t>
                    </w:r>
                    <w:r w:rsidR="00FF1D30"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v:textbox>
              <w10:wrap anchorx="page" anchory="page"/>
            </v:shape>
          </w:pict>
        </mc:Fallback>
      </mc:AlternateContent>
    </w:r>
    <w:r>
      <w:rPr>
        <w:noProof/>
      </w:rPr>
      <w:drawing>
        <wp:inline distT="0" distB="0" distL="0" distR="0" wp14:anchorId="11347825" wp14:editId="1BBA618D">
          <wp:extent cx="1095375" cy="5048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10DEB214" w14:textId="77777777" w:rsidR="00FF1D30" w:rsidRDefault="00FF1D30">
    <w:pPr>
      <w:pStyle w:val="Header"/>
      <w:rPr>
        <w:sz w:val="16"/>
        <w:szCs w:val="16"/>
      </w:rPr>
    </w:pPr>
  </w:p>
  <w:p w14:paraId="4A625AA5" w14:textId="77777777" w:rsidR="00FF1D30" w:rsidRDefault="00FF1D30">
    <w:pPr>
      <w:pStyle w:val="Header"/>
      <w:rPr>
        <w:sz w:val="16"/>
        <w:szCs w:val="16"/>
      </w:rPr>
    </w:pPr>
  </w:p>
  <w:p w14:paraId="3A3C3A51"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BFF29AD"/>
    <w:multiLevelType w:val="hybridMultilevel"/>
    <w:tmpl w:val="06BCBD68"/>
    <w:lvl w:ilvl="0" w:tplc="088E8888">
      <w:start w:val="1"/>
      <w:numFmt w:val="decimal"/>
      <w:lvlText w:val="[%1]"/>
      <w:lvlJc w:val="left"/>
      <w:pPr>
        <w:ind w:left="1146" w:hanging="360"/>
      </w:pPr>
      <w:rPr>
        <w:rFonts w:hint="default"/>
      </w:rPr>
    </w:lvl>
    <w:lvl w:ilvl="1" w:tplc="38090019">
      <w:start w:val="1"/>
      <w:numFmt w:val="lowerLetter"/>
      <w:lvlText w:val="%2."/>
      <w:lvlJc w:val="left"/>
      <w:pPr>
        <w:ind w:left="1866" w:hanging="360"/>
      </w:pPr>
    </w:lvl>
    <w:lvl w:ilvl="2" w:tplc="3809001B" w:tentative="1">
      <w:start w:val="1"/>
      <w:numFmt w:val="lowerRoman"/>
      <w:lvlText w:val="%3."/>
      <w:lvlJc w:val="right"/>
      <w:pPr>
        <w:ind w:left="2586" w:hanging="180"/>
      </w:pPr>
    </w:lvl>
    <w:lvl w:ilvl="3" w:tplc="3809000F" w:tentative="1">
      <w:start w:val="1"/>
      <w:numFmt w:val="decimal"/>
      <w:lvlText w:val="%4."/>
      <w:lvlJc w:val="left"/>
      <w:pPr>
        <w:ind w:left="3306" w:hanging="360"/>
      </w:pPr>
    </w:lvl>
    <w:lvl w:ilvl="4" w:tplc="38090019" w:tentative="1">
      <w:start w:val="1"/>
      <w:numFmt w:val="lowerLetter"/>
      <w:lvlText w:val="%5."/>
      <w:lvlJc w:val="left"/>
      <w:pPr>
        <w:ind w:left="4026" w:hanging="360"/>
      </w:pPr>
    </w:lvl>
    <w:lvl w:ilvl="5" w:tplc="3809001B" w:tentative="1">
      <w:start w:val="1"/>
      <w:numFmt w:val="lowerRoman"/>
      <w:lvlText w:val="%6."/>
      <w:lvlJc w:val="right"/>
      <w:pPr>
        <w:ind w:left="4746" w:hanging="180"/>
      </w:pPr>
    </w:lvl>
    <w:lvl w:ilvl="6" w:tplc="3809000F" w:tentative="1">
      <w:start w:val="1"/>
      <w:numFmt w:val="decimal"/>
      <w:lvlText w:val="%7."/>
      <w:lvlJc w:val="left"/>
      <w:pPr>
        <w:ind w:left="5466" w:hanging="360"/>
      </w:pPr>
    </w:lvl>
    <w:lvl w:ilvl="7" w:tplc="38090019" w:tentative="1">
      <w:start w:val="1"/>
      <w:numFmt w:val="lowerLetter"/>
      <w:lvlText w:val="%8."/>
      <w:lvlJc w:val="left"/>
      <w:pPr>
        <w:ind w:left="6186" w:hanging="360"/>
      </w:pPr>
    </w:lvl>
    <w:lvl w:ilvl="8" w:tplc="3809001B" w:tentative="1">
      <w:start w:val="1"/>
      <w:numFmt w:val="lowerRoman"/>
      <w:lvlText w:val="%9."/>
      <w:lvlJc w:val="right"/>
      <w:pPr>
        <w:ind w:left="6906" w:hanging="180"/>
      </w:pPr>
    </w:lvl>
  </w:abstractNum>
  <w:abstractNum w:abstractNumId="11" w15:restartNumberingAfterBreak="0">
    <w:nsid w:val="1D1E3992"/>
    <w:multiLevelType w:val="hybridMultilevel"/>
    <w:tmpl w:val="FFFFFFFF"/>
    <w:lvl w:ilvl="0" w:tplc="40486B24">
      <w:start w:val="1"/>
      <w:numFmt w:val="decimal"/>
      <w:lvlText w:val="[%1]"/>
      <w:lvlJc w:val="left"/>
      <w:pPr>
        <w:ind w:left="1637" w:hanging="360"/>
      </w:pPr>
      <w:rPr>
        <w:rFonts w:cs="Times New Roman" w:hint="default"/>
        <w:color w:val="auto"/>
      </w:rPr>
    </w:lvl>
    <w:lvl w:ilvl="1" w:tplc="04210019" w:tentative="1">
      <w:start w:val="1"/>
      <w:numFmt w:val="lowerLetter"/>
      <w:lvlText w:val="%2."/>
      <w:lvlJc w:val="left"/>
      <w:pPr>
        <w:ind w:left="3065" w:hanging="360"/>
      </w:pPr>
      <w:rPr>
        <w:rFonts w:cs="Times New Roman"/>
      </w:rPr>
    </w:lvl>
    <w:lvl w:ilvl="2" w:tplc="0421001B" w:tentative="1">
      <w:start w:val="1"/>
      <w:numFmt w:val="lowerRoman"/>
      <w:lvlText w:val="%3."/>
      <w:lvlJc w:val="right"/>
      <w:pPr>
        <w:ind w:left="3785" w:hanging="180"/>
      </w:pPr>
      <w:rPr>
        <w:rFonts w:cs="Times New Roman"/>
      </w:rPr>
    </w:lvl>
    <w:lvl w:ilvl="3" w:tplc="0421000F" w:tentative="1">
      <w:start w:val="1"/>
      <w:numFmt w:val="decimal"/>
      <w:lvlText w:val="%4."/>
      <w:lvlJc w:val="left"/>
      <w:pPr>
        <w:ind w:left="4505" w:hanging="360"/>
      </w:pPr>
      <w:rPr>
        <w:rFonts w:cs="Times New Roman"/>
      </w:rPr>
    </w:lvl>
    <w:lvl w:ilvl="4" w:tplc="04210019" w:tentative="1">
      <w:start w:val="1"/>
      <w:numFmt w:val="lowerLetter"/>
      <w:lvlText w:val="%5."/>
      <w:lvlJc w:val="left"/>
      <w:pPr>
        <w:ind w:left="5225" w:hanging="360"/>
      </w:pPr>
      <w:rPr>
        <w:rFonts w:cs="Times New Roman"/>
      </w:rPr>
    </w:lvl>
    <w:lvl w:ilvl="5" w:tplc="0421001B" w:tentative="1">
      <w:start w:val="1"/>
      <w:numFmt w:val="lowerRoman"/>
      <w:lvlText w:val="%6."/>
      <w:lvlJc w:val="right"/>
      <w:pPr>
        <w:ind w:left="5945" w:hanging="180"/>
      </w:pPr>
      <w:rPr>
        <w:rFonts w:cs="Times New Roman"/>
      </w:rPr>
    </w:lvl>
    <w:lvl w:ilvl="6" w:tplc="0421000F" w:tentative="1">
      <w:start w:val="1"/>
      <w:numFmt w:val="decimal"/>
      <w:lvlText w:val="%7."/>
      <w:lvlJc w:val="left"/>
      <w:pPr>
        <w:ind w:left="6665" w:hanging="360"/>
      </w:pPr>
      <w:rPr>
        <w:rFonts w:cs="Times New Roman"/>
      </w:rPr>
    </w:lvl>
    <w:lvl w:ilvl="7" w:tplc="04210019" w:tentative="1">
      <w:start w:val="1"/>
      <w:numFmt w:val="lowerLetter"/>
      <w:lvlText w:val="%8."/>
      <w:lvlJc w:val="left"/>
      <w:pPr>
        <w:ind w:left="7385" w:hanging="360"/>
      </w:pPr>
      <w:rPr>
        <w:rFonts w:cs="Times New Roman"/>
      </w:rPr>
    </w:lvl>
    <w:lvl w:ilvl="8" w:tplc="0421001B" w:tentative="1">
      <w:start w:val="1"/>
      <w:numFmt w:val="lowerRoman"/>
      <w:lvlText w:val="%9."/>
      <w:lvlJc w:val="right"/>
      <w:pPr>
        <w:ind w:left="8105" w:hanging="180"/>
      </w:pPr>
      <w:rPr>
        <w:rFonts w:cs="Times New Roman"/>
      </w:rPr>
    </w:lvl>
  </w:abstractNum>
  <w:abstractNum w:abstractNumId="12"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3"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4"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5" w15:restartNumberingAfterBreak="0">
    <w:nsid w:val="27B806F6"/>
    <w:multiLevelType w:val="hybridMultilevel"/>
    <w:tmpl w:val="641C1688"/>
    <w:lvl w:ilvl="0" w:tplc="088E8888">
      <w:start w:val="1"/>
      <w:numFmt w:val="decimal"/>
      <w:lvlText w:val="[%1]"/>
      <w:lvlJc w:val="left"/>
      <w:pPr>
        <w:ind w:left="1146" w:hanging="360"/>
      </w:pPr>
      <w:rPr>
        <w:rFonts w:hint="default"/>
      </w:rPr>
    </w:lvl>
    <w:lvl w:ilvl="1" w:tplc="38090019" w:tentative="1">
      <w:start w:val="1"/>
      <w:numFmt w:val="lowerLetter"/>
      <w:lvlText w:val="%2."/>
      <w:lvlJc w:val="left"/>
      <w:pPr>
        <w:ind w:left="1866" w:hanging="360"/>
      </w:pPr>
    </w:lvl>
    <w:lvl w:ilvl="2" w:tplc="3809001B" w:tentative="1">
      <w:start w:val="1"/>
      <w:numFmt w:val="lowerRoman"/>
      <w:lvlText w:val="%3."/>
      <w:lvlJc w:val="right"/>
      <w:pPr>
        <w:ind w:left="2586" w:hanging="180"/>
      </w:pPr>
    </w:lvl>
    <w:lvl w:ilvl="3" w:tplc="3809000F" w:tentative="1">
      <w:start w:val="1"/>
      <w:numFmt w:val="decimal"/>
      <w:lvlText w:val="%4."/>
      <w:lvlJc w:val="left"/>
      <w:pPr>
        <w:ind w:left="3306" w:hanging="360"/>
      </w:pPr>
    </w:lvl>
    <w:lvl w:ilvl="4" w:tplc="38090019" w:tentative="1">
      <w:start w:val="1"/>
      <w:numFmt w:val="lowerLetter"/>
      <w:lvlText w:val="%5."/>
      <w:lvlJc w:val="left"/>
      <w:pPr>
        <w:ind w:left="4026" w:hanging="360"/>
      </w:pPr>
    </w:lvl>
    <w:lvl w:ilvl="5" w:tplc="3809001B" w:tentative="1">
      <w:start w:val="1"/>
      <w:numFmt w:val="lowerRoman"/>
      <w:lvlText w:val="%6."/>
      <w:lvlJc w:val="right"/>
      <w:pPr>
        <w:ind w:left="4746" w:hanging="180"/>
      </w:pPr>
    </w:lvl>
    <w:lvl w:ilvl="6" w:tplc="3809000F" w:tentative="1">
      <w:start w:val="1"/>
      <w:numFmt w:val="decimal"/>
      <w:lvlText w:val="%7."/>
      <w:lvlJc w:val="left"/>
      <w:pPr>
        <w:ind w:left="5466" w:hanging="360"/>
      </w:pPr>
    </w:lvl>
    <w:lvl w:ilvl="7" w:tplc="38090019" w:tentative="1">
      <w:start w:val="1"/>
      <w:numFmt w:val="lowerLetter"/>
      <w:lvlText w:val="%8."/>
      <w:lvlJc w:val="left"/>
      <w:pPr>
        <w:ind w:left="6186" w:hanging="360"/>
      </w:pPr>
    </w:lvl>
    <w:lvl w:ilvl="8" w:tplc="3809001B" w:tentative="1">
      <w:start w:val="1"/>
      <w:numFmt w:val="lowerRoman"/>
      <w:lvlText w:val="%9."/>
      <w:lvlJc w:val="right"/>
      <w:pPr>
        <w:ind w:left="6906" w:hanging="180"/>
      </w:pPr>
    </w:lvl>
  </w:abstractNum>
  <w:abstractNum w:abstractNumId="16"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7"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8"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9" w15:restartNumberingAfterBreak="0">
    <w:nsid w:val="44041E2F"/>
    <w:multiLevelType w:val="hybridMultilevel"/>
    <w:tmpl w:val="C3727134"/>
    <w:lvl w:ilvl="0" w:tplc="3809000F">
      <w:start w:val="1"/>
      <w:numFmt w:val="decimal"/>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4"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5"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6" w15:restartNumberingAfterBreak="0">
    <w:nsid w:val="60CE1630"/>
    <w:multiLevelType w:val="hybridMultilevel"/>
    <w:tmpl w:val="7388B238"/>
    <w:lvl w:ilvl="0" w:tplc="38090019">
      <w:start w:val="1"/>
      <w:numFmt w:val="lowerLetter"/>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7"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8"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9" w15:restartNumberingAfterBreak="0">
    <w:nsid w:val="763D48D1"/>
    <w:multiLevelType w:val="hybridMultilevel"/>
    <w:tmpl w:val="CA024A4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0"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1"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3"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811751254">
    <w:abstractNumId w:val="16"/>
  </w:num>
  <w:num w:numId="2" w16cid:durableId="377247340">
    <w:abstractNumId w:val="8"/>
  </w:num>
  <w:num w:numId="3" w16cid:durableId="875967951">
    <w:abstractNumId w:val="9"/>
  </w:num>
  <w:num w:numId="4" w16cid:durableId="220599388">
    <w:abstractNumId w:val="25"/>
  </w:num>
  <w:num w:numId="5" w16cid:durableId="1145508882">
    <w:abstractNumId w:val="24"/>
  </w:num>
  <w:num w:numId="6" w16cid:durableId="766968651">
    <w:abstractNumId w:val="23"/>
  </w:num>
  <w:num w:numId="7" w16cid:durableId="287712096">
    <w:abstractNumId w:val="32"/>
  </w:num>
  <w:num w:numId="8" w16cid:durableId="1543909117">
    <w:abstractNumId w:val="17"/>
  </w:num>
  <w:num w:numId="9" w16cid:durableId="1820728019">
    <w:abstractNumId w:val="27"/>
  </w:num>
  <w:num w:numId="10" w16cid:durableId="1338388307">
    <w:abstractNumId w:val="28"/>
  </w:num>
  <w:num w:numId="11" w16cid:durableId="1067920549">
    <w:abstractNumId w:val="12"/>
  </w:num>
  <w:num w:numId="12" w16cid:durableId="1596016588">
    <w:abstractNumId w:val="21"/>
  </w:num>
  <w:num w:numId="13" w16cid:durableId="336428276">
    <w:abstractNumId w:val="7"/>
  </w:num>
  <w:num w:numId="14" w16cid:durableId="2101370045">
    <w:abstractNumId w:val="0"/>
  </w:num>
  <w:num w:numId="15" w16cid:durableId="239559477">
    <w:abstractNumId w:val="33"/>
  </w:num>
  <w:num w:numId="16" w16cid:durableId="1180048320">
    <w:abstractNumId w:val="22"/>
  </w:num>
  <w:num w:numId="17" w16cid:durableId="1218977823">
    <w:abstractNumId w:val="31"/>
  </w:num>
  <w:num w:numId="18" w16cid:durableId="75441009">
    <w:abstractNumId w:val="30"/>
  </w:num>
  <w:num w:numId="19" w16cid:durableId="1682270943">
    <w:abstractNumId w:val="20"/>
  </w:num>
  <w:num w:numId="20" w16cid:durableId="986931542">
    <w:abstractNumId w:val="5"/>
  </w:num>
  <w:num w:numId="21" w16cid:durableId="2011978993">
    <w:abstractNumId w:val="1"/>
  </w:num>
  <w:num w:numId="22" w16cid:durableId="1233663440">
    <w:abstractNumId w:val="13"/>
  </w:num>
  <w:num w:numId="23" w16cid:durableId="576669045">
    <w:abstractNumId w:val="2"/>
  </w:num>
  <w:num w:numId="24" w16cid:durableId="1782527818">
    <w:abstractNumId w:val="3"/>
  </w:num>
  <w:num w:numId="25" w16cid:durableId="1041394138">
    <w:abstractNumId w:val="4"/>
  </w:num>
  <w:num w:numId="26" w16cid:durableId="243760505">
    <w:abstractNumId w:val="11"/>
  </w:num>
  <w:num w:numId="27" w16cid:durableId="1693801924">
    <w:abstractNumId w:val="14"/>
  </w:num>
  <w:num w:numId="28" w16cid:durableId="2056345310">
    <w:abstractNumId w:val="6"/>
  </w:num>
  <w:num w:numId="29" w16cid:durableId="1317610287">
    <w:abstractNumId w:val="18"/>
  </w:num>
  <w:num w:numId="30" w16cid:durableId="128788273">
    <w:abstractNumId w:val="19"/>
  </w:num>
  <w:num w:numId="31" w16cid:durableId="1104308201">
    <w:abstractNumId w:val="26"/>
  </w:num>
  <w:num w:numId="32" w16cid:durableId="884029182">
    <w:abstractNumId w:val="29"/>
  </w:num>
  <w:num w:numId="33" w16cid:durableId="1051922910">
    <w:abstractNumId w:val="10"/>
  </w:num>
  <w:num w:numId="34" w16cid:durableId="411974383">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defaultTabStop w:val="720"/>
  <w:doNotHyphenateCaps/>
  <w:evenAndOddHeaders/>
  <w:drawingGridHorizontalSpacing w:val="100"/>
  <w:displayHorizontalDrawingGridEvery w:val="2"/>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2NTIxNjcyNzQxsDBS0lEKTi0uzszPAykwqwUAY5hiOCwAAAA="/>
  </w:docVars>
  <w:rsids>
    <w:rsidRoot w:val="002D2DAC"/>
    <w:rsid w:val="000003F2"/>
    <w:rsid w:val="00003189"/>
    <w:rsid w:val="00003237"/>
    <w:rsid w:val="00003A60"/>
    <w:rsid w:val="00003F34"/>
    <w:rsid w:val="00005ED9"/>
    <w:rsid w:val="00010DEE"/>
    <w:rsid w:val="00013559"/>
    <w:rsid w:val="0001477E"/>
    <w:rsid w:val="000243A3"/>
    <w:rsid w:val="00024881"/>
    <w:rsid w:val="00024A0D"/>
    <w:rsid w:val="0002569B"/>
    <w:rsid w:val="00037395"/>
    <w:rsid w:val="000417D3"/>
    <w:rsid w:val="000475BE"/>
    <w:rsid w:val="00053014"/>
    <w:rsid w:val="00055FC4"/>
    <w:rsid w:val="0006191D"/>
    <w:rsid w:val="00066AC1"/>
    <w:rsid w:val="000713D8"/>
    <w:rsid w:val="00076F8C"/>
    <w:rsid w:val="00077C94"/>
    <w:rsid w:val="000817DB"/>
    <w:rsid w:val="0008220C"/>
    <w:rsid w:val="000838AE"/>
    <w:rsid w:val="000877EE"/>
    <w:rsid w:val="00090B6C"/>
    <w:rsid w:val="00090B9F"/>
    <w:rsid w:val="000A0B41"/>
    <w:rsid w:val="000A2548"/>
    <w:rsid w:val="000B0038"/>
    <w:rsid w:val="000B0CE5"/>
    <w:rsid w:val="000B1BC2"/>
    <w:rsid w:val="000B59CD"/>
    <w:rsid w:val="000C3688"/>
    <w:rsid w:val="000E1F30"/>
    <w:rsid w:val="000E31DC"/>
    <w:rsid w:val="000F3896"/>
    <w:rsid w:val="000F66AA"/>
    <w:rsid w:val="00103AFF"/>
    <w:rsid w:val="00110D78"/>
    <w:rsid w:val="00111B01"/>
    <w:rsid w:val="00116ED8"/>
    <w:rsid w:val="00117792"/>
    <w:rsid w:val="001218BF"/>
    <w:rsid w:val="0012243B"/>
    <w:rsid w:val="00122F50"/>
    <w:rsid w:val="00122F5F"/>
    <w:rsid w:val="00123EF2"/>
    <w:rsid w:val="001245CB"/>
    <w:rsid w:val="0012495D"/>
    <w:rsid w:val="0013783B"/>
    <w:rsid w:val="00151CCC"/>
    <w:rsid w:val="001578E9"/>
    <w:rsid w:val="0016162D"/>
    <w:rsid w:val="00162A30"/>
    <w:rsid w:val="00165813"/>
    <w:rsid w:val="001660F6"/>
    <w:rsid w:val="00171D19"/>
    <w:rsid w:val="00173196"/>
    <w:rsid w:val="0018288D"/>
    <w:rsid w:val="00186347"/>
    <w:rsid w:val="00187357"/>
    <w:rsid w:val="00194349"/>
    <w:rsid w:val="001A07A8"/>
    <w:rsid w:val="001B3613"/>
    <w:rsid w:val="001B62C1"/>
    <w:rsid w:val="001B658E"/>
    <w:rsid w:val="001B7227"/>
    <w:rsid w:val="001C2739"/>
    <w:rsid w:val="001C3D6C"/>
    <w:rsid w:val="001C7BDA"/>
    <w:rsid w:val="001D4763"/>
    <w:rsid w:val="001D5E03"/>
    <w:rsid w:val="001D7DEE"/>
    <w:rsid w:val="001E02DA"/>
    <w:rsid w:val="001E2AAA"/>
    <w:rsid w:val="001E5686"/>
    <w:rsid w:val="001E5E3B"/>
    <w:rsid w:val="001F6FDA"/>
    <w:rsid w:val="0020406B"/>
    <w:rsid w:val="002065B1"/>
    <w:rsid w:val="0020676E"/>
    <w:rsid w:val="00206F45"/>
    <w:rsid w:val="002132FC"/>
    <w:rsid w:val="00216CB6"/>
    <w:rsid w:val="00217D1E"/>
    <w:rsid w:val="002202EA"/>
    <w:rsid w:val="00223090"/>
    <w:rsid w:val="00224082"/>
    <w:rsid w:val="00224834"/>
    <w:rsid w:val="00225449"/>
    <w:rsid w:val="00230D70"/>
    <w:rsid w:val="002343D6"/>
    <w:rsid w:val="00241B8D"/>
    <w:rsid w:val="00251164"/>
    <w:rsid w:val="00253D8A"/>
    <w:rsid w:val="00260D64"/>
    <w:rsid w:val="002632DB"/>
    <w:rsid w:val="0026615D"/>
    <w:rsid w:val="00266549"/>
    <w:rsid w:val="00266F0E"/>
    <w:rsid w:val="002676D3"/>
    <w:rsid w:val="00271787"/>
    <w:rsid w:val="00271DA6"/>
    <w:rsid w:val="0027200A"/>
    <w:rsid w:val="0027426F"/>
    <w:rsid w:val="00274990"/>
    <w:rsid w:val="00284301"/>
    <w:rsid w:val="00287EDB"/>
    <w:rsid w:val="00295FB9"/>
    <w:rsid w:val="002961FA"/>
    <w:rsid w:val="002A293E"/>
    <w:rsid w:val="002A4E05"/>
    <w:rsid w:val="002C0F49"/>
    <w:rsid w:val="002C2FAC"/>
    <w:rsid w:val="002C5517"/>
    <w:rsid w:val="002C58E0"/>
    <w:rsid w:val="002D0208"/>
    <w:rsid w:val="002D0F54"/>
    <w:rsid w:val="002D1D04"/>
    <w:rsid w:val="002D2DAC"/>
    <w:rsid w:val="002E0452"/>
    <w:rsid w:val="002E2D77"/>
    <w:rsid w:val="002E695D"/>
    <w:rsid w:val="002F0C12"/>
    <w:rsid w:val="002F3FCF"/>
    <w:rsid w:val="002F4D18"/>
    <w:rsid w:val="00301FEB"/>
    <w:rsid w:val="00303D42"/>
    <w:rsid w:val="0030640D"/>
    <w:rsid w:val="00312D76"/>
    <w:rsid w:val="003147CE"/>
    <w:rsid w:val="003313B9"/>
    <w:rsid w:val="00332BCB"/>
    <w:rsid w:val="00334520"/>
    <w:rsid w:val="00334792"/>
    <w:rsid w:val="003363F0"/>
    <w:rsid w:val="00336A9A"/>
    <w:rsid w:val="0034128C"/>
    <w:rsid w:val="00342520"/>
    <w:rsid w:val="00346BDE"/>
    <w:rsid w:val="00351306"/>
    <w:rsid w:val="00362CBC"/>
    <w:rsid w:val="00370CA0"/>
    <w:rsid w:val="00374A81"/>
    <w:rsid w:val="00381B26"/>
    <w:rsid w:val="00382478"/>
    <w:rsid w:val="00386F26"/>
    <w:rsid w:val="00387148"/>
    <w:rsid w:val="00387C94"/>
    <w:rsid w:val="00390A20"/>
    <w:rsid w:val="0039215B"/>
    <w:rsid w:val="003948B0"/>
    <w:rsid w:val="00395525"/>
    <w:rsid w:val="00395535"/>
    <w:rsid w:val="00397DF1"/>
    <w:rsid w:val="003A6AF1"/>
    <w:rsid w:val="003B28D6"/>
    <w:rsid w:val="003C0D5C"/>
    <w:rsid w:val="003C40CE"/>
    <w:rsid w:val="003C482F"/>
    <w:rsid w:val="003C5369"/>
    <w:rsid w:val="003E1185"/>
    <w:rsid w:val="003E6850"/>
    <w:rsid w:val="003F33CE"/>
    <w:rsid w:val="003F7AAC"/>
    <w:rsid w:val="00400BB8"/>
    <w:rsid w:val="00406D0E"/>
    <w:rsid w:val="00411F5E"/>
    <w:rsid w:val="00413EEB"/>
    <w:rsid w:val="00415562"/>
    <w:rsid w:val="004174DD"/>
    <w:rsid w:val="00423FBA"/>
    <w:rsid w:val="00425716"/>
    <w:rsid w:val="00425E5D"/>
    <w:rsid w:val="00430D63"/>
    <w:rsid w:val="0043544C"/>
    <w:rsid w:val="00436BEB"/>
    <w:rsid w:val="00442F6C"/>
    <w:rsid w:val="00451D00"/>
    <w:rsid w:val="00453027"/>
    <w:rsid w:val="004535C9"/>
    <w:rsid w:val="004538A9"/>
    <w:rsid w:val="00454A98"/>
    <w:rsid w:val="00461A20"/>
    <w:rsid w:val="00463904"/>
    <w:rsid w:val="00464CF7"/>
    <w:rsid w:val="004657C4"/>
    <w:rsid w:val="00474697"/>
    <w:rsid w:val="00476E35"/>
    <w:rsid w:val="00476E9F"/>
    <w:rsid w:val="00481B20"/>
    <w:rsid w:val="004863B6"/>
    <w:rsid w:val="00486707"/>
    <w:rsid w:val="0048722D"/>
    <w:rsid w:val="004926FD"/>
    <w:rsid w:val="004928B8"/>
    <w:rsid w:val="00497A78"/>
    <w:rsid w:val="004A0D1D"/>
    <w:rsid w:val="004A19B5"/>
    <w:rsid w:val="004A4564"/>
    <w:rsid w:val="004A68CB"/>
    <w:rsid w:val="004B08D8"/>
    <w:rsid w:val="004B0E60"/>
    <w:rsid w:val="004C11CD"/>
    <w:rsid w:val="004C15A0"/>
    <w:rsid w:val="004C7C56"/>
    <w:rsid w:val="004C7F56"/>
    <w:rsid w:val="004D00AE"/>
    <w:rsid w:val="004D0872"/>
    <w:rsid w:val="004D13AD"/>
    <w:rsid w:val="004D5A18"/>
    <w:rsid w:val="004D67B0"/>
    <w:rsid w:val="004D7EF4"/>
    <w:rsid w:val="004F5144"/>
    <w:rsid w:val="004F5368"/>
    <w:rsid w:val="004F668A"/>
    <w:rsid w:val="00500754"/>
    <w:rsid w:val="00500AAF"/>
    <w:rsid w:val="00501C67"/>
    <w:rsid w:val="005022AA"/>
    <w:rsid w:val="005031E8"/>
    <w:rsid w:val="0050390B"/>
    <w:rsid w:val="00503DD2"/>
    <w:rsid w:val="005062E6"/>
    <w:rsid w:val="00521CE5"/>
    <w:rsid w:val="005227C8"/>
    <w:rsid w:val="00522DEB"/>
    <w:rsid w:val="005323E6"/>
    <w:rsid w:val="0053629A"/>
    <w:rsid w:val="005367ED"/>
    <w:rsid w:val="00537AED"/>
    <w:rsid w:val="00540F02"/>
    <w:rsid w:val="0054303A"/>
    <w:rsid w:val="00543077"/>
    <w:rsid w:val="00546811"/>
    <w:rsid w:val="005469BE"/>
    <w:rsid w:val="005478C9"/>
    <w:rsid w:val="00551025"/>
    <w:rsid w:val="00553784"/>
    <w:rsid w:val="005569E1"/>
    <w:rsid w:val="00557804"/>
    <w:rsid w:val="0056036E"/>
    <w:rsid w:val="005611F1"/>
    <w:rsid w:val="005626AA"/>
    <w:rsid w:val="005635B4"/>
    <w:rsid w:val="00571CFE"/>
    <w:rsid w:val="005827FE"/>
    <w:rsid w:val="00591DE5"/>
    <w:rsid w:val="0059236C"/>
    <w:rsid w:val="005A4F69"/>
    <w:rsid w:val="005B4579"/>
    <w:rsid w:val="005C0276"/>
    <w:rsid w:val="005C14AA"/>
    <w:rsid w:val="005C2120"/>
    <w:rsid w:val="005C2B6A"/>
    <w:rsid w:val="005C643D"/>
    <w:rsid w:val="005C7067"/>
    <w:rsid w:val="005D4A0D"/>
    <w:rsid w:val="005E4281"/>
    <w:rsid w:val="005E7673"/>
    <w:rsid w:val="006035FA"/>
    <w:rsid w:val="006052AE"/>
    <w:rsid w:val="00607352"/>
    <w:rsid w:val="0061613E"/>
    <w:rsid w:val="0062129F"/>
    <w:rsid w:val="00622926"/>
    <w:rsid w:val="0062388D"/>
    <w:rsid w:val="006244CE"/>
    <w:rsid w:val="00626EC5"/>
    <w:rsid w:val="006352D0"/>
    <w:rsid w:val="006419D1"/>
    <w:rsid w:val="006420BA"/>
    <w:rsid w:val="00646293"/>
    <w:rsid w:val="00646E05"/>
    <w:rsid w:val="006538D6"/>
    <w:rsid w:val="00654B07"/>
    <w:rsid w:val="00655C87"/>
    <w:rsid w:val="0066077D"/>
    <w:rsid w:val="00671489"/>
    <w:rsid w:val="00674CB5"/>
    <w:rsid w:val="0067726B"/>
    <w:rsid w:val="00680536"/>
    <w:rsid w:val="00681F83"/>
    <w:rsid w:val="006847A1"/>
    <w:rsid w:val="006902BB"/>
    <w:rsid w:val="00691EB4"/>
    <w:rsid w:val="00691F9E"/>
    <w:rsid w:val="006931F9"/>
    <w:rsid w:val="00693D51"/>
    <w:rsid w:val="006A6A34"/>
    <w:rsid w:val="006A7DFF"/>
    <w:rsid w:val="006B0510"/>
    <w:rsid w:val="006B2D02"/>
    <w:rsid w:val="006B6E0F"/>
    <w:rsid w:val="006C086A"/>
    <w:rsid w:val="006C65C4"/>
    <w:rsid w:val="006C6EBD"/>
    <w:rsid w:val="006C7730"/>
    <w:rsid w:val="006D6149"/>
    <w:rsid w:val="006D782E"/>
    <w:rsid w:val="006E27F8"/>
    <w:rsid w:val="006E2F83"/>
    <w:rsid w:val="006E32BF"/>
    <w:rsid w:val="006E45D9"/>
    <w:rsid w:val="006E7FC3"/>
    <w:rsid w:val="006F411A"/>
    <w:rsid w:val="006F621B"/>
    <w:rsid w:val="00702B8F"/>
    <w:rsid w:val="00704378"/>
    <w:rsid w:val="00707398"/>
    <w:rsid w:val="00715DB3"/>
    <w:rsid w:val="007169EC"/>
    <w:rsid w:val="00722048"/>
    <w:rsid w:val="00725D82"/>
    <w:rsid w:val="00727B9E"/>
    <w:rsid w:val="007329A6"/>
    <w:rsid w:val="00741058"/>
    <w:rsid w:val="007431D0"/>
    <w:rsid w:val="00746278"/>
    <w:rsid w:val="00755AB4"/>
    <w:rsid w:val="00761E7C"/>
    <w:rsid w:val="007636FC"/>
    <w:rsid w:val="007816FC"/>
    <w:rsid w:val="00781D8B"/>
    <w:rsid w:val="00787014"/>
    <w:rsid w:val="00792FA2"/>
    <w:rsid w:val="0079311F"/>
    <w:rsid w:val="007933FE"/>
    <w:rsid w:val="00794B78"/>
    <w:rsid w:val="00796577"/>
    <w:rsid w:val="00796A48"/>
    <w:rsid w:val="00796A75"/>
    <w:rsid w:val="007A2AA8"/>
    <w:rsid w:val="007A5A78"/>
    <w:rsid w:val="007A62B7"/>
    <w:rsid w:val="007A65BF"/>
    <w:rsid w:val="007B6823"/>
    <w:rsid w:val="007C2392"/>
    <w:rsid w:val="007C7EB4"/>
    <w:rsid w:val="007D5BA1"/>
    <w:rsid w:val="007E508F"/>
    <w:rsid w:val="007F02FB"/>
    <w:rsid w:val="007F37D6"/>
    <w:rsid w:val="007F422E"/>
    <w:rsid w:val="008016C9"/>
    <w:rsid w:val="00802718"/>
    <w:rsid w:val="00802990"/>
    <w:rsid w:val="00802A96"/>
    <w:rsid w:val="00805D00"/>
    <w:rsid w:val="00810811"/>
    <w:rsid w:val="008157AA"/>
    <w:rsid w:val="00815993"/>
    <w:rsid w:val="0082272E"/>
    <w:rsid w:val="00841964"/>
    <w:rsid w:val="00852EC7"/>
    <w:rsid w:val="00853A3C"/>
    <w:rsid w:val="0085484D"/>
    <w:rsid w:val="00860710"/>
    <w:rsid w:val="00862178"/>
    <w:rsid w:val="00862DDA"/>
    <w:rsid w:val="00863A78"/>
    <w:rsid w:val="00864046"/>
    <w:rsid w:val="00874EB7"/>
    <w:rsid w:val="008765A5"/>
    <w:rsid w:val="008774A7"/>
    <w:rsid w:val="00882204"/>
    <w:rsid w:val="00882CAF"/>
    <w:rsid w:val="008873B2"/>
    <w:rsid w:val="0088746C"/>
    <w:rsid w:val="008909BF"/>
    <w:rsid w:val="0089141F"/>
    <w:rsid w:val="008940D8"/>
    <w:rsid w:val="00895427"/>
    <w:rsid w:val="008A018C"/>
    <w:rsid w:val="008A46B8"/>
    <w:rsid w:val="008B23F8"/>
    <w:rsid w:val="008B4BA9"/>
    <w:rsid w:val="008B7A0F"/>
    <w:rsid w:val="008C245A"/>
    <w:rsid w:val="008C302B"/>
    <w:rsid w:val="008C3DC2"/>
    <w:rsid w:val="008C45DE"/>
    <w:rsid w:val="008C753B"/>
    <w:rsid w:val="008D0F02"/>
    <w:rsid w:val="008E554D"/>
    <w:rsid w:val="008E7E0B"/>
    <w:rsid w:val="008F02CB"/>
    <w:rsid w:val="008F3342"/>
    <w:rsid w:val="008F6D4A"/>
    <w:rsid w:val="00902BAF"/>
    <w:rsid w:val="00902F9C"/>
    <w:rsid w:val="00905DDD"/>
    <w:rsid w:val="00906AC7"/>
    <w:rsid w:val="00911A24"/>
    <w:rsid w:val="0091289D"/>
    <w:rsid w:val="00916A60"/>
    <w:rsid w:val="0091790B"/>
    <w:rsid w:val="009206DD"/>
    <w:rsid w:val="00920A7C"/>
    <w:rsid w:val="00923658"/>
    <w:rsid w:val="009276FB"/>
    <w:rsid w:val="009279B1"/>
    <w:rsid w:val="00930DAC"/>
    <w:rsid w:val="009348EB"/>
    <w:rsid w:val="00936811"/>
    <w:rsid w:val="00940F83"/>
    <w:rsid w:val="0094187E"/>
    <w:rsid w:val="00945575"/>
    <w:rsid w:val="0095288D"/>
    <w:rsid w:val="00954BA8"/>
    <w:rsid w:val="00965E3F"/>
    <w:rsid w:val="00965F50"/>
    <w:rsid w:val="009722C4"/>
    <w:rsid w:val="0098193E"/>
    <w:rsid w:val="00987772"/>
    <w:rsid w:val="00990844"/>
    <w:rsid w:val="00991A67"/>
    <w:rsid w:val="0099291C"/>
    <w:rsid w:val="009929B4"/>
    <w:rsid w:val="009A1281"/>
    <w:rsid w:val="009A2DB4"/>
    <w:rsid w:val="009A3066"/>
    <w:rsid w:val="009B5E94"/>
    <w:rsid w:val="009B6344"/>
    <w:rsid w:val="009B764B"/>
    <w:rsid w:val="009C41DA"/>
    <w:rsid w:val="009D7AA9"/>
    <w:rsid w:val="009E0950"/>
    <w:rsid w:val="009E2468"/>
    <w:rsid w:val="009E3624"/>
    <w:rsid w:val="009E4EBA"/>
    <w:rsid w:val="009F091C"/>
    <w:rsid w:val="009F0A49"/>
    <w:rsid w:val="009F2D64"/>
    <w:rsid w:val="009F409C"/>
    <w:rsid w:val="009F6F7B"/>
    <w:rsid w:val="00A03126"/>
    <w:rsid w:val="00A1243D"/>
    <w:rsid w:val="00A13315"/>
    <w:rsid w:val="00A175E3"/>
    <w:rsid w:val="00A27B34"/>
    <w:rsid w:val="00A374ED"/>
    <w:rsid w:val="00A37C4B"/>
    <w:rsid w:val="00A406E4"/>
    <w:rsid w:val="00A417AC"/>
    <w:rsid w:val="00A43778"/>
    <w:rsid w:val="00A4489B"/>
    <w:rsid w:val="00A4558F"/>
    <w:rsid w:val="00A50B27"/>
    <w:rsid w:val="00A51B1A"/>
    <w:rsid w:val="00A549F9"/>
    <w:rsid w:val="00A562A0"/>
    <w:rsid w:val="00A5653C"/>
    <w:rsid w:val="00A574C4"/>
    <w:rsid w:val="00A60243"/>
    <w:rsid w:val="00A602DE"/>
    <w:rsid w:val="00A61BDE"/>
    <w:rsid w:val="00A626CF"/>
    <w:rsid w:val="00A64896"/>
    <w:rsid w:val="00A67525"/>
    <w:rsid w:val="00A71464"/>
    <w:rsid w:val="00A72FCF"/>
    <w:rsid w:val="00A758BF"/>
    <w:rsid w:val="00A762E8"/>
    <w:rsid w:val="00A7697B"/>
    <w:rsid w:val="00A8066D"/>
    <w:rsid w:val="00A80B2E"/>
    <w:rsid w:val="00A819B4"/>
    <w:rsid w:val="00A83E44"/>
    <w:rsid w:val="00A91CAD"/>
    <w:rsid w:val="00A92D0F"/>
    <w:rsid w:val="00A93CEF"/>
    <w:rsid w:val="00A95B23"/>
    <w:rsid w:val="00AA4AE4"/>
    <w:rsid w:val="00AA4E7D"/>
    <w:rsid w:val="00AA6636"/>
    <w:rsid w:val="00AB690F"/>
    <w:rsid w:val="00AC6628"/>
    <w:rsid w:val="00AD2E20"/>
    <w:rsid w:val="00AD3EFD"/>
    <w:rsid w:val="00AD559D"/>
    <w:rsid w:val="00AD7DD3"/>
    <w:rsid w:val="00AE3E7B"/>
    <w:rsid w:val="00AF1BFD"/>
    <w:rsid w:val="00AF35CC"/>
    <w:rsid w:val="00AF73DF"/>
    <w:rsid w:val="00B019CF"/>
    <w:rsid w:val="00B02CE0"/>
    <w:rsid w:val="00B03D56"/>
    <w:rsid w:val="00B17324"/>
    <w:rsid w:val="00B23FED"/>
    <w:rsid w:val="00B23FFC"/>
    <w:rsid w:val="00B25EDF"/>
    <w:rsid w:val="00B263AC"/>
    <w:rsid w:val="00B35A70"/>
    <w:rsid w:val="00B35C5A"/>
    <w:rsid w:val="00B35DC8"/>
    <w:rsid w:val="00B41835"/>
    <w:rsid w:val="00B42573"/>
    <w:rsid w:val="00B42838"/>
    <w:rsid w:val="00B4389C"/>
    <w:rsid w:val="00B47B2C"/>
    <w:rsid w:val="00B5357B"/>
    <w:rsid w:val="00B56B54"/>
    <w:rsid w:val="00B646C3"/>
    <w:rsid w:val="00B70E6B"/>
    <w:rsid w:val="00B72F70"/>
    <w:rsid w:val="00B76E95"/>
    <w:rsid w:val="00B80A1A"/>
    <w:rsid w:val="00B864C7"/>
    <w:rsid w:val="00B86BF7"/>
    <w:rsid w:val="00B905EC"/>
    <w:rsid w:val="00B91F74"/>
    <w:rsid w:val="00B9472D"/>
    <w:rsid w:val="00B948C4"/>
    <w:rsid w:val="00BA6FF3"/>
    <w:rsid w:val="00BB045E"/>
    <w:rsid w:val="00BB2B6F"/>
    <w:rsid w:val="00BB42B2"/>
    <w:rsid w:val="00BB6938"/>
    <w:rsid w:val="00BC16C2"/>
    <w:rsid w:val="00BC2C22"/>
    <w:rsid w:val="00BC5133"/>
    <w:rsid w:val="00BC51D8"/>
    <w:rsid w:val="00BD180A"/>
    <w:rsid w:val="00BD2502"/>
    <w:rsid w:val="00BD5256"/>
    <w:rsid w:val="00BD5D62"/>
    <w:rsid w:val="00BD79A0"/>
    <w:rsid w:val="00BE144D"/>
    <w:rsid w:val="00BE17FD"/>
    <w:rsid w:val="00BE30EB"/>
    <w:rsid w:val="00BF1810"/>
    <w:rsid w:val="00BF1B2A"/>
    <w:rsid w:val="00C029EC"/>
    <w:rsid w:val="00C02E08"/>
    <w:rsid w:val="00C03879"/>
    <w:rsid w:val="00C10C09"/>
    <w:rsid w:val="00C11C42"/>
    <w:rsid w:val="00C152F9"/>
    <w:rsid w:val="00C1756D"/>
    <w:rsid w:val="00C21148"/>
    <w:rsid w:val="00C21420"/>
    <w:rsid w:val="00C219D1"/>
    <w:rsid w:val="00C2332E"/>
    <w:rsid w:val="00C26170"/>
    <w:rsid w:val="00C4137F"/>
    <w:rsid w:val="00C41B0C"/>
    <w:rsid w:val="00C420B8"/>
    <w:rsid w:val="00C50A65"/>
    <w:rsid w:val="00C549E7"/>
    <w:rsid w:val="00C6051D"/>
    <w:rsid w:val="00C67610"/>
    <w:rsid w:val="00C71BEF"/>
    <w:rsid w:val="00C71E29"/>
    <w:rsid w:val="00C72516"/>
    <w:rsid w:val="00C7503D"/>
    <w:rsid w:val="00C81C2C"/>
    <w:rsid w:val="00C82127"/>
    <w:rsid w:val="00C93C98"/>
    <w:rsid w:val="00CA54EB"/>
    <w:rsid w:val="00CA7439"/>
    <w:rsid w:val="00CB39E3"/>
    <w:rsid w:val="00CB41DC"/>
    <w:rsid w:val="00CC1A9A"/>
    <w:rsid w:val="00CC56D8"/>
    <w:rsid w:val="00CD600D"/>
    <w:rsid w:val="00CE2A67"/>
    <w:rsid w:val="00CE741E"/>
    <w:rsid w:val="00CF03A1"/>
    <w:rsid w:val="00CF57D6"/>
    <w:rsid w:val="00CF5FD4"/>
    <w:rsid w:val="00D0408F"/>
    <w:rsid w:val="00D137A4"/>
    <w:rsid w:val="00D20848"/>
    <w:rsid w:val="00D2103B"/>
    <w:rsid w:val="00D22B92"/>
    <w:rsid w:val="00D26ADD"/>
    <w:rsid w:val="00D44083"/>
    <w:rsid w:val="00D57022"/>
    <w:rsid w:val="00D57A56"/>
    <w:rsid w:val="00D63088"/>
    <w:rsid w:val="00D67104"/>
    <w:rsid w:val="00D73826"/>
    <w:rsid w:val="00D73D70"/>
    <w:rsid w:val="00D76B0F"/>
    <w:rsid w:val="00D775DE"/>
    <w:rsid w:val="00D8133A"/>
    <w:rsid w:val="00D85814"/>
    <w:rsid w:val="00D90FE5"/>
    <w:rsid w:val="00D91211"/>
    <w:rsid w:val="00D94113"/>
    <w:rsid w:val="00D96860"/>
    <w:rsid w:val="00DA030C"/>
    <w:rsid w:val="00DA529E"/>
    <w:rsid w:val="00DA6ABC"/>
    <w:rsid w:val="00DA6CFB"/>
    <w:rsid w:val="00DB5317"/>
    <w:rsid w:val="00DB63CC"/>
    <w:rsid w:val="00DC3AF3"/>
    <w:rsid w:val="00DC5DB0"/>
    <w:rsid w:val="00DC66E5"/>
    <w:rsid w:val="00DC7B34"/>
    <w:rsid w:val="00DD0A7A"/>
    <w:rsid w:val="00DD601D"/>
    <w:rsid w:val="00DE1928"/>
    <w:rsid w:val="00DE1E48"/>
    <w:rsid w:val="00DE4617"/>
    <w:rsid w:val="00DE6758"/>
    <w:rsid w:val="00DE6B26"/>
    <w:rsid w:val="00DF0C41"/>
    <w:rsid w:val="00DF0EC0"/>
    <w:rsid w:val="00DF1636"/>
    <w:rsid w:val="00DF1B1E"/>
    <w:rsid w:val="00DF2729"/>
    <w:rsid w:val="00DF5622"/>
    <w:rsid w:val="00DF6442"/>
    <w:rsid w:val="00E005F9"/>
    <w:rsid w:val="00E0470A"/>
    <w:rsid w:val="00E15FF8"/>
    <w:rsid w:val="00E25067"/>
    <w:rsid w:val="00E30D6B"/>
    <w:rsid w:val="00E30E14"/>
    <w:rsid w:val="00E313B3"/>
    <w:rsid w:val="00E36AA2"/>
    <w:rsid w:val="00E4139C"/>
    <w:rsid w:val="00E41B3C"/>
    <w:rsid w:val="00E41F4D"/>
    <w:rsid w:val="00E42983"/>
    <w:rsid w:val="00E439CB"/>
    <w:rsid w:val="00E46E84"/>
    <w:rsid w:val="00E50D69"/>
    <w:rsid w:val="00E51E82"/>
    <w:rsid w:val="00E5640B"/>
    <w:rsid w:val="00E65AF8"/>
    <w:rsid w:val="00E670A0"/>
    <w:rsid w:val="00E73641"/>
    <w:rsid w:val="00E75F6E"/>
    <w:rsid w:val="00E77C4D"/>
    <w:rsid w:val="00E82603"/>
    <w:rsid w:val="00E87149"/>
    <w:rsid w:val="00E90C62"/>
    <w:rsid w:val="00E922F2"/>
    <w:rsid w:val="00E93AC4"/>
    <w:rsid w:val="00E944B0"/>
    <w:rsid w:val="00E95399"/>
    <w:rsid w:val="00EA3EC8"/>
    <w:rsid w:val="00EA4465"/>
    <w:rsid w:val="00EA4EF4"/>
    <w:rsid w:val="00EA5258"/>
    <w:rsid w:val="00EB323F"/>
    <w:rsid w:val="00EB5A85"/>
    <w:rsid w:val="00EB743A"/>
    <w:rsid w:val="00EB7E59"/>
    <w:rsid w:val="00EC043A"/>
    <w:rsid w:val="00EC2F45"/>
    <w:rsid w:val="00EC4D8B"/>
    <w:rsid w:val="00ED2F7D"/>
    <w:rsid w:val="00ED6947"/>
    <w:rsid w:val="00ED790C"/>
    <w:rsid w:val="00EE7B98"/>
    <w:rsid w:val="00EF45CC"/>
    <w:rsid w:val="00EF6226"/>
    <w:rsid w:val="00F01DBC"/>
    <w:rsid w:val="00F06CD1"/>
    <w:rsid w:val="00F06FB4"/>
    <w:rsid w:val="00F1027C"/>
    <w:rsid w:val="00F13B9D"/>
    <w:rsid w:val="00F1612A"/>
    <w:rsid w:val="00F22C3E"/>
    <w:rsid w:val="00F23020"/>
    <w:rsid w:val="00F23791"/>
    <w:rsid w:val="00F240E8"/>
    <w:rsid w:val="00F26AA7"/>
    <w:rsid w:val="00F27104"/>
    <w:rsid w:val="00F3381A"/>
    <w:rsid w:val="00F369EC"/>
    <w:rsid w:val="00F47732"/>
    <w:rsid w:val="00F52E83"/>
    <w:rsid w:val="00F660DB"/>
    <w:rsid w:val="00F66138"/>
    <w:rsid w:val="00F722C9"/>
    <w:rsid w:val="00F727DB"/>
    <w:rsid w:val="00F7294C"/>
    <w:rsid w:val="00F732B7"/>
    <w:rsid w:val="00F75B66"/>
    <w:rsid w:val="00F80FB0"/>
    <w:rsid w:val="00F814D0"/>
    <w:rsid w:val="00F864C9"/>
    <w:rsid w:val="00F86BE6"/>
    <w:rsid w:val="00F9056B"/>
    <w:rsid w:val="00F95386"/>
    <w:rsid w:val="00F956D7"/>
    <w:rsid w:val="00FA185F"/>
    <w:rsid w:val="00FA225A"/>
    <w:rsid w:val="00FA3FD1"/>
    <w:rsid w:val="00FA5CCB"/>
    <w:rsid w:val="00FA77D5"/>
    <w:rsid w:val="00FB2A93"/>
    <w:rsid w:val="00FB5880"/>
    <w:rsid w:val="00FC2DC7"/>
    <w:rsid w:val="00FC3E08"/>
    <w:rsid w:val="00FC3FCF"/>
    <w:rsid w:val="00FC49D6"/>
    <w:rsid w:val="00FC4C88"/>
    <w:rsid w:val="00FC679E"/>
    <w:rsid w:val="00FD08EE"/>
    <w:rsid w:val="00FD2DD1"/>
    <w:rsid w:val="00FD590C"/>
    <w:rsid w:val="00FE0722"/>
    <w:rsid w:val="00FE59A0"/>
    <w:rsid w:val="00FE703C"/>
    <w:rsid w:val="00FF16A9"/>
    <w:rsid w:val="00FF1D30"/>
    <w:rsid w:val="00FF395F"/>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D0B1A74"/>
  <w14:defaultImageDpi w14:val="0"/>
  <w15:docId w15:val="{A7A6FBD7-14D0-42AA-8249-9B278A50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arab"/>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List Paragraph1 Char,arab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unhideWhenUsed/>
    <w:rsid w:val="00E42983"/>
    <w:pPr>
      <w:autoSpaceDE/>
      <w:autoSpaceDN/>
      <w:spacing w:before="100" w:beforeAutospacing="1" w:after="100" w:afterAutospacing="1"/>
    </w:pPr>
    <w:rPr>
      <w:sz w:val="24"/>
      <w:szCs w:val="24"/>
      <w:lang w:val="en-ID" w:eastAsia="en-ID"/>
    </w:rPr>
  </w:style>
  <w:style w:type="character" w:styleId="Strong">
    <w:name w:val="Strong"/>
    <w:basedOn w:val="DefaultParagraphFont"/>
    <w:uiPriority w:val="22"/>
    <w:qFormat/>
    <w:rsid w:val="00E429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1261946">
      <w:bodyDiv w:val="1"/>
      <w:marLeft w:val="0"/>
      <w:marRight w:val="0"/>
      <w:marTop w:val="0"/>
      <w:marBottom w:val="0"/>
      <w:divBdr>
        <w:top w:val="none" w:sz="0" w:space="0" w:color="auto"/>
        <w:left w:val="none" w:sz="0" w:space="0" w:color="auto"/>
        <w:bottom w:val="none" w:sz="0" w:space="0" w:color="auto"/>
        <w:right w:val="none" w:sz="0" w:space="0" w:color="auto"/>
      </w:divBdr>
    </w:div>
    <w:div w:id="1111510235">
      <w:bodyDiv w:val="1"/>
      <w:marLeft w:val="0"/>
      <w:marRight w:val="0"/>
      <w:marTop w:val="0"/>
      <w:marBottom w:val="0"/>
      <w:divBdr>
        <w:top w:val="none" w:sz="0" w:space="0" w:color="auto"/>
        <w:left w:val="none" w:sz="0" w:space="0" w:color="auto"/>
        <w:bottom w:val="none" w:sz="0" w:space="0" w:color="auto"/>
        <w:right w:val="none" w:sz="0" w:space="0" w:color="auto"/>
      </w:divBdr>
    </w:div>
    <w:div w:id="1845394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doi.org/10.23917/mier.v1i1.2828" TargetMode="External"/><Relationship Id="rId26" Type="http://schemas.openxmlformats.org/officeDocument/2006/relationships/hyperlink" Target="https://doi.org/10.23917/profetika.v25i02.8510" TargetMode="External"/><Relationship Id="rId39" Type="http://schemas.openxmlformats.org/officeDocument/2006/relationships/footer" Target="footer1.xml"/><Relationship Id="rId21" Type="http://schemas.openxmlformats.org/officeDocument/2006/relationships/hyperlink" Target="https://doi.org/10.61455/sujiem.v3i01.252" TargetMode="External"/><Relationship Id="rId34" Type="http://schemas.openxmlformats.org/officeDocument/2006/relationships/hyperlink" Target="https://doi.org/10.23917/profetika.v25i02.7306" TargetMode="External"/><Relationship Id="rId42"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61455/sicopus.v2i01.117" TargetMode="External"/><Relationship Id="rId20" Type="http://schemas.openxmlformats.org/officeDocument/2006/relationships/hyperlink" Target="https://doi.org/10.61455/sicopus.v2i02.134" TargetMode="External"/><Relationship Id="rId29" Type="http://schemas.openxmlformats.org/officeDocument/2006/relationships/hyperlink" Target="https://doi.org/10.61455/deujis.v2i03.139" TargetMode="External"/><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doi.org/10.61455/sujiem.v1i02.69" TargetMode="External"/><Relationship Id="rId32" Type="http://schemas.openxmlformats.org/officeDocument/2006/relationships/hyperlink" Target="https://doi.org/10.24857/rgsa.v18n6-011" TargetMode="External"/><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doi.org/10.61455/sujiem.v2i02.201" TargetMode="External"/><Relationship Id="rId23" Type="http://schemas.openxmlformats.org/officeDocument/2006/relationships/hyperlink" Target="https://doi.org/10.46576/lj.v2i2.1812" TargetMode="External"/><Relationship Id="rId28" Type="http://schemas.openxmlformats.org/officeDocument/2006/relationships/hyperlink" Target="https://doi.org/10.31893/multirev.2024133" TargetMode="External"/><Relationship Id="rId36" Type="http://schemas.openxmlformats.org/officeDocument/2006/relationships/hyperlink" Target="https://doi.org/10.31893/multirev.2024137" TargetMode="External"/><Relationship Id="rId10" Type="http://schemas.openxmlformats.org/officeDocument/2006/relationships/hyperlink" Target="https://creativecommons.org/licenses/by/4.0/" TargetMode="External"/><Relationship Id="rId19" Type="http://schemas.openxmlformats.org/officeDocument/2006/relationships/hyperlink" Target="https://doi.org/10.23917/mier.v1i2.2893" TargetMode="External"/><Relationship Id="rId31" Type="http://schemas.openxmlformats.org/officeDocument/2006/relationships/hyperlink" Target="https://doi.org/10.61455/sicopus.v2i01.79"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doi.org/10.5758/ijls.2022.1" TargetMode="External"/><Relationship Id="rId14" Type="http://schemas.openxmlformats.org/officeDocument/2006/relationships/image" Target="media/image5.png"/><Relationship Id="rId22" Type="http://schemas.openxmlformats.org/officeDocument/2006/relationships/hyperlink" Target="https://doi.org/10.33059/jhsk.v18i1.7473" TargetMode="External"/><Relationship Id="rId27" Type="http://schemas.openxmlformats.org/officeDocument/2006/relationships/hyperlink" Target="https://doi.org/10.23917/profetika.v25i02.2182" TargetMode="External"/><Relationship Id="rId30" Type="http://schemas.openxmlformats.org/officeDocument/2006/relationships/hyperlink" Target="https://doi.org/10.23917/profetika.v23i2.19671" TargetMode="External"/><Relationship Id="rId35" Type="http://schemas.openxmlformats.org/officeDocument/2006/relationships/hyperlink" Target="https://doi.org/10.24857/rgsa.v18n6-089" TargetMode="External"/><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doi.org/10.61455/sicopus.v2i03.152" TargetMode="External"/><Relationship Id="rId25" Type="http://schemas.openxmlformats.org/officeDocument/2006/relationships/hyperlink" Target="https://doi.org/10.61455/sujiem.v1i03.101" TargetMode="External"/><Relationship Id="rId33" Type="http://schemas.openxmlformats.org/officeDocument/2006/relationships/hyperlink" Target="https://doi.org/10.61455/deujis.v1i02.8" TargetMode="External"/><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1DF4784-1911-4364-840C-027EC3AA0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7877</Words>
  <Characters>47536</Characters>
  <Application>Microsoft Office Word</Application>
  <DocSecurity>0</DocSecurity>
  <Lines>776</Lines>
  <Paragraphs>183</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55202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lenovoslim9523@outlook.com</cp:lastModifiedBy>
  <cp:revision>2</cp:revision>
  <cp:lastPrinted>2008-11-01T04:52:00Z</cp:lastPrinted>
  <dcterms:created xsi:type="dcterms:W3CDTF">2025-04-29T12:25:00Z</dcterms:created>
  <dcterms:modified xsi:type="dcterms:W3CDTF">2025-04-29T12:25:00Z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05ddbb9cf06896dc5b6535ae6f90c61b1a3d99720e19f2e7b554a0492083c8ae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7th edition</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http://www.zotero.org/styles/chicago-fullnote-bibliography</vt:lpwstr>
  </property>
  <property fmtid="{D5CDD505-2E9C-101B-9397-08002B2CF9AE}" pid="10" name="Mendeley Recent Style Name 3_1">
    <vt:lpwstr>Chicago Manual of Style 17th edition (full note)</vt:lpwstr>
  </property>
  <property fmtid="{D5CDD505-2E9C-101B-9397-08002B2CF9AE}" pid="11" name="Mendeley Recent Style Id 4_1">
    <vt:lpwstr>http://www.zotero.org/styles/chicago-note-bibliography</vt:lpwstr>
  </property>
  <property fmtid="{D5CDD505-2E9C-101B-9397-08002B2CF9AE}" pid="12" name="Mendeley Recent Style Name 4_1">
    <vt:lpwstr>Chicago Manual of Style 17th edition (note)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12th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9th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4f14c4f3-be52-391b-a9ad-be739b420add</vt:lpwstr>
  </property>
  <property fmtid="{D5CDD505-2E9C-101B-9397-08002B2CF9AE}" pid="25" name="Mendeley Citation Style_1">
    <vt:lpwstr>http://www.zotero.org/styles/apa</vt:lpwstr>
  </property>
</Properties>
</file>