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CFBB9" w14:textId="77777777" w:rsidR="00DE1E48" w:rsidRPr="00122F5F" w:rsidRDefault="00DE1E48" w:rsidP="00122F5F">
      <w:pPr>
        <w:rPr>
          <w:rFonts w:ascii="Calibri Light" w:hAnsi="Calibri Light" w:cs="Calibri Light"/>
          <w:b/>
          <w:bCs/>
          <w:sz w:val="24"/>
          <w:szCs w:val="24"/>
        </w:rPr>
      </w:pPr>
    </w:p>
    <w:p w14:paraId="3841CE56" w14:textId="77777777" w:rsidR="001E1108" w:rsidRPr="001E1108" w:rsidRDefault="001E1108" w:rsidP="001E1108">
      <w:pPr>
        <w:rPr>
          <w:rFonts w:ascii="Calibri Light" w:hAnsi="Calibri Light" w:cs="Calibri Light"/>
          <w:b/>
          <w:bCs/>
          <w:sz w:val="28"/>
          <w:szCs w:val="28"/>
        </w:rPr>
      </w:pPr>
      <w:r w:rsidRPr="001E1108">
        <w:rPr>
          <w:rFonts w:ascii="Calibri Light" w:hAnsi="Calibri Light" w:cs="Calibri Light"/>
          <w:b/>
          <w:bCs/>
          <w:sz w:val="28"/>
          <w:szCs w:val="28"/>
        </w:rPr>
        <w:t>Presidential Threshold in the 2024 Simultaneous General Election</w:t>
      </w:r>
      <w:r>
        <w:rPr>
          <w:rFonts w:ascii="Calibri Light" w:hAnsi="Calibri Light" w:cs="Calibri Light"/>
          <w:b/>
          <w:bCs/>
          <w:sz w:val="28"/>
          <w:szCs w:val="28"/>
        </w:rPr>
        <w:t xml:space="preserve"> i</w:t>
      </w:r>
      <w:r w:rsidRPr="001E1108">
        <w:rPr>
          <w:rFonts w:ascii="Calibri Light" w:hAnsi="Calibri Light" w:cs="Calibri Light"/>
          <w:b/>
          <w:bCs/>
          <w:sz w:val="28"/>
          <w:szCs w:val="28"/>
        </w:rPr>
        <w:t>n the Indonesian Constitutional System</w:t>
      </w:r>
    </w:p>
    <w:p w14:paraId="4F9582D2" w14:textId="77777777" w:rsidR="00DE1E48" w:rsidRPr="00122F5F" w:rsidRDefault="00DE1E48" w:rsidP="001E1108">
      <w:pPr>
        <w:rPr>
          <w:rFonts w:ascii="Calibri Light" w:hAnsi="Calibri Light" w:cs="Calibri Light"/>
          <w:sz w:val="24"/>
          <w:szCs w:val="24"/>
        </w:rPr>
      </w:pPr>
    </w:p>
    <w:p w14:paraId="5172B49E" w14:textId="773EB43C" w:rsidR="009E4EBA" w:rsidRPr="00122F5F" w:rsidRDefault="009E4EBA" w:rsidP="00122F5F">
      <w:pPr>
        <w:rPr>
          <w:rFonts w:ascii="Calibri Light" w:hAnsi="Calibri Light" w:cs="Calibri Light"/>
          <w:sz w:val="24"/>
          <w:szCs w:val="24"/>
          <w:lang w:val="id-ID"/>
        </w:rPr>
      </w:pPr>
    </w:p>
    <w:p w14:paraId="3887FDAC" w14:textId="77777777" w:rsidR="00DE1E48" w:rsidRPr="00122F5F" w:rsidRDefault="00DE1E48" w:rsidP="001D7DEE">
      <w:pPr>
        <w:jc w:val="center"/>
        <w:rPr>
          <w:rFonts w:ascii="Calibri Light" w:hAnsi="Calibri Light" w:cs="Calibri Light"/>
          <w:sz w:val="24"/>
          <w:szCs w:val="24"/>
        </w:rPr>
      </w:pPr>
    </w:p>
    <w:p w14:paraId="541B7504"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3C6509DF"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0B388DAD"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139FDB46" w14:textId="77777777" w:rsidR="00863A78" w:rsidRPr="00863A78" w:rsidRDefault="00863A78" w:rsidP="00863A78">
      <w:pPr>
        <w:ind w:right="737"/>
        <w:rPr>
          <w:rFonts w:ascii="Calibri Light" w:hAnsi="Calibri Light" w:cs="Calibri Light"/>
          <w:b/>
          <w:bCs/>
        </w:rPr>
      </w:pPr>
    </w:p>
    <w:p w14:paraId="76ABD375" w14:textId="63E70ACF" w:rsidR="00863A78" w:rsidRPr="00863A78" w:rsidRDefault="000275BD"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22DC62CA" wp14:editId="14E30297">
            <wp:extent cx="260985" cy="260985"/>
            <wp:effectExtent l="0" t="0" r="0" b="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985" cy="26098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38DC3733"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083F736D" w14:textId="77777777" w:rsidTr="00540F02">
        <w:tc>
          <w:tcPr>
            <w:tcW w:w="9004" w:type="dxa"/>
            <w:tcBorders>
              <w:left w:val="nil"/>
              <w:right w:val="nil"/>
            </w:tcBorders>
          </w:tcPr>
          <w:p w14:paraId="733E7791" w14:textId="77777777" w:rsidR="00863A78" w:rsidRPr="00540F02" w:rsidRDefault="00863A78" w:rsidP="00540F02">
            <w:pPr>
              <w:ind w:right="2"/>
              <w:jc w:val="both"/>
              <w:rPr>
                <w:rFonts w:ascii="Calibri Light" w:hAnsi="Calibri Light" w:cs="Calibri Light"/>
                <w:sz w:val="12"/>
                <w:szCs w:val="12"/>
              </w:rPr>
            </w:pPr>
          </w:p>
          <w:p w14:paraId="3E7DDFED"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7E045073" w14:textId="77777777" w:rsidR="00863A78" w:rsidRPr="00540F02" w:rsidRDefault="00863A78" w:rsidP="00540F02">
            <w:pPr>
              <w:ind w:right="2"/>
              <w:jc w:val="both"/>
              <w:rPr>
                <w:rFonts w:ascii="Calibri Light" w:hAnsi="Calibri Light" w:cs="Calibri Light"/>
                <w:color w:val="0462C1"/>
                <w:u w:val="single" w:color="0462C1"/>
              </w:rPr>
            </w:pPr>
          </w:p>
          <w:p w14:paraId="068F4551"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162D984" w14:textId="77777777" w:rsidR="00863A78" w:rsidRPr="00540F02" w:rsidRDefault="00863A78" w:rsidP="00540F02">
            <w:pPr>
              <w:ind w:right="2"/>
              <w:jc w:val="both"/>
              <w:rPr>
                <w:rFonts w:ascii="Calibri Light" w:hAnsi="Calibri Light" w:cs="Calibri Light"/>
                <w:b/>
                <w:bCs/>
                <w:sz w:val="12"/>
                <w:szCs w:val="12"/>
              </w:rPr>
            </w:pPr>
          </w:p>
        </w:tc>
      </w:tr>
    </w:tbl>
    <w:p w14:paraId="053BC13E" w14:textId="77777777" w:rsidR="00863A78" w:rsidRDefault="00863A78" w:rsidP="00863A78">
      <w:pPr>
        <w:ind w:right="737"/>
        <w:rPr>
          <w:rFonts w:ascii="Calibri Light" w:hAnsi="Calibri Light" w:cs="Calibri Light"/>
          <w:b/>
          <w:bCs/>
          <w:sz w:val="24"/>
          <w:szCs w:val="24"/>
        </w:rPr>
      </w:pPr>
    </w:p>
    <w:p w14:paraId="6071142E" w14:textId="77777777" w:rsidR="001E1108" w:rsidRPr="001E1108" w:rsidRDefault="00A27B34" w:rsidP="001E1108">
      <w:pPr>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commentRangeStart w:id="0"/>
      <w:r w:rsidR="001E1108" w:rsidRPr="001E1108">
        <w:rPr>
          <w:rFonts w:ascii="Calibri Light" w:hAnsi="Calibri Light" w:cs="Calibri Light"/>
          <w:i/>
          <w:iCs/>
          <w:noProof/>
          <w:color w:val="000000"/>
          <w:sz w:val="24"/>
          <w:szCs w:val="24"/>
        </w:rPr>
        <w:t xml:space="preserve">This paper examines the Presidential Threshold requirements for political parties or coalitions nominating candidates for President and Vice President in the 2024 Indonesian simultaneous general elections. It aims </w:t>
      </w:r>
      <w:commentRangeEnd w:id="0"/>
      <w:r w:rsidR="00DC6F9E">
        <w:rPr>
          <w:rStyle w:val="CommentReference"/>
        </w:rPr>
        <w:commentReference w:id="0"/>
      </w:r>
      <w:r w:rsidR="001E1108" w:rsidRPr="001E1108">
        <w:rPr>
          <w:rFonts w:ascii="Calibri Light" w:hAnsi="Calibri Light" w:cs="Calibri Light"/>
          <w:i/>
          <w:iCs/>
          <w:noProof/>
          <w:color w:val="000000"/>
          <w:sz w:val="24"/>
          <w:szCs w:val="24"/>
        </w:rPr>
        <w:t xml:space="preserve">to analyze the legitimacy and application of the presidential threshold within the Indonesian constitutional framework. The research uses a normative legal approach, supported by a review of primary and secondary legal materials, including relevant legislation and judicial decisions. The study finds that the legitimacy of the presidential threshold is based on Constitutional Court Decision No. 52/PUU-XX/2022, which grants the authority to set nomination thresholds to the DPR, DPD, and DPRD as open legal policies. Furthermore, the implementation of the presidential threshold in the 2024 elections, as outlined in Article 222 of Law No. 7 of 2017, is found to be inconsistent with the values of the 1945 Constitution of Indonesia and the national ideology, Pancasila. </w:t>
      </w:r>
      <w:commentRangeStart w:id="1"/>
      <w:r w:rsidR="001E1108" w:rsidRPr="001E1108">
        <w:rPr>
          <w:rFonts w:ascii="Calibri Light" w:hAnsi="Calibri Light" w:cs="Calibri Light"/>
          <w:i/>
          <w:iCs/>
          <w:noProof/>
          <w:color w:val="000000"/>
          <w:sz w:val="24"/>
          <w:szCs w:val="24"/>
        </w:rPr>
        <w:t xml:space="preserve">The conclusion indicates </w:t>
      </w:r>
      <w:commentRangeEnd w:id="1"/>
      <w:r w:rsidR="00DC6F9E">
        <w:rPr>
          <w:rStyle w:val="CommentReference"/>
        </w:rPr>
        <w:commentReference w:id="1"/>
      </w:r>
      <w:r w:rsidR="001E1108" w:rsidRPr="001E1108">
        <w:rPr>
          <w:rFonts w:ascii="Calibri Light" w:hAnsi="Calibri Light" w:cs="Calibri Light"/>
          <w:i/>
          <w:iCs/>
          <w:noProof/>
          <w:color w:val="000000"/>
          <w:sz w:val="24"/>
          <w:szCs w:val="24"/>
        </w:rPr>
        <w:t xml:space="preserve">that while the presidential threshold is legally established, its application raises constitutional concerns </w:t>
      </w:r>
      <w:r w:rsidR="00534559">
        <w:rPr>
          <w:rFonts w:ascii="Calibri Light" w:hAnsi="Calibri Light" w:cs="Calibri Light"/>
          <w:i/>
          <w:iCs/>
          <w:noProof/>
          <w:color w:val="000000"/>
          <w:sz w:val="24"/>
          <w:szCs w:val="24"/>
        </w:rPr>
        <w:t>about</w:t>
      </w:r>
      <w:r w:rsidR="001E1108" w:rsidRPr="001E1108">
        <w:rPr>
          <w:rFonts w:ascii="Calibri Light" w:hAnsi="Calibri Light" w:cs="Calibri Light"/>
          <w:i/>
          <w:iCs/>
          <w:noProof/>
          <w:color w:val="000000"/>
          <w:sz w:val="24"/>
          <w:szCs w:val="24"/>
        </w:rPr>
        <w:t xml:space="preserve"> democratic principles.</w:t>
      </w:r>
    </w:p>
    <w:p w14:paraId="6D200C70" w14:textId="77777777" w:rsidR="001E1108" w:rsidRDefault="001E1108" w:rsidP="00540F02">
      <w:pPr>
        <w:ind w:right="737"/>
        <w:jc w:val="both"/>
        <w:rPr>
          <w:rFonts w:ascii="Calibri Light" w:hAnsi="Calibri Light" w:cs="Calibri Light"/>
          <w:i/>
          <w:iCs/>
          <w:noProof/>
          <w:color w:val="000000"/>
          <w:sz w:val="24"/>
          <w:szCs w:val="24"/>
          <w:lang w:val="id-ID"/>
        </w:rPr>
      </w:pPr>
    </w:p>
    <w:p w14:paraId="018A1BD4" w14:textId="77777777" w:rsidR="00F1027C" w:rsidRPr="00752D64" w:rsidRDefault="0095288D" w:rsidP="00752D64">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1E1108" w:rsidRPr="001E1108">
        <w:rPr>
          <w:rStyle w:val="shorttext"/>
          <w:rFonts w:ascii="Calibri Light" w:hAnsi="Calibri Light" w:cs="Calibri Light"/>
          <w:i/>
          <w:iCs/>
          <w:sz w:val="24"/>
          <w:szCs w:val="24"/>
          <w:lang w:val="en"/>
        </w:rPr>
        <w:t>Presidential threshold, 2024 elections, Indonesian constitutional system, Constitutional Court</w:t>
      </w:r>
    </w:p>
    <w:p w14:paraId="2A5A404D"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63618ADC" w14:textId="77777777" w:rsidR="008C0808" w:rsidRPr="008C0808" w:rsidRDefault="008C0808" w:rsidP="008C0808">
      <w:pPr>
        <w:spacing w:before="120" w:after="120"/>
        <w:ind w:left="426"/>
        <w:jc w:val="both"/>
        <w:rPr>
          <w:rFonts w:ascii="Calibri Light" w:hAnsi="Calibri Light" w:cs="Calibri Light"/>
          <w:sz w:val="24"/>
          <w:szCs w:val="24"/>
        </w:rPr>
      </w:pPr>
      <w:r w:rsidRPr="008C0808">
        <w:rPr>
          <w:rFonts w:ascii="Calibri Light" w:hAnsi="Calibri Light" w:cs="Calibri Light"/>
          <w:sz w:val="24"/>
          <w:szCs w:val="24"/>
        </w:rPr>
        <w:t>General elections serve as a cornerstone of democratic governance, embodying the principles of popular sovereignty and representation. In Indonesia, the electoral process is enshrined in the 1945 Constitution, which emphasizes that sovereignty resides with the people and is exercised through their elected representatives</w:t>
      </w:r>
      <w:r w:rsidR="00567FE6">
        <w:rPr>
          <w:rFonts w:ascii="Calibri Light" w:hAnsi="Calibri Light" w:cs="Calibri Light"/>
          <w:sz w:val="24"/>
          <w:szCs w:val="24"/>
        </w:rPr>
        <w:t xml:space="preserve"> </w:t>
      </w:r>
      <w:r w:rsidR="00567FE6">
        <w:rPr>
          <w:rFonts w:ascii="Calibri Light" w:hAnsi="Calibri Light" w:cs="Calibri Light"/>
          <w:sz w:val="24"/>
          <w:szCs w:val="24"/>
        </w:rPr>
        <w:fldChar w:fldCharType="begin" w:fldLock="1"/>
      </w:r>
      <w:r w:rsidR="00567FE6">
        <w:rPr>
          <w:rFonts w:ascii="Calibri Light" w:hAnsi="Calibri Light" w:cs="Calibri Light"/>
          <w:sz w:val="24"/>
          <w:szCs w:val="24"/>
        </w:rPr>
        <w:instrText>ADDIN CSL_CITATION {"citationItems":[{"id":"ITEM-1","itemData":{"ISSN":"2686-4819","author":[{"dropping-particle":"","family":"Hudhaibi","given":"Hasan Aulia","non-dropping-particle":"","parse-names":false,"suffix":""}],"container-title":"AL-MANHAJ: Jurnal Hukum dan Pranata Sosial Islam","id":"ITEM-1","issue":"1","issued":{"date-parts":[["2023"]]},"page":"859-866","title":"General Election (Election) As an Implementation of The Constitution in A Country with A Democracy System","type":"article-journal","volume":"5"},"uris":["http://www.mendeley.com/documents/?uuid=020cc0b2-2018-4b9f-b84b-61c854fba2dd"]},{"id":"ITEM-2","itemData":{"ISSN":"2615-3076","author":[{"dropping-particle":"","family":"Patarai","given":"Muhammad Idris","non-dropping-particle":"","parse-names":false,"suffix":""}],"container-title":"Representative Democracy and Constitution Pancasila Perspective with the 1945 Constitution","id":"ITEM-2","issue":"4","issued":{"date-parts":[["2021"]]},"page":"12941-12951","publisher":"Budapest International Research and Critics Institute (BIRCI-Journal …","title":"Representative Democracy and Constitution Pancasila Perspective with the 1945 Constitution","type":"article-journal","volume":"4"},"uris":["http://www.mendeley.com/documents/?uuid=f6930eea-df6e-4a2d-9183-f21de7d3bea8"]},{"id":"ITEM-3","itemData":{"ISSN":"2614-560X","author":[{"dropping-particle":"","family":"Nulhakim","given":"Lukman","non-dropping-particle":"","parse-names":false,"suffix":""},{"dropping-particle":"","family":"Istinah","given":"Siti Rodhiyah Dwi","non-dropping-particle":"","parse-names":false,"suffix":""}],"container-title":"Jurnal Daulat Hukum","id":"ITEM-3","issue":"2","issued":{"date-parts":[["2021"]]},"page":"149-156","title":"The Realization of People's Sovereignty Through Recall of People to Elected Legislative Members","type":"article-journal","volume":"4"},"uris":["http://www.mendeley.com/documents/?uuid=3c82d894-27eb-4616-8297-41f58ba721bb"]}],"mendeley":{"formattedCitation":"(Hudhaibi, 2023; Nulhakim &amp; Istinah, 2021; Patarai, 2021)","plainTextFormattedCitation":"(Hudhaibi, 2023; Nulhakim &amp; Istinah, 2021; Patarai, 2021)","previouslyFormattedCitation":"(Hudhaibi, 2023; Nulhakim &amp; Istinah, 2021; Patarai, 2021)"},"properties":{"noteIndex":0},"schema":"https://github.com/citation-style-language/schema/raw/master/csl-citation.json"}</w:instrText>
      </w:r>
      <w:r w:rsidR="00567FE6">
        <w:rPr>
          <w:rFonts w:ascii="Calibri Light" w:hAnsi="Calibri Light" w:cs="Calibri Light"/>
          <w:sz w:val="24"/>
          <w:szCs w:val="24"/>
        </w:rPr>
        <w:fldChar w:fldCharType="separate"/>
      </w:r>
      <w:r w:rsidR="00567FE6" w:rsidRPr="00567FE6">
        <w:rPr>
          <w:rFonts w:ascii="Calibri Light" w:hAnsi="Calibri Light" w:cs="Calibri Light"/>
          <w:noProof/>
          <w:sz w:val="24"/>
          <w:szCs w:val="24"/>
        </w:rPr>
        <w:t>(Hudhaibi, 2023; Nulhakim &amp; Istinah, 2021; Patarai, 2021)</w:t>
      </w:r>
      <w:r w:rsidR="00567FE6">
        <w:rPr>
          <w:rFonts w:ascii="Calibri Light" w:hAnsi="Calibri Light" w:cs="Calibri Light"/>
          <w:sz w:val="24"/>
          <w:szCs w:val="24"/>
        </w:rPr>
        <w:fldChar w:fldCharType="end"/>
      </w:r>
      <w:r w:rsidRPr="008C0808">
        <w:rPr>
          <w:rFonts w:ascii="Calibri Light" w:hAnsi="Calibri Light" w:cs="Calibri Light"/>
          <w:sz w:val="24"/>
          <w:szCs w:val="24"/>
        </w:rPr>
        <w:t xml:space="preserve">. This constitutional framework mandates that elections be conducted in a manner that is direct, free, and fair, thereby ensuring that the </w:t>
      </w:r>
      <w:r w:rsidR="00534559">
        <w:rPr>
          <w:rFonts w:ascii="Calibri Light" w:hAnsi="Calibri Light" w:cs="Calibri Light"/>
          <w:sz w:val="24"/>
          <w:szCs w:val="24"/>
        </w:rPr>
        <w:t>electorate's voice is paramount in selecting</w:t>
      </w:r>
      <w:r w:rsidRPr="008C0808">
        <w:rPr>
          <w:rFonts w:ascii="Calibri Light" w:hAnsi="Calibri Light" w:cs="Calibri Light"/>
          <w:sz w:val="24"/>
          <w:szCs w:val="24"/>
        </w:rPr>
        <w:t xml:space="preserve"> their leaders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10.36418/sosains.v2i6.402","author":[{"dropping-particle":"","family":"Abrillioga","given":"Abrillioga","non-dropping-particle":"","parse-names":false,"suffix":""},{"dropping-particle":"","family":"Nugraha","given":"Aldian","non-dropping-particle":"","parse-names":false,"suffix":""},{"dropping-particle":"","family":"F","given":"Azzam. H","non-dropping-particle":"","parse-names":false,"suffix":""},{"dropping-particle":"","family":"Oktafiansyah","given":"Himy","non-dropping-particle":"","parse-names":false,"suffix":""}],"container-title":"Jurnal Sosial Dan Sains","id":"ITEM-1","issue":"6","issued":{"date-parts":[["2022"]]},"page":"648-655","title":"Strategic Issues of the Position of the President 3 Period in the Perspective of State Constitutional Law in the Restriction of Power","type":"article-journal","volume":"2"},"uris":["http://www.mendeley.com/documents/?uuid=9683980d-51b3-4b38-aff5-97dae92d39ec"]}],"mendeley":{"formattedCitation":"(Abrillioga et al., 2022)","plainTextFormattedCitation":"(Abrillioga et al., 2022)","previouslyFormattedCitation":"(Abrillioga et al., 2022)"},"properties":{"noteIndex":0},"schema":"https://github.com/citation-style-language/schema/raw/master/csl-citation.json"}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(Abrillioga et al., 2022)</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30190ACD" w14:textId="77777777" w:rsidR="008C0808" w:rsidRPr="008C0808" w:rsidRDefault="008C0808" w:rsidP="008C0808">
      <w:pPr>
        <w:spacing w:before="120" w:after="120"/>
        <w:ind w:left="426"/>
        <w:jc w:val="both"/>
        <w:rPr>
          <w:rFonts w:ascii="Calibri Light" w:hAnsi="Calibri Light" w:cs="Calibri Light"/>
          <w:sz w:val="24"/>
          <w:szCs w:val="24"/>
        </w:rPr>
      </w:pPr>
      <w:r w:rsidRPr="008C0808">
        <w:rPr>
          <w:rFonts w:ascii="Calibri Light" w:hAnsi="Calibri Light" w:cs="Calibri Light"/>
          <w:sz w:val="24"/>
          <w:szCs w:val="24"/>
        </w:rPr>
        <w:lastRenderedPageBreak/>
        <w:t>The evolution of Indonesia's electoral system has been marked by significant reforms, particularly following the constitutional amendments of the early 2000s</w:t>
      </w:r>
      <w:r w:rsidR="00567FE6">
        <w:rPr>
          <w:rFonts w:ascii="Calibri Light" w:hAnsi="Calibri Light" w:cs="Calibri Light"/>
          <w:sz w:val="24"/>
          <w:szCs w:val="24"/>
        </w:rPr>
        <w:t xml:space="preserve"> </w:t>
      </w:r>
      <w:r w:rsidR="00567FE6">
        <w:rPr>
          <w:rFonts w:ascii="Calibri Light" w:hAnsi="Calibri Light" w:cs="Calibri Light"/>
          <w:sz w:val="24"/>
          <w:szCs w:val="24"/>
        </w:rPr>
        <w:fldChar w:fldCharType="begin" w:fldLock="1"/>
      </w:r>
      <w:r w:rsidR="00567FE6">
        <w:rPr>
          <w:rFonts w:ascii="Calibri Light" w:hAnsi="Calibri Light" w:cs="Calibri Light"/>
          <w:sz w:val="24"/>
          <w:szCs w:val="24"/>
        </w:rPr>
        <w:instrText>ADDIN CSL_CITATION {"citationItems":[{"id":"ITEM-1","itemData":{"ISSN":"0007-4918","author":[{"dropping-particle":"","family":"Aspinall","given":"Edward","non-dropping-particle":"","parse-names":false,"suffix":""},{"dropping-particle":"","family":"Mietzner","given":"Marcus","non-dropping-particle":"","parse-names":false,"suffix":""}],"container-title":"Bulletin of Indonesian Economic Studies","id":"ITEM-1","issue":"3","issued":{"date-parts":[["2019"]]},"page":"295-317","publisher":"Taylor &amp; Francis","title":"Indonesia’s democratic paradox: competitive elections amidst rising illiberalism","type":"article-journal","volume":"55"},"uris":["http://www.mendeley.com/documents/?uuid=0ca16a0f-6a3a-4dd3-97f0-ad3d8a5bb02e"]},{"id":"ITEM-2","itemData":{"ISSN":"0192-5121","author":[{"dropping-particle":"","family":"Fossati","given":"Diego","non-dropping-particle":"","parse-names":false,"suffix":""}],"container-title":"International Political Science Review","id":"ITEM-2","issue":"3","issued":{"date-parts":[["2020"]]},"page":"349-364","publisher":"SAGE Publications Sage UK: London, England","title":"Electoral reform and partisan dealignment in Indonesia","type":"article-journal","volume":"41"},"uris":["http://www.mendeley.com/documents/?uuid=501c9332-706f-4fb0-a2d6-d63680898112"]},{"id":"ITEM-3","itemData":{"ISBN":"9004478701","author":[{"dropping-particle":"","family":"Lev","given":"Daniel","non-dropping-particle":"","parse-names":false,"suffix":""}],"id":"ITEM-3","issued":{"date-parts":[["2021"]]},"publisher":"Brill","title":"Legal evolution and political authority in Indonesia: selected essays","type":"book","volume":"4"},"uris":["http://www.mendeley.com/documents/?uuid=c5c7cdd9-7ee0-4ae7-9718-12a5f44a24ee"]}],"mendeley":{"formattedCitation":"(Aspinall &amp; Mietzner, 2019; Fossati, 2020; Lev, 2021)","plainTextFormattedCitation":"(Aspinall &amp; Mietzner, 2019; Fossati, 2020; Lev, 2021)"},"properties":{"noteIndex":0},"schema":"https://github.com/citation-style-language/schema/raw/master/csl-citation.json"}</w:instrText>
      </w:r>
      <w:r w:rsidR="00567FE6">
        <w:rPr>
          <w:rFonts w:ascii="Calibri Light" w:hAnsi="Calibri Light" w:cs="Calibri Light"/>
          <w:sz w:val="24"/>
          <w:szCs w:val="24"/>
        </w:rPr>
        <w:fldChar w:fldCharType="separate"/>
      </w:r>
      <w:r w:rsidR="00567FE6" w:rsidRPr="00567FE6">
        <w:rPr>
          <w:rFonts w:ascii="Calibri Light" w:hAnsi="Calibri Light" w:cs="Calibri Light"/>
          <w:noProof/>
          <w:sz w:val="24"/>
          <w:szCs w:val="24"/>
        </w:rPr>
        <w:t>(Aspinall &amp; Mietzner, 2019; Fossati, 2020; Lev, 2021)</w:t>
      </w:r>
      <w:r w:rsidR="00567FE6">
        <w:rPr>
          <w:rFonts w:ascii="Calibri Light" w:hAnsi="Calibri Light" w:cs="Calibri Light"/>
          <w:sz w:val="24"/>
          <w:szCs w:val="24"/>
        </w:rPr>
        <w:fldChar w:fldCharType="end"/>
      </w:r>
      <w:r w:rsidRPr="008C0808">
        <w:rPr>
          <w:rFonts w:ascii="Calibri Light" w:hAnsi="Calibri Light" w:cs="Calibri Light"/>
          <w:sz w:val="24"/>
          <w:szCs w:val="24"/>
        </w:rPr>
        <w:t xml:space="preserve">. These amendments introduced direct elections for the President and Vice President, </w:t>
      </w:r>
      <w:commentRangeStart w:id="2"/>
      <w:r w:rsidRPr="008C0808">
        <w:rPr>
          <w:rFonts w:ascii="Calibri Light" w:hAnsi="Calibri Light" w:cs="Calibri Light"/>
          <w:sz w:val="24"/>
          <w:szCs w:val="24"/>
        </w:rPr>
        <w:t xml:space="preserve">fundamentally altering the political landscape </w:t>
      </w:r>
      <w:commentRangeEnd w:id="2"/>
      <w:r w:rsidR="00DC6F9E">
        <w:rPr>
          <w:rStyle w:val="CommentReference"/>
        </w:rPr>
        <w:commentReference w:id="2"/>
      </w:r>
      <w:r w:rsidRPr="008C0808">
        <w:rPr>
          <w:rFonts w:ascii="Calibri Light" w:hAnsi="Calibri Light" w:cs="Calibri Light"/>
          <w:sz w:val="24"/>
          <w:szCs w:val="24"/>
        </w:rPr>
        <w:t>and enhancing the democratic process. The 2004 elections marked a pivotal moment in Indonesian history, as citizens were empowered to vote directly for their leaders, thus reinforcing the principles of democratic governance and accountability</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{"citationItems":[{"id":"ITEM-1","itemData":{"DOI":"10.28926/jdr.v7i2.313","author":[{"dropping-particle":"","family":"Huda","given":"Dimyati","non-dropping-particle":"","parse-names":false,"suffix":""},{"dropping-particle":"","family":"Winarto","given":"Agus E","non-dropping-particle":"","parse-names":false,"suffix":""},{"dropping-particle":"","family":"Lestariningsih","given":"Lestariningsih","non-dropping-particle":"","parse-names":false,"suffix":""}],"container-title":"Journal of Development Research","id":"ITEM-1","issue":"2","issued":{"date-parts":[["2023"]]},"page":"272-282","title":"Analysis of 2024 General Election Digitalization System as an Effort to Improve the Quality of Democracy in Indonesia","type":"article-journal","volume":"7"},"uris":["http://www.mendeley.com/documents/?uuid=5138c9cc-333c-45f3-b00e-2768e1494fcb"]}],"mendeley":{"formattedCitation":"(Huda et al., 2023)","plainTextFormattedCitation":"(Huda et al., 2023)","previouslyFormattedCitation":"(Huda et al.,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(Huda et al., 2023)</w:t>
      </w:r>
      <w:r w:rsidR="00F51A19">
        <w:rPr>
          <w:rFonts w:ascii="Calibri Light" w:hAnsi="Calibri Light" w:cs="Calibri Light"/>
          <w:sz w:val="24"/>
          <w:szCs w:val="24"/>
        </w:rPr>
        <w:fldChar w:fldCharType="end"/>
      </w:r>
      <w:r w:rsidRPr="008C0808">
        <w:rPr>
          <w:rFonts w:ascii="Calibri Light" w:hAnsi="Calibri Light" w:cs="Calibri Light"/>
          <w:sz w:val="24"/>
          <w:szCs w:val="24"/>
        </w:rPr>
        <w:t xml:space="preserve">. The constitutional provisions, particularly Article 6A, outline the procedures for electing the President and Vice President, emphasizing the role of political parties in nominating candidates. This framework has led to </w:t>
      </w:r>
      <w:r w:rsidR="00534559">
        <w:rPr>
          <w:rFonts w:ascii="Calibri Light" w:hAnsi="Calibri Light" w:cs="Calibri Light"/>
          <w:sz w:val="24"/>
          <w:szCs w:val="24"/>
        </w:rPr>
        <w:t xml:space="preserve">the establishment of </w:t>
      </w:r>
      <w:r w:rsidRPr="008C0808">
        <w:rPr>
          <w:rFonts w:ascii="Calibri Light" w:hAnsi="Calibri Light" w:cs="Calibri Light"/>
          <w:sz w:val="24"/>
          <w:szCs w:val="24"/>
        </w:rPr>
        <w:t xml:space="preserve">the presidential threshold, which requires </w:t>
      </w:r>
      <w:r w:rsidR="00534559">
        <w:rPr>
          <w:rFonts w:ascii="Calibri Light" w:hAnsi="Calibri Light" w:cs="Calibri Light"/>
          <w:sz w:val="24"/>
          <w:szCs w:val="24"/>
        </w:rPr>
        <w:t>candidates to</w:t>
      </w:r>
      <w:r w:rsidRPr="008C0808">
        <w:rPr>
          <w:rFonts w:ascii="Calibri Light" w:hAnsi="Calibri Light" w:cs="Calibri Light"/>
          <w:sz w:val="24"/>
          <w:szCs w:val="24"/>
        </w:rPr>
        <w:t xml:space="preserve"> be supported by a certain percentage of legislative seats to qualify for nomination</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{"citationItems":[{"id":"ITEM-1","itemData":{"DOI":"10.51601/ijersc.v4i1.587","author":[{"dropping-particle":"","family":"Yulianto","given":"Winasis","non-dropping-particle":"","parse-names":false,"suffix":""}],"container-title":"International Journal of Educational Research &amp; Social Sciences","id":"ITEM-1","issue":"1","issued":{"date-parts":[["2023"]]},"page":"132-140","title":"The Authority of the Indonesia Constitutional Court  in Revi Ew of Law Against Basic Law","type":"article-journal","volume":"4"},"uris":["http://www.mendeley.com/documents/?uuid=f44319fa-69b3-4818-baec-58d9ef3c0534"]}],"mendeley":{"formattedCitation":"(Yulianto, 2023)","plainTextFormattedCitation":"(Yulianto, 2023)","previouslyFormattedCitation":"(Yulianto,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(Yulianto, 2023)</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4BC039C8" w14:textId="77777777" w:rsidR="008C0808" w:rsidRPr="008C0808" w:rsidRDefault="008C0808" w:rsidP="008C0808">
      <w:pPr>
        <w:spacing w:before="120" w:after="120"/>
        <w:ind w:left="426"/>
        <w:jc w:val="both"/>
        <w:rPr>
          <w:rFonts w:ascii="Calibri Light" w:hAnsi="Calibri Light" w:cs="Calibri Light"/>
          <w:sz w:val="24"/>
          <w:szCs w:val="24"/>
        </w:rPr>
      </w:pPr>
      <w:r w:rsidRPr="008C0808">
        <w:rPr>
          <w:rFonts w:ascii="Calibri Light" w:hAnsi="Calibri Light" w:cs="Calibri Light"/>
          <w:sz w:val="24"/>
          <w:szCs w:val="24"/>
        </w:rPr>
        <w:t xml:space="preserve">The presidential threshold has sparked considerable debate regarding its legitimacy and implications for democratic representation. Critics argue that such a threshold may undermine the electoral rights of smaller parties and limit the diversity of political representation. The Constitutional Court of Indonesia has addressed these concerns through various rulings, affirming the constitutionality of the presidential threshold </w:t>
      </w:r>
      <w:r w:rsidR="00534559">
        <w:rPr>
          <w:rFonts w:ascii="Calibri Light" w:hAnsi="Calibri Light" w:cs="Calibri Light"/>
          <w:sz w:val="24"/>
          <w:szCs w:val="24"/>
        </w:rPr>
        <w:t>and</w:t>
      </w:r>
      <w:r w:rsidRPr="008C0808">
        <w:rPr>
          <w:rFonts w:ascii="Calibri Light" w:hAnsi="Calibri Light" w:cs="Calibri Light"/>
          <w:sz w:val="24"/>
          <w:szCs w:val="24"/>
        </w:rPr>
        <w:t xml:space="preserve"> </w:t>
      </w:r>
      <w:proofErr w:type="spellStart"/>
      <w:r w:rsidR="00534559">
        <w:rPr>
          <w:rFonts w:ascii="Calibri Light" w:hAnsi="Calibri Light" w:cs="Calibri Light"/>
          <w:sz w:val="24"/>
          <w:szCs w:val="24"/>
        </w:rPr>
        <w:t>recognising</w:t>
      </w:r>
      <w:proofErr w:type="spellEnd"/>
      <w:r w:rsidRPr="008C0808">
        <w:rPr>
          <w:rFonts w:ascii="Calibri Light" w:hAnsi="Calibri Light" w:cs="Calibri Light"/>
          <w:sz w:val="24"/>
          <w:szCs w:val="24"/>
        </w:rPr>
        <w:t xml:space="preserve"> the need </w:t>
      </w:r>
      <w:r w:rsidR="00534559">
        <w:rPr>
          <w:rFonts w:ascii="Calibri Light" w:hAnsi="Calibri Light" w:cs="Calibri Light"/>
          <w:sz w:val="24"/>
          <w:szCs w:val="24"/>
        </w:rPr>
        <w:t>to balance</w:t>
      </w:r>
      <w:r w:rsidRPr="008C0808">
        <w:rPr>
          <w:rFonts w:ascii="Calibri Light" w:hAnsi="Calibri Light" w:cs="Calibri Light"/>
          <w:sz w:val="24"/>
          <w:szCs w:val="24"/>
        </w:rPr>
        <w:t xml:space="preserve"> party representation and the </w:t>
      </w:r>
      <w:r w:rsidR="00534559">
        <w:rPr>
          <w:rFonts w:ascii="Calibri Light" w:hAnsi="Calibri Light" w:cs="Calibri Light"/>
          <w:sz w:val="24"/>
          <w:szCs w:val="24"/>
        </w:rPr>
        <w:t>electorate's will.</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10.4108/eai.28-10-2023.2341792","author":[{"dropping-particle":"","family":"Suparno","given":"Suparno","non-dropping-particle":"","parse-names":false,"suffix":""},{"dropping-particle":"","family":"Panjaitan","given":"Trimedya","non-dropping-particle":"","parse-names":false,"suffix":""}],"id":"ITEM-1","issued":{"date-parts":[["2023"]]},"title":"The Authority and Duties of the People's Consultative Assembly in the Perspective of Law Number 17 of 2014 Concerning the People's Consultative Assembly, the People's Representative Council, the Regional Representative Council, and the Regional People's R","type":"article-journal"},"uris":["http://www.mendeley.com/documents/?uuid=762a221c-e873-4be4-9554-f45d36a2b108"]}],"mendeley":{"formattedCitation":"(Suparno &amp; Panjaitan, 2023)","plainTextFormattedCitation":"(Suparno &amp; Panjaitan, 2023)","previouslyFormattedCitation":"(Suparno &amp; Panjaitan,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(Suparno &amp; Panjaitan, 2023)</w:t>
      </w:r>
      <w:r w:rsidR="00F51A19">
        <w:rPr>
          <w:rFonts w:ascii="Calibri Light" w:hAnsi="Calibri Light" w:cs="Calibri Light"/>
          <w:sz w:val="24"/>
          <w:szCs w:val="24"/>
        </w:rPr>
        <w:fldChar w:fldCharType="end"/>
      </w:r>
      <w:r w:rsidRPr="008C0808">
        <w:rPr>
          <w:rFonts w:ascii="Calibri Light" w:hAnsi="Calibri Light" w:cs="Calibri Light"/>
          <w:sz w:val="24"/>
          <w:szCs w:val="24"/>
        </w:rPr>
        <w:t xml:space="preserve">. The ongoing discourse surrounding the presidential threshold is crucial, particularly as Indonesia approaches the 2024 elections, where the interplay between constitutional mandates and electoral practices will be </w:t>
      </w:r>
      <w:r w:rsidR="00534559">
        <w:rPr>
          <w:rFonts w:ascii="Calibri Light" w:hAnsi="Calibri Light" w:cs="Calibri Light"/>
          <w:sz w:val="24"/>
          <w:szCs w:val="24"/>
        </w:rPr>
        <w:t>tested.</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{"citationItems":[{"id":"ITEM-1","itemData":{"DOI":"10.2991/aebmr.k.200226.036","author":[{"dropping-particle":"","family":"Haruni","given":"Catur W","non-dropping-particle":"","parse-names":false,"suffix":""},{"dropping-particle":"","family":"Khoidin","given":"M","non-dropping-particle":"","parse-names":false,"suffix":""},{"dropping-particle":"","family":"Ekatjahyana","given":"Widodo","non-dropping-particle":"","parse-names":false,"suffix":""},{"dropping-particle":"","family":"Harianto","given":"Aries","non-dropping-particle":"","parse-names":false,"suffix":""}],"id":"ITEM-1","issued":{"date-parts":[["2020"]]},"title":"Proportionality of the Regional Representative Council in Legislative Function","type":"article-journal"},"uris":["http://www.mendeley.com/documents/?uuid=c58dbd1f-f6ca-4776-8cb7-29f7f0621159"]}],"mendeley":{"formattedCitation":"(Haruni et al., 2020)","plainTextFormattedCitation":"(Haruni et al., 2020)","previouslyFormattedCitation":"(Haruni et al., 2020)"},"properties":{"noteIndex":0},"schema":"https://github.com/citation-style-language/schema/raw/master/csl-citation.json"}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(Haruni et al., 2020)</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2875894C" w14:textId="77777777" w:rsidR="008C0808" w:rsidRPr="008C0808" w:rsidRDefault="008C0808" w:rsidP="008C0808">
      <w:pPr>
        <w:spacing w:before="120" w:after="120"/>
        <w:ind w:left="426"/>
        <w:jc w:val="both"/>
        <w:rPr>
          <w:rFonts w:ascii="Calibri Light" w:hAnsi="Calibri Light" w:cs="Calibri Light"/>
          <w:sz w:val="24"/>
          <w:szCs w:val="24"/>
        </w:rPr>
      </w:pPr>
      <w:commentRangeStart w:id="3"/>
      <w:r w:rsidRPr="008C0808">
        <w:rPr>
          <w:rFonts w:ascii="Calibri Light" w:hAnsi="Calibri Light" w:cs="Calibri Light"/>
          <w:sz w:val="24"/>
          <w:szCs w:val="24"/>
        </w:rPr>
        <w:t xml:space="preserve">This issue also connects to broader questions of equity in Indonesian governance. </w:t>
      </w:r>
      <w:r w:rsidR="00534559">
        <w:rPr>
          <w:rFonts w:ascii="Calibri Light" w:hAnsi="Calibri Light" w:cs="Calibri Light"/>
          <w:sz w:val="24"/>
          <w:szCs w:val="24"/>
        </w:rPr>
        <w:t>Like</w:t>
      </w:r>
      <w:r w:rsidRPr="008C0808">
        <w:rPr>
          <w:rFonts w:ascii="Calibri Light" w:hAnsi="Calibri Light" w:cs="Calibri Light"/>
          <w:sz w:val="24"/>
          <w:szCs w:val="24"/>
        </w:rPr>
        <w:t xml:space="preserve"> </w:t>
      </w:r>
      <w:r w:rsidR="00534559">
        <w:rPr>
          <w:rFonts w:ascii="Calibri Light" w:hAnsi="Calibri Light" w:cs="Calibri Light"/>
          <w:sz w:val="24"/>
          <w:szCs w:val="24"/>
        </w:rPr>
        <w:t>health resources and public services distribution</w:t>
      </w:r>
      <w:r w:rsidRPr="008C0808">
        <w:rPr>
          <w:rFonts w:ascii="Calibri Light" w:hAnsi="Calibri Light" w:cs="Calibri Light"/>
          <w:sz w:val="24"/>
          <w:szCs w:val="24"/>
        </w:rPr>
        <w:t>, electoral thresholds can inadvertently exacerbate disparities, particularly for smaller political groups. For instance, the electoral process may mirror issues faced by marginalized communities in Indonesia, such as Indigenous groups, who also experience disproportionate access to power and resources</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{"citationItems":[{"id":"ITEM-1","itemData":{"author":[{"dropping-particle":"","family":"Mietzner","given":"Marcus","non-dropping-particle":"","parse-names":false,"suffix":""}],"container-title":"Democratization in Post-Suharto Indonesia","id":"ITEM-1","issued":{"date-parts":[["2008"]]},"page":"144-170","publisher":"Routledge","title":"Indonesia and the pitfalls of low-quality democracy: A case study of the gubernatorial elections in North Sulawesi","type":"chapter"},"uris":["http://www.mendeley.com/documents/?uuid=503aba42-9fb9-4110-804f-71093a97c6aa"]},{"id":"ITEM-2","itemData":{"ISSN":"0959-3780","author":[{"dropping-particle":"","family":"Butler","given":"J R A","non-dropping-particle":"","parse-names":false,"suffix":""},{"dropping-particle":"","family":"Suadnya","given":"W","non-dropping-particle":"","parse-names":false,"suffix":""},{"dropping-particle":"","family":"Puspadi","given":"K","non-dropping-particle":"","parse-names":false,"suffix":""},{"dropping-particle":"","family":"Sutaryono","given":"Y","non-dropping-particle":"","parse-names":false,"suffix":""},{"dropping-particle":"","family":"Wise","given":"R M","non-dropping-particle":"","parse-names":false,"suffix":""},{"dropping-particle":"","family":"Skewes","given":"T D","non-dropping-particle":"","parse-names":false,"suffix":""},{"dropping-particle":"","family":"Kirono","given":"D","non-dropping-particle":"","parse-names":false,"suffix":""},{"dropping-particle":"","family":"Bohensky","given":"E L","non-dropping-particle":"","parse-names":false,"suffix":""},{"dropping-particle":"","family":"Handayani","given":"T","non-dropping-particle":"","parse-names":false,"suffix":""},{"dropping-particle":"","family":"Habibi","given":"P","non-dropping-particle":"","parse-names":false,"suffix":""}],"container-title":"Global Environmental Change","id":"ITEM-2","issued":{"date-parts":[["2014"]]},"page":"368-382","publisher":"Elsevier","title":"Framing the application of adaptation pathways for rural livelihoods and global change in eastern Indonesian islands","type":"article-journal","volume":"28"},"uris":["http://www.mendeley.com/documents/?uuid=f686368c-8717-4b38-a03d-fd4a460e217b"]}],"mendeley":{"formattedCitation":"(Butler et al., 2014; Mietzner, 2008)","plainTextFormattedCitation":"(Butler et al., 2014; Mietzner, 2008)","previouslyFormattedCitation":"(Butler et al., 2014; Mietzner, 2008)"},"properties":{"noteIndex":0},"schema":"https://github.com/citation-style-language/schema/raw/master/csl-citation.json"}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(Butler et al., 2014; Mietzner, 2008)</w:t>
      </w:r>
      <w:r w:rsidR="00F51A19">
        <w:rPr>
          <w:rFonts w:ascii="Calibri Light" w:hAnsi="Calibri Light" w:cs="Calibri Light"/>
          <w:sz w:val="24"/>
          <w:szCs w:val="24"/>
        </w:rPr>
        <w:fldChar w:fldCharType="end"/>
      </w:r>
      <w:commentRangeEnd w:id="3"/>
      <w:r w:rsidR="00DC6F9E">
        <w:rPr>
          <w:rStyle w:val="CommentReference"/>
        </w:rPr>
        <w:commentReference w:id="3"/>
      </w:r>
      <w:r w:rsidRPr="008C0808">
        <w:rPr>
          <w:rFonts w:ascii="Calibri Light" w:hAnsi="Calibri Light" w:cs="Calibri Light"/>
          <w:sz w:val="24"/>
          <w:szCs w:val="24"/>
        </w:rPr>
        <w:t xml:space="preserve">. Scholars have raised concerns that the threshold could serve as a barrier, much like healthcare inequalities, which restrict the access of </w:t>
      </w:r>
      <w:r w:rsidR="00534559">
        <w:rPr>
          <w:rFonts w:ascii="Calibri Light" w:hAnsi="Calibri Light" w:cs="Calibri Light"/>
          <w:sz w:val="24"/>
          <w:szCs w:val="24"/>
        </w:rPr>
        <w:t>specific</w:t>
      </w:r>
      <w:r w:rsidRPr="008C0808">
        <w:rPr>
          <w:rFonts w:ascii="Calibri Light" w:hAnsi="Calibri Light" w:cs="Calibri Light"/>
          <w:sz w:val="24"/>
          <w:szCs w:val="24"/>
        </w:rPr>
        <w:t xml:space="preserve"> communities to the political process</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{"citationItems":[{"id":"ITEM-1","itemData":{"DOI":"10.1002/9781119678816.iehc0832","ISBN":"9780470673959","author":[{"dropping-particle":"","family":"Cordes","given":"Ashley","non-dropping-particle":"","parse-names":false,"suffix":""}],"container-title":"The International Encyclopedia of Health Communication","id":"ITEM-1","issued":{"date-parts":[["2022"]]},"page":"1-5","publisher":"Wiley","title":"Health Disparities: Indigenous: Native American","type":"article"},"uris":["http://www.mendeley.com/documents/?uuid=e8d25172-c680-4c2a-8f07-490bad5f5553"]}],"mendeley":{"formattedCitation":"(Cordes, 2022)","plainTextFormattedCitation":"(Cordes, 2022)","previouslyFormattedCitation":"(Cordes, 2022)"},"properties":{"noteIndex":0},"schema":"https://github.com/citation-style-language/schema/raw/master/csl-citation.json"}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(Cordes, 2022)</w:t>
      </w:r>
      <w:r w:rsidR="00F51A19">
        <w:rPr>
          <w:rFonts w:ascii="Calibri Light" w:hAnsi="Calibri Light" w:cs="Calibri Light"/>
          <w:sz w:val="24"/>
          <w:szCs w:val="24"/>
        </w:rPr>
        <w:fldChar w:fldCharType="end"/>
      </w:r>
      <w:r w:rsidRPr="008C0808">
        <w:rPr>
          <w:rFonts w:ascii="Calibri Light" w:hAnsi="Calibri Light" w:cs="Calibri Light"/>
          <w:sz w:val="24"/>
          <w:szCs w:val="24"/>
        </w:rPr>
        <w:t>. As electoral reforms continue to evolve, the discourse should incorporate the necessity for equal representation, especially for marginalized groups, as observed in health programs where disparities in access and information are prevalent</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{"citationItems":[{"id":"ITEM-1","itemData":{"DOI":"10.3390/ijerph20054384","ISSN":"1660-4601","abstract":"Although a recording and reporting format for health centers already exists for Indonesia's standard information system, numerous health applications still need to meet the needs of each program. Therefore, this study aimed to demonstrate the potential disparities in information systems in the application and data collection of health programs among Indonesian community health centers (CHCs) based on provinces and regions. This cross-sectional research used data from 9831 CHCs from the Health Facilities Research 2019 (RIFASKES). Significance was assessed using a chi-square test and analysis of variance (ANOVA). The number of applications was depicted on a map using the spmap command with STATA version 14. It showed that region 2, which represented Java and Bali, was the best, followed by regions 1, which comprised Sumatra Island and its surroundings, and 3, Nusa Tenggara. The highest mean, equaling that of Java, was discovered in three provinces of region 1, namely, Jambi, Lampung, and Bangka Belitung. Furthermore, Papua and West Papua had less than 60% for all types of data-storage programs. Hence, there is a disparity in the health information system in Indonesia by province and region. The results of this analysis recommend future improvement of the CHCs' information systems.","author":[{"dropping-particle":"","family":"Idaiani","given":"Sri","non-dropping-particle":"","parse-names":false,"suffix":""},{"dropping-particle":"","family":"Hendarwan","given":"Harimat","non-dropping-particle":"","parse-names":false,"suffix":""},{"dropping-particle":"","family":"Herawati","given":"Maria Holly","non-dropping-particle":"","parse-names":false,"suffix":""}],"container-title":"International journal of environmental research and public health","id":"ITEM-1","issue":"5","issued":{"date-parts":[["2023","3","1"]]},"language":"eng","page":"4384","publisher-place":"Switzerland","title":"Disparities of Health Program Information Systems in Indonesia: A Cross-Sectional Indonesian Health Facility Research 2019","type":"article-journal","volume":"20"},"uris":["http://www.mendeley.com/documents/?uuid=95d8803a-50b5-4894-832c-6b6cb8992a4e"]}],"mendeley":{"formattedCitation":"(Idaiani et al., 2023)","plainTextFormattedCitation":"(Idaiani et al., 2023)","previouslyFormattedCitation":"(Idaiani et al.,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(Idaiani et al., 2023)</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4020E1B4" w14:textId="77777777" w:rsidR="008C0808" w:rsidRPr="008C0808" w:rsidRDefault="008C0808" w:rsidP="008C0808">
      <w:pPr>
        <w:spacing w:before="120" w:after="120"/>
        <w:ind w:left="426"/>
        <w:jc w:val="both"/>
        <w:rPr>
          <w:rFonts w:ascii="Calibri Light" w:hAnsi="Calibri Light" w:cs="Calibri Light"/>
          <w:sz w:val="24"/>
          <w:szCs w:val="24"/>
        </w:rPr>
      </w:pPr>
      <w:r w:rsidRPr="008C0808">
        <w:rPr>
          <w:rFonts w:ascii="Calibri Light" w:hAnsi="Calibri Light" w:cs="Calibri Light"/>
          <w:sz w:val="24"/>
          <w:szCs w:val="24"/>
        </w:rPr>
        <w:t xml:space="preserve">This study </w:t>
      </w:r>
      <w:r w:rsidR="00534559">
        <w:rPr>
          <w:rFonts w:ascii="Calibri Light" w:hAnsi="Calibri Light" w:cs="Calibri Light"/>
          <w:sz w:val="24"/>
          <w:szCs w:val="24"/>
        </w:rPr>
        <w:t>investigates</w:t>
      </w:r>
      <w:r w:rsidRPr="008C0808">
        <w:rPr>
          <w:rFonts w:ascii="Calibri Light" w:hAnsi="Calibri Light" w:cs="Calibri Light"/>
          <w:sz w:val="24"/>
          <w:szCs w:val="24"/>
        </w:rPr>
        <w:t xml:space="preserve"> the legitimacy of the presidential threshold within the Indonesian constitutional framework, focusing on its implications for the 2024 simultaneous elections. The research will address two primary questions: first, what is the constitutional basis for the presidential threshold, and second, how will it be applied in the upcoming elections? By critically </w:t>
      </w:r>
      <w:proofErr w:type="spellStart"/>
      <w:r w:rsidR="00534559">
        <w:rPr>
          <w:rFonts w:ascii="Calibri Light" w:hAnsi="Calibri Light" w:cs="Calibri Light"/>
          <w:sz w:val="24"/>
          <w:szCs w:val="24"/>
        </w:rPr>
        <w:t>analysing</w:t>
      </w:r>
      <w:proofErr w:type="spellEnd"/>
      <w:r w:rsidRPr="008C0808">
        <w:rPr>
          <w:rFonts w:ascii="Calibri Light" w:hAnsi="Calibri Light" w:cs="Calibri Light"/>
          <w:sz w:val="24"/>
          <w:szCs w:val="24"/>
        </w:rPr>
        <w:t xml:space="preserve"> these issues, the paper seeks to contribute to the broader understanding of electoral democracy in Indonesia and propose recommendations for enhancing the electoral process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10.25041/fiatjustisia.v11no3.1141","author":[{"dropping-particle":"","family":"Tibaka","given":"Leli","non-dropping-particle":"","parse-names":false,"suffix":""},{"dropping-particle":"","family":"Rosdian","given":"Rosdian","non-dropping-particle":"","parse-names":false,"suffix":""}],"container-title":"Fiat Justisia Jurnal Ilmu Hukum","id":"ITEM-1","issue":"3","issued":{"date-parts":[["2018"]]},"page":"266","title":"The Protection of Human Rights in Indonesian Constitutional Law After the Amendment of the 1945 Constitution of the Republic of Indonesia","type":"article-journal","volume":"11"},"uris":["http://www.mendeley.com/documents/?uuid=4bea9d91-c5f1-49c4-84ff-38961fa67c92"]}],"mendeley":{"formattedCitation":"(Tibaka &amp; Rosdian, 2018)","plainTextFormattedCitation":"(Tibaka &amp; Rosdian, 2018)","previouslyFormattedCitation":"(Tibaka &amp; Rosdian, 2018)"},"properties":{"noteIndex":0},"schema":"https://github.com/citation-style-language/schema/raw/master/csl-citation.json"}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(Tibaka &amp; Rosdian, 2018)</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487F9FF7" w14:textId="77777777" w:rsidR="008C45DE" w:rsidRDefault="008C0808" w:rsidP="008C0808">
      <w:pPr>
        <w:spacing w:before="120" w:after="120"/>
        <w:ind w:left="426"/>
        <w:jc w:val="both"/>
        <w:rPr>
          <w:rFonts w:ascii="Calibri Light" w:hAnsi="Calibri Light" w:cs="Calibri Light"/>
          <w:sz w:val="24"/>
          <w:szCs w:val="24"/>
          <w:lang w:val="en"/>
        </w:rPr>
      </w:pPr>
      <w:r>
        <w:rPr>
          <w:rFonts w:ascii="Calibri Light" w:hAnsi="Calibri Light" w:cs="Calibri Light"/>
          <w:sz w:val="24"/>
          <w:szCs w:val="24"/>
        </w:rPr>
        <w:t>The</w:t>
      </w:r>
      <w:r w:rsidRPr="008C0808">
        <w:rPr>
          <w:rFonts w:ascii="Calibri Light" w:hAnsi="Calibri Light" w:cs="Calibri Light"/>
          <w:sz w:val="24"/>
          <w:szCs w:val="24"/>
        </w:rPr>
        <w:t xml:space="preserve"> presidential threshold represents a significant aspect of Indonesia's electoral system, reflecting the ongoing challenges and opportunities within the framework of constitutional democracy. As the nation prepares for the 2024 elections, it is imperative to critically examine </w:t>
      </w:r>
      <w:r w:rsidR="00534559">
        <w:rPr>
          <w:rFonts w:ascii="Calibri Light" w:hAnsi="Calibri Light" w:cs="Calibri Light"/>
          <w:sz w:val="24"/>
          <w:szCs w:val="24"/>
        </w:rPr>
        <w:t>this threshold's implications on citizens' electoral rights</w:t>
      </w:r>
      <w:r w:rsidRPr="008C0808">
        <w:rPr>
          <w:rFonts w:ascii="Calibri Light" w:hAnsi="Calibri Light" w:cs="Calibri Light"/>
          <w:sz w:val="24"/>
          <w:szCs w:val="24"/>
        </w:rPr>
        <w:t xml:space="preserve"> and the overall health of </w:t>
      </w:r>
      <w:r w:rsidRPr="008C0808">
        <w:rPr>
          <w:rFonts w:ascii="Calibri Light" w:hAnsi="Calibri Light" w:cs="Calibri Light"/>
          <w:sz w:val="24"/>
          <w:szCs w:val="24"/>
        </w:rPr>
        <w:lastRenderedPageBreak/>
        <w:t>Indonesia's democratic institutions</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{"citationItems":[{"id":"ITEM-1","itemData":{"DOI":"10.23960/jassp.v1i1.26","author":[{"dropping-particle":"","family":"Natamiharja","given":"Rudi","non-dropping-particle":"","parse-names":false,"suffix":""},{"dropping-particle":"","family":"Rasya","given":"Al G","non-dropping-particle":"","parse-names":false,"suffix":""}],"container-title":"Jassp","id":"ITEM-1","issue":"1","issued":{"date-parts":[["2021"]]},"page":"18-26","title":"Mapping International Laws on Human Rights in the 1945 Constitution of the Republic Indonesia","type":"article-journal","volume":"1"},"uris":["http://www.mendeley.com/documents/?uuid=01590f77-0d78-49be-a1ae-aaecc745463d"]}],"mendeley":{"formattedCitation":"(Natamiharja &amp; Rasya, 2021)","plainTextFormattedCitation":"(Natamiharja &amp; Rasya, 2021)","previouslyFormattedCitation":"(Natamiharja &amp; Rasya, 2021)"},"properties":{"noteIndex":0},"schema":"https://github.com/citation-style-language/schema/raw/master/csl-citation.json"}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(Natamiharja &amp; Rasya, 2021)</w:t>
      </w:r>
      <w:r w:rsidR="00F51A19">
        <w:rPr>
          <w:rFonts w:ascii="Calibri Light" w:hAnsi="Calibri Light" w:cs="Calibri Light"/>
          <w:sz w:val="24"/>
          <w:szCs w:val="24"/>
        </w:rPr>
        <w:fldChar w:fldCharType="end"/>
      </w:r>
      <w:r w:rsidR="00534559">
        <w:rPr>
          <w:rFonts w:ascii="Calibri Light" w:hAnsi="Calibri Light" w:cs="Calibri Light"/>
          <w:sz w:val="24"/>
          <w:szCs w:val="24"/>
        </w:rPr>
        <w:t xml:space="preserve">This paper </w:t>
      </w:r>
      <w:proofErr w:type="spellStart"/>
      <w:r w:rsidR="00534559">
        <w:rPr>
          <w:rFonts w:ascii="Calibri Light" w:hAnsi="Calibri Light" w:cs="Calibri Light"/>
          <w:sz w:val="24"/>
          <w:szCs w:val="24"/>
        </w:rPr>
        <w:t>endeavours</w:t>
      </w:r>
      <w:proofErr w:type="spellEnd"/>
      <w:r w:rsidR="00534559">
        <w:rPr>
          <w:rFonts w:ascii="Calibri Light" w:hAnsi="Calibri Light" w:cs="Calibri Light"/>
          <w:sz w:val="24"/>
          <w:szCs w:val="24"/>
        </w:rPr>
        <w:t xml:space="preserve"> to illuminate</w:t>
      </w:r>
      <w:r w:rsidRPr="008C0808">
        <w:rPr>
          <w:rFonts w:ascii="Calibri Light" w:hAnsi="Calibri Light" w:cs="Calibri Light"/>
          <w:sz w:val="24"/>
          <w:szCs w:val="24"/>
        </w:rPr>
        <w:t xml:space="preserve"> these critical issues, contributing to the discourse on electoral reform and democratic governance in Indonesia.</w:t>
      </w:r>
    </w:p>
    <w:p w14:paraId="63289DF2" w14:textId="77777777" w:rsidR="008C0808" w:rsidRPr="00122F5F" w:rsidRDefault="008C0808" w:rsidP="008C0808">
      <w:pPr>
        <w:spacing w:before="120" w:after="120"/>
        <w:ind w:left="426"/>
        <w:jc w:val="both"/>
        <w:rPr>
          <w:rFonts w:ascii="Calibri Light" w:hAnsi="Calibri Light" w:cs="Calibri Light"/>
          <w:color w:val="FF0000"/>
          <w:sz w:val="24"/>
          <w:szCs w:val="24"/>
          <w:lang w:val="id-ID"/>
        </w:rPr>
      </w:pPr>
    </w:p>
    <w:p w14:paraId="2840373D"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4293EF55" w14:textId="77777777" w:rsidR="005636D1" w:rsidRPr="005636D1" w:rsidRDefault="00534559" w:rsidP="005636D1">
      <w:pPr>
        <w:spacing w:before="120" w:after="120"/>
        <w:ind w:left="426"/>
        <w:jc w:val="both"/>
        <w:rPr>
          <w:rFonts w:ascii="Calibri Light" w:hAnsi="Calibri Light" w:cs="Calibri Light"/>
          <w:sz w:val="24"/>
          <w:szCs w:val="24"/>
        </w:rPr>
      </w:pPr>
      <w:r>
        <w:rPr>
          <w:rFonts w:ascii="Calibri Light" w:hAnsi="Calibri Light" w:cs="Calibri Light"/>
          <w:sz w:val="24"/>
          <w:szCs w:val="24"/>
        </w:rPr>
        <w:t xml:space="preserve">This study follows a structured methodology comprising </w:t>
      </w:r>
      <w:commentRangeStart w:id="4"/>
      <w:r>
        <w:rPr>
          <w:rFonts w:ascii="Calibri Light" w:hAnsi="Calibri Light" w:cs="Calibri Light"/>
          <w:sz w:val="24"/>
          <w:szCs w:val="24"/>
        </w:rPr>
        <w:t xml:space="preserve">six distinct steps </w:t>
      </w:r>
      <w:commentRangeEnd w:id="4"/>
      <w:r w:rsidR="00DC6F9E">
        <w:rPr>
          <w:rStyle w:val="CommentReference"/>
        </w:rPr>
        <w:commentReference w:id="4"/>
      </w:r>
      <w:r>
        <w:rPr>
          <w:rFonts w:ascii="Calibri Light" w:hAnsi="Calibri Light" w:cs="Calibri Light"/>
          <w:sz w:val="24"/>
          <w:szCs w:val="24"/>
        </w:rPr>
        <w:t>to address the research problem regarding the legitimacy of the presidential threshold in the Indonesian electoral system, particularly in the context of the 2024 Simultaneous Elections</w:t>
      </w:r>
      <w:r w:rsidR="005636D1" w:rsidRPr="005636D1">
        <w:rPr>
          <w:rFonts w:ascii="Calibri Light" w:hAnsi="Calibri Light" w:cs="Calibri Light"/>
          <w:sz w:val="24"/>
          <w:szCs w:val="24"/>
        </w:rPr>
        <w:t>.</w:t>
      </w:r>
    </w:p>
    <w:p w14:paraId="4051775B"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The first step in the research methodology is the problem definition, where the research problem is identified and articulated. The study focuses on the interaction between the presidential threshold and Indonesia's constitutional framework, exploring its implications for political representation and the overall democratic process. The importance of this issue lies in ensuring that electoral mechanisms align with the democratic principles enshrined in the 1945 Constitution of the Republic of Indonesia. This is especially crucial as the presidential threshold influences the inclusivity and fairness of the electoral system, shaping political participation in the 2024 elections</w:t>
      </w:r>
      <w:r w:rsidR="00534559">
        <w:rPr>
          <w:rFonts w:ascii="Calibri Light" w:hAnsi="Calibri Light" w:cs="Calibri Light"/>
          <w:sz w:val="24"/>
          <w:szCs w:val="24"/>
        </w:rPr>
        <w:t>.</w:t>
      </w:r>
      <w:r w:rsidRPr="005636D1">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{"citationItems":[{"id":"ITEM-1","itemData":{"DOI":"10.1017/s1743923x19000321","author":[{"dropping-particle":"","family":"Prihatini","given":"Ella","non-dropping-particle":"","parse-names":false,"suffix":""}],"container-title":"Politics &amp; Gender","id":"ITEM-1","issue":"3","issued":{"date-parts":[["2019"]]},"page":"637-659","title":"Islam, Parties, and Women's Political Nomination in Indonesia","type":"article-journal","volume":"16"},"uris":["http://www.mendeley.com/documents/?uuid=20a6477a-ae2c-49b1-b4ac-f939349fce53"]}],"mendeley":{"formattedCitation":"(Prihatini, 2019)","plainTextFormattedCitation":"(Prihatini, 2019)","previouslyFormattedCitation":"(Prihatini, 2019)"},"properties":{"noteIndex":0},"schema":"https://github.com/citation-style-language/schema/raw/master/csl-citation.json"}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(Prihatini, 2019)</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105CB1FB"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second step involves conducting a comprehensive literature review. This review covers existing research on electoral systems, constitutional law, and the specific nuances of the presidential threshold in Indonesia. Additionally, the literature review examines global experiences with electoral thresholds and their impact on democracy, representation, and political parties. It serves as the theoretical foundation for the study, providing essential insights into the Indonesian electoral system's alignment with broader democratic frameworks. This step has been completed in the previous sections, </w:t>
      </w:r>
      <w:proofErr w:type="spellStart"/>
      <w:r w:rsidR="00534559">
        <w:rPr>
          <w:rFonts w:ascii="Calibri Light" w:hAnsi="Calibri Light" w:cs="Calibri Light"/>
          <w:sz w:val="24"/>
          <w:szCs w:val="24"/>
        </w:rPr>
        <w:t>contextualising</w:t>
      </w:r>
      <w:proofErr w:type="spellEnd"/>
      <w:r w:rsidRPr="005636D1">
        <w:rPr>
          <w:rFonts w:ascii="Calibri Light" w:hAnsi="Calibri Light" w:cs="Calibri Light"/>
          <w:sz w:val="24"/>
          <w:szCs w:val="24"/>
        </w:rPr>
        <w:t xml:space="preserve"> the issues and laying the groundwork for the research</w:t>
      </w:r>
      <w:r w:rsidR="00534559">
        <w:rPr>
          <w:rFonts w:ascii="Calibri Light" w:hAnsi="Calibri Light" w:cs="Calibri Light"/>
          <w:sz w:val="24"/>
          <w:szCs w:val="24"/>
        </w:rPr>
        <w:t>.</w:t>
      </w:r>
      <w:r w:rsidR="00F51A19">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10.52249/ilr.v3i3.153","author":[{"dropping-particle":"","family":"Fibrianti","given":"Nurul","non-dropping-particle":"","parse-names":false,"suffix":""},{"dropping-particle":"","family":"Wahanisa","given":"Rofi","non-dropping-particle":"","parse-names":false,"suffix":""}],"container-title":"Iblam Law Review","id":"ITEM-1","issue":"3","issued":{"date-parts":[["2023"]]},"page":"72-82","title":"Comparison of Business Competition Institutions Between Indonesia and Thailand as a Form of Strengthening the Indonesian Business Competition Supervisory","type":"article-journal","volume":"3"},"uris":["http://www.mendeley.com/documents/?uuid=e128eb39-1e0f-474d-8b9a-6de3646b58df"]}],"mendeley":{"formattedCitation":"(Fibrianti &amp; Wahanisa, 2023)","plainTextFormattedCitation":"(Fibrianti &amp; Wahanisa, 2023)","previouslyFormattedCitation":"(Fibrianti &amp; Wahanisa,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(Fibrianti &amp; Wahanisa,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4F24AE71"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third step is the application of normative juridical research, which forms the core of this study. Normative juridical research </w:t>
      </w:r>
      <w:r w:rsidR="00534559">
        <w:rPr>
          <w:rFonts w:ascii="Calibri Light" w:hAnsi="Calibri Light" w:cs="Calibri Light"/>
          <w:sz w:val="24"/>
          <w:szCs w:val="24"/>
        </w:rPr>
        <w:t>thoroughly analyses</w:t>
      </w:r>
      <w:r w:rsidRPr="005636D1">
        <w:rPr>
          <w:rFonts w:ascii="Calibri Light" w:hAnsi="Calibri Light" w:cs="Calibri Light"/>
          <w:sz w:val="24"/>
          <w:szCs w:val="24"/>
        </w:rPr>
        <w:t xml:space="preserve"> legal principles, historical contexts, and comparative legal frameworks. As outlined by Soejono </w:t>
      </w:r>
      <w:proofErr w:type="spellStart"/>
      <w:r w:rsidRPr="005636D1">
        <w:rPr>
          <w:rFonts w:ascii="Calibri Light" w:hAnsi="Calibri Light" w:cs="Calibri Light"/>
          <w:sz w:val="24"/>
          <w:szCs w:val="24"/>
        </w:rPr>
        <w:t>Soekanto</w:t>
      </w:r>
      <w:proofErr w:type="spellEnd"/>
      <w:r w:rsidRPr="005636D1">
        <w:rPr>
          <w:rFonts w:ascii="Calibri Light" w:hAnsi="Calibri Light" w:cs="Calibri Light"/>
          <w:sz w:val="24"/>
          <w:szCs w:val="24"/>
        </w:rPr>
        <w:t>, this approach seeks to understand the application of law through established legal norms</w:t>
      </w:r>
      <w:r w:rsidR="00F51A19">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{"citationItems":[{"id":"ITEM-1","itemData":{"author":[{"dropping-particle":"","family":"Soekanto","given":"Soejono","non-dropping-particle":"","parse-names":false,"suffix":""}],"id":"ITEM-1","issued":{"date-parts":[["1986"]]},"publisher":"Jakarta: Ui-Press","title":"Pengantar Penelitian Sosial","type":"article"},"uris":["http://www.mendeley.com/documents/?uuid=e7caeb6e-b278-4340-b28a-f8ebae86cddc"]}],"mendeley":{"formattedCitation":"(Soekanto, 1986)","plainTextFormattedCitation":"(Soekanto, 1986)","previouslyFormattedCitation":"(Soekanto, 1986)"},"properties":{"noteIndex":0},"schema":"https://github.com/citation-style-language/schema/raw/master/csl-citation.json"}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(Soekanto, 1986)</w:t>
      </w:r>
      <w:r w:rsidR="00F51A19">
        <w:rPr>
          <w:rFonts w:ascii="Calibri Light" w:hAnsi="Calibri Light" w:cs="Calibri Light"/>
          <w:sz w:val="24"/>
          <w:szCs w:val="24"/>
        </w:rPr>
        <w:fldChar w:fldCharType="end"/>
      </w:r>
      <w:r w:rsidRPr="005636D1">
        <w:rPr>
          <w:rFonts w:ascii="Calibri Light" w:hAnsi="Calibri Light" w:cs="Calibri Light"/>
          <w:sz w:val="24"/>
          <w:szCs w:val="24"/>
        </w:rPr>
        <w:t xml:space="preserve">. This study </w:t>
      </w:r>
      <w:r w:rsidR="00534559">
        <w:rPr>
          <w:rFonts w:ascii="Calibri Light" w:hAnsi="Calibri Light" w:cs="Calibri Light"/>
          <w:sz w:val="24"/>
          <w:szCs w:val="24"/>
        </w:rPr>
        <w:t>focuses explicitly</w:t>
      </w:r>
      <w:r w:rsidRPr="005636D1">
        <w:rPr>
          <w:rFonts w:ascii="Calibri Light" w:hAnsi="Calibri Light" w:cs="Calibri Light"/>
          <w:sz w:val="24"/>
          <w:szCs w:val="24"/>
        </w:rPr>
        <w:t xml:space="preserve"> on Indonesian electoral law, particularly Article 222 of Law Number 7 of 2017 concerning General Elections </w:t>
      </w:r>
      <w:r w:rsidR="00534559">
        <w:rPr>
          <w:rFonts w:ascii="Calibri Light" w:hAnsi="Calibri Light" w:cs="Calibri Light"/>
          <w:sz w:val="24"/>
          <w:szCs w:val="24"/>
        </w:rPr>
        <w:t>and</w:t>
      </w:r>
      <w:r w:rsidRPr="005636D1">
        <w:rPr>
          <w:rFonts w:ascii="Calibri Light" w:hAnsi="Calibri Light" w:cs="Calibri Light"/>
          <w:sz w:val="24"/>
          <w:szCs w:val="24"/>
        </w:rPr>
        <w:t xml:space="preserve"> the Constitutional Court Decision Number 52/PUU-XX/2022 regarding the presidential threshold. The research critically evaluates how these legal provisions align with the 1945 Constitution and Indonesia's foundational philosophical framework, Pancasila, to assess the legitimacy of the presidential threshold in light of these constitutional values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10.31330/repo.v2i2.25","author":[{"dropping-particle":"","family":"Amrin","given":"Amrin","non-dropping-particle":"","parse-names":false,"suffix":""},{"dropping-particle":"","family":"Hidayat","given":"Arsad","non-dropping-particle":"","parse-names":false,"suffix":""},{"dropping-particle":"","family":"Supriyanto","given":"Supriyanto","non-dropping-particle":"","parse-names":false,"suffix":""}],"container-title":"j.of Religious Policy","id":"ITEM-1","issue":"2","issued":{"date-parts":[["2023"]]},"page":"295-314","title":"Analysis in the Legal Dynamics of Coenant via Internet in Indonesia","type":"article-journal","volume":"2"},"uris":["http://www.mendeley.com/documents/?uuid=6e671dbe-04c8-4139-83aa-d304628e1b3a"]},{"id":"ITEM-2","itemData":{"DOI":"10.47577/tssj.v49i1.9783","author":[{"dropping-particle":"","family":"Umbase","given":"Ruth S","non-dropping-particle":"","parse-names":false,"suffix":""}],"container-title":"Technium Social Sciences Journal","id":"ITEM-2","issue":"1","issued":{"date-parts":[["2023"]]},"page":"77-83","title":"Women's Suffrage in Indonesia: A Structural Analysis of Women's Representation in Parliament","type":"article-journal","volume":"49"},"uris":["http://www.mendeley.com/documents/?uuid=7cfa62a1-a41e-432f-aeba-533faf337dda"]}],"mendeley":{"formattedCitation":"(Amrin et al., 2023; Umbase, 2023)","plainTextFormattedCitation":"(Amrin et al., 2023; Umbase, 2023)","previouslyFormattedCitation":"(Amrin et al., 2023; Umbase,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(Amrin et al., 2023; Umbase,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4D451119"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fourth step involves data collection and analysis. The data for this research is sourced primarily from secondary materials, including legal texts, court rulings, academic journals, and reports from governmental and non-governmental </w:t>
      </w:r>
      <w:proofErr w:type="spellStart"/>
      <w:r w:rsidR="00534559">
        <w:rPr>
          <w:rFonts w:ascii="Calibri Light" w:hAnsi="Calibri Light" w:cs="Calibri Light"/>
          <w:sz w:val="24"/>
          <w:szCs w:val="24"/>
        </w:rPr>
        <w:t>organisations</w:t>
      </w:r>
      <w:proofErr w:type="spellEnd"/>
      <w:r w:rsidRPr="005636D1">
        <w:rPr>
          <w:rFonts w:ascii="Calibri Light" w:hAnsi="Calibri Light" w:cs="Calibri Light"/>
          <w:sz w:val="24"/>
          <w:szCs w:val="24"/>
        </w:rPr>
        <w:t xml:space="preserve">. A qualitative approach is adopted to </w:t>
      </w:r>
      <w:proofErr w:type="spellStart"/>
      <w:r w:rsidR="00534559">
        <w:rPr>
          <w:rFonts w:ascii="Calibri Light" w:hAnsi="Calibri Light" w:cs="Calibri Light"/>
          <w:sz w:val="24"/>
          <w:szCs w:val="24"/>
        </w:rPr>
        <w:t>analyse</w:t>
      </w:r>
      <w:proofErr w:type="spellEnd"/>
      <w:r w:rsidRPr="005636D1">
        <w:rPr>
          <w:rFonts w:ascii="Calibri Light" w:hAnsi="Calibri Light" w:cs="Calibri Light"/>
          <w:sz w:val="24"/>
          <w:szCs w:val="24"/>
        </w:rPr>
        <w:t xml:space="preserve"> these legal texts, </w:t>
      </w:r>
      <w:r w:rsidR="00534559">
        <w:rPr>
          <w:rFonts w:ascii="Calibri Light" w:hAnsi="Calibri Light" w:cs="Calibri Light"/>
          <w:sz w:val="24"/>
          <w:szCs w:val="24"/>
        </w:rPr>
        <w:t>focusing</w:t>
      </w:r>
      <w:r w:rsidRPr="005636D1">
        <w:rPr>
          <w:rFonts w:ascii="Calibri Light" w:hAnsi="Calibri Light" w:cs="Calibri Light"/>
          <w:sz w:val="24"/>
          <w:szCs w:val="24"/>
        </w:rPr>
        <w:t xml:space="preserve"> on the implications of constitutional provisions related to the presidential threshold. The analysis also involves examining the sociopolitical context of Indonesia's electoral system</w:t>
      </w:r>
      <w:r w:rsidR="00534559">
        <w:rPr>
          <w:rFonts w:ascii="Calibri Light" w:hAnsi="Calibri Light" w:cs="Calibri Light"/>
          <w:sz w:val="24"/>
          <w:szCs w:val="24"/>
        </w:rPr>
        <w:t xml:space="preserve"> and </w:t>
      </w:r>
      <w:r w:rsidRPr="005636D1">
        <w:rPr>
          <w:rFonts w:ascii="Calibri Light" w:hAnsi="Calibri Light" w:cs="Calibri Light"/>
          <w:sz w:val="24"/>
          <w:szCs w:val="24"/>
        </w:rPr>
        <w:t xml:space="preserve">evaluating the practical effects of these legal documents and court decisions on democratic processes. </w:t>
      </w:r>
      <w:r w:rsidRPr="005636D1">
        <w:rPr>
          <w:rFonts w:ascii="Calibri Light" w:hAnsi="Calibri Light" w:cs="Calibri Light"/>
          <w:sz w:val="24"/>
          <w:szCs w:val="24"/>
        </w:rPr>
        <w:lastRenderedPageBreak/>
        <w:t>The aim is to identify key legal principles and compare them with constitutional values, interpreting their impact on the political system</w:t>
      </w:r>
      <w:r w:rsidR="00534559">
        <w:rPr>
          <w:rFonts w:ascii="Calibri Light" w:hAnsi="Calibri Light" w:cs="Calibri Light"/>
          <w:sz w:val="24"/>
          <w:szCs w:val="24"/>
        </w:rPr>
        <w:t>.</w:t>
      </w:r>
      <w:r w:rsidRPr="005636D1">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{"citationItems":[{"id":"ITEM-1","itemData":{"DOI":"10.36256/ijrs.v5i2.383","author":[{"dropping-particle":"","family":"Firdaus","given":"Firdaus","non-dropping-particle":"","parse-names":false,"suffix":""},{"dropping-particle":"","family":"Wulandari","given":"Ratih A","non-dropping-particle":"","parse-names":false,"suffix":""}],"container-title":"Indonesian Journal of Religion and Society","id":"ITEM-1","issue":"2","issued":{"date-parts":[["2023"]]},"page":"138-153","title":"Implications of Low Women's Representation: Strategies and Challenges Towards Gender Equality in Indonesian Politics","type":"article-journal","volume":"5"},"uris":["http://www.mendeley.com/documents/?uuid=794e3d21-3e12-438c-a0cb-42d3c6417072"]}],"mendeley":{"formattedCitation":"(Firdaus &amp; Wulandari, 2023)","plainTextFormattedCitation":"(Firdaus &amp; Wulandari, 2023)","previouslyFormattedCitation":"(Firdaus &amp; Wulandari,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(Firdaus &amp; Wulandari,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6DADC312"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fifth step in the methodology is obtaining results, where the legitimacy of the presidential threshold is </w:t>
      </w:r>
      <w:proofErr w:type="spellStart"/>
      <w:r w:rsidR="00534559">
        <w:rPr>
          <w:rFonts w:ascii="Calibri Light" w:hAnsi="Calibri Light" w:cs="Calibri Light"/>
          <w:sz w:val="24"/>
          <w:szCs w:val="24"/>
        </w:rPr>
        <w:t>scrutinised</w:t>
      </w:r>
      <w:proofErr w:type="spellEnd"/>
      <w:r w:rsidRPr="005636D1">
        <w:rPr>
          <w:rFonts w:ascii="Calibri Light" w:hAnsi="Calibri Light" w:cs="Calibri Light"/>
          <w:sz w:val="24"/>
          <w:szCs w:val="24"/>
        </w:rPr>
        <w:t>. This examination is conducted through the lens of Constitutional Court Decision Number 52/PUU-XX/2022, which affirms that the legislature possesses the open legal policy to establish candidacy thresholds for presidential and legislative positions. The study compares this legal determination with the constitutional values enshrined in Indonesia's 1945 Constitution and Pancasila. The research then assesses whether the presidential threshold, as outlined in Article 222 of Law Number 7 of 2017, aligns with or contradicts these constitutional values, especially in the upcoming 2024 elections</w:t>
      </w:r>
      <w:r w:rsidR="00534559">
        <w:rPr>
          <w:rFonts w:ascii="Calibri Light" w:hAnsi="Calibri Light" w:cs="Calibri Light"/>
          <w:sz w:val="24"/>
          <w:szCs w:val="24"/>
        </w:rPr>
        <w:t>.</w:t>
      </w:r>
      <w:r w:rsidRPr="005636D1">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{"citationItems":[{"id":"ITEM-1","itemData":{"DOI":"10.34309/jp.v28i2.844","author":[{"dropping-particle":"","family":"Soetjipto","given":"Ani W","non-dropping-particle":"","parse-names":false,"suffix":""}],"container-title":"Jurnal Perempuan","id":"ITEM-1","issue":"2","issued":{"date-parts":[["2023"]]},"page":"87-100","title":"Perempuan Muda Dan Partai Politik :  Dari Descriptive Participation Menuju Substantive Representation","type":"article-journal","volume":"28"},"uris":["http://www.mendeley.com/documents/?uuid=5fae6297-ced0-4884-806d-897dd5472066"]}],"mendeley":{"formattedCitation":"(Soetjipto, 2023)","plainTextFormattedCitation":"(Soetjipto, 2023)","previouslyFormattedCitation":"(Soetjipto,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(Soetjipto,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3E218552" w14:textId="77777777" w:rsid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final step involves formulating implications and recommendations. This step </w:t>
      </w:r>
      <w:proofErr w:type="spellStart"/>
      <w:r w:rsidR="00534559">
        <w:rPr>
          <w:rFonts w:ascii="Calibri Light" w:hAnsi="Calibri Light" w:cs="Calibri Light"/>
          <w:sz w:val="24"/>
          <w:szCs w:val="24"/>
        </w:rPr>
        <w:t>synthesises</w:t>
      </w:r>
      <w:proofErr w:type="spellEnd"/>
      <w:r w:rsidRPr="005636D1">
        <w:rPr>
          <w:rFonts w:ascii="Calibri Light" w:hAnsi="Calibri Light" w:cs="Calibri Light"/>
          <w:sz w:val="24"/>
          <w:szCs w:val="24"/>
        </w:rPr>
        <w:t xml:space="preserve"> the research findings to propose potential reforms to the presidential threshold, ensuring better alignment with democratic principles as outlined in Indonesia’s Constitution. It also </w:t>
      </w:r>
      <w:r w:rsidR="00534559">
        <w:rPr>
          <w:rFonts w:ascii="Calibri Light" w:hAnsi="Calibri Light" w:cs="Calibri Light"/>
          <w:sz w:val="24"/>
          <w:szCs w:val="24"/>
        </w:rPr>
        <w:t>recommends improving</w:t>
      </w:r>
      <w:r w:rsidRPr="005636D1">
        <w:rPr>
          <w:rFonts w:ascii="Calibri Light" w:hAnsi="Calibri Light" w:cs="Calibri Light"/>
          <w:sz w:val="24"/>
          <w:szCs w:val="24"/>
        </w:rPr>
        <w:t xml:space="preserve"> Indonesia’s electoral processes to promote </w:t>
      </w:r>
      <w:commentRangeStart w:id="5"/>
      <w:r w:rsidRPr="005636D1">
        <w:rPr>
          <w:rFonts w:ascii="Calibri Light" w:hAnsi="Calibri Light" w:cs="Calibri Light"/>
          <w:sz w:val="24"/>
          <w:szCs w:val="24"/>
        </w:rPr>
        <w:t xml:space="preserve">fairness, inclusivity, and better political representation for all parties, irrespective of their size or influence. </w:t>
      </w:r>
      <w:r w:rsidR="00534559">
        <w:rPr>
          <w:rFonts w:ascii="Calibri Light" w:hAnsi="Calibri Light" w:cs="Calibri Light"/>
          <w:sz w:val="24"/>
          <w:szCs w:val="24"/>
        </w:rPr>
        <w:t>The study addresses these critical issues and</w:t>
      </w:r>
      <w:r w:rsidRPr="005636D1">
        <w:rPr>
          <w:rFonts w:ascii="Calibri Light" w:hAnsi="Calibri Light" w:cs="Calibri Light"/>
          <w:sz w:val="24"/>
          <w:szCs w:val="24"/>
        </w:rPr>
        <w:t xml:space="preserve"> contributes to the ongoing discourse on electoral reform and </w:t>
      </w:r>
      <w:r w:rsidR="00534559">
        <w:rPr>
          <w:rFonts w:ascii="Calibri Light" w:hAnsi="Calibri Light" w:cs="Calibri Light"/>
          <w:sz w:val="24"/>
          <w:szCs w:val="24"/>
        </w:rPr>
        <w:t>enhancing</w:t>
      </w:r>
      <w:r w:rsidRPr="005636D1">
        <w:rPr>
          <w:rFonts w:ascii="Calibri Light" w:hAnsi="Calibri Light" w:cs="Calibri Light"/>
          <w:sz w:val="24"/>
          <w:szCs w:val="24"/>
        </w:rPr>
        <w:t xml:space="preserve"> democratic governance in Indonesia</w:t>
      </w:r>
      <w:r w:rsidR="00534559">
        <w:rPr>
          <w:rFonts w:ascii="Calibri Light" w:hAnsi="Calibri Light" w:cs="Calibri Light"/>
          <w:sz w:val="24"/>
          <w:szCs w:val="24"/>
        </w:rPr>
        <w:t>.</w:t>
      </w:r>
      <w:r w:rsidRPr="005636D1">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10.52289/hej10.107","author":[{"dropping-particle":"","family":"Djono","given":"Djono","non-dropping-particle":"","parse-names":false,"suffix":""},{"dropping-particle":"","family":"Joebagio","given":"Hermanu","non-dropping-particle":"","parse-names":false,"suffix":""},{"dropping-particle":"","family":"Abidin","given":"Nur F","non-dropping-particle":"","parse-names":false,"suffix":""}],"container-title":"Historical Encounters a Journal of Historical Consciousness Historical Cultures and History Education","id":"ITEM-1","issue":"1","issued":{"date-parts":[["2023"]]},"page":"100-113","title":"Representation of Political Conflicts in History Textbooks","type":"article-journal","volume":"10"},"uris":["http://www.mendeley.com/documents/?uuid=dcf49c10-2157-4060-9139-4d557e9fee42"]}],"mendeley":{"formattedCitation":"(Djono et al., 2023)","plainTextFormattedCitation":"(Djono et al., 2023)","previouslyFormattedCitation":"(Djono et al.,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(Djono et al.,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commentRangeEnd w:id="5"/>
      <w:r w:rsidR="00DC6F9E">
        <w:rPr>
          <w:rStyle w:val="CommentReference"/>
        </w:rPr>
        <w:commentReference w:id="5"/>
      </w:r>
    </w:p>
    <w:p w14:paraId="27047754" w14:textId="722A2654" w:rsidR="005636D1" w:rsidRDefault="000275BD" w:rsidP="005636D1">
      <w:pPr>
        <w:spacing w:before="120" w:after="120"/>
        <w:ind w:left="426"/>
        <w:jc w:val="center"/>
        <w:rPr>
          <w:noProof/>
        </w:rPr>
      </w:pPr>
      <w:r w:rsidRPr="00627913">
        <w:rPr>
          <w:noProof/>
        </w:rPr>
        <w:drawing>
          <wp:inline distT="0" distB="0" distL="0" distR="0" wp14:anchorId="7BC69E8B" wp14:editId="4E2EBD8A">
            <wp:extent cx="5735955" cy="3237230"/>
            <wp:effectExtent l="0" t="0" r="0" b="39370"/>
            <wp:docPr id="16" name="Diagram 141572571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71629180" w14:textId="77777777" w:rsidR="005636D1" w:rsidRPr="005636D1" w:rsidRDefault="005636D1" w:rsidP="005636D1">
      <w:pPr>
        <w:spacing w:before="120" w:after="120"/>
        <w:ind w:left="426"/>
        <w:rPr>
          <w:rFonts w:ascii="Calibri Light" w:hAnsi="Calibri Light" w:cs="Calibri Light"/>
          <w:i/>
          <w:iCs/>
          <w:sz w:val="24"/>
          <w:szCs w:val="24"/>
          <w:lang w:val="id"/>
        </w:rPr>
      </w:pPr>
      <w:r w:rsidRPr="005636D1">
        <w:rPr>
          <w:rFonts w:ascii="Calibri Light" w:hAnsi="Calibri Light" w:cs="Calibri Light"/>
          <w:b/>
          <w:bCs/>
          <w:i/>
          <w:iCs/>
          <w:sz w:val="24"/>
          <w:szCs w:val="24"/>
        </w:rPr>
        <w:t xml:space="preserve">                                                 </w:t>
      </w:r>
      <w:r w:rsidRPr="005636D1">
        <w:rPr>
          <w:rFonts w:ascii="Calibri Light" w:hAnsi="Calibri Light" w:cs="Calibri Light"/>
          <w:b/>
          <w:bCs/>
          <w:i/>
          <w:iCs/>
          <w:sz w:val="24"/>
          <w:szCs w:val="24"/>
          <w:lang w:val="id"/>
        </w:rPr>
        <w:t>Figure 1</w:t>
      </w:r>
      <w:r w:rsidRPr="005636D1">
        <w:rPr>
          <w:rFonts w:ascii="Calibri Light" w:hAnsi="Calibri Light" w:cs="Calibri Light"/>
          <w:b/>
          <w:bCs/>
          <w:sz w:val="24"/>
          <w:szCs w:val="24"/>
          <w:lang w:val="id"/>
        </w:rPr>
        <w:t xml:space="preserve">: </w:t>
      </w:r>
      <w:r w:rsidRPr="005636D1">
        <w:rPr>
          <w:rFonts w:ascii="Calibri Light" w:hAnsi="Calibri Light" w:cs="Calibri Light"/>
          <w:i/>
          <w:iCs/>
          <w:sz w:val="24"/>
          <w:szCs w:val="24"/>
          <w:lang w:val="id"/>
        </w:rPr>
        <w:t>Research Methods</w:t>
      </w:r>
    </w:p>
    <w:p w14:paraId="6D74E058" w14:textId="77777777" w:rsidR="005636D1" w:rsidRPr="005636D1" w:rsidRDefault="005636D1" w:rsidP="005636D1">
      <w:pPr>
        <w:spacing w:before="120" w:after="120"/>
        <w:ind w:left="426"/>
        <w:jc w:val="center"/>
        <w:rPr>
          <w:rFonts w:ascii="Calibri Light" w:hAnsi="Calibri Light" w:cs="Calibri Light"/>
          <w:sz w:val="24"/>
          <w:szCs w:val="24"/>
        </w:rPr>
      </w:pPr>
    </w:p>
    <w:p w14:paraId="37CF921F"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3125765F"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This section presents a detailed and comprehensive analysis of the legitimacy of the presidential threshold in Indonesia's electoral system</w:t>
      </w:r>
      <w:r w:rsidR="00534559">
        <w:rPr>
          <w:rFonts w:ascii="Calibri Light" w:hAnsi="Calibri Light" w:cs="Calibri Light"/>
          <w:sz w:val="24"/>
          <w:szCs w:val="24"/>
          <w:lang w:val="en-ID"/>
        </w:rPr>
        <w:t>. It focuses</w:t>
      </w:r>
      <w:r w:rsidRPr="003D3D0B">
        <w:rPr>
          <w:rFonts w:ascii="Calibri Light" w:hAnsi="Calibri Light" w:cs="Calibri Light"/>
          <w:sz w:val="24"/>
          <w:szCs w:val="24"/>
          <w:lang w:val="en-ID"/>
        </w:rPr>
        <w:t xml:space="preserve"> on its implications for </w:t>
      </w:r>
      <w:r w:rsidRPr="003D3D0B">
        <w:rPr>
          <w:rFonts w:ascii="Calibri Light" w:hAnsi="Calibri Light" w:cs="Calibri Light"/>
          <w:sz w:val="24"/>
          <w:szCs w:val="24"/>
          <w:lang w:val="en-ID"/>
        </w:rPr>
        <w:lastRenderedPageBreak/>
        <w:t xml:space="preserve">political representation and the broader democratic process, especially in the context of the 2024 Simultaneous Elections. The results draw from </w:t>
      </w:r>
      <w:r w:rsidR="00534559">
        <w:rPr>
          <w:rFonts w:ascii="Calibri Light" w:hAnsi="Calibri Light" w:cs="Calibri Light"/>
          <w:sz w:val="24"/>
          <w:szCs w:val="24"/>
          <w:lang w:val="en-ID"/>
        </w:rPr>
        <w:t>various</w:t>
      </w:r>
      <w:r w:rsidRPr="003D3D0B">
        <w:rPr>
          <w:rFonts w:ascii="Calibri Light" w:hAnsi="Calibri Light" w:cs="Calibri Light"/>
          <w:sz w:val="24"/>
          <w:szCs w:val="24"/>
          <w:lang w:val="en-ID"/>
        </w:rPr>
        <w:t xml:space="preserve"> legal, political, and comparative analyses, integrating constitutional and legislative frameworks with practical implications for electoral fairness and inclusivity.</w:t>
      </w:r>
    </w:p>
    <w:p w14:paraId="053ADC74"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1. Legal Validity and Constitutional Alignment of the Presidential Threshold</w:t>
      </w:r>
    </w:p>
    <w:p w14:paraId="3E27FB9F"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The key finding of this study is that the presidential threshold, as codified in Article 222 of Law Number 7 of 2017 concerning General Elections, is legally valid</w:t>
      </w:r>
      <w:r w:rsidR="00534559">
        <w:rPr>
          <w:rFonts w:ascii="Calibri Light" w:hAnsi="Calibri Light" w:cs="Calibri Light"/>
          <w:sz w:val="24"/>
          <w:szCs w:val="24"/>
          <w:lang w:val="en-ID"/>
        </w:rPr>
        <w:t>. Still, significant concerns exist</w:t>
      </w:r>
      <w:r w:rsidRPr="003D3D0B">
        <w:rPr>
          <w:rFonts w:ascii="Calibri Light" w:hAnsi="Calibri Light" w:cs="Calibri Light"/>
          <w:sz w:val="24"/>
          <w:szCs w:val="24"/>
          <w:lang w:val="en-ID"/>
        </w:rPr>
        <w:t xml:space="preserve"> regarding its alignment with the constitutional values of inclusivity and democracy. The Constitutional Court Decision Number 52/PUU-XX/2022 supports the legislature’s authority to set such candidacy thresholds for presidential elections. However, this decision does not fully address the broader implications of such thresholds on democratic participation, specifically the exclusion of smaller political parties and independent candidates. This legal framework </w:t>
      </w:r>
      <w:r w:rsidR="00534559">
        <w:rPr>
          <w:rFonts w:ascii="Calibri Light" w:hAnsi="Calibri Light" w:cs="Calibri Light"/>
          <w:sz w:val="24"/>
          <w:szCs w:val="24"/>
          <w:lang w:val="en-ID"/>
        </w:rPr>
        <w:t>emphasises</w:t>
      </w:r>
      <w:r w:rsidRPr="003D3D0B">
        <w:rPr>
          <w:rFonts w:ascii="Calibri Light" w:hAnsi="Calibri Light" w:cs="Calibri Light"/>
          <w:sz w:val="24"/>
          <w:szCs w:val="24"/>
          <w:lang w:val="en-ID"/>
        </w:rPr>
        <w:t xml:space="preserve"> that while the legislative body </w:t>
      </w:r>
      <w:r w:rsidR="00534559">
        <w:rPr>
          <w:rFonts w:ascii="Calibri Light" w:hAnsi="Calibri Light" w:cs="Calibri Light"/>
          <w:sz w:val="24"/>
          <w:szCs w:val="24"/>
          <w:lang w:val="en-ID"/>
        </w:rPr>
        <w:t>can</w:t>
      </w:r>
      <w:r w:rsidRPr="003D3D0B">
        <w:rPr>
          <w:rFonts w:ascii="Calibri Light" w:hAnsi="Calibri Light" w:cs="Calibri Light"/>
          <w:sz w:val="24"/>
          <w:szCs w:val="24"/>
          <w:lang w:val="en-ID"/>
        </w:rPr>
        <w:t xml:space="preserve"> set such thresholds, </w:t>
      </w:r>
      <w:r w:rsidR="00534559">
        <w:rPr>
          <w:rFonts w:ascii="Calibri Light" w:hAnsi="Calibri Light" w:cs="Calibri Light"/>
          <w:sz w:val="24"/>
          <w:szCs w:val="24"/>
          <w:lang w:val="en-ID"/>
        </w:rPr>
        <w:t>ongoing debates exist</w:t>
      </w:r>
      <w:r w:rsidRPr="003D3D0B">
        <w:rPr>
          <w:rFonts w:ascii="Calibri Light" w:hAnsi="Calibri Light" w:cs="Calibri Light"/>
          <w:sz w:val="24"/>
          <w:szCs w:val="24"/>
          <w:lang w:val="en-ID"/>
        </w:rPr>
        <w:t xml:space="preserve"> regarding whether these legal measures undermine the broader democratic principle of equal participation.</w:t>
      </w:r>
    </w:p>
    <w:p w14:paraId="1EECE66B"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1.1 </w:t>
      </w:r>
      <w:commentRangeStart w:id="6"/>
      <w:r w:rsidRPr="003D3D0B">
        <w:rPr>
          <w:rFonts w:ascii="Calibri Light" w:hAnsi="Calibri Light" w:cs="Calibri Light"/>
          <w:b/>
          <w:bCs/>
          <w:sz w:val="24"/>
          <w:szCs w:val="24"/>
          <w:lang w:val="en-ID"/>
        </w:rPr>
        <w:t>Implications for Political Representation</w:t>
      </w:r>
      <w:r w:rsidRPr="003D3D0B">
        <w:rPr>
          <w:rFonts w:ascii="Calibri Light" w:hAnsi="Calibri Light" w:cs="Calibri Light"/>
          <w:sz w:val="24"/>
          <w:szCs w:val="24"/>
          <w:lang w:val="en-ID"/>
        </w:rPr>
        <w:t xml:space="preserve"> The threshold has been identified as a mechanism </w:t>
      </w:r>
      <w:r w:rsidR="00534559">
        <w:rPr>
          <w:rFonts w:ascii="Calibri Light" w:hAnsi="Calibri Light" w:cs="Calibri Light"/>
          <w:sz w:val="24"/>
          <w:szCs w:val="24"/>
          <w:lang w:val="en-ID"/>
        </w:rPr>
        <w:t>favouring</w:t>
      </w:r>
      <w:r w:rsidRPr="003D3D0B">
        <w:rPr>
          <w:rFonts w:ascii="Calibri Light" w:hAnsi="Calibri Light" w:cs="Calibri Light"/>
          <w:sz w:val="24"/>
          <w:szCs w:val="24"/>
          <w:lang w:val="en-ID"/>
        </w:rPr>
        <w:t xml:space="preserve"> larger political parties, particularly those with substantial political capital, while sidelining smaller, potentially equally viable candidates. The legal framework is clear that only parties or coalitions with substantial electoral backing (i.e., 20% of the legislative seats) are eligible to field presidential candidates. This structure limits the diversity of political voices and raises questions about whether this legal provision is in harmony with the fundamental democratic values espoused in Indonesia's 1945 Constitution.</w:t>
      </w:r>
    </w:p>
    <w:p w14:paraId="015060AE" w14:textId="77777777" w:rsid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1.2 </w:t>
      </w:r>
      <w:r w:rsidRPr="003D3D0B">
        <w:rPr>
          <w:rFonts w:ascii="Calibri Light" w:hAnsi="Calibri Light" w:cs="Calibri Light"/>
          <w:b/>
          <w:bCs/>
          <w:sz w:val="24"/>
          <w:szCs w:val="24"/>
          <w:lang w:val="en-ID"/>
        </w:rPr>
        <w:t>Legality Versus Legitimacy</w:t>
      </w:r>
      <w:r w:rsidRPr="003D3D0B">
        <w:rPr>
          <w:rFonts w:ascii="Calibri Light" w:hAnsi="Calibri Light" w:cs="Calibri Light"/>
          <w:sz w:val="24"/>
          <w:szCs w:val="24"/>
          <w:lang w:val="en-ID"/>
        </w:rPr>
        <w:t xml:space="preserve"> While the threshold is legally sanctioned, its legitimacy in terms of democratic fairness is questionable. The analysis suggests that although the threshold is consistent with legal interpretations from the Constitutional Court, its restrictive nature may be seen as contradictory to the constitutional mandate for a pluralistic democracy. The </w:t>
      </w:r>
      <w:commentRangeEnd w:id="6"/>
      <w:r w:rsidR="00DC6F9E">
        <w:rPr>
          <w:rStyle w:val="CommentReference"/>
        </w:rPr>
        <w:commentReference w:id="6"/>
      </w:r>
      <w:r w:rsidRPr="003D3D0B">
        <w:rPr>
          <w:rFonts w:ascii="Calibri Light" w:hAnsi="Calibri Light" w:cs="Calibri Light"/>
          <w:sz w:val="24"/>
          <w:szCs w:val="24"/>
          <w:lang w:val="en-ID"/>
        </w:rPr>
        <w:t xml:space="preserve">constitutional values of Pancasila, which emphasize democracy, justice, and the people’s sovereignty, could be undermined by this restrictive policy that limits voter choice and marginalizes smaller political parties </w:t>
      </w:r>
      <w:r w:rsidR="00F51A19">
        <w:rPr>
          <w:rFonts w:ascii="Calibri Light" w:hAnsi="Calibri Light" w:cs="Calibri Light"/>
          <w:sz w:val="24"/>
          <w:szCs w:val="24"/>
          <w:lang w:val="en-ID"/>
        </w:rPr>
        <w:fldChar w:fldCharType="begin" w:fldLock="1"/>
      </w:r>
      <w:r w:rsidR="00F51A19">
        <w:rPr>
          <w:rFonts w:ascii="Calibri Light" w:hAnsi="Calibri Light" w:cs="Calibri Light"/>
          <w:sz w:val="24"/>
          <w:szCs w:val="24"/>
          <w:lang w:val="en-ID"/>
        </w:rPr>
        <w:instrText>ADDIN CSL_CITATION {"citationItems":[{"id":"ITEM-1","itemData":{"DOI":"10.31330/repo.v2i2.25","author":[{"dropping-particle":"","family":"Amrin","given":"Amrin","non-dropping-particle":"","parse-names":false,"suffix":""},{"dropping-particle":"","family":"Hidayat","given":"Arsad","non-dropping-particle":"","parse-names":false,"suffix":""},{"dropping-particle":"","family":"Supriyanto","given":"Supriyanto","non-dropping-particle":"","parse-names":false,"suffix":""}],"container-title":"j.of Religious Policy","id":"ITEM-1","issue":"2","issued":{"date-parts":[["2023"]]},"page":"295-314","title":"Analysis in the Legal Dynamics of Coenant via Internet in Indonesia","type":"article-journal","volume":"2"},"uris":["http://www.mendeley.com/documents/?uuid=6e671dbe-04c8-4139-83aa-d304628e1b3a"]}],"mendeley":{"formattedCitation":"(Amrin et al., 2023)","plainTextFormattedCitation":"(Amrin et al., 2023)","previouslyFormattedCitation":"(Amrin et al., 2023)"},"properties":{"noteIndex":0},"schema":"https://github.com/citation-style-language/schema/raw/master/csl-citation.json"}</w:instrText>
      </w:r>
      <w:r w:rsidR="00F51A19">
        <w:rPr>
          <w:rFonts w:ascii="Calibri Light" w:hAnsi="Calibri Light" w:cs="Calibri Light"/>
          <w:sz w:val="24"/>
          <w:szCs w:val="24"/>
          <w:lang w:val="en-ID"/>
        </w:rPr>
        <w:fldChar w:fldCharType="separate"/>
      </w:r>
      <w:r w:rsidR="00F51A19" w:rsidRPr="00F51A19">
        <w:rPr>
          <w:rFonts w:ascii="Calibri Light" w:hAnsi="Calibri Light" w:cs="Calibri Light"/>
          <w:noProof/>
          <w:sz w:val="24"/>
          <w:szCs w:val="24"/>
          <w:lang w:val="en-ID"/>
        </w:rPr>
        <w:t>(Amrin et al., 2023)</w:t>
      </w:r>
      <w:r w:rsidR="00F51A19">
        <w:rPr>
          <w:rFonts w:ascii="Calibri Light" w:hAnsi="Calibri Light" w:cs="Calibri Light"/>
          <w:sz w:val="24"/>
          <w:szCs w:val="24"/>
          <w:lang w:val="en-ID"/>
        </w:rPr>
        <w:fldChar w:fldCharType="end"/>
      </w:r>
      <w:r w:rsidRPr="003D3D0B">
        <w:rPr>
          <w:rFonts w:ascii="Calibri Light" w:hAnsi="Calibri Light" w:cs="Calibri Light"/>
          <w:sz w:val="24"/>
          <w:szCs w:val="24"/>
          <w:lang w:val="en-ID"/>
        </w:rPr>
        <w:t>.</w:t>
      </w:r>
    </w:p>
    <w:p w14:paraId="0399A378" w14:textId="77777777" w:rsidR="00F51A19" w:rsidRPr="003D3D0B" w:rsidRDefault="00F51A19" w:rsidP="003D3D0B">
      <w:pPr>
        <w:spacing w:before="120" w:after="120"/>
        <w:ind w:left="440" w:right="-1" w:hanging="14"/>
        <w:jc w:val="both"/>
        <w:rPr>
          <w:rFonts w:ascii="Calibri Light" w:hAnsi="Calibri Light" w:cs="Calibri Light"/>
          <w:sz w:val="24"/>
          <w:szCs w:val="24"/>
          <w:lang w:val="en-ID"/>
        </w:rPr>
      </w:pPr>
    </w:p>
    <w:p w14:paraId="3820E52C"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2. Historical and Constitutional Context of the Presidential Threshold</w:t>
      </w:r>
    </w:p>
    <w:p w14:paraId="61049F42"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The historical context of Indonesia's electoral system further deepens the understanding of how the presidential threshold may clash with the 1945 Constitution. A central tenet of the Indonesian constitution is that all citizens have the right to participate in the democratic process, including </w:t>
      </w:r>
      <w:r w:rsidR="00534559">
        <w:rPr>
          <w:rFonts w:ascii="Calibri Light" w:hAnsi="Calibri Light" w:cs="Calibri Light"/>
          <w:sz w:val="24"/>
          <w:szCs w:val="24"/>
          <w:lang w:val="en-ID"/>
        </w:rPr>
        <w:t>electing and being</w:t>
      </w:r>
      <w:r w:rsidRPr="003D3D0B">
        <w:rPr>
          <w:rFonts w:ascii="Calibri Light" w:hAnsi="Calibri Light" w:cs="Calibri Light"/>
          <w:sz w:val="24"/>
          <w:szCs w:val="24"/>
          <w:lang w:val="en-ID"/>
        </w:rPr>
        <w:t xml:space="preserve"> elected. By placing restrictions on which parties can nominate presidential candidates, the threshold could be seen as reducing the effectiveness of this constitutional right.</w:t>
      </w:r>
    </w:p>
    <w:p w14:paraId="095E9281"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2.1 </w:t>
      </w:r>
      <w:r w:rsidRPr="003D3D0B">
        <w:rPr>
          <w:rFonts w:ascii="Calibri Light" w:hAnsi="Calibri Light" w:cs="Calibri Light"/>
          <w:b/>
          <w:bCs/>
          <w:sz w:val="24"/>
          <w:szCs w:val="24"/>
          <w:lang w:val="en-ID"/>
        </w:rPr>
        <w:t>The 1945 Constitution and the Principle of Popular Sovereignty</w:t>
      </w:r>
      <w:r w:rsidRPr="003D3D0B">
        <w:rPr>
          <w:rFonts w:ascii="Calibri Light" w:hAnsi="Calibri Light" w:cs="Calibri Light"/>
          <w:sz w:val="24"/>
          <w:szCs w:val="24"/>
          <w:lang w:val="en-ID"/>
        </w:rPr>
        <w:t xml:space="preserve"> The principle of popular sovereignty, enshrined in the 1945 Constitution, dictates that the people's will should guide the selection of government officials. The presidential threshold, however, limits this principle by narrowing the field of presidential candidates to those parties that meet the </w:t>
      </w:r>
      <w:r w:rsidRPr="003D3D0B">
        <w:rPr>
          <w:rFonts w:ascii="Calibri Light" w:hAnsi="Calibri Light" w:cs="Calibri Light"/>
          <w:sz w:val="24"/>
          <w:szCs w:val="24"/>
          <w:lang w:val="en-ID"/>
        </w:rPr>
        <w:lastRenderedPageBreak/>
        <w:t xml:space="preserve">20% legislative seat requirement. </w:t>
      </w:r>
      <w:commentRangeStart w:id="7"/>
      <w:r w:rsidRPr="003D3D0B">
        <w:rPr>
          <w:rFonts w:ascii="Calibri Light" w:hAnsi="Calibri Light" w:cs="Calibri Light"/>
          <w:sz w:val="24"/>
          <w:szCs w:val="24"/>
          <w:lang w:val="en-ID"/>
        </w:rPr>
        <w:t xml:space="preserve">This restriction could undermine the full expression of the electorate’s will, </w:t>
      </w:r>
      <w:r w:rsidR="00534559">
        <w:rPr>
          <w:rFonts w:ascii="Calibri Light" w:hAnsi="Calibri Light" w:cs="Calibri Light"/>
          <w:sz w:val="24"/>
          <w:szCs w:val="24"/>
          <w:lang w:val="en-ID"/>
        </w:rPr>
        <w:t>notably</w:t>
      </w:r>
      <w:r w:rsidRPr="003D3D0B">
        <w:rPr>
          <w:rFonts w:ascii="Calibri Light" w:hAnsi="Calibri Light" w:cs="Calibri Light"/>
          <w:sz w:val="24"/>
          <w:szCs w:val="24"/>
          <w:lang w:val="en-ID"/>
        </w:rPr>
        <w:t xml:space="preserve"> when smaller political parties with regional or </w:t>
      </w:r>
      <w:r w:rsidR="00534559">
        <w:rPr>
          <w:rFonts w:ascii="Calibri Light" w:hAnsi="Calibri Light" w:cs="Calibri Light"/>
          <w:sz w:val="24"/>
          <w:szCs w:val="24"/>
          <w:lang w:val="en-ID"/>
        </w:rPr>
        <w:t>specialised</w:t>
      </w:r>
      <w:r w:rsidRPr="003D3D0B">
        <w:rPr>
          <w:rFonts w:ascii="Calibri Light" w:hAnsi="Calibri Light" w:cs="Calibri Light"/>
          <w:sz w:val="24"/>
          <w:szCs w:val="24"/>
          <w:lang w:val="en-ID"/>
        </w:rPr>
        <w:t xml:space="preserve"> support are excluded from the race.</w:t>
      </w:r>
      <w:commentRangeEnd w:id="7"/>
      <w:r w:rsidR="00DC6F9E">
        <w:rPr>
          <w:rStyle w:val="CommentReference"/>
        </w:rPr>
        <w:commentReference w:id="7"/>
      </w:r>
    </w:p>
    <w:p w14:paraId="0C270515" w14:textId="77777777" w:rsid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2.2 </w:t>
      </w:r>
      <w:r w:rsidRPr="003D3D0B">
        <w:rPr>
          <w:rFonts w:ascii="Calibri Light" w:hAnsi="Calibri Light" w:cs="Calibri Light"/>
          <w:b/>
          <w:bCs/>
          <w:sz w:val="24"/>
          <w:szCs w:val="24"/>
          <w:lang w:val="en-ID"/>
        </w:rPr>
        <w:t>Pancasila and Political Pluralism</w:t>
      </w:r>
      <w:r w:rsidRPr="003D3D0B">
        <w:rPr>
          <w:rFonts w:ascii="Calibri Light" w:hAnsi="Calibri Light" w:cs="Calibri Light"/>
          <w:sz w:val="24"/>
          <w:szCs w:val="24"/>
          <w:lang w:val="en-ID"/>
        </w:rPr>
        <w:t xml:space="preserve"> Pancasila, the foundational philosophy of the Indonesian state, promotes democratic values such as justice, social harmony, and inclusivity. The presidential threshold, by potentially excluding diverse political actors from competing in presidential elections, stands in tension with these ideals. A threshold that excludes smaller parties or independent candidates undermines the inclusive spirit of Pancasila, which seeks to allow all political voices to participate in the democratic process.</w:t>
      </w:r>
    </w:p>
    <w:p w14:paraId="4FFA9C2B" w14:textId="77777777" w:rsidR="00F51A19" w:rsidRPr="003D3D0B" w:rsidRDefault="00F51A19" w:rsidP="003D3D0B">
      <w:pPr>
        <w:spacing w:before="120" w:after="120"/>
        <w:ind w:left="440" w:right="-1" w:hanging="14"/>
        <w:jc w:val="both"/>
        <w:rPr>
          <w:rFonts w:ascii="Calibri Light" w:hAnsi="Calibri Light" w:cs="Calibri Light"/>
          <w:sz w:val="24"/>
          <w:szCs w:val="24"/>
          <w:lang w:val="en-ID"/>
        </w:rPr>
      </w:pPr>
    </w:p>
    <w:p w14:paraId="5C45F789"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3. Comparative Analysis with International Electoral Practices</w:t>
      </w:r>
    </w:p>
    <w:p w14:paraId="03361B6A"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While Indonesia's presidential threshold aligns with the practices of many other countries, this comparative analysis reveals that thresholds must be carefully calibrated to avoid limiting political competition and suppressing political pluralism. Comparative studies show that while some democracies </w:t>
      </w:r>
      <w:r w:rsidR="00534559">
        <w:rPr>
          <w:rFonts w:ascii="Calibri Light" w:hAnsi="Calibri Light" w:cs="Calibri Light"/>
          <w:sz w:val="24"/>
          <w:szCs w:val="24"/>
          <w:lang w:val="en-ID"/>
        </w:rPr>
        <w:t>utilise</w:t>
      </w:r>
      <w:r w:rsidRPr="003D3D0B">
        <w:rPr>
          <w:rFonts w:ascii="Calibri Light" w:hAnsi="Calibri Light" w:cs="Calibri Light"/>
          <w:sz w:val="24"/>
          <w:szCs w:val="24"/>
          <w:lang w:val="en-ID"/>
        </w:rPr>
        <w:t xml:space="preserve"> electoral thresholds, the level of restriction varies significantly, with some countries adopting more inclusive mechanisms to ensure that smaller parties have a fair opportunity to contest elections.</w:t>
      </w:r>
    </w:p>
    <w:p w14:paraId="4DC6606A"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3.1 </w:t>
      </w:r>
      <w:r w:rsidRPr="003D3D0B">
        <w:rPr>
          <w:rFonts w:ascii="Calibri Light" w:hAnsi="Calibri Light" w:cs="Calibri Light"/>
          <w:b/>
          <w:bCs/>
          <w:sz w:val="24"/>
          <w:szCs w:val="24"/>
          <w:lang w:val="en-ID"/>
        </w:rPr>
        <w:t>Thresholds in Comparative Democracies</w:t>
      </w:r>
      <w:r w:rsidRPr="003D3D0B">
        <w:rPr>
          <w:rFonts w:ascii="Calibri Light" w:hAnsi="Calibri Light" w:cs="Calibri Light"/>
          <w:sz w:val="24"/>
          <w:szCs w:val="24"/>
          <w:lang w:val="en-ID"/>
        </w:rPr>
        <w:t xml:space="preserve"> In countries such as Germany, Brazil, and France, thresholds balance inclusivity with the need for electoral stability. These countries have adopted systems that allow smaller parties to participate in presidential races while maintaining a stable electoral environment. For example, in Brazil, the electoral system employs both proportional representation and a relatively low threshold for presidential candidates, thus facilitating greater political competition. In contrast, Indonesia's threshold is much higher, which may discourage smaller parties from contesting the presidential election despite their significant local or regional support.</w:t>
      </w:r>
    </w:p>
    <w:p w14:paraId="4E6D911C"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3.2 </w:t>
      </w:r>
      <w:r w:rsidRPr="003D3D0B">
        <w:rPr>
          <w:rFonts w:ascii="Calibri Light" w:hAnsi="Calibri Light" w:cs="Calibri Light"/>
          <w:b/>
          <w:bCs/>
          <w:sz w:val="24"/>
          <w:szCs w:val="24"/>
          <w:lang w:val="en-ID"/>
        </w:rPr>
        <w:t>Negative Impact of High Thresholds</w:t>
      </w:r>
      <w:r w:rsidRPr="003D3D0B">
        <w:rPr>
          <w:rFonts w:ascii="Calibri Light" w:hAnsi="Calibri Light" w:cs="Calibri Light"/>
          <w:sz w:val="24"/>
          <w:szCs w:val="24"/>
          <w:lang w:val="en-ID"/>
        </w:rPr>
        <w:t xml:space="preserve"> The comparative analysis indicates that high thresholds can </w:t>
      </w:r>
      <w:r w:rsidR="00534559">
        <w:rPr>
          <w:rFonts w:ascii="Calibri Light" w:hAnsi="Calibri Light" w:cs="Calibri Light"/>
          <w:sz w:val="24"/>
          <w:szCs w:val="24"/>
          <w:lang w:val="en-ID"/>
        </w:rPr>
        <w:t>reduce</w:t>
      </w:r>
      <w:r w:rsidRPr="003D3D0B">
        <w:rPr>
          <w:rFonts w:ascii="Calibri Light" w:hAnsi="Calibri Light" w:cs="Calibri Light"/>
          <w:sz w:val="24"/>
          <w:szCs w:val="24"/>
          <w:lang w:val="en-ID"/>
        </w:rPr>
        <w:t xml:space="preserve"> political pluralism, as evidenced by several countries where high thresholds resulted in the domination of a few large parties and the exclusion of smaller political forces. Studies in countries like Turkey and Poland have shown that high thresholds tend to concentrate political power in the hands of a few dominant parties, leading to a more </w:t>
      </w:r>
      <w:r w:rsidR="00534559">
        <w:rPr>
          <w:rFonts w:ascii="Calibri Light" w:hAnsi="Calibri Light" w:cs="Calibri Light"/>
          <w:sz w:val="24"/>
          <w:szCs w:val="24"/>
          <w:lang w:val="en-ID"/>
        </w:rPr>
        <w:t>polarised</w:t>
      </w:r>
      <w:r w:rsidRPr="003D3D0B">
        <w:rPr>
          <w:rFonts w:ascii="Calibri Light" w:hAnsi="Calibri Light" w:cs="Calibri Light"/>
          <w:sz w:val="24"/>
          <w:szCs w:val="24"/>
          <w:lang w:val="en-ID"/>
        </w:rPr>
        <w:t xml:space="preserve"> and less inclusive political landscape. This trend raises concerns about the fairness of Indonesia's electoral system, where smaller</w:t>
      </w:r>
      <w:r w:rsidR="00534559">
        <w:rPr>
          <w:rFonts w:ascii="Calibri Light" w:hAnsi="Calibri Light" w:cs="Calibri Light"/>
          <w:sz w:val="24"/>
          <w:szCs w:val="24"/>
          <w:lang w:val="en-ID"/>
        </w:rPr>
        <w:t xml:space="preserve"> but potentially significant</w:t>
      </w:r>
      <w:r w:rsidRPr="003D3D0B">
        <w:rPr>
          <w:rFonts w:ascii="Calibri Light" w:hAnsi="Calibri Light" w:cs="Calibri Light"/>
          <w:sz w:val="24"/>
          <w:szCs w:val="24"/>
          <w:lang w:val="en-ID"/>
        </w:rPr>
        <w:t xml:space="preserve"> parties are often left without viable avenues to participate in presidential elections.</w:t>
      </w:r>
    </w:p>
    <w:p w14:paraId="5C64BE68"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4. Impact on Voter Choice and Political Inclusivity</w:t>
      </w:r>
    </w:p>
    <w:p w14:paraId="1FE97074"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The research reveals that the presidential threshold has significant </w:t>
      </w:r>
      <w:r w:rsidR="00534559">
        <w:rPr>
          <w:rFonts w:ascii="Calibri Light" w:hAnsi="Calibri Light" w:cs="Calibri Light"/>
          <w:sz w:val="24"/>
          <w:szCs w:val="24"/>
          <w:lang w:val="en-ID"/>
        </w:rPr>
        <w:t>voter choice and political inclusivity implications</w:t>
      </w:r>
      <w:r w:rsidRPr="003D3D0B">
        <w:rPr>
          <w:rFonts w:ascii="Calibri Light" w:hAnsi="Calibri Light" w:cs="Calibri Light"/>
          <w:sz w:val="24"/>
          <w:szCs w:val="24"/>
          <w:lang w:val="en-ID"/>
        </w:rPr>
        <w:t>. By restricting the field of presidential candidates, the threshold may limit the variety of policy platforms available to voters, reducing their ability to make fully informed electoral choices. This is especially problematic in a multi-party democracy like Indonesia, where many voters identify with smaller parties that may not meet the threshold but still represent important political ideologies.</w:t>
      </w:r>
    </w:p>
    <w:p w14:paraId="598BCF5B"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lastRenderedPageBreak/>
        <w:t xml:space="preserve">4.1 </w:t>
      </w:r>
      <w:r w:rsidRPr="003D3D0B">
        <w:rPr>
          <w:rFonts w:ascii="Calibri Light" w:hAnsi="Calibri Light" w:cs="Calibri Light"/>
          <w:b/>
          <w:bCs/>
          <w:sz w:val="24"/>
          <w:szCs w:val="24"/>
          <w:lang w:val="en-ID"/>
        </w:rPr>
        <w:t>Exclusion of Smaller Parties</w:t>
      </w:r>
      <w:r w:rsidRPr="003D3D0B">
        <w:rPr>
          <w:rFonts w:ascii="Calibri Light" w:hAnsi="Calibri Light" w:cs="Calibri Light"/>
          <w:sz w:val="24"/>
          <w:szCs w:val="24"/>
          <w:lang w:val="en-ID"/>
        </w:rPr>
        <w:t xml:space="preserve"> One of the critical findings is the potential disenfranchisement of voters who align with smaller parties. The threshold effectively disqualifies these parties from running for the presidency, </w:t>
      </w:r>
      <w:commentRangeStart w:id="8"/>
      <w:r w:rsidRPr="003D3D0B">
        <w:rPr>
          <w:rFonts w:ascii="Calibri Light" w:hAnsi="Calibri Light" w:cs="Calibri Light"/>
          <w:sz w:val="24"/>
          <w:szCs w:val="24"/>
          <w:lang w:val="en-ID"/>
        </w:rPr>
        <w:t>leading to a scenario where a large portion of the electorate is forced to choose from a limited pool of candidates</w:t>
      </w:r>
      <w:commentRangeEnd w:id="8"/>
      <w:r w:rsidR="00DC6F9E">
        <w:rPr>
          <w:rStyle w:val="CommentReference"/>
        </w:rPr>
        <w:commentReference w:id="8"/>
      </w:r>
      <w:r w:rsidRPr="003D3D0B">
        <w:rPr>
          <w:rFonts w:ascii="Calibri Light" w:hAnsi="Calibri Light" w:cs="Calibri Light"/>
          <w:sz w:val="24"/>
          <w:szCs w:val="24"/>
          <w:lang w:val="en-ID"/>
        </w:rPr>
        <w:t xml:space="preserve">. This reduces the overall quality of democratic participation and undermines the democratic ideal that elections should be representative of </w:t>
      </w:r>
      <w:r w:rsidR="00534559">
        <w:rPr>
          <w:rFonts w:ascii="Calibri Light" w:hAnsi="Calibri Light" w:cs="Calibri Light"/>
          <w:sz w:val="24"/>
          <w:szCs w:val="24"/>
          <w:lang w:val="en-ID"/>
        </w:rPr>
        <w:t>a</w:t>
      </w:r>
      <w:r w:rsidRPr="003D3D0B">
        <w:rPr>
          <w:rFonts w:ascii="Calibri Light" w:hAnsi="Calibri Light" w:cs="Calibri Light"/>
          <w:sz w:val="24"/>
          <w:szCs w:val="24"/>
          <w:lang w:val="en-ID"/>
        </w:rPr>
        <w:t xml:space="preserve"> broad spectrum of political views.</w:t>
      </w:r>
    </w:p>
    <w:p w14:paraId="639EBF42" w14:textId="77777777" w:rsid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4.2 </w:t>
      </w:r>
      <w:r w:rsidRPr="003D3D0B">
        <w:rPr>
          <w:rFonts w:ascii="Calibri Light" w:hAnsi="Calibri Light" w:cs="Calibri Light"/>
          <w:b/>
          <w:bCs/>
          <w:sz w:val="24"/>
          <w:szCs w:val="24"/>
          <w:lang w:val="en-ID"/>
        </w:rPr>
        <w:t>Voter Alienation</w:t>
      </w:r>
      <w:r w:rsidRPr="003D3D0B">
        <w:rPr>
          <w:rFonts w:ascii="Calibri Light" w:hAnsi="Calibri Light" w:cs="Calibri Light"/>
          <w:sz w:val="24"/>
          <w:szCs w:val="24"/>
          <w:lang w:val="en-ID"/>
        </w:rPr>
        <w:t xml:space="preserve"> The exclusion of smaller parties from presidential races can also lead to voter alienation. As political diversity is limited, many voters may feel that their choices do not adequately reflect their political views. This may result in lower voter turnout or a decline in political engagement, as voters who identify with excluded parties may feel their votes will not have a meaningful impact on the election outcome.</w:t>
      </w:r>
    </w:p>
    <w:p w14:paraId="5C1C21B7" w14:textId="77777777" w:rsidR="00F51A19" w:rsidRDefault="00F51A19" w:rsidP="003D3D0B">
      <w:pPr>
        <w:spacing w:before="120" w:after="120"/>
        <w:ind w:left="440" w:right="-1" w:hanging="14"/>
        <w:jc w:val="both"/>
        <w:rPr>
          <w:rFonts w:ascii="Calibri Light" w:hAnsi="Calibri Light" w:cs="Calibri Light"/>
          <w:sz w:val="24"/>
          <w:szCs w:val="24"/>
          <w:lang w:val="en-ID"/>
        </w:rPr>
      </w:pPr>
    </w:p>
    <w:p w14:paraId="3E46420C" w14:textId="77777777" w:rsidR="00F51A19" w:rsidRDefault="00F51A19" w:rsidP="003D3D0B">
      <w:pPr>
        <w:spacing w:before="120" w:after="120"/>
        <w:ind w:left="440" w:right="-1" w:hanging="14"/>
        <w:jc w:val="both"/>
        <w:rPr>
          <w:rFonts w:ascii="Calibri Light" w:hAnsi="Calibri Light" w:cs="Calibri Light"/>
          <w:sz w:val="24"/>
          <w:szCs w:val="24"/>
          <w:lang w:val="en-ID"/>
        </w:rPr>
      </w:pPr>
    </w:p>
    <w:p w14:paraId="286094A9" w14:textId="77777777" w:rsidR="00F51A19" w:rsidRPr="003D3D0B" w:rsidRDefault="00F51A19" w:rsidP="003D3D0B">
      <w:pPr>
        <w:spacing w:before="120" w:after="120"/>
        <w:ind w:left="440" w:right="-1" w:hanging="14"/>
        <w:jc w:val="both"/>
        <w:rPr>
          <w:rFonts w:ascii="Calibri Light" w:hAnsi="Calibri Light" w:cs="Calibri Light"/>
          <w:sz w:val="24"/>
          <w:szCs w:val="24"/>
          <w:lang w:val="en-ID"/>
        </w:rPr>
      </w:pPr>
    </w:p>
    <w:p w14:paraId="1C33EA1E"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5. Results from Secondary Data and Legal Interpretations</w:t>
      </w:r>
    </w:p>
    <w:p w14:paraId="0EA948C2"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Secondary data, including academic studies and court rulings, reinforce that the presidential threshold may create a disconnect between legal norms and the democratic ideals of fairness and inclusivity. The analysis of legal texts, such as the Constitutional Court Decision Number 52/PUU-XX/2022, shows that while the court upheld the legal legitimacy of the threshold, it failed to address the </w:t>
      </w:r>
      <w:r w:rsidR="00534559">
        <w:rPr>
          <w:rFonts w:ascii="Calibri Light" w:hAnsi="Calibri Light" w:cs="Calibri Light"/>
          <w:sz w:val="24"/>
          <w:szCs w:val="24"/>
          <w:lang w:val="en-ID"/>
        </w:rPr>
        <w:t>more profound</w:t>
      </w:r>
      <w:r w:rsidRPr="003D3D0B">
        <w:rPr>
          <w:rFonts w:ascii="Calibri Light" w:hAnsi="Calibri Light" w:cs="Calibri Light"/>
          <w:sz w:val="24"/>
          <w:szCs w:val="24"/>
          <w:lang w:val="en-ID"/>
        </w:rPr>
        <w:t xml:space="preserve"> implications for democratic representation and political diversity.</w:t>
      </w:r>
    </w:p>
    <w:p w14:paraId="0F58F560"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5.1 </w:t>
      </w:r>
      <w:r w:rsidRPr="003D3D0B">
        <w:rPr>
          <w:rFonts w:ascii="Calibri Light" w:hAnsi="Calibri Light" w:cs="Calibri Light"/>
          <w:b/>
          <w:bCs/>
          <w:sz w:val="24"/>
          <w:szCs w:val="24"/>
          <w:lang w:val="en-ID"/>
        </w:rPr>
        <w:t>The Court’s Ruling on Legal Policy</w:t>
      </w:r>
      <w:r w:rsidRPr="003D3D0B">
        <w:rPr>
          <w:rFonts w:ascii="Calibri Light" w:hAnsi="Calibri Light" w:cs="Calibri Light"/>
          <w:sz w:val="24"/>
          <w:szCs w:val="24"/>
          <w:lang w:val="en-ID"/>
        </w:rPr>
        <w:t xml:space="preserve"> The Constitutional Court’s decision affirmed the legislature’s right to set candidacy thresholds</w:t>
      </w:r>
      <w:r w:rsidR="00534559">
        <w:rPr>
          <w:rFonts w:ascii="Calibri Light" w:hAnsi="Calibri Light" w:cs="Calibri Light"/>
          <w:sz w:val="24"/>
          <w:szCs w:val="24"/>
          <w:lang w:val="en-ID"/>
        </w:rPr>
        <w:t>. Still, it</w:t>
      </w:r>
      <w:r w:rsidRPr="003D3D0B">
        <w:rPr>
          <w:rFonts w:ascii="Calibri Light" w:hAnsi="Calibri Light" w:cs="Calibri Light"/>
          <w:sz w:val="24"/>
          <w:szCs w:val="24"/>
          <w:lang w:val="en-ID"/>
        </w:rPr>
        <w:t xml:space="preserve"> did not fully consider </w:t>
      </w:r>
      <w:r w:rsidR="00534559">
        <w:rPr>
          <w:rFonts w:ascii="Calibri Light" w:hAnsi="Calibri Light" w:cs="Calibri Light"/>
          <w:sz w:val="24"/>
          <w:szCs w:val="24"/>
          <w:lang w:val="en-ID"/>
        </w:rPr>
        <w:t>this power's implications on the electoral system's inclusivity</w:t>
      </w:r>
      <w:r w:rsidRPr="003D3D0B">
        <w:rPr>
          <w:rFonts w:ascii="Calibri Light" w:hAnsi="Calibri Light" w:cs="Calibri Light"/>
          <w:sz w:val="24"/>
          <w:szCs w:val="24"/>
          <w:lang w:val="en-ID"/>
        </w:rPr>
        <w:t xml:space="preserve">. While the court </w:t>
      </w:r>
      <w:r w:rsidR="00534559">
        <w:rPr>
          <w:rFonts w:ascii="Calibri Light" w:hAnsi="Calibri Light" w:cs="Calibri Light"/>
          <w:sz w:val="24"/>
          <w:szCs w:val="24"/>
          <w:lang w:val="en-ID"/>
        </w:rPr>
        <w:t>emphasised</w:t>
      </w:r>
      <w:r w:rsidRPr="003D3D0B">
        <w:rPr>
          <w:rFonts w:ascii="Calibri Light" w:hAnsi="Calibri Light" w:cs="Calibri Light"/>
          <w:sz w:val="24"/>
          <w:szCs w:val="24"/>
          <w:lang w:val="en-ID"/>
        </w:rPr>
        <w:t xml:space="preserve"> that such decisions </w:t>
      </w:r>
      <w:r w:rsidR="00534559">
        <w:rPr>
          <w:rFonts w:ascii="Calibri Light" w:hAnsi="Calibri Light" w:cs="Calibri Light"/>
          <w:sz w:val="24"/>
          <w:szCs w:val="24"/>
          <w:lang w:val="en-ID"/>
        </w:rPr>
        <w:t>were</w:t>
      </w:r>
      <w:r w:rsidRPr="003D3D0B">
        <w:rPr>
          <w:rFonts w:ascii="Calibri Light" w:hAnsi="Calibri Light" w:cs="Calibri Light"/>
          <w:sz w:val="24"/>
          <w:szCs w:val="24"/>
          <w:lang w:val="en-ID"/>
        </w:rPr>
        <w:t xml:space="preserve"> within the scope of legislative authority, it did not sufficiently weigh the democratic cost of restricting political competition. This finding suggests a potential gap between legal reasoning and the broader principles of democratic legitimacy and political pluralism.</w:t>
      </w:r>
    </w:p>
    <w:p w14:paraId="62CA0E82"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The analysis of Indonesia's presidential threshold reveals significant concerns about its impact on political inclusivity and democratic representation. While legally valid, the threshold's restrictive nature may limit voter choice, diminish political pluralism, and undermine the constitutional principles of democracy and popular sovereignty. The results suggest a need for electoral reforms to balance legal validity with democratic fairness, ensuring broader political participation and more inclusive representation in the 2024 elections.</w:t>
      </w:r>
    </w:p>
    <w:p w14:paraId="7C9B78A0" w14:textId="77777777" w:rsidR="005636D1" w:rsidRDefault="005636D1" w:rsidP="00B25EDF">
      <w:pPr>
        <w:spacing w:before="120" w:after="120"/>
        <w:ind w:left="440" w:right="-1" w:hanging="14"/>
        <w:jc w:val="both"/>
        <w:rPr>
          <w:rFonts w:ascii="Calibri Light" w:hAnsi="Calibri Light" w:cs="Calibri Light"/>
          <w:sz w:val="24"/>
          <w:szCs w:val="24"/>
          <w:lang w:val="en-ID"/>
        </w:rPr>
      </w:pPr>
    </w:p>
    <w:p w14:paraId="736F8570" w14:textId="77777777" w:rsidR="005E7E97" w:rsidRPr="005E7E97" w:rsidRDefault="005E7E97" w:rsidP="00B25EDF">
      <w:pPr>
        <w:spacing w:before="120" w:after="120"/>
        <w:ind w:left="440" w:right="-1" w:hanging="14"/>
        <w:jc w:val="both"/>
        <w:rPr>
          <w:rFonts w:ascii="Calibri Light" w:hAnsi="Calibri Light" w:cs="Calibri Light"/>
          <w:b/>
          <w:bCs/>
          <w:sz w:val="24"/>
          <w:szCs w:val="24"/>
          <w:lang w:val="en-ID"/>
        </w:rPr>
      </w:pPr>
      <w:commentRangeStart w:id="9"/>
      <w:r w:rsidRPr="005E7E97">
        <w:rPr>
          <w:rFonts w:ascii="Calibri Light" w:hAnsi="Calibri Light" w:cs="Calibri Light"/>
          <w:b/>
          <w:bCs/>
          <w:sz w:val="24"/>
          <w:szCs w:val="24"/>
          <w:lang w:val="en-ID"/>
        </w:rPr>
        <w:t>Discussion</w:t>
      </w:r>
      <w:commentRangeEnd w:id="9"/>
      <w:r w:rsidR="00DC6F9E">
        <w:rPr>
          <w:rStyle w:val="CommentReference"/>
        </w:rPr>
        <w:commentReference w:id="9"/>
      </w:r>
    </w:p>
    <w:p w14:paraId="185F0882"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The results of this study indicate that the presidential threshold outlined in Article 222 of Law No. 7 of 2017, further confirmed by the Constitutional Court Decision No. 52/PUU-XX/2022, plays a significant role in shaping the political landscape of Indonesia, particularly </w:t>
      </w:r>
      <w:r w:rsidR="00534559">
        <w:rPr>
          <w:rFonts w:ascii="Calibri Light" w:hAnsi="Calibri Light" w:cs="Calibri Light"/>
          <w:sz w:val="24"/>
          <w:szCs w:val="24"/>
          <w:lang w:val="en-ID"/>
        </w:rPr>
        <w:lastRenderedPageBreak/>
        <w:t>concerning</w:t>
      </w:r>
      <w:r w:rsidRPr="005E7E97">
        <w:rPr>
          <w:rFonts w:ascii="Calibri Light" w:hAnsi="Calibri Light" w:cs="Calibri Light"/>
          <w:sz w:val="24"/>
          <w:szCs w:val="24"/>
          <w:lang w:val="en-ID"/>
        </w:rPr>
        <w:t xml:space="preserve"> the 2024 simultaneous elections. The threshold, which requires a political party or coalition to obtain at least 20% of the seats in the People’s Representative Council (DPR) to nominate a presidential candidate, raises concerns about its impact on the inclusivity and fairness of the democratic process. These concerns are grounded in the broader context of constitutional values, specifically</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the principles enshrined in the 1945 Constitution of the Republic of Indonesia and Pancasila, which </w:t>
      </w:r>
      <w:r w:rsidR="00534559">
        <w:rPr>
          <w:rFonts w:ascii="Calibri Light" w:hAnsi="Calibri Light" w:cs="Calibri Light"/>
          <w:sz w:val="24"/>
          <w:szCs w:val="24"/>
          <w:lang w:val="en-ID"/>
        </w:rPr>
        <w:t>emphasise</w:t>
      </w:r>
      <w:r w:rsidRPr="005E7E97">
        <w:rPr>
          <w:rFonts w:ascii="Calibri Light" w:hAnsi="Calibri Light" w:cs="Calibri Light"/>
          <w:sz w:val="24"/>
          <w:szCs w:val="24"/>
          <w:lang w:val="en-ID"/>
        </w:rPr>
        <w:t xml:space="preserve"> the importance of representation, participation, and equality in the democratic system Hasani et al. (2022)</w:t>
      </w:r>
      <w:r w:rsidR="00F51A19">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10.21831/jc.v19i1.48378","author":[{"dropping-particle":"","family":"Hasani","given":"Ismail","non-dropping-particle":"","parse-names":false,"suffix":""},{"dropping-particle":"","family":"Halili","given":"Halili","non-dropping-particle":"","parse-names":false,"suffix":""},{"dropping-particle":"","family":"Balakrishnan","given":"Vishalache","non-dropping-particle":"","parse-names":false,"suffix":""}],"container-title":"Jurnal Civics Media Kajian Kewarganegaraan","id":"ITEM-1","issue":"1","issued":{"date-parts":[["2022"]]},"page":"45-52","title":"Undelivered Constitutional Justice?  Study on How the Decisions of the Constitutional Court of the Republic of Indonesia Are Executed","type":"article-journal","volume":"19"},"uris":["http://www.mendeley.com/documents/?uuid=6de6f505-8aa4-431b-8ce8-e0f8cfa7b344"]}],"mendeley":{"formattedCitation":"(Hasani et al., 2022)","plainTextFormattedCitation":"(Hasani et al., 2022)","previouslyFormattedCitation":"(Hasani et al., 2022)"},"properties":{"noteIndex":0},"schema":"https://github.com/citation-style-language/schema/raw/master/csl-citation.json"}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F51A19" w:rsidRPr="00F51A19">
        <w:rPr>
          <w:rFonts w:ascii="Calibri Light" w:hAnsi="Calibri Light" w:cs="Calibri Light"/>
          <w:noProof/>
          <w:sz w:val="24"/>
          <w:szCs w:val="24"/>
          <w:lang w:val="en-ID"/>
        </w:rPr>
        <w:t>(Hasani et al., 2022)</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10D62F95"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The findings of this study suggest that while the presidential threshold is legally justified and constitutionally permissible according to the Constitutional Court’s decision, it </w:t>
      </w:r>
      <w:commentRangeStart w:id="10"/>
      <w:r w:rsidRPr="005E7E97">
        <w:rPr>
          <w:rFonts w:ascii="Calibri Light" w:hAnsi="Calibri Light" w:cs="Calibri Light"/>
          <w:sz w:val="24"/>
          <w:szCs w:val="24"/>
          <w:lang w:val="en-ID"/>
        </w:rPr>
        <w:t xml:space="preserve">creates challenges for smaller political parties and limits the diversity </w:t>
      </w:r>
      <w:commentRangeEnd w:id="10"/>
      <w:r w:rsidR="00DC6F9E">
        <w:rPr>
          <w:rStyle w:val="CommentReference"/>
        </w:rPr>
        <w:commentReference w:id="10"/>
      </w:r>
      <w:r w:rsidRPr="005E7E97">
        <w:rPr>
          <w:rFonts w:ascii="Calibri Light" w:hAnsi="Calibri Light" w:cs="Calibri Light"/>
          <w:sz w:val="24"/>
          <w:szCs w:val="24"/>
          <w:lang w:val="en-ID"/>
        </w:rPr>
        <w:t xml:space="preserve">of presidential candidates. By setting a high threshold, the system effectively reduces the number of parties capable of nominating a candidate, leading to a concentration of political power among larger parties or coalitions. This can result in a less representative and inclusive electoral process, as smaller parties with significant regional or ideological support may be excluded from the presidential race. This finding aligns with previous research on electoral systems and thresholds, which indicates that high thresholds tend to reduce political competition and limit the variety of political choices available to voters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ISSN":"0261-3794","author":[{"dropping-particle":"","family":"Bormann","given":"Nils-Christian","non-dropping-particle":"","parse-names":false,"suffix":""},{"dropping-particle":"","family":"Golder","given":"Matt","non-dropping-particle":"","parse-names":false,"suffix":""}],"container-title":"Electoral Studies","id":"ITEM-1","issued":{"date-parts":[["2022"]]},"page":"102487","publisher":"Elsevier","title":"Democratic Electoral Systems around the world, 1946–2020","type":"article-journal","volume":"78"},"uris":["http://www.mendeley.com/documents/?uuid=572775c3-2309-420c-8ea2-6de353af62a3"]},{"id":"ITEM-2","itemData":{"ISSN":"0338-487X","author":[{"dropping-particle":"","family":"Giblin","given":"Béatrice","non-dropping-particle":"","parse-names":false,"suffix":""}],"container-title":"Herodote","id":"ITEM-2","issue":"4","issued":{"date-parts":[["2022"]]},"page":"3-21","publisher":"La Découverte","title":"New electoral geopolitics?","type":"article-journal","volume":"187"},"uris":["http://www.mendeley.com/documents/?uuid=dfaef1da-aa38-413e-a3bd-a97089fb0f03"]}],"mendeley":{"formattedCitation":"(Bormann &amp; Golder, 2022; Giblin, 2022)","plainTextFormattedCitation":"(Bormann &amp; Golder, 2022; Giblin, 2022)","previouslyFormattedCitation":"(Bormann &amp; Golder, 2022; Giblin, 2022)"},"properties":{"noteIndex":0},"schema":"https://github.com/citation-style-language/schema/raw/master/csl-citation.json"}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(Bormann &amp; Golder, 2022; Giblin, 2022)</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03EC1E21"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Furthermore, the research highlights the tension between the democratic ideals of representation and the practical </w:t>
      </w:r>
      <w:r w:rsidR="00534559">
        <w:rPr>
          <w:rFonts w:ascii="Calibri Light" w:hAnsi="Calibri Light" w:cs="Calibri Light"/>
          <w:sz w:val="24"/>
          <w:szCs w:val="24"/>
          <w:lang w:val="en-ID"/>
        </w:rPr>
        <w:t>governance considerations</w:t>
      </w:r>
      <w:r w:rsidRPr="005E7E97">
        <w:rPr>
          <w:rFonts w:ascii="Calibri Light" w:hAnsi="Calibri Light" w:cs="Calibri Light"/>
          <w:sz w:val="24"/>
          <w:szCs w:val="24"/>
          <w:lang w:val="en-ID"/>
        </w:rPr>
        <w:t xml:space="preserve">. While proponents argue that the threshold ensures stable governance by preventing fragmentation, it </w:t>
      </w:r>
      <w:r w:rsidR="00534559">
        <w:rPr>
          <w:rFonts w:ascii="Calibri Light" w:hAnsi="Calibri Light" w:cs="Calibri Light"/>
          <w:sz w:val="24"/>
          <w:szCs w:val="24"/>
          <w:lang w:val="en-ID"/>
        </w:rPr>
        <w:t xml:space="preserve">limits </w:t>
      </w:r>
      <w:r w:rsidRPr="005E7E97">
        <w:rPr>
          <w:rFonts w:ascii="Calibri Light" w:hAnsi="Calibri Light" w:cs="Calibri Light"/>
          <w:sz w:val="24"/>
          <w:szCs w:val="24"/>
          <w:lang w:val="en-ID"/>
        </w:rPr>
        <w:t xml:space="preserve">opportunities for </w:t>
      </w:r>
      <w:r w:rsidR="00534559">
        <w:rPr>
          <w:rFonts w:ascii="Calibri Light" w:hAnsi="Calibri Light" w:cs="Calibri Light"/>
          <w:sz w:val="24"/>
          <w:szCs w:val="24"/>
          <w:lang w:val="en-ID"/>
        </w:rPr>
        <w:t>more minor</w:t>
      </w:r>
      <w:r w:rsidRPr="005E7E97">
        <w:rPr>
          <w:rFonts w:ascii="Calibri Light" w:hAnsi="Calibri Light" w:cs="Calibri Light"/>
          <w:sz w:val="24"/>
          <w:szCs w:val="24"/>
          <w:lang w:val="en-ID"/>
        </w:rPr>
        <w:t xml:space="preserve"> political actors to challenge dominant parties. In this sense, the threshold can be seen as a mechanism </w:t>
      </w:r>
      <w:r w:rsidR="00534559">
        <w:rPr>
          <w:rFonts w:ascii="Calibri Light" w:hAnsi="Calibri Light" w:cs="Calibri Light"/>
          <w:sz w:val="24"/>
          <w:szCs w:val="24"/>
          <w:lang w:val="en-ID"/>
        </w:rPr>
        <w:t>for consolidating</w:t>
      </w:r>
      <w:r w:rsidRPr="005E7E97">
        <w:rPr>
          <w:rFonts w:ascii="Calibri Light" w:hAnsi="Calibri Light" w:cs="Calibri Light"/>
          <w:sz w:val="24"/>
          <w:szCs w:val="24"/>
          <w:lang w:val="en-ID"/>
        </w:rPr>
        <w:t xml:space="preserve"> power rather than promoting the pluralistic democratic process envisioned by Indonesia's founding principles. This is particularly evident in the context of the 2024 elections, where the threshold is expected to reduce the number of viable presidential candidates, thereby narrowing the political discourse</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{"citationItems":[{"id":"ITEM-1","itemData":{"DOI":"10.31078/consrev415","author":[{"dropping-particle":"","family":"Ulum","given":"Muhammad B","non-dropping-particle":"","parse-names":false,"suffix":""},{"dropping-particle":"","family":"Hamida","given":"Nilna A","non-dropping-particle":"","parse-names":false,"suffix":""}],"container-title":"Constitutional Review","id":"ITEM-1","issue":"1","issued":{"date-parts":[["2018"]]},"page":"111","title":"Revisiting Liberal Democracy and Asian Values in Contemporary Indonesia","type":"article-journal","volume":"4"},"uris":["http://www.mendeley.com/documents/?uuid=1d100887-d030-4cde-bdc9-e8ab4b6b91f9"]}],"mendeley":{"formattedCitation":"(Ulum &amp; Hamida, 2018)","plainTextFormattedCitation":"(Ulum &amp; Hamida, 2018)","previouslyFormattedCitation":"(Ulum &amp; Hamida, 2018)"},"properties":{"noteIndex":0},"schema":"https://github.com/citation-style-language/schema/raw/master/csl-citation.json"}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(Ulum &amp; Hamida, 2018)</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144C97E8"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Comparing the findings of this study to </w:t>
      </w:r>
      <w:r w:rsidR="00534559">
        <w:rPr>
          <w:rFonts w:ascii="Calibri Light" w:hAnsi="Calibri Light" w:cs="Calibri Light"/>
          <w:sz w:val="24"/>
          <w:szCs w:val="24"/>
          <w:lang w:val="en-ID"/>
        </w:rPr>
        <w:t xml:space="preserve">those of </w:t>
      </w:r>
      <w:r w:rsidRPr="005E7E97">
        <w:rPr>
          <w:rFonts w:ascii="Calibri Light" w:hAnsi="Calibri Light" w:cs="Calibri Light"/>
          <w:sz w:val="24"/>
          <w:szCs w:val="24"/>
          <w:lang w:val="en-ID"/>
        </w:rPr>
        <w:t>previous research reveals similarities and differences in the conclusions drawn. Several studies have argued that high electoral thresholds undermine democracy by reducing the number of parties and candidates in the race</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{"citationItems":[{"id":"ITEM-1","itemData":{"author":[{"dropping-particle":"","family":"Lijphart","given":"Arend","non-dropping-particle":"","parse-names":false,"suffix":""}],"container-title":"The architecture of democracy: Constitutional design, conflict management, and democracy","id":"ITEM-1","issued":{"date-parts":[["2002"]]},"page":"37-54","publisher":"Oxford University Press Oxford","title":"The wave of power-sharing democracy","type":"article-journal"},"uris":["http://www.mendeley.com/documents/?uuid=e5f88a1d-e19a-4b06-a2c3-668d511a45d2"]},{"id":"ITEM-2","itemData":{"ISBN":"0520317661","author":[{"dropping-particle":"","family":"Lijphart","given":"Arend","non-dropping-particle":"","parse-names":false,"suffix":""}],"id":"ITEM-2","issued":{"date-parts":[["2022"]]},"publisher":"Univ of California Press","title":"The politics of accommodation: Pluralism and democracy in the Netherlands","type":"book"},"uris":["http://www.mendeley.com/documents/?uuid=a2751d66-c922-457a-8cda-d76796ba24f2"]},{"id":"ITEM-3","itemData":{"ISSN":"1351-0347","author":[{"dropping-particle":"","family":"Mietzner","given":"Marcus","non-dropping-particle":"","parse-names":false,"suffix":""}],"container-title":"Democratization","id":"ITEM-3","issue":"6","issued":{"date-parts":[["2020"]]},"page":"1021-1036","publisher":"Taylor &amp; Francis","title":"Authoritarian innovations in Indonesia: electoral narrowing, identity politics and executive illiberalism","type":"article-journal","volume":"27"},"uris":["http://www.mendeley.com/documents/?uuid=05b32b22-a273-49a4-8a58-67f1138c8545"]}],"mendeley":{"formattedCitation":"(Lijphart, 2002, 2022; Mietzner, 2020)","plainTextFormattedCitation":"(Lijphart, 2002, 2022; Mietzner, 2020)","previouslyFormattedCitation":"(Lijphart, 2002, 2022; Mietzner, 2020)"},"properties":{"noteIndex":0},"schema":"https://github.com/citation-style-language/schema/raw/master/csl-citation.json"}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(Lijphart, 2002, 2022; Mietzner, 2020)</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 xml:space="preserve">. These studies </w:t>
      </w:r>
      <w:r w:rsidR="00534559">
        <w:rPr>
          <w:rFonts w:ascii="Calibri Light" w:hAnsi="Calibri Light" w:cs="Calibri Light"/>
          <w:sz w:val="24"/>
          <w:szCs w:val="24"/>
          <w:lang w:val="en-ID"/>
        </w:rPr>
        <w:t>emphasise</w:t>
      </w:r>
      <w:r w:rsidRPr="005E7E97">
        <w:rPr>
          <w:rFonts w:ascii="Calibri Light" w:hAnsi="Calibri Light" w:cs="Calibri Light"/>
          <w:sz w:val="24"/>
          <w:szCs w:val="24"/>
          <w:lang w:val="en-ID"/>
        </w:rPr>
        <w:t xml:space="preserve"> the risks of excluding minority voices and reinforcing the dominance of a few </w:t>
      </w:r>
      <w:r w:rsidR="00534559">
        <w:rPr>
          <w:rFonts w:ascii="Calibri Light" w:hAnsi="Calibri Light" w:cs="Calibri Light"/>
          <w:sz w:val="24"/>
          <w:szCs w:val="24"/>
          <w:lang w:val="en-ID"/>
        </w:rPr>
        <w:t>prominent</w:t>
      </w:r>
      <w:r w:rsidRPr="005E7E97">
        <w:rPr>
          <w:rFonts w:ascii="Calibri Light" w:hAnsi="Calibri Light" w:cs="Calibri Light"/>
          <w:sz w:val="24"/>
          <w:szCs w:val="24"/>
          <w:lang w:val="en-ID"/>
        </w:rPr>
        <w:t xml:space="preserve"> political parties. Similarly, this study concurs with these findings, noting that Indonesia's threshold exacerbates the problem of political exclusion, especially for smaller but potentially influential parties. However, the current study also highlights a key distinction: while the threshold poses challenges </w:t>
      </w:r>
      <w:r w:rsidR="00534559">
        <w:rPr>
          <w:rFonts w:ascii="Calibri Light" w:hAnsi="Calibri Light" w:cs="Calibri Light"/>
          <w:sz w:val="24"/>
          <w:szCs w:val="24"/>
          <w:lang w:val="en-ID"/>
        </w:rPr>
        <w:t>to</w:t>
      </w:r>
      <w:r w:rsidRPr="005E7E97">
        <w:rPr>
          <w:rFonts w:ascii="Calibri Light" w:hAnsi="Calibri Light" w:cs="Calibri Light"/>
          <w:sz w:val="24"/>
          <w:szCs w:val="24"/>
          <w:lang w:val="en-ID"/>
        </w:rPr>
        <w:t xml:space="preserve"> political inclusivity, the Constitutional Court's decision underscores the legitimacy of the threshold, arguing that it falls within the </w:t>
      </w:r>
      <w:r w:rsidR="00534559">
        <w:rPr>
          <w:rFonts w:ascii="Calibri Light" w:hAnsi="Calibri Light" w:cs="Calibri Light"/>
          <w:sz w:val="24"/>
          <w:szCs w:val="24"/>
          <w:lang w:val="en-ID"/>
        </w:rPr>
        <w:t>legislature's discretion</w:t>
      </w:r>
      <w:r w:rsidRPr="005E7E97">
        <w:rPr>
          <w:rFonts w:ascii="Calibri Light" w:hAnsi="Calibri Light" w:cs="Calibri Light"/>
          <w:sz w:val="24"/>
          <w:szCs w:val="24"/>
          <w:lang w:val="en-ID"/>
        </w:rPr>
        <w:t xml:space="preserve"> to set such limits. This perspective aligns with the broader legal framework of Indonesia’s electoral system, which grants the legislature significant leeway in determining electoral rules (Amrin et al., 2023).</w:t>
      </w:r>
    </w:p>
    <w:p w14:paraId="596C506F"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commentRangeStart w:id="11"/>
      <w:r w:rsidRPr="005E7E97">
        <w:rPr>
          <w:rFonts w:ascii="Calibri Light" w:hAnsi="Calibri Light" w:cs="Calibri Light"/>
          <w:sz w:val="24"/>
          <w:szCs w:val="24"/>
          <w:lang w:val="en-ID"/>
        </w:rPr>
        <w:t xml:space="preserve">In terms of contributions to existing literature, this study adds to the ongoing debate about the balance between political stability and inclusivity in electoral systems. By examining </w:t>
      </w:r>
      <w:r w:rsidRPr="005E7E97">
        <w:rPr>
          <w:rFonts w:ascii="Calibri Light" w:hAnsi="Calibri Light" w:cs="Calibri Light"/>
          <w:sz w:val="24"/>
          <w:szCs w:val="24"/>
          <w:lang w:val="en-ID"/>
        </w:rPr>
        <w:lastRenderedPageBreak/>
        <w:t>Indonesia’s unique electoral threshold in the context of its constitutional framework and Pancasila, the study provides a nuanced understanding of how legal and political factors interact to shape the country’s democratic processes. Additionally, the study's focus on the implications of the threshold for the 2024 elections offers timely insights into the potential challenges that Indonesia’s political system may face in the coming years</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{"citationItems":[{"id":"ITEM-1","itemData":{"DOI":"10.26555/novelty.v9i2.a11517","author":[{"dropping-particle":"","family":"Sarip","given":"Sarip","non-dropping-particle":"","parse-names":false,"suffix":""}],"container-title":"Jurnal Hukum Novelty","id":"ITEM-1","issue":"2","issued":{"date-parts":[["2018"]]},"page":"192","title":"The Manifestation of Indonesian Democracy; Between Pancasila State of Law and Islamic Nomocracy","type":"article-journal","volume":"9"},"uris":["http://www.mendeley.com/documents/?uuid=baedef3e-6524-4430-ae12-de19dfb93898"]},{"id":"ITEM-2","itemData":{"ISBN":"9781792361234","ISSN":"21698767","abstract":"Democracy is an ideal system of constitutional life and that comes from the West. Democracy implies power or government by the people, from the people and for the people. When the Western democracy is transformed into the non-West countries with different history and culture, democracy will take time to adjust to the situation, and subjects to various changes in the application in accordance with the new different environment. A frequent problem that emerges in the practice of democracy is how the government by the people, of the people and for the people is effectively implemented in constitutional practice. This paper provides thought concerned with the concept of democracy, including democratization in the development of constitutional practice.","author":[{"dropping-particle":"","family":"Mahfiana","given":"Layyin","non-dropping-particle":"","parse-names":false,"suffix":""},{"dropping-particle":"","family":"Harahap","given":"Lukman","non-dropping-particle":"","parse-names":false,"suffix":""},{"dropping-particle":"","family":"Roesli","given":"M.","non-dropping-particle":"","parse-names":false,"suffix":""},{"dropping-particle":"","family":"Rochman","given":"Kholil Lur","non-dropping-particle":"","parse-names":false,"suffix":""},{"dropping-particle":"","family":"Wajdi","given":"Muh Barid Nizarudin","non-dropping-particle":"","parse-names":false,"suffix":""}],"container-title":"Proceedings of the International Conference on Industrial Engineering and Operations Management","id":"ITEM-2","issued":{"date-parts":[["2020"]]},"title":"The democracy management in indonesia constitution","type":"paper-conference"},"uris":["http://www.mendeley.com/documents/?uuid=cc5083b6-39b3-43d1-88be-9fd40b0b9f27"]}],"mendeley":{"formattedCitation":"(Mahfiana et al., 2020; Sarip, 2018)","plainTextFormattedCitation":"(Mahfiana et al., 2020; Sarip, 2018)","previouslyFormattedCitation":"(Mahfiana et al., 2020; Sarip, 2018)"},"properties":{"noteIndex":0},"schema":"https://github.com/citation-style-language/schema/raw/master/csl-citation.json"}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(Mahfiana et al., 2020; Sarip, 2018)</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2B569229"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One of the most significant contributions of this study is its recommendation for reforming the presidential threshold to promote greater inclusivity and political representation. While the threshold is legally valid, the study suggests that reducing the threshold could allow for a more diverse range of candidates and political parties to participate in the presidential race, ultimately strengthening the democratic process. This reform would align with the principles of political equality and representation that are central to Indonesia’s constitutional framework. Furthermore, this recommendation echoes the findings of other scholars who have advocated for lowering thresholds to encourage political pluralism and better reflect the </w:t>
      </w:r>
      <w:r w:rsidR="00534559">
        <w:rPr>
          <w:rFonts w:ascii="Calibri Light" w:hAnsi="Calibri Light" w:cs="Calibri Light"/>
          <w:sz w:val="24"/>
          <w:szCs w:val="24"/>
          <w:lang w:val="en-ID"/>
        </w:rPr>
        <w:t>electorate's will.</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10.61397/ays.v1i2.98","author":[{"dropping-particle":"","family":"Hasim","given":"Fuad","non-dropping-particle":"","parse-names":false,"suffix":""}],"container-title":"Ays","id":"ITEM-1","issue":"2","issued":{"date-parts":[["2024"]]},"page":"121-134","title":"Constitutional Court Ruling Number 90/Puu-Xxi/2023 Regarding Aspects of Human Rights","type":"article-journal","volume":"1"},"uris":["http://www.mendeley.com/documents/?uuid=c59bc298-4818-4b43-9eab-02d430d169c4"]}],"mendeley":{"formattedCitation":"(Hasim, 2024)","plainTextFormattedCitation":"(Hasim, 2024)","previouslyFormattedCitation":"(Hasim, 2024)"},"properties":{"noteIndex":0},"schema":"https://github.com/citation-style-language/schema/raw/master/csl-citation.json"}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(Hasim, 2024)</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commentRangeEnd w:id="11"/>
      <w:r w:rsidR="00DC6F9E">
        <w:rPr>
          <w:rStyle w:val="CommentReference"/>
        </w:rPr>
        <w:commentReference w:id="11"/>
      </w:r>
    </w:p>
    <w:p w14:paraId="3331EE96"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Moreover, the dynamics of the 2024 presidential election are further complicated by the evolving role of Islamic political parties within Indonesia's broader democratic framework. Recent studies indicate that the fragmentation of these parties and their pragmatic alliances with non-Islamic parties reflect a significant shift in political strategies, which may influence the effectiveness of the presidential threshold. This highlights the need for a more adaptable electoral framework </w:t>
      </w:r>
      <w:r w:rsidR="00534559">
        <w:rPr>
          <w:rFonts w:ascii="Calibri Light" w:hAnsi="Calibri Light" w:cs="Calibri Light"/>
          <w:sz w:val="24"/>
          <w:szCs w:val="24"/>
          <w:lang w:val="en-ID"/>
        </w:rPr>
        <w:t>to</w:t>
      </w:r>
      <w:r w:rsidRPr="005E7E97">
        <w:rPr>
          <w:rFonts w:ascii="Calibri Light" w:hAnsi="Calibri Light" w:cs="Calibri Light"/>
          <w:sz w:val="24"/>
          <w:szCs w:val="24"/>
          <w:lang w:val="en-ID"/>
        </w:rPr>
        <w:t xml:space="preserve"> accommodate the changing political landscape while ensuring fair representation for all parties involved.</w:t>
      </w:r>
    </w:p>
    <w:p w14:paraId="1D9AB31B"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Pr>
          <w:rFonts w:ascii="Calibri Light" w:hAnsi="Calibri Light" w:cs="Calibri Light"/>
          <w:sz w:val="24"/>
          <w:szCs w:val="24"/>
          <w:lang w:val="en-ID"/>
        </w:rPr>
        <w:t>W</w:t>
      </w:r>
      <w:r w:rsidRPr="005E7E97">
        <w:rPr>
          <w:rFonts w:ascii="Calibri Light" w:hAnsi="Calibri Light" w:cs="Calibri Light"/>
          <w:sz w:val="24"/>
          <w:szCs w:val="24"/>
          <w:lang w:val="en-ID"/>
        </w:rPr>
        <w:t>hile the presidential threshold in Indonesia is constitutionally valid and legally supported, its effects on political representation and the democratic process raise significant concerns. This study contributes to the broader discourse on electoral reform, emphasizing the need for a more inclusive system that better reflects the diverse political landscape of Indonesia. By providing a comprehensive analysis of the threshold’s legitimacy and its implications for the 2024 elections, the study offers valuable insights for policymakers and electoral reform advocates aiming to improve Indonesia’s democratic processes</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{"citationItems":[{"id":"ITEM-1","itemData":{"DOI":"10.31078/jk19310","author":[{"dropping-particle":"","family":"Soemarwi","given":"Vera W S","non-dropping-particle":"","parse-names":false,"suffix":""},{"dropping-particle":"","family":"Wijaya","given":"Yeremia","non-dropping-particle":"","parse-names":false,"suffix":""},{"dropping-particle":"","family":"Gunawan","given":"Arthuro R","non-dropping-particle":"","parse-names":false,"suffix":""}],"container-title":"Jurnal Konstitusi","id":"ITEM-1","issue":"3","issued":{"date-parts":[["2022"]]},"page":"720-740","title":"The Absence of Constitutional Court’s  Decision Follow Up: Is It a Loss?","type":"article-journal","volume":"19"},"uris":["http://www.mendeley.com/documents/?uuid=c93f77d2-241a-4e97-8125-2d5431496f56"]}],"mendeley":{"formattedCitation":"(Soemarwi et al., 2022)","plainTextFormattedCitation":"(Soemarwi et al., 2022)","previouslyFormattedCitation":"(Soemarwi et al., 2022)"},"properties":{"noteIndex":0},"schema":"https://github.com/citation-style-language/schema/raw/master/csl-citation.json"}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(Soemarwi et al., 2022)</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52D5D8A4"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70E4F081"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19EB7868"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commentRangeStart w:id="12"/>
      <w:r w:rsidRPr="005E7E97">
        <w:rPr>
          <w:rFonts w:ascii="Calibri Light" w:hAnsi="Calibri Light" w:cs="Calibri Light"/>
          <w:sz w:val="24"/>
          <w:szCs w:val="24"/>
        </w:rPr>
        <w:t xml:space="preserve">This study aims to </w:t>
      </w:r>
      <w:r w:rsidR="00534559">
        <w:rPr>
          <w:rFonts w:ascii="Calibri Light" w:hAnsi="Calibri Light" w:cs="Calibri Light"/>
          <w:sz w:val="24"/>
          <w:szCs w:val="24"/>
        </w:rPr>
        <w:t>analyse</w:t>
      </w:r>
      <w:r w:rsidRPr="005E7E97">
        <w:rPr>
          <w:rFonts w:ascii="Calibri Light" w:hAnsi="Calibri Light" w:cs="Calibri Light"/>
          <w:sz w:val="24"/>
          <w:szCs w:val="24"/>
        </w:rPr>
        <w:t xml:space="preserve"> the legitimacy </w:t>
      </w:r>
      <w:commentRangeEnd w:id="12"/>
      <w:r w:rsidR="00DC6F9E">
        <w:rPr>
          <w:rStyle w:val="CommentReference"/>
          <w:rFonts w:ascii="Times New Roman" w:hAnsi="Times New Roman"/>
          <w:noProof w:val="0"/>
          <w:lang w:val="en-US" w:eastAsia="en-GB"/>
        </w:rPr>
        <w:commentReference w:id="12"/>
      </w:r>
      <w:r w:rsidRPr="005E7E97">
        <w:rPr>
          <w:rFonts w:ascii="Calibri Light" w:hAnsi="Calibri Light" w:cs="Calibri Light"/>
          <w:sz w:val="24"/>
          <w:szCs w:val="24"/>
        </w:rPr>
        <w:t>and implications of the presidential threshold outlined in Article 222 of Law No. 7 of 2017 and its role in the 2024 simultaneous elections in Indonesia. Based on the discussion above, the following conclusions can be drawn:</w:t>
      </w:r>
    </w:p>
    <w:p w14:paraId="7976E4DA"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r w:rsidRPr="005E7E97">
        <w:rPr>
          <w:rFonts w:ascii="Calibri Light" w:hAnsi="Calibri Light" w:cs="Calibri Light"/>
          <w:sz w:val="24"/>
          <w:szCs w:val="24"/>
        </w:rPr>
        <w:t>The legitimacy of the presidential threshold is rooted in historical and constitutional precedents. Since the 2004 Elections, various tests regarding the presidential and vice-presidential nomination threshold have been conducted, with the Constitutional Court maintaining the current threshold. According to the Court's Decision (No. 52/PUU-XX/2022), the authority to establish thresholds for presidential and vice-presidential nominations</w:t>
      </w:r>
      <w:r w:rsidR="00534559">
        <w:rPr>
          <w:rFonts w:ascii="Calibri Light" w:hAnsi="Calibri Light" w:cs="Calibri Light"/>
          <w:sz w:val="24"/>
          <w:szCs w:val="24"/>
        </w:rPr>
        <w:t xml:space="preserve"> and other bodies like DPR and DPD</w:t>
      </w:r>
      <w:r w:rsidRPr="005E7E97">
        <w:rPr>
          <w:rFonts w:ascii="Calibri Light" w:hAnsi="Calibri Light" w:cs="Calibri Light"/>
          <w:sz w:val="24"/>
          <w:szCs w:val="24"/>
        </w:rPr>
        <w:t xml:space="preserve"> is an open legal policy. This decision aligns </w:t>
      </w:r>
      <w:r w:rsidRPr="005E7E97">
        <w:rPr>
          <w:rFonts w:ascii="Calibri Light" w:hAnsi="Calibri Light" w:cs="Calibri Light"/>
          <w:sz w:val="24"/>
          <w:szCs w:val="24"/>
        </w:rPr>
        <w:lastRenderedPageBreak/>
        <w:t>with the discretionary power of policymakers granted by Article 6A paragraph (5) of the 1945 Constitution of the Republic of Indonesia.</w:t>
      </w:r>
    </w:p>
    <w:p w14:paraId="61366C70"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r w:rsidRPr="005E7E97">
        <w:rPr>
          <w:rFonts w:ascii="Calibri Light" w:hAnsi="Calibri Light" w:cs="Calibri Light"/>
          <w:sz w:val="24"/>
          <w:szCs w:val="24"/>
        </w:rPr>
        <w:t>However</w:t>
      </w:r>
      <w:r w:rsidR="00534559">
        <w:rPr>
          <w:rFonts w:ascii="Calibri Light" w:hAnsi="Calibri Light" w:cs="Calibri Light"/>
          <w:sz w:val="24"/>
          <w:szCs w:val="24"/>
        </w:rPr>
        <w:t xml:space="preserve">, as enforced in the 2024 Simultaneous Elections, the presidential threshold </w:t>
      </w:r>
      <w:r w:rsidRPr="005E7E97">
        <w:rPr>
          <w:rFonts w:ascii="Calibri Light" w:hAnsi="Calibri Light" w:cs="Calibri Light"/>
          <w:sz w:val="24"/>
          <w:szCs w:val="24"/>
        </w:rPr>
        <w:t xml:space="preserve">is explicitly regulated in Article 222 of Law No. 7 of 2017. The implementation of this threshold is in tension with the core values of the 1945 Constitution and Pancasila, Indonesia's national ideology. </w:t>
      </w:r>
      <w:r w:rsidR="00534559">
        <w:rPr>
          <w:rFonts w:ascii="Calibri Light" w:hAnsi="Calibri Light" w:cs="Calibri Light"/>
          <w:sz w:val="24"/>
          <w:szCs w:val="24"/>
        </w:rPr>
        <w:t>Adequate</w:t>
      </w:r>
      <w:r w:rsidRPr="005E7E97">
        <w:rPr>
          <w:rFonts w:ascii="Calibri Light" w:hAnsi="Calibri Light" w:cs="Calibri Light"/>
          <w:sz w:val="24"/>
          <w:szCs w:val="24"/>
        </w:rPr>
        <w:t xml:space="preserve"> electoral provisions should </w:t>
      </w:r>
      <w:r w:rsidR="00534559">
        <w:rPr>
          <w:rFonts w:ascii="Calibri Light" w:hAnsi="Calibri Light" w:cs="Calibri Light"/>
          <w:sz w:val="24"/>
          <w:szCs w:val="24"/>
        </w:rPr>
        <w:t>balance</w:t>
      </w:r>
      <w:r w:rsidRPr="005E7E97">
        <w:rPr>
          <w:rFonts w:ascii="Calibri Light" w:hAnsi="Calibri Light" w:cs="Calibri Light"/>
          <w:sz w:val="24"/>
          <w:szCs w:val="24"/>
        </w:rPr>
        <w:t xml:space="preserve"> the electoral system and the democratic process. The current threshold provisions, however, diminish equal opportunities for political parties that have passed the General Election Commission's verification requirements, limiting their ability to directly nominate presidential and vice-presidential candidates.</w:t>
      </w:r>
    </w:p>
    <w:p w14:paraId="7FEAFE98"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r w:rsidRPr="005E7E97">
        <w:rPr>
          <w:rFonts w:ascii="Calibri Light" w:hAnsi="Calibri Light" w:cs="Calibri Light"/>
          <w:sz w:val="24"/>
          <w:szCs w:val="24"/>
        </w:rPr>
        <w:t xml:space="preserve">The advantages of this study lie in its thorough examination of the legal, historical, and political dimensions of the presidential threshold in Indonesia. It highlights the tension between constitutional principles of representation and practical governance needs. By exploring the threshold’s effects on the inclusivity of the democratic process, the study contributes to broader electoral reform debates. However, the limitation of this research stems from its focus on legal and institutional perspectives, which could benefit from </w:t>
      </w:r>
      <w:r w:rsidR="00534559">
        <w:rPr>
          <w:rFonts w:ascii="Calibri Light" w:hAnsi="Calibri Light" w:cs="Calibri Light"/>
          <w:sz w:val="24"/>
          <w:szCs w:val="24"/>
        </w:rPr>
        <w:t>a deeper analysis of the electoral system’s impact on public opinion and voter behaviour</w:t>
      </w:r>
      <w:r w:rsidRPr="005E7E97">
        <w:rPr>
          <w:rFonts w:ascii="Calibri Light" w:hAnsi="Calibri Light" w:cs="Calibri Light"/>
          <w:sz w:val="24"/>
          <w:szCs w:val="24"/>
        </w:rPr>
        <w:t>.</w:t>
      </w:r>
    </w:p>
    <w:p w14:paraId="7535FB5C"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r w:rsidRPr="005E7E97">
        <w:rPr>
          <w:rFonts w:ascii="Calibri Light" w:hAnsi="Calibri Light" w:cs="Calibri Light"/>
          <w:sz w:val="24"/>
          <w:szCs w:val="24"/>
        </w:rPr>
        <w:t xml:space="preserve">The findings of this study suggest potential applications in shaping future electoral reform debates in Indonesia, especially regarding the balance between political stability and inclusivity. The study advocates for </w:t>
      </w:r>
      <w:r w:rsidR="00534559">
        <w:rPr>
          <w:rFonts w:ascii="Calibri Light" w:hAnsi="Calibri Light" w:cs="Calibri Light"/>
          <w:sz w:val="24"/>
          <w:szCs w:val="24"/>
        </w:rPr>
        <w:t>removing or relaxing</w:t>
      </w:r>
      <w:r w:rsidRPr="005E7E97">
        <w:rPr>
          <w:rFonts w:ascii="Calibri Light" w:hAnsi="Calibri Light" w:cs="Calibri Light"/>
          <w:sz w:val="24"/>
          <w:szCs w:val="24"/>
        </w:rPr>
        <w:t xml:space="preserve"> the presidential threshold to promote a more inclusive system that reflects the diverse political landscape. As such, it serves as a foundation for future research and policymaking on electoral systems, with implications for enhancing political representation and the quality of democracy in Indonesia. Further studies could explore how changes in the threshold might affect political party strategies and voter </w:t>
      </w:r>
      <w:r w:rsidR="00534559">
        <w:rPr>
          <w:rFonts w:ascii="Calibri Light" w:hAnsi="Calibri Light" w:cs="Calibri Light"/>
          <w:sz w:val="24"/>
          <w:szCs w:val="24"/>
        </w:rPr>
        <w:t>behaviour</w:t>
      </w:r>
      <w:r w:rsidRPr="005E7E97">
        <w:rPr>
          <w:rFonts w:ascii="Calibri Light" w:hAnsi="Calibri Light" w:cs="Calibri Light"/>
          <w:sz w:val="24"/>
          <w:szCs w:val="24"/>
        </w:rPr>
        <w:t xml:space="preserve"> in future elections.</w:t>
      </w:r>
    </w:p>
    <w:p w14:paraId="32F8F93A"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147DE2D7"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3C74117F"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commentRangeStart w:id="13"/>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commentRangeEnd w:id="13"/>
      <w:r w:rsidR="00DC6F9E">
        <w:rPr>
          <w:rStyle w:val="CommentReference"/>
        </w:rPr>
        <w:commentReference w:id="13"/>
      </w:r>
    </w:p>
    <w:p w14:paraId="4BD0023D"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567FE6">
        <w:rPr>
          <w:rFonts w:ascii="Calibri Light" w:hAnsi="Calibri Light" w:cs="Calibri Light"/>
          <w:noProof/>
          <w:sz w:val="24"/>
        </w:rPr>
        <w:t xml:space="preserve">Abrillioga, A., Nugraha, A., F, A. H., &amp; Oktafiansyah, H. (2022). Strategic Issues of the Position of the President 3 Period in the Perspective of State Constitutional Law in the Restriction of Power. </w:t>
      </w:r>
      <w:r w:rsidRPr="00567FE6">
        <w:rPr>
          <w:rFonts w:ascii="Calibri Light" w:hAnsi="Calibri Light" w:cs="Calibri Light"/>
          <w:i/>
          <w:iCs/>
          <w:noProof/>
          <w:sz w:val="24"/>
        </w:rPr>
        <w:t>Jurnal Sosial Dan Sains</w:t>
      </w:r>
      <w:r w:rsidRPr="00567FE6">
        <w:rPr>
          <w:rFonts w:ascii="Calibri Light" w:hAnsi="Calibri Light" w:cs="Calibri Light"/>
          <w:noProof/>
          <w:sz w:val="24"/>
        </w:rPr>
        <w:t xml:space="preserve">, </w:t>
      </w:r>
      <w:r w:rsidRPr="00567FE6">
        <w:rPr>
          <w:rFonts w:ascii="Calibri Light" w:hAnsi="Calibri Light" w:cs="Calibri Light"/>
          <w:i/>
          <w:iCs/>
          <w:noProof/>
          <w:sz w:val="24"/>
        </w:rPr>
        <w:t>2</w:t>
      </w:r>
      <w:r w:rsidRPr="00567FE6">
        <w:rPr>
          <w:rFonts w:ascii="Calibri Light" w:hAnsi="Calibri Light" w:cs="Calibri Light"/>
          <w:noProof/>
          <w:sz w:val="24"/>
        </w:rPr>
        <w:t>(6), 648–655. https://doi.org/10.36418/sosains.v2i6.402</w:t>
      </w:r>
    </w:p>
    <w:p w14:paraId="05F2B47B"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Amrin, A., Hidayat, A., &amp; Supriyanto, S. (2023). Analysis in the Legal Dynamics of Coenant via Internet in Indonesia. </w:t>
      </w:r>
      <w:r w:rsidRPr="00567FE6">
        <w:rPr>
          <w:rFonts w:ascii="Calibri Light" w:hAnsi="Calibri Light" w:cs="Calibri Light"/>
          <w:i/>
          <w:iCs/>
          <w:noProof/>
          <w:sz w:val="24"/>
        </w:rPr>
        <w:t>J.of Religious Policy</w:t>
      </w:r>
      <w:r w:rsidRPr="00567FE6">
        <w:rPr>
          <w:rFonts w:ascii="Calibri Light" w:hAnsi="Calibri Light" w:cs="Calibri Light"/>
          <w:noProof/>
          <w:sz w:val="24"/>
        </w:rPr>
        <w:t xml:space="preserve">, </w:t>
      </w:r>
      <w:r w:rsidRPr="00567FE6">
        <w:rPr>
          <w:rFonts w:ascii="Calibri Light" w:hAnsi="Calibri Light" w:cs="Calibri Light"/>
          <w:i/>
          <w:iCs/>
          <w:noProof/>
          <w:sz w:val="24"/>
        </w:rPr>
        <w:t>2</w:t>
      </w:r>
      <w:r w:rsidRPr="00567FE6">
        <w:rPr>
          <w:rFonts w:ascii="Calibri Light" w:hAnsi="Calibri Light" w:cs="Calibri Light"/>
          <w:noProof/>
          <w:sz w:val="24"/>
        </w:rPr>
        <w:t>(2), 295–314. https://doi.org/10.31330/repo.v2i2.25</w:t>
      </w:r>
    </w:p>
    <w:p w14:paraId="4B028FC0"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Aspinall, E., &amp; Mietzner, M. (2019). Indonesia’s democratic paradox: competitive elections amidst rising illiberalism. </w:t>
      </w:r>
      <w:r w:rsidRPr="00567FE6">
        <w:rPr>
          <w:rFonts w:ascii="Calibri Light" w:hAnsi="Calibri Light" w:cs="Calibri Light"/>
          <w:i/>
          <w:iCs/>
          <w:noProof/>
          <w:sz w:val="24"/>
        </w:rPr>
        <w:t>Bulletin of Indonesian Economic Studies</w:t>
      </w:r>
      <w:r w:rsidRPr="00567FE6">
        <w:rPr>
          <w:rFonts w:ascii="Calibri Light" w:hAnsi="Calibri Light" w:cs="Calibri Light"/>
          <w:noProof/>
          <w:sz w:val="24"/>
        </w:rPr>
        <w:t xml:space="preserve">, </w:t>
      </w:r>
      <w:r w:rsidRPr="00567FE6">
        <w:rPr>
          <w:rFonts w:ascii="Calibri Light" w:hAnsi="Calibri Light" w:cs="Calibri Light"/>
          <w:i/>
          <w:iCs/>
          <w:noProof/>
          <w:sz w:val="24"/>
        </w:rPr>
        <w:t>55</w:t>
      </w:r>
      <w:r w:rsidRPr="00567FE6">
        <w:rPr>
          <w:rFonts w:ascii="Calibri Light" w:hAnsi="Calibri Light" w:cs="Calibri Light"/>
          <w:noProof/>
          <w:sz w:val="24"/>
        </w:rPr>
        <w:t>(3), 295–317.</w:t>
      </w:r>
    </w:p>
    <w:p w14:paraId="3C51940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Bormann, N.-C., &amp; Golder, M. (2022). Democratic Electoral Systems around the world, </w:t>
      </w:r>
      <w:r w:rsidRPr="00567FE6">
        <w:rPr>
          <w:rFonts w:ascii="Calibri Light" w:hAnsi="Calibri Light" w:cs="Calibri Light"/>
          <w:noProof/>
          <w:sz w:val="24"/>
        </w:rPr>
        <w:lastRenderedPageBreak/>
        <w:t xml:space="preserve">1946–2020. </w:t>
      </w:r>
      <w:r w:rsidRPr="00567FE6">
        <w:rPr>
          <w:rFonts w:ascii="Calibri Light" w:hAnsi="Calibri Light" w:cs="Calibri Light"/>
          <w:i/>
          <w:iCs/>
          <w:noProof/>
          <w:sz w:val="24"/>
        </w:rPr>
        <w:t>Electoral Studies</w:t>
      </w:r>
      <w:r w:rsidRPr="00567FE6">
        <w:rPr>
          <w:rFonts w:ascii="Calibri Light" w:hAnsi="Calibri Light" w:cs="Calibri Light"/>
          <w:noProof/>
          <w:sz w:val="24"/>
        </w:rPr>
        <w:t xml:space="preserve">, </w:t>
      </w:r>
      <w:r w:rsidRPr="00567FE6">
        <w:rPr>
          <w:rFonts w:ascii="Calibri Light" w:hAnsi="Calibri Light" w:cs="Calibri Light"/>
          <w:i/>
          <w:iCs/>
          <w:noProof/>
          <w:sz w:val="24"/>
        </w:rPr>
        <w:t>78</w:t>
      </w:r>
      <w:r w:rsidRPr="00567FE6">
        <w:rPr>
          <w:rFonts w:ascii="Calibri Light" w:hAnsi="Calibri Light" w:cs="Calibri Light"/>
          <w:noProof/>
          <w:sz w:val="24"/>
        </w:rPr>
        <w:t>, 102487.</w:t>
      </w:r>
    </w:p>
    <w:p w14:paraId="20A81A1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Butler, J. R. A., Suadnya, W., Puspadi, K., Sutaryono, Y., Wise, R. M., Skewes, T. D., Kirono, D., Bohensky, E. L., Handayani, T., &amp; Habibi, P. (2014). Framing the application of adaptation pathways for rural livelihoods and global change in eastern Indonesian islands. </w:t>
      </w:r>
      <w:r w:rsidRPr="00567FE6">
        <w:rPr>
          <w:rFonts w:ascii="Calibri Light" w:hAnsi="Calibri Light" w:cs="Calibri Light"/>
          <w:i/>
          <w:iCs/>
          <w:noProof/>
          <w:sz w:val="24"/>
        </w:rPr>
        <w:t>Global Environmental Change</w:t>
      </w:r>
      <w:r w:rsidRPr="00567FE6">
        <w:rPr>
          <w:rFonts w:ascii="Calibri Light" w:hAnsi="Calibri Light" w:cs="Calibri Light"/>
          <w:noProof/>
          <w:sz w:val="24"/>
        </w:rPr>
        <w:t xml:space="preserve">, </w:t>
      </w:r>
      <w:r w:rsidRPr="00567FE6">
        <w:rPr>
          <w:rFonts w:ascii="Calibri Light" w:hAnsi="Calibri Light" w:cs="Calibri Light"/>
          <w:i/>
          <w:iCs/>
          <w:noProof/>
          <w:sz w:val="24"/>
        </w:rPr>
        <w:t>28</w:t>
      </w:r>
      <w:r w:rsidRPr="00567FE6">
        <w:rPr>
          <w:rFonts w:ascii="Calibri Light" w:hAnsi="Calibri Light" w:cs="Calibri Light"/>
          <w:noProof/>
          <w:sz w:val="24"/>
        </w:rPr>
        <w:t>, 368–382.</w:t>
      </w:r>
    </w:p>
    <w:p w14:paraId="6BFCFC5A"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Cordes, A. (2022). Health Disparities: Indigenous: Native American. In </w:t>
      </w:r>
      <w:r w:rsidRPr="00567FE6">
        <w:rPr>
          <w:rFonts w:ascii="Calibri Light" w:hAnsi="Calibri Light" w:cs="Calibri Light"/>
          <w:i/>
          <w:iCs/>
          <w:noProof/>
          <w:sz w:val="24"/>
        </w:rPr>
        <w:t>The International Encyclopedia of Health Communication</w:t>
      </w:r>
      <w:r w:rsidRPr="00567FE6">
        <w:rPr>
          <w:rFonts w:ascii="Calibri Light" w:hAnsi="Calibri Light" w:cs="Calibri Light"/>
          <w:noProof/>
          <w:sz w:val="24"/>
        </w:rPr>
        <w:t xml:space="preserve"> (pp. 1–5). Wiley. https://doi.org/10.1002/9781119678816.iehc0832</w:t>
      </w:r>
    </w:p>
    <w:p w14:paraId="636A046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Djono, D., Joebagio, H., &amp; Abidin, N. F. (2023). Representation of Political Conflicts in History Textbooks. </w:t>
      </w:r>
      <w:r w:rsidRPr="00567FE6">
        <w:rPr>
          <w:rFonts w:ascii="Calibri Light" w:hAnsi="Calibri Light" w:cs="Calibri Light"/>
          <w:i/>
          <w:iCs/>
          <w:noProof/>
          <w:sz w:val="24"/>
        </w:rPr>
        <w:t>Historical Encounters a Journal of Historical Consciousness Historical Cultures and History Education</w:t>
      </w:r>
      <w:r w:rsidRPr="00567FE6">
        <w:rPr>
          <w:rFonts w:ascii="Calibri Light" w:hAnsi="Calibri Light" w:cs="Calibri Light"/>
          <w:noProof/>
          <w:sz w:val="24"/>
        </w:rPr>
        <w:t xml:space="preserve">, </w:t>
      </w:r>
      <w:r w:rsidRPr="00567FE6">
        <w:rPr>
          <w:rFonts w:ascii="Calibri Light" w:hAnsi="Calibri Light" w:cs="Calibri Light"/>
          <w:i/>
          <w:iCs/>
          <w:noProof/>
          <w:sz w:val="24"/>
        </w:rPr>
        <w:t>10</w:t>
      </w:r>
      <w:r w:rsidRPr="00567FE6">
        <w:rPr>
          <w:rFonts w:ascii="Calibri Light" w:hAnsi="Calibri Light" w:cs="Calibri Light"/>
          <w:noProof/>
          <w:sz w:val="24"/>
        </w:rPr>
        <w:t>(1), 100–113. https://doi.org/10.52289/hej10.107</w:t>
      </w:r>
    </w:p>
    <w:p w14:paraId="7537B90F"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Fibrianti, N., &amp; Wahanisa, R. (2023). Comparison of Business Competition Institutions Between Indonesia and Thailand as a Form of Strengthening the Indonesian Business Competition Supervisory. </w:t>
      </w:r>
      <w:r w:rsidRPr="00567FE6">
        <w:rPr>
          <w:rFonts w:ascii="Calibri Light" w:hAnsi="Calibri Light" w:cs="Calibri Light"/>
          <w:i/>
          <w:iCs/>
          <w:noProof/>
          <w:sz w:val="24"/>
        </w:rPr>
        <w:t>Iblam Law Review</w:t>
      </w:r>
      <w:r w:rsidRPr="00567FE6">
        <w:rPr>
          <w:rFonts w:ascii="Calibri Light" w:hAnsi="Calibri Light" w:cs="Calibri Light"/>
          <w:noProof/>
          <w:sz w:val="24"/>
        </w:rPr>
        <w:t xml:space="preserve">, </w:t>
      </w:r>
      <w:r w:rsidRPr="00567FE6">
        <w:rPr>
          <w:rFonts w:ascii="Calibri Light" w:hAnsi="Calibri Light" w:cs="Calibri Light"/>
          <w:i/>
          <w:iCs/>
          <w:noProof/>
          <w:sz w:val="24"/>
        </w:rPr>
        <w:t>3</w:t>
      </w:r>
      <w:r w:rsidRPr="00567FE6">
        <w:rPr>
          <w:rFonts w:ascii="Calibri Light" w:hAnsi="Calibri Light" w:cs="Calibri Light"/>
          <w:noProof/>
          <w:sz w:val="24"/>
        </w:rPr>
        <w:t>(3), 72–82. https://doi.org/10.52249/ilr.v3i3.153</w:t>
      </w:r>
    </w:p>
    <w:p w14:paraId="75C365E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Firdaus, F., &amp; Wulandari, R. A. (2023). Implications of Low Women’s Representation: Strategies and Challenges Towards Gender Equality in Indonesian Politics. </w:t>
      </w:r>
      <w:r w:rsidRPr="00567FE6">
        <w:rPr>
          <w:rFonts w:ascii="Calibri Light" w:hAnsi="Calibri Light" w:cs="Calibri Light"/>
          <w:i/>
          <w:iCs/>
          <w:noProof/>
          <w:sz w:val="24"/>
        </w:rPr>
        <w:t>Indonesian Journal of Religion and Society</w:t>
      </w:r>
      <w:r w:rsidRPr="00567FE6">
        <w:rPr>
          <w:rFonts w:ascii="Calibri Light" w:hAnsi="Calibri Light" w:cs="Calibri Light"/>
          <w:noProof/>
          <w:sz w:val="24"/>
        </w:rPr>
        <w:t xml:space="preserve">, </w:t>
      </w:r>
      <w:r w:rsidRPr="00567FE6">
        <w:rPr>
          <w:rFonts w:ascii="Calibri Light" w:hAnsi="Calibri Light" w:cs="Calibri Light"/>
          <w:i/>
          <w:iCs/>
          <w:noProof/>
          <w:sz w:val="24"/>
        </w:rPr>
        <w:t>5</w:t>
      </w:r>
      <w:r w:rsidRPr="00567FE6">
        <w:rPr>
          <w:rFonts w:ascii="Calibri Light" w:hAnsi="Calibri Light" w:cs="Calibri Light"/>
          <w:noProof/>
          <w:sz w:val="24"/>
        </w:rPr>
        <w:t>(2), 138–153. https://doi.org/10.36256/ijrs.v5i2.383</w:t>
      </w:r>
    </w:p>
    <w:p w14:paraId="6428B5F7"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Fossati, D. (2020). Electoral reform and partisan dealignment in Indonesia. </w:t>
      </w:r>
      <w:r w:rsidRPr="00567FE6">
        <w:rPr>
          <w:rFonts w:ascii="Calibri Light" w:hAnsi="Calibri Light" w:cs="Calibri Light"/>
          <w:i/>
          <w:iCs/>
          <w:noProof/>
          <w:sz w:val="24"/>
        </w:rPr>
        <w:t>International Political Science Review</w:t>
      </w:r>
      <w:r w:rsidRPr="00567FE6">
        <w:rPr>
          <w:rFonts w:ascii="Calibri Light" w:hAnsi="Calibri Light" w:cs="Calibri Light"/>
          <w:noProof/>
          <w:sz w:val="24"/>
        </w:rPr>
        <w:t xml:space="preserve">, </w:t>
      </w:r>
      <w:r w:rsidRPr="00567FE6">
        <w:rPr>
          <w:rFonts w:ascii="Calibri Light" w:hAnsi="Calibri Light" w:cs="Calibri Light"/>
          <w:i/>
          <w:iCs/>
          <w:noProof/>
          <w:sz w:val="24"/>
        </w:rPr>
        <w:t>41</w:t>
      </w:r>
      <w:r w:rsidRPr="00567FE6">
        <w:rPr>
          <w:rFonts w:ascii="Calibri Light" w:hAnsi="Calibri Light" w:cs="Calibri Light"/>
          <w:noProof/>
          <w:sz w:val="24"/>
        </w:rPr>
        <w:t>(3), 349–364.</w:t>
      </w:r>
    </w:p>
    <w:p w14:paraId="08D9B25B"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Giblin, B. (2022). New electoral geopolitics? </w:t>
      </w:r>
      <w:r w:rsidRPr="00567FE6">
        <w:rPr>
          <w:rFonts w:ascii="Calibri Light" w:hAnsi="Calibri Light" w:cs="Calibri Light"/>
          <w:i/>
          <w:iCs/>
          <w:noProof/>
          <w:sz w:val="24"/>
        </w:rPr>
        <w:t>Herodote</w:t>
      </w:r>
      <w:r w:rsidRPr="00567FE6">
        <w:rPr>
          <w:rFonts w:ascii="Calibri Light" w:hAnsi="Calibri Light" w:cs="Calibri Light"/>
          <w:noProof/>
          <w:sz w:val="24"/>
        </w:rPr>
        <w:t xml:space="preserve">, </w:t>
      </w:r>
      <w:r w:rsidRPr="00567FE6">
        <w:rPr>
          <w:rFonts w:ascii="Calibri Light" w:hAnsi="Calibri Light" w:cs="Calibri Light"/>
          <w:i/>
          <w:iCs/>
          <w:noProof/>
          <w:sz w:val="24"/>
        </w:rPr>
        <w:t>187</w:t>
      </w:r>
      <w:r w:rsidRPr="00567FE6">
        <w:rPr>
          <w:rFonts w:ascii="Calibri Light" w:hAnsi="Calibri Light" w:cs="Calibri Light"/>
          <w:noProof/>
          <w:sz w:val="24"/>
        </w:rPr>
        <w:t>(4), 3–21.</w:t>
      </w:r>
    </w:p>
    <w:p w14:paraId="229BF692"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Haruni, C. W., Khoidin, M., Ekatjahyana, W., &amp; Harianto, A. (2020). </w:t>
      </w:r>
      <w:r w:rsidRPr="00567FE6">
        <w:rPr>
          <w:rFonts w:ascii="Calibri Light" w:hAnsi="Calibri Light" w:cs="Calibri Light"/>
          <w:i/>
          <w:iCs/>
          <w:noProof/>
          <w:sz w:val="24"/>
        </w:rPr>
        <w:t>Proportionality of the Regional Representative Council in Legislative Function</w:t>
      </w:r>
      <w:r w:rsidRPr="00567FE6">
        <w:rPr>
          <w:rFonts w:ascii="Calibri Light" w:hAnsi="Calibri Light" w:cs="Calibri Light"/>
          <w:noProof/>
          <w:sz w:val="24"/>
        </w:rPr>
        <w:t>. https://doi.org/10.2991/aebmr.k.200226.036</w:t>
      </w:r>
    </w:p>
    <w:p w14:paraId="544F0AA4"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Hasani, I., Halili, H., &amp; Balakrishnan, V. (2022). Undelivered Constitutional Justice?  Study on How the Decisions of the Constitutional Court of the Republic of Indonesia Are Executed. </w:t>
      </w:r>
      <w:r w:rsidRPr="00567FE6">
        <w:rPr>
          <w:rFonts w:ascii="Calibri Light" w:hAnsi="Calibri Light" w:cs="Calibri Light"/>
          <w:i/>
          <w:iCs/>
          <w:noProof/>
          <w:sz w:val="24"/>
        </w:rPr>
        <w:t>Jurnal Civics Media Kajian Kewarganegaraan</w:t>
      </w:r>
      <w:r w:rsidRPr="00567FE6">
        <w:rPr>
          <w:rFonts w:ascii="Calibri Light" w:hAnsi="Calibri Light" w:cs="Calibri Light"/>
          <w:noProof/>
          <w:sz w:val="24"/>
        </w:rPr>
        <w:t xml:space="preserve">, </w:t>
      </w:r>
      <w:r w:rsidRPr="00567FE6">
        <w:rPr>
          <w:rFonts w:ascii="Calibri Light" w:hAnsi="Calibri Light" w:cs="Calibri Light"/>
          <w:i/>
          <w:iCs/>
          <w:noProof/>
          <w:sz w:val="24"/>
        </w:rPr>
        <w:t>19</w:t>
      </w:r>
      <w:r w:rsidRPr="00567FE6">
        <w:rPr>
          <w:rFonts w:ascii="Calibri Light" w:hAnsi="Calibri Light" w:cs="Calibri Light"/>
          <w:noProof/>
          <w:sz w:val="24"/>
        </w:rPr>
        <w:t>(1), 45–52. https://doi.org/10.21831/jc.v19i1.48378</w:t>
      </w:r>
    </w:p>
    <w:p w14:paraId="775819FB"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Hasim, F. (2024). Constitutional Court Ruling Number 90/Puu-Xxi/2023 Regarding Aspects of Human Rights. </w:t>
      </w:r>
      <w:r w:rsidRPr="00567FE6">
        <w:rPr>
          <w:rFonts w:ascii="Calibri Light" w:hAnsi="Calibri Light" w:cs="Calibri Light"/>
          <w:i/>
          <w:iCs/>
          <w:noProof/>
          <w:sz w:val="24"/>
        </w:rPr>
        <w:t>Ays</w:t>
      </w:r>
      <w:r w:rsidRPr="00567FE6">
        <w:rPr>
          <w:rFonts w:ascii="Calibri Light" w:hAnsi="Calibri Light" w:cs="Calibri Light"/>
          <w:noProof/>
          <w:sz w:val="24"/>
        </w:rPr>
        <w:t xml:space="preserve">, </w:t>
      </w:r>
      <w:r w:rsidRPr="00567FE6">
        <w:rPr>
          <w:rFonts w:ascii="Calibri Light" w:hAnsi="Calibri Light" w:cs="Calibri Light"/>
          <w:i/>
          <w:iCs/>
          <w:noProof/>
          <w:sz w:val="24"/>
        </w:rPr>
        <w:t>1</w:t>
      </w:r>
      <w:r w:rsidRPr="00567FE6">
        <w:rPr>
          <w:rFonts w:ascii="Calibri Light" w:hAnsi="Calibri Light" w:cs="Calibri Light"/>
          <w:noProof/>
          <w:sz w:val="24"/>
        </w:rPr>
        <w:t>(2), 121–134. https://doi.org/10.61397/ays.v1i2.98</w:t>
      </w:r>
    </w:p>
    <w:p w14:paraId="09E99B50"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Huda, D., Winarto, A. E., &amp; Lestariningsih, L. (2023). Analysis of 2024 General Election Digitalization System as an Effort to Improve the Quality of Democracy in Indonesia. </w:t>
      </w:r>
      <w:r w:rsidRPr="00567FE6">
        <w:rPr>
          <w:rFonts w:ascii="Calibri Light" w:hAnsi="Calibri Light" w:cs="Calibri Light"/>
          <w:i/>
          <w:iCs/>
          <w:noProof/>
          <w:sz w:val="24"/>
        </w:rPr>
        <w:t>Journal of Development Research</w:t>
      </w:r>
      <w:r w:rsidRPr="00567FE6">
        <w:rPr>
          <w:rFonts w:ascii="Calibri Light" w:hAnsi="Calibri Light" w:cs="Calibri Light"/>
          <w:noProof/>
          <w:sz w:val="24"/>
        </w:rPr>
        <w:t xml:space="preserve">, </w:t>
      </w:r>
      <w:r w:rsidRPr="00567FE6">
        <w:rPr>
          <w:rFonts w:ascii="Calibri Light" w:hAnsi="Calibri Light" w:cs="Calibri Light"/>
          <w:i/>
          <w:iCs/>
          <w:noProof/>
          <w:sz w:val="24"/>
        </w:rPr>
        <w:t>7</w:t>
      </w:r>
      <w:r w:rsidRPr="00567FE6">
        <w:rPr>
          <w:rFonts w:ascii="Calibri Light" w:hAnsi="Calibri Light" w:cs="Calibri Light"/>
          <w:noProof/>
          <w:sz w:val="24"/>
        </w:rPr>
        <w:t>(2), 272–282. https://doi.org/10.28926/jdr.v7i2.313</w:t>
      </w:r>
    </w:p>
    <w:p w14:paraId="61F7F98B"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Hudhaibi, H. A. (2023). General Election (Election) As an Implementation of The Constitution in A Country with A Democracy System. </w:t>
      </w:r>
      <w:r w:rsidRPr="00567FE6">
        <w:rPr>
          <w:rFonts w:ascii="Calibri Light" w:hAnsi="Calibri Light" w:cs="Calibri Light"/>
          <w:i/>
          <w:iCs/>
          <w:noProof/>
          <w:sz w:val="24"/>
        </w:rPr>
        <w:t>AL-MANHAJ: Jurnal Hukum Dan Pranata Sosial Islam</w:t>
      </w:r>
      <w:r w:rsidRPr="00567FE6">
        <w:rPr>
          <w:rFonts w:ascii="Calibri Light" w:hAnsi="Calibri Light" w:cs="Calibri Light"/>
          <w:noProof/>
          <w:sz w:val="24"/>
        </w:rPr>
        <w:t xml:space="preserve">, </w:t>
      </w:r>
      <w:r w:rsidRPr="00567FE6">
        <w:rPr>
          <w:rFonts w:ascii="Calibri Light" w:hAnsi="Calibri Light" w:cs="Calibri Light"/>
          <w:i/>
          <w:iCs/>
          <w:noProof/>
          <w:sz w:val="24"/>
        </w:rPr>
        <w:t>5</w:t>
      </w:r>
      <w:r w:rsidRPr="00567FE6">
        <w:rPr>
          <w:rFonts w:ascii="Calibri Light" w:hAnsi="Calibri Light" w:cs="Calibri Light"/>
          <w:noProof/>
          <w:sz w:val="24"/>
        </w:rPr>
        <w:t>(1), 859–866.</w:t>
      </w:r>
    </w:p>
    <w:p w14:paraId="012D2D28"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Idaiani, S., Hendarwan, H., &amp; Herawati, M. H. (2023). Disparities of Health Program Information Systems in Indonesia: A Cross-Sectional Indonesian Health Facility Research 2019. </w:t>
      </w:r>
      <w:r w:rsidRPr="00567FE6">
        <w:rPr>
          <w:rFonts w:ascii="Calibri Light" w:hAnsi="Calibri Light" w:cs="Calibri Light"/>
          <w:i/>
          <w:iCs/>
          <w:noProof/>
          <w:sz w:val="24"/>
        </w:rPr>
        <w:t>International Journal of Environmental Research and Public Health</w:t>
      </w:r>
      <w:r w:rsidRPr="00567FE6">
        <w:rPr>
          <w:rFonts w:ascii="Calibri Light" w:hAnsi="Calibri Light" w:cs="Calibri Light"/>
          <w:noProof/>
          <w:sz w:val="24"/>
        </w:rPr>
        <w:t xml:space="preserve">, </w:t>
      </w:r>
      <w:r w:rsidRPr="00567FE6">
        <w:rPr>
          <w:rFonts w:ascii="Calibri Light" w:hAnsi="Calibri Light" w:cs="Calibri Light"/>
          <w:i/>
          <w:iCs/>
          <w:noProof/>
          <w:sz w:val="24"/>
        </w:rPr>
        <w:t>20</w:t>
      </w:r>
      <w:r w:rsidRPr="00567FE6">
        <w:rPr>
          <w:rFonts w:ascii="Calibri Light" w:hAnsi="Calibri Light" w:cs="Calibri Light"/>
          <w:noProof/>
          <w:sz w:val="24"/>
        </w:rPr>
        <w:t>(5), 4384. https://doi.org/10.3390/ijerph20054384</w:t>
      </w:r>
    </w:p>
    <w:p w14:paraId="3D29FAF9"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lastRenderedPageBreak/>
        <w:t xml:space="preserve">Lev, D. (2021). </w:t>
      </w:r>
      <w:r w:rsidRPr="00567FE6">
        <w:rPr>
          <w:rFonts w:ascii="Calibri Light" w:hAnsi="Calibri Light" w:cs="Calibri Light"/>
          <w:i/>
          <w:iCs/>
          <w:noProof/>
          <w:sz w:val="24"/>
        </w:rPr>
        <w:t>Legal evolution and political authority in Indonesia: selected essays</w:t>
      </w:r>
      <w:r w:rsidRPr="00567FE6">
        <w:rPr>
          <w:rFonts w:ascii="Calibri Light" w:hAnsi="Calibri Light" w:cs="Calibri Light"/>
          <w:noProof/>
          <w:sz w:val="24"/>
        </w:rPr>
        <w:t xml:space="preserve"> (Vol. 4). Brill.</w:t>
      </w:r>
    </w:p>
    <w:p w14:paraId="0E8DF914"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Lijphart, A. (2002). The wave of power-sharing democracy. </w:t>
      </w:r>
      <w:r w:rsidRPr="00567FE6">
        <w:rPr>
          <w:rFonts w:ascii="Calibri Light" w:hAnsi="Calibri Light" w:cs="Calibri Light"/>
          <w:i/>
          <w:iCs/>
          <w:noProof/>
          <w:sz w:val="24"/>
        </w:rPr>
        <w:t>The Architecture of Democracy: Constitutional Design, Conflict Management, and Democracy</w:t>
      </w:r>
      <w:r w:rsidRPr="00567FE6">
        <w:rPr>
          <w:rFonts w:ascii="Calibri Light" w:hAnsi="Calibri Light" w:cs="Calibri Light"/>
          <w:noProof/>
          <w:sz w:val="24"/>
        </w:rPr>
        <w:t>, 37–54.</w:t>
      </w:r>
    </w:p>
    <w:p w14:paraId="7799324E"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Lijphart, A. (2022). </w:t>
      </w:r>
      <w:r w:rsidRPr="00567FE6">
        <w:rPr>
          <w:rFonts w:ascii="Calibri Light" w:hAnsi="Calibri Light" w:cs="Calibri Light"/>
          <w:i/>
          <w:iCs/>
          <w:noProof/>
          <w:sz w:val="24"/>
        </w:rPr>
        <w:t>The politics of accommodation: Pluralism and democracy in the Netherlands</w:t>
      </w:r>
      <w:r w:rsidRPr="00567FE6">
        <w:rPr>
          <w:rFonts w:ascii="Calibri Light" w:hAnsi="Calibri Light" w:cs="Calibri Light"/>
          <w:noProof/>
          <w:sz w:val="24"/>
        </w:rPr>
        <w:t>. Univ of California Press.</w:t>
      </w:r>
    </w:p>
    <w:p w14:paraId="4B2BC37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Mahfiana, L., Harahap, L., Roesli, M., Rochman, K. L., &amp; Wajdi, M. B. N. (2020). The democracy management in indonesia constitution. </w:t>
      </w:r>
      <w:r w:rsidRPr="00567FE6">
        <w:rPr>
          <w:rFonts w:ascii="Calibri Light" w:hAnsi="Calibri Light" w:cs="Calibri Light"/>
          <w:i/>
          <w:iCs/>
          <w:noProof/>
          <w:sz w:val="24"/>
        </w:rPr>
        <w:t>Proceedings of the International Conference on Industrial Engineering and Operations Management</w:t>
      </w:r>
      <w:r w:rsidRPr="00567FE6">
        <w:rPr>
          <w:rFonts w:ascii="Calibri Light" w:hAnsi="Calibri Light" w:cs="Calibri Light"/>
          <w:noProof/>
          <w:sz w:val="24"/>
        </w:rPr>
        <w:t>.</w:t>
      </w:r>
    </w:p>
    <w:p w14:paraId="68F659B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Mietzner, M. (2008). Indonesia and the pitfalls of low-quality democracy: A case study of the gubernatorial elections in North Sulawesi. In </w:t>
      </w:r>
      <w:r w:rsidRPr="00567FE6">
        <w:rPr>
          <w:rFonts w:ascii="Calibri Light" w:hAnsi="Calibri Light" w:cs="Calibri Light"/>
          <w:i/>
          <w:iCs/>
          <w:noProof/>
          <w:sz w:val="24"/>
        </w:rPr>
        <w:t>Democratization in Post-Suharto Indonesia</w:t>
      </w:r>
      <w:r w:rsidRPr="00567FE6">
        <w:rPr>
          <w:rFonts w:ascii="Calibri Light" w:hAnsi="Calibri Light" w:cs="Calibri Light"/>
          <w:noProof/>
          <w:sz w:val="24"/>
        </w:rPr>
        <w:t xml:space="preserve"> (pp. 144–170). Routledge.</w:t>
      </w:r>
    </w:p>
    <w:p w14:paraId="4DDC7EC5"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Mietzner, M. (2020). Authoritarian innovations in Indonesia: electoral narrowing, identity politics and executive illiberalism. </w:t>
      </w:r>
      <w:r w:rsidRPr="00567FE6">
        <w:rPr>
          <w:rFonts w:ascii="Calibri Light" w:hAnsi="Calibri Light" w:cs="Calibri Light"/>
          <w:i/>
          <w:iCs/>
          <w:noProof/>
          <w:sz w:val="24"/>
        </w:rPr>
        <w:t>Democratization</w:t>
      </w:r>
      <w:r w:rsidRPr="00567FE6">
        <w:rPr>
          <w:rFonts w:ascii="Calibri Light" w:hAnsi="Calibri Light" w:cs="Calibri Light"/>
          <w:noProof/>
          <w:sz w:val="24"/>
        </w:rPr>
        <w:t xml:space="preserve">, </w:t>
      </w:r>
      <w:r w:rsidRPr="00567FE6">
        <w:rPr>
          <w:rFonts w:ascii="Calibri Light" w:hAnsi="Calibri Light" w:cs="Calibri Light"/>
          <w:i/>
          <w:iCs/>
          <w:noProof/>
          <w:sz w:val="24"/>
        </w:rPr>
        <w:t>27</w:t>
      </w:r>
      <w:r w:rsidRPr="00567FE6">
        <w:rPr>
          <w:rFonts w:ascii="Calibri Light" w:hAnsi="Calibri Light" w:cs="Calibri Light"/>
          <w:noProof/>
          <w:sz w:val="24"/>
        </w:rPr>
        <w:t>(6), 1021–1036.</w:t>
      </w:r>
    </w:p>
    <w:p w14:paraId="1EF83BBD"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Natamiharja, R., &amp; Rasya, A. G. (2021). Mapping International Laws on Human Rights in the 1945 Constitution of the Republic Indonesia. </w:t>
      </w:r>
      <w:r w:rsidRPr="00567FE6">
        <w:rPr>
          <w:rFonts w:ascii="Calibri Light" w:hAnsi="Calibri Light" w:cs="Calibri Light"/>
          <w:i/>
          <w:iCs/>
          <w:noProof/>
          <w:sz w:val="24"/>
        </w:rPr>
        <w:t>Jassp</w:t>
      </w:r>
      <w:r w:rsidRPr="00567FE6">
        <w:rPr>
          <w:rFonts w:ascii="Calibri Light" w:hAnsi="Calibri Light" w:cs="Calibri Light"/>
          <w:noProof/>
          <w:sz w:val="24"/>
        </w:rPr>
        <w:t xml:space="preserve">, </w:t>
      </w:r>
      <w:r w:rsidRPr="00567FE6">
        <w:rPr>
          <w:rFonts w:ascii="Calibri Light" w:hAnsi="Calibri Light" w:cs="Calibri Light"/>
          <w:i/>
          <w:iCs/>
          <w:noProof/>
          <w:sz w:val="24"/>
        </w:rPr>
        <w:t>1</w:t>
      </w:r>
      <w:r w:rsidRPr="00567FE6">
        <w:rPr>
          <w:rFonts w:ascii="Calibri Light" w:hAnsi="Calibri Light" w:cs="Calibri Light"/>
          <w:noProof/>
          <w:sz w:val="24"/>
        </w:rPr>
        <w:t>(1), 18–26. https://doi.org/10.23960/jassp.v1i1.26</w:t>
      </w:r>
    </w:p>
    <w:p w14:paraId="341871EA"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Nulhakim, L., &amp; Istinah, S. R. D. (2021). The Realization of People’s Sovereignty Through Recall of People to Elected Legislative Members. </w:t>
      </w:r>
      <w:r w:rsidRPr="00567FE6">
        <w:rPr>
          <w:rFonts w:ascii="Calibri Light" w:hAnsi="Calibri Light" w:cs="Calibri Light"/>
          <w:i/>
          <w:iCs/>
          <w:noProof/>
          <w:sz w:val="24"/>
        </w:rPr>
        <w:t>Jurnal Daulat Hukum</w:t>
      </w:r>
      <w:r w:rsidRPr="00567FE6">
        <w:rPr>
          <w:rFonts w:ascii="Calibri Light" w:hAnsi="Calibri Light" w:cs="Calibri Light"/>
          <w:noProof/>
          <w:sz w:val="24"/>
        </w:rPr>
        <w:t xml:space="preserve">, </w:t>
      </w:r>
      <w:r w:rsidRPr="00567FE6">
        <w:rPr>
          <w:rFonts w:ascii="Calibri Light" w:hAnsi="Calibri Light" w:cs="Calibri Light"/>
          <w:i/>
          <w:iCs/>
          <w:noProof/>
          <w:sz w:val="24"/>
        </w:rPr>
        <w:t>4</w:t>
      </w:r>
      <w:r w:rsidRPr="00567FE6">
        <w:rPr>
          <w:rFonts w:ascii="Calibri Light" w:hAnsi="Calibri Light" w:cs="Calibri Light"/>
          <w:noProof/>
          <w:sz w:val="24"/>
        </w:rPr>
        <w:t>(2), 149–156.</w:t>
      </w:r>
    </w:p>
    <w:p w14:paraId="28D6F6F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Patarai, M. I. (2021). Representative Democracy and Constitution Pancasila Perspective with the 1945 Constitution. </w:t>
      </w:r>
      <w:r w:rsidRPr="00567FE6">
        <w:rPr>
          <w:rFonts w:ascii="Calibri Light" w:hAnsi="Calibri Light" w:cs="Calibri Light"/>
          <w:i/>
          <w:iCs/>
          <w:noProof/>
          <w:sz w:val="24"/>
        </w:rPr>
        <w:t>Representative Democracy and Constitution Pancasila Perspective with the 1945 Constitution</w:t>
      </w:r>
      <w:r w:rsidRPr="00567FE6">
        <w:rPr>
          <w:rFonts w:ascii="Calibri Light" w:hAnsi="Calibri Light" w:cs="Calibri Light"/>
          <w:noProof/>
          <w:sz w:val="24"/>
        </w:rPr>
        <w:t xml:space="preserve">, </w:t>
      </w:r>
      <w:r w:rsidRPr="00567FE6">
        <w:rPr>
          <w:rFonts w:ascii="Calibri Light" w:hAnsi="Calibri Light" w:cs="Calibri Light"/>
          <w:i/>
          <w:iCs/>
          <w:noProof/>
          <w:sz w:val="24"/>
        </w:rPr>
        <w:t>4</w:t>
      </w:r>
      <w:r w:rsidRPr="00567FE6">
        <w:rPr>
          <w:rFonts w:ascii="Calibri Light" w:hAnsi="Calibri Light" w:cs="Calibri Light"/>
          <w:noProof/>
          <w:sz w:val="24"/>
        </w:rPr>
        <w:t>(4), 12941–12951.</w:t>
      </w:r>
    </w:p>
    <w:p w14:paraId="59CC930E"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Prihatini, E. (2019). Islam, Parties, and Women’s Political Nomination in Indonesia. </w:t>
      </w:r>
      <w:r w:rsidRPr="00567FE6">
        <w:rPr>
          <w:rFonts w:ascii="Calibri Light" w:hAnsi="Calibri Light" w:cs="Calibri Light"/>
          <w:i/>
          <w:iCs/>
          <w:noProof/>
          <w:sz w:val="24"/>
        </w:rPr>
        <w:t>Politics &amp; Gender</w:t>
      </w:r>
      <w:r w:rsidRPr="00567FE6">
        <w:rPr>
          <w:rFonts w:ascii="Calibri Light" w:hAnsi="Calibri Light" w:cs="Calibri Light"/>
          <w:noProof/>
          <w:sz w:val="24"/>
        </w:rPr>
        <w:t xml:space="preserve">, </w:t>
      </w:r>
      <w:r w:rsidRPr="00567FE6">
        <w:rPr>
          <w:rFonts w:ascii="Calibri Light" w:hAnsi="Calibri Light" w:cs="Calibri Light"/>
          <w:i/>
          <w:iCs/>
          <w:noProof/>
          <w:sz w:val="24"/>
        </w:rPr>
        <w:t>16</w:t>
      </w:r>
      <w:r w:rsidRPr="00567FE6">
        <w:rPr>
          <w:rFonts w:ascii="Calibri Light" w:hAnsi="Calibri Light" w:cs="Calibri Light"/>
          <w:noProof/>
          <w:sz w:val="24"/>
        </w:rPr>
        <w:t>(3), 637–659. https://doi.org/10.1017/s1743923x19000321</w:t>
      </w:r>
    </w:p>
    <w:p w14:paraId="18326491"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Sarip, S. (2018). The Manifestation of Indonesian Democracy; Between Pancasila State of Law and Islamic Nomocracy. </w:t>
      </w:r>
      <w:r w:rsidRPr="00567FE6">
        <w:rPr>
          <w:rFonts w:ascii="Calibri Light" w:hAnsi="Calibri Light" w:cs="Calibri Light"/>
          <w:i/>
          <w:iCs/>
          <w:noProof/>
          <w:sz w:val="24"/>
        </w:rPr>
        <w:t>Jurnal Hukum Novelty</w:t>
      </w:r>
      <w:r w:rsidRPr="00567FE6">
        <w:rPr>
          <w:rFonts w:ascii="Calibri Light" w:hAnsi="Calibri Light" w:cs="Calibri Light"/>
          <w:noProof/>
          <w:sz w:val="24"/>
        </w:rPr>
        <w:t xml:space="preserve">, </w:t>
      </w:r>
      <w:r w:rsidRPr="00567FE6">
        <w:rPr>
          <w:rFonts w:ascii="Calibri Light" w:hAnsi="Calibri Light" w:cs="Calibri Light"/>
          <w:i/>
          <w:iCs/>
          <w:noProof/>
          <w:sz w:val="24"/>
        </w:rPr>
        <w:t>9</w:t>
      </w:r>
      <w:r w:rsidRPr="00567FE6">
        <w:rPr>
          <w:rFonts w:ascii="Calibri Light" w:hAnsi="Calibri Light" w:cs="Calibri Light"/>
          <w:noProof/>
          <w:sz w:val="24"/>
        </w:rPr>
        <w:t>(2), 192. https://doi.org/10.26555/novelty.v9i2.a11517</w:t>
      </w:r>
    </w:p>
    <w:p w14:paraId="6048D867"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Soekanto, S. (1986). </w:t>
      </w:r>
      <w:r w:rsidRPr="00567FE6">
        <w:rPr>
          <w:rFonts w:ascii="Calibri Light" w:hAnsi="Calibri Light" w:cs="Calibri Light"/>
          <w:i/>
          <w:iCs/>
          <w:noProof/>
          <w:sz w:val="24"/>
        </w:rPr>
        <w:t>Pengantar Penelitian Sosial</w:t>
      </w:r>
      <w:r w:rsidRPr="00567FE6">
        <w:rPr>
          <w:rFonts w:ascii="Calibri Light" w:hAnsi="Calibri Light" w:cs="Calibri Light"/>
          <w:noProof/>
          <w:sz w:val="24"/>
        </w:rPr>
        <w:t>. Jakarta: Ui-Press.</w:t>
      </w:r>
    </w:p>
    <w:p w14:paraId="65A2DD6E"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Soemarwi, V. W. S., Wijaya, Y., &amp; Gunawan, A. R. (2022). The Absence of Constitutional Court’s  Decision Follow Up: Is It a Loss? </w:t>
      </w:r>
      <w:r w:rsidRPr="00567FE6">
        <w:rPr>
          <w:rFonts w:ascii="Calibri Light" w:hAnsi="Calibri Light" w:cs="Calibri Light"/>
          <w:i/>
          <w:iCs/>
          <w:noProof/>
          <w:sz w:val="24"/>
        </w:rPr>
        <w:t>Jurnal Konstitusi</w:t>
      </w:r>
      <w:r w:rsidRPr="00567FE6">
        <w:rPr>
          <w:rFonts w:ascii="Calibri Light" w:hAnsi="Calibri Light" w:cs="Calibri Light"/>
          <w:noProof/>
          <w:sz w:val="24"/>
        </w:rPr>
        <w:t xml:space="preserve">, </w:t>
      </w:r>
      <w:r w:rsidRPr="00567FE6">
        <w:rPr>
          <w:rFonts w:ascii="Calibri Light" w:hAnsi="Calibri Light" w:cs="Calibri Light"/>
          <w:i/>
          <w:iCs/>
          <w:noProof/>
          <w:sz w:val="24"/>
        </w:rPr>
        <w:t>19</w:t>
      </w:r>
      <w:r w:rsidRPr="00567FE6">
        <w:rPr>
          <w:rFonts w:ascii="Calibri Light" w:hAnsi="Calibri Light" w:cs="Calibri Light"/>
          <w:noProof/>
          <w:sz w:val="24"/>
        </w:rPr>
        <w:t>(3), 720–740. https://doi.org/10.31078/jk19310</w:t>
      </w:r>
    </w:p>
    <w:p w14:paraId="3415A20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Soetjipto, A. W. (2023). Perempuan Muda Dan Partai Politik :  Dari Descriptive Participation Menuju Substantive Representation. </w:t>
      </w:r>
      <w:r w:rsidRPr="00567FE6">
        <w:rPr>
          <w:rFonts w:ascii="Calibri Light" w:hAnsi="Calibri Light" w:cs="Calibri Light"/>
          <w:i/>
          <w:iCs/>
          <w:noProof/>
          <w:sz w:val="24"/>
        </w:rPr>
        <w:t>Jurnal Perempuan</w:t>
      </w:r>
      <w:r w:rsidRPr="00567FE6">
        <w:rPr>
          <w:rFonts w:ascii="Calibri Light" w:hAnsi="Calibri Light" w:cs="Calibri Light"/>
          <w:noProof/>
          <w:sz w:val="24"/>
        </w:rPr>
        <w:t xml:space="preserve">, </w:t>
      </w:r>
      <w:r w:rsidRPr="00567FE6">
        <w:rPr>
          <w:rFonts w:ascii="Calibri Light" w:hAnsi="Calibri Light" w:cs="Calibri Light"/>
          <w:i/>
          <w:iCs/>
          <w:noProof/>
          <w:sz w:val="24"/>
        </w:rPr>
        <w:t>28</w:t>
      </w:r>
      <w:r w:rsidRPr="00567FE6">
        <w:rPr>
          <w:rFonts w:ascii="Calibri Light" w:hAnsi="Calibri Light" w:cs="Calibri Light"/>
          <w:noProof/>
          <w:sz w:val="24"/>
        </w:rPr>
        <w:t>(2), 87–100. https://doi.org/10.34309/jp.v28i2.844</w:t>
      </w:r>
    </w:p>
    <w:p w14:paraId="3CF58A9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Suparno, S., &amp; Panjaitan, T. (2023). </w:t>
      </w:r>
      <w:r w:rsidRPr="00567FE6">
        <w:rPr>
          <w:rFonts w:ascii="Calibri Light" w:hAnsi="Calibri Light" w:cs="Calibri Light"/>
          <w:i/>
          <w:iCs/>
          <w:noProof/>
          <w:sz w:val="24"/>
        </w:rPr>
        <w:t>The Authority and Duties of the People’s Consultative Assembly in the Perspective of Law Number 17 of 2014 Concerning the People’s Consultative Assembly, the People’s Representative Council, the Regional Representative Council, and the Regional People’s R</w:t>
      </w:r>
      <w:r w:rsidRPr="00567FE6">
        <w:rPr>
          <w:rFonts w:ascii="Calibri Light" w:hAnsi="Calibri Light" w:cs="Calibri Light"/>
          <w:noProof/>
          <w:sz w:val="24"/>
        </w:rPr>
        <w:t>. https://doi.org/10.4108/eai.28-10-2023.2341792</w:t>
      </w:r>
    </w:p>
    <w:p w14:paraId="32D25E21"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Tibaka, L., &amp; Rosdian, R. (2018). The Protection of Human Rights in Indonesian </w:t>
      </w:r>
      <w:r w:rsidRPr="00567FE6">
        <w:rPr>
          <w:rFonts w:ascii="Calibri Light" w:hAnsi="Calibri Light" w:cs="Calibri Light"/>
          <w:noProof/>
          <w:sz w:val="24"/>
        </w:rPr>
        <w:lastRenderedPageBreak/>
        <w:t xml:space="preserve">Constitutional Law After the Amendment of the 1945 Constitution of the Republic of Indonesia. </w:t>
      </w:r>
      <w:r w:rsidRPr="00567FE6">
        <w:rPr>
          <w:rFonts w:ascii="Calibri Light" w:hAnsi="Calibri Light" w:cs="Calibri Light"/>
          <w:i/>
          <w:iCs/>
          <w:noProof/>
          <w:sz w:val="24"/>
        </w:rPr>
        <w:t>Fiat Justisia Jurnal Ilmu Hukum</w:t>
      </w:r>
      <w:r w:rsidRPr="00567FE6">
        <w:rPr>
          <w:rFonts w:ascii="Calibri Light" w:hAnsi="Calibri Light" w:cs="Calibri Light"/>
          <w:noProof/>
          <w:sz w:val="24"/>
        </w:rPr>
        <w:t xml:space="preserve">, </w:t>
      </w:r>
      <w:r w:rsidRPr="00567FE6">
        <w:rPr>
          <w:rFonts w:ascii="Calibri Light" w:hAnsi="Calibri Light" w:cs="Calibri Light"/>
          <w:i/>
          <w:iCs/>
          <w:noProof/>
          <w:sz w:val="24"/>
        </w:rPr>
        <w:t>11</w:t>
      </w:r>
      <w:r w:rsidRPr="00567FE6">
        <w:rPr>
          <w:rFonts w:ascii="Calibri Light" w:hAnsi="Calibri Light" w:cs="Calibri Light"/>
          <w:noProof/>
          <w:sz w:val="24"/>
        </w:rPr>
        <w:t>(3), 266. https://doi.org/10.25041/fiatjustisia.v11no3.1141</w:t>
      </w:r>
    </w:p>
    <w:p w14:paraId="4B71F65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Ulum, M. B., &amp; Hamida, N. A. (2018). Revisiting Liberal Democracy and Asian Values in Contemporary Indonesia. </w:t>
      </w:r>
      <w:r w:rsidRPr="00567FE6">
        <w:rPr>
          <w:rFonts w:ascii="Calibri Light" w:hAnsi="Calibri Light" w:cs="Calibri Light"/>
          <w:i/>
          <w:iCs/>
          <w:noProof/>
          <w:sz w:val="24"/>
        </w:rPr>
        <w:t>Constitutional Review</w:t>
      </w:r>
      <w:r w:rsidRPr="00567FE6">
        <w:rPr>
          <w:rFonts w:ascii="Calibri Light" w:hAnsi="Calibri Light" w:cs="Calibri Light"/>
          <w:noProof/>
          <w:sz w:val="24"/>
        </w:rPr>
        <w:t xml:space="preserve">, </w:t>
      </w:r>
      <w:r w:rsidRPr="00567FE6">
        <w:rPr>
          <w:rFonts w:ascii="Calibri Light" w:hAnsi="Calibri Light" w:cs="Calibri Light"/>
          <w:i/>
          <w:iCs/>
          <w:noProof/>
          <w:sz w:val="24"/>
        </w:rPr>
        <w:t>4</w:t>
      </w:r>
      <w:r w:rsidRPr="00567FE6">
        <w:rPr>
          <w:rFonts w:ascii="Calibri Light" w:hAnsi="Calibri Light" w:cs="Calibri Light"/>
          <w:noProof/>
          <w:sz w:val="24"/>
        </w:rPr>
        <w:t>(1), 111. https://doi.org/10.31078/consrev415</w:t>
      </w:r>
    </w:p>
    <w:p w14:paraId="6E039BED"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Umbase, R. S. (2023). Women’s Suffrage in Indonesia: A Structural Analysis of Women’s Representation in Parliament. </w:t>
      </w:r>
      <w:r w:rsidRPr="00567FE6">
        <w:rPr>
          <w:rFonts w:ascii="Calibri Light" w:hAnsi="Calibri Light" w:cs="Calibri Light"/>
          <w:i/>
          <w:iCs/>
          <w:noProof/>
          <w:sz w:val="24"/>
        </w:rPr>
        <w:t>Technium Social Sciences Journal</w:t>
      </w:r>
      <w:r w:rsidRPr="00567FE6">
        <w:rPr>
          <w:rFonts w:ascii="Calibri Light" w:hAnsi="Calibri Light" w:cs="Calibri Light"/>
          <w:noProof/>
          <w:sz w:val="24"/>
        </w:rPr>
        <w:t xml:space="preserve">, </w:t>
      </w:r>
      <w:r w:rsidRPr="00567FE6">
        <w:rPr>
          <w:rFonts w:ascii="Calibri Light" w:hAnsi="Calibri Light" w:cs="Calibri Light"/>
          <w:i/>
          <w:iCs/>
          <w:noProof/>
          <w:sz w:val="24"/>
        </w:rPr>
        <w:t>49</w:t>
      </w:r>
      <w:r w:rsidRPr="00567FE6">
        <w:rPr>
          <w:rFonts w:ascii="Calibri Light" w:hAnsi="Calibri Light" w:cs="Calibri Light"/>
          <w:noProof/>
          <w:sz w:val="24"/>
        </w:rPr>
        <w:t>(1), 77–83. https://doi.org/10.47577/tssj.v49i1.9783</w:t>
      </w:r>
    </w:p>
    <w:p w14:paraId="1B81C1C5"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Yulianto, W. (2023). The Authority of the Indonesia Constitutional Court  in Revi Ew of Law Against Basic Law. </w:t>
      </w:r>
      <w:r w:rsidRPr="00567FE6">
        <w:rPr>
          <w:rFonts w:ascii="Calibri Light" w:hAnsi="Calibri Light" w:cs="Calibri Light"/>
          <w:i/>
          <w:iCs/>
          <w:noProof/>
          <w:sz w:val="24"/>
        </w:rPr>
        <w:t>International Journal of Educational Research &amp; Social Sciences</w:t>
      </w:r>
      <w:r w:rsidRPr="00567FE6">
        <w:rPr>
          <w:rFonts w:ascii="Calibri Light" w:hAnsi="Calibri Light" w:cs="Calibri Light"/>
          <w:noProof/>
          <w:sz w:val="24"/>
        </w:rPr>
        <w:t xml:space="preserve">, </w:t>
      </w:r>
      <w:r w:rsidRPr="00567FE6">
        <w:rPr>
          <w:rFonts w:ascii="Calibri Light" w:hAnsi="Calibri Light" w:cs="Calibri Light"/>
          <w:i/>
          <w:iCs/>
          <w:noProof/>
          <w:sz w:val="24"/>
        </w:rPr>
        <w:t>4</w:t>
      </w:r>
      <w:r w:rsidRPr="00567FE6">
        <w:rPr>
          <w:rFonts w:ascii="Calibri Light" w:hAnsi="Calibri Light" w:cs="Calibri Light"/>
          <w:noProof/>
          <w:sz w:val="24"/>
        </w:rPr>
        <w:t>(1), 132–140. https://doi.org/10.51601/ijersc.v4i1.587</w:t>
      </w:r>
    </w:p>
    <w:p w14:paraId="5BF360FB" w14:textId="77777777" w:rsidR="006538D6" w:rsidRPr="00540F02" w:rsidRDefault="00567FE6" w:rsidP="00534559">
      <w:pPr>
        <w:pStyle w:val="ListParagraph"/>
        <w:tabs>
          <w:tab w:val="left" w:pos="1134"/>
        </w:tabs>
        <w:spacing w:before="120" w:after="120" w:line="240" w:lineRule="auto"/>
        <w:ind w:right="-1" w:hanging="578"/>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7816FC">
      <w:headerReference w:type="even" r:id="rId20"/>
      <w:headerReference w:type="default" r:id="rId21"/>
      <w:footerReference w:type="even" r:id="rId22"/>
      <w:footerReference w:type="default" r:id="rId23"/>
      <w:headerReference w:type="first" r:id="rId24"/>
      <w:footerReference w:type="first" r:id="rId25"/>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M" w:date="2025-06-05T05:33:00Z" w:initials="M">
    <w:p w14:paraId="5D0D33A0" w14:textId="3ADE185F" w:rsidR="00DC6F9E" w:rsidRDefault="00DC6F9E">
      <w:pPr>
        <w:pStyle w:val="CommentText"/>
      </w:pPr>
      <w:r>
        <w:rPr>
          <w:rStyle w:val="CommentReference"/>
        </w:rPr>
        <w:annotationRef/>
      </w:r>
      <w:r w:rsidRPr="00DC6F9E">
        <w:t>What is the difference between the first and second objectives? The research objective focuses on what you want to research in your study. The second sentence should be more focused on the main focus.</w:t>
      </w:r>
    </w:p>
  </w:comment>
  <w:comment w:id="1" w:author="M" w:date="2025-06-05T05:33:00Z" w:initials="M">
    <w:p w14:paraId="511E9D5D" w14:textId="7BC6378B" w:rsidR="00DC6F9E" w:rsidRDefault="00DC6F9E">
      <w:pPr>
        <w:pStyle w:val="CommentText"/>
      </w:pPr>
      <w:r>
        <w:rPr>
          <w:rStyle w:val="CommentReference"/>
        </w:rPr>
        <w:annotationRef/>
      </w:r>
      <w:r w:rsidRPr="00DC6F9E">
        <w:t>Do not write the conclusion in the abstract, it is better to explain the limitations of the study and the originality of your research findings.</w:t>
      </w:r>
    </w:p>
  </w:comment>
  <w:comment w:id="2" w:author="M" w:date="2025-06-05T05:33:00Z" w:initials="M">
    <w:p w14:paraId="4B53618C" w14:textId="7794D7E9" w:rsidR="00DC6F9E" w:rsidRDefault="00DC6F9E">
      <w:pPr>
        <w:pStyle w:val="CommentText"/>
      </w:pPr>
      <w:r>
        <w:rPr>
          <w:rStyle w:val="CommentReference"/>
        </w:rPr>
        <w:annotationRef/>
      </w:r>
      <w:r w:rsidRPr="00DC6F9E">
        <w:t>The phrase “fundamentally altering the political landscape” is too general. Be specific about how the political landscape changed (e.g., a shift in power, increased civic engagement, or the rise of independent figures). The phrase can be shortened without losing its historical significance.</w:t>
      </w:r>
    </w:p>
  </w:comment>
  <w:comment w:id="3" w:author="M" w:date="2025-06-05T05:33:00Z" w:initials="M">
    <w:p w14:paraId="1FE9EA0E" w14:textId="18880A34" w:rsidR="00DC6F9E" w:rsidRDefault="00DC6F9E">
      <w:pPr>
        <w:pStyle w:val="CommentText"/>
      </w:pPr>
      <w:r>
        <w:rPr>
          <w:rStyle w:val="CommentReference"/>
        </w:rPr>
        <w:annotationRef/>
      </w:r>
      <w:r w:rsidRPr="00DC6F9E">
        <w:t>The comparison with health care inequality is interesting but not entirely connected. The transition from threshold to health issues needs to be explained. The references to indigenous communities and marginalization are relevant, but it needs to be explained how thresholds directly impact these groups.</w:t>
      </w:r>
    </w:p>
  </w:comment>
  <w:comment w:id="4" w:author="M" w:date="2025-06-05T05:33:00Z" w:initials="M">
    <w:p w14:paraId="1B10213E" w14:textId="0CD40193" w:rsidR="00DC6F9E" w:rsidRDefault="00DC6F9E">
      <w:pPr>
        <w:pStyle w:val="CommentText"/>
      </w:pPr>
      <w:r>
        <w:rPr>
          <w:rStyle w:val="CommentReference"/>
        </w:rPr>
        <w:annotationRef/>
      </w:r>
      <w:r w:rsidRPr="00DC6F9E">
        <w:t>At the beginning of the paragraph, you should first explain what type and approach is used in the research. The writing of the method must be coherent to guide the reader to follow the right research flow.</w:t>
      </w:r>
    </w:p>
  </w:comment>
  <w:comment w:id="5" w:author="M" w:date="2025-06-05T05:34:00Z" w:initials="M">
    <w:p w14:paraId="3F670ECF" w14:textId="695B6B20" w:rsidR="00DC6F9E" w:rsidRDefault="00DC6F9E">
      <w:pPr>
        <w:pStyle w:val="CommentText"/>
      </w:pPr>
      <w:r>
        <w:rPr>
          <w:rStyle w:val="CommentReference"/>
        </w:rPr>
        <w:annotationRef/>
      </w:r>
      <w:r w:rsidRPr="00DC6F9E">
        <w:t>The method only presents the stages of the research process. You should briefly explain these stages and explain the methodology used, such as the approach and analysis techniques.</w:t>
      </w:r>
    </w:p>
  </w:comment>
  <w:comment w:id="6" w:author="M" w:date="2025-06-05T05:34:00Z" w:initials="M">
    <w:p w14:paraId="388EB042" w14:textId="0AE501CF" w:rsidR="00DC6F9E" w:rsidRDefault="00DC6F9E">
      <w:pPr>
        <w:pStyle w:val="CommentText"/>
      </w:pPr>
      <w:r>
        <w:rPr>
          <w:rStyle w:val="CommentReference"/>
        </w:rPr>
        <w:annotationRef/>
      </w:r>
      <w:r w:rsidRPr="00DC6F9E">
        <w:t>We strongly avoid any format of descriptive description in the form of numbering and bullet points like this. In addition to the short narrative presentation of only one paragraph (which is very lacking), this format also looks like there is no in-depth discussion.</w:t>
      </w:r>
    </w:p>
  </w:comment>
  <w:comment w:id="7" w:author="M" w:date="2025-06-05T05:34:00Z" w:initials="M">
    <w:p w14:paraId="4384989B" w14:textId="67E13D1E" w:rsidR="00DC6F9E" w:rsidRDefault="00DC6F9E">
      <w:pPr>
        <w:pStyle w:val="CommentText"/>
      </w:pPr>
      <w:r>
        <w:rPr>
          <w:rStyle w:val="CommentReference"/>
        </w:rPr>
        <w:annotationRef/>
      </w:r>
      <w:r w:rsidRPr="00DC6F9E">
        <w:t>There is no empirical evidence or case studies. Add data on the number of voters who support small parties but lose their right to vote for presidential candidates.</w:t>
      </w:r>
    </w:p>
  </w:comment>
  <w:comment w:id="8" w:author="M" w:date="2025-06-05T05:34:00Z" w:initials="M">
    <w:p w14:paraId="1A2D1045" w14:textId="5C66DEE4" w:rsidR="00DC6F9E" w:rsidRDefault="00DC6F9E">
      <w:pPr>
        <w:pStyle w:val="CommentText"/>
      </w:pPr>
      <w:r>
        <w:rPr>
          <w:rStyle w:val="CommentReference"/>
        </w:rPr>
        <w:annotationRef/>
      </w:r>
      <w:r w:rsidRPr="00DC6F9E">
        <w:t>It would be stronger if there was data on the percentage of votes for parties that could not nominate presidential candidates. Add a table or quote from KPU/LIPI on the distribution of votes and party limitations in nominations.</w:t>
      </w:r>
    </w:p>
  </w:comment>
  <w:comment w:id="9" w:author="M" w:date="2025-06-05T05:35:00Z" w:initials="M">
    <w:p w14:paraId="57CF728C" w14:textId="2752F8D9" w:rsidR="00DC6F9E" w:rsidRDefault="00DC6F9E">
      <w:pPr>
        <w:pStyle w:val="CommentText"/>
      </w:pPr>
      <w:r>
        <w:rPr>
          <w:rStyle w:val="CommentReference"/>
        </w:rPr>
        <w:annotationRef/>
      </w:r>
      <w:r w:rsidRPr="00DC6F9E">
        <w:t>Create a sub-title with a sentence of what you are discussing. The discussion format is just a title, the substance is what the focus is being discussed in the chapter.</w:t>
      </w:r>
    </w:p>
  </w:comment>
  <w:comment w:id="10" w:author="M" w:date="2025-06-05T05:35:00Z" w:initials="M">
    <w:p w14:paraId="51EE3CF9" w14:textId="23F2E8D0" w:rsidR="00DC6F9E" w:rsidRDefault="00DC6F9E">
      <w:pPr>
        <w:pStyle w:val="CommentText"/>
      </w:pPr>
      <w:r>
        <w:rPr>
          <w:rStyle w:val="CommentReference"/>
        </w:rPr>
        <w:annotationRef/>
      </w:r>
      <w:r w:rsidRPr="00DC6F9E">
        <w:t>Emphasize that this is a correlation with previous studies, and explicitly state "Consistent with the findings of Bormann &amp; Golder (2022), this study confirms that..."</w:t>
      </w:r>
    </w:p>
  </w:comment>
  <w:comment w:id="11" w:author="M" w:date="2025-06-05T05:35:00Z" w:initials="M">
    <w:p w14:paraId="22F49804" w14:textId="177FC81C" w:rsidR="00DC6F9E" w:rsidRDefault="00DC6F9E">
      <w:pPr>
        <w:pStyle w:val="CommentText"/>
      </w:pPr>
      <w:r>
        <w:rPr>
          <w:rStyle w:val="CommentReference"/>
        </w:rPr>
        <w:annotationRef/>
      </w:r>
      <w:r w:rsidRPr="00DC6F9E">
        <w:t>Clarify whether this recommendation is derived from qualitative findings, or normative analysis.</w:t>
      </w:r>
    </w:p>
  </w:comment>
  <w:comment w:id="12" w:author="M" w:date="2025-06-05T05:35:00Z" w:initials="M">
    <w:p w14:paraId="73712CF5" w14:textId="18EAD4F5" w:rsidR="00DC6F9E" w:rsidRDefault="00DC6F9E">
      <w:pPr>
        <w:pStyle w:val="CommentText"/>
      </w:pPr>
      <w:r>
        <w:rPr>
          <w:rStyle w:val="CommentReference"/>
        </w:rPr>
        <w:annotationRef/>
      </w:r>
      <w:r w:rsidRPr="00DC6F9E">
        <w:t>Too much repetition of the research objectives, in the abstract, in the introduction in the conclusion (it is not necessary). Here, directly present what your research conclusions are.</w:t>
      </w:r>
    </w:p>
  </w:comment>
  <w:comment w:id="13" w:author="M" w:date="2025-06-05T05:35:00Z" w:initials="M">
    <w:p w14:paraId="76BC1A64" w14:textId="74415A0D" w:rsidR="00DC6F9E" w:rsidRDefault="00DC6F9E">
      <w:pPr>
        <w:pStyle w:val="CommentText"/>
      </w:pPr>
      <w:r>
        <w:rPr>
          <w:rStyle w:val="CommentReference"/>
        </w:rPr>
        <w:annotationRef/>
      </w:r>
      <w:r w:rsidRPr="00DC6F9E">
        <w:t>Make sure you use manager references, mandatory sources in the last 10 years (except for some major theories), because the article will be published in a Scopus journal, so make sure the references are equivalent and appropriate.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D0D33A0" w15:done="0"/>
  <w15:commentEx w15:paraId="511E9D5D" w15:done="0"/>
  <w15:commentEx w15:paraId="4B53618C" w15:done="0"/>
  <w15:commentEx w15:paraId="1FE9EA0E" w15:done="0"/>
  <w15:commentEx w15:paraId="1B10213E" w15:done="0"/>
  <w15:commentEx w15:paraId="3F670ECF" w15:done="0"/>
  <w15:commentEx w15:paraId="388EB042" w15:done="0"/>
  <w15:commentEx w15:paraId="4384989B" w15:done="0"/>
  <w15:commentEx w15:paraId="1A2D1045" w15:done="0"/>
  <w15:commentEx w15:paraId="57CF728C" w15:done="0"/>
  <w15:commentEx w15:paraId="51EE3CF9" w15:done="0"/>
  <w15:commentEx w15:paraId="22F49804" w15:done="0"/>
  <w15:commentEx w15:paraId="73712CF5" w15:done="0"/>
  <w15:commentEx w15:paraId="76BC1A6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E141795" w16cex:dateUtc="2025-06-04T22:33:00Z"/>
  <w16cex:commentExtensible w16cex:durableId="26653D90" w16cex:dateUtc="2025-06-04T22:33:00Z"/>
  <w16cex:commentExtensible w16cex:durableId="7E2B3E3E" w16cex:dateUtc="2025-06-04T22:33:00Z"/>
  <w16cex:commentExtensible w16cex:durableId="7CE06518" w16cex:dateUtc="2025-06-04T22:33:00Z"/>
  <w16cex:commentExtensible w16cex:durableId="24356A5F" w16cex:dateUtc="2025-06-04T22:33:00Z"/>
  <w16cex:commentExtensible w16cex:durableId="57439E93" w16cex:dateUtc="2025-06-04T22:34:00Z"/>
  <w16cex:commentExtensible w16cex:durableId="570D8CEF" w16cex:dateUtc="2025-06-04T22:34:00Z"/>
  <w16cex:commentExtensible w16cex:durableId="2C80145E" w16cex:dateUtc="2025-06-04T22:34:00Z"/>
  <w16cex:commentExtensible w16cex:durableId="2466AFEC" w16cex:dateUtc="2025-06-04T22:34:00Z"/>
  <w16cex:commentExtensible w16cex:durableId="134D321F" w16cex:dateUtc="2025-06-04T22:35:00Z"/>
  <w16cex:commentExtensible w16cex:durableId="005A9706" w16cex:dateUtc="2025-06-04T22:35:00Z"/>
  <w16cex:commentExtensible w16cex:durableId="6C2D24A3" w16cex:dateUtc="2025-06-04T22:35:00Z"/>
  <w16cex:commentExtensible w16cex:durableId="02F26FC0" w16cex:dateUtc="2025-06-04T22:35:00Z"/>
  <w16cex:commentExtensible w16cex:durableId="0DCD56FE" w16cex:dateUtc="2025-06-04T2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D0D33A0" w16cid:durableId="3E141795"/>
  <w16cid:commentId w16cid:paraId="511E9D5D" w16cid:durableId="26653D90"/>
  <w16cid:commentId w16cid:paraId="4B53618C" w16cid:durableId="7E2B3E3E"/>
  <w16cid:commentId w16cid:paraId="1FE9EA0E" w16cid:durableId="7CE06518"/>
  <w16cid:commentId w16cid:paraId="1B10213E" w16cid:durableId="24356A5F"/>
  <w16cid:commentId w16cid:paraId="3F670ECF" w16cid:durableId="57439E93"/>
  <w16cid:commentId w16cid:paraId="388EB042" w16cid:durableId="570D8CEF"/>
  <w16cid:commentId w16cid:paraId="4384989B" w16cid:durableId="2C80145E"/>
  <w16cid:commentId w16cid:paraId="1A2D1045" w16cid:durableId="2466AFEC"/>
  <w16cid:commentId w16cid:paraId="57CF728C" w16cid:durableId="134D321F"/>
  <w16cid:commentId w16cid:paraId="51EE3CF9" w16cid:durableId="005A9706"/>
  <w16cid:commentId w16cid:paraId="22F49804" w16cid:durableId="6C2D24A3"/>
  <w16cid:commentId w16cid:paraId="73712CF5" w16cid:durableId="02F26FC0"/>
  <w16cid:commentId w16cid:paraId="76BC1A64" w16cid:durableId="0DCD56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E9284" w14:textId="77777777" w:rsidR="000D26A8" w:rsidRDefault="000D26A8">
      <w:r>
        <w:separator/>
      </w:r>
    </w:p>
  </w:endnote>
  <w:endnote w:type="continuationSeparator" w:id="0">
    <w:p w14:paraId="3F17405F" w14:textId="77777777" w:rsidR="000D26A8" w:rsidRDefault="000D2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F6CF0" w14:textId="3C219D74" w:rsidR="00122F5F" w:rsidRPr="00540F02" w:rsidRDefault="000275BD"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51C2A14A" wp14:editId="616A0A7F">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535AADF"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2A14A"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2535AADF"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777305C1"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2D30D" w14:textId="588264CC" w:rsidR="0008220C" w:rsidRPr="00540F02" w:rsidRDefault="000275BD"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32B287B9" wp14:editId="30341124">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FB9846A"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287B9"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FB9846A"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5E7770F0"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173EA" w14:textId="769594C1" w:rsidR="00965E3F" w:rsidRPr="0008220C" w:rsidRDefault="000275BD"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7A9ACD43" wp14:editId="6488FE6D">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7B2D65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ACD43"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47B2D65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69088710"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180AE" w14:textId="77777777" w:rsidR="000D26A8" w:rsidRDefault="000D26A8">
      <w:r>
        <w:separator/>
      </w:r>
    </w:p>
  </w:footnote>
  <w:footnote w:type="continuationSeparator" w:id="0">
    <w:p w14:paraId="013C3C1F" w14:textId="77777777" w:rsidR="000D26A8" w:rsidRDefault="000D26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A9E1B" w14:textId="40FC0578" w:rsidR="00122F5F" w:rsidRDefault="000275BD" w:rsidP="00122F5F">
    <w:pPr>
      <w:pStyle w:val="Header"/>
    </w:pPr>
    <w:r>
      <w:rPr>
        <w:noProof/>
      </w:rPr>
      <mc:AlternateContent>
        <mc:Choice Requires="wps">
          <w:drawing>
            <wp:anchor distT="0" distB="0" distL="114300" distR="114300" simplePos="0" relativeHeight="251656192" behindDoc="1" locked="0" layoutInCell="1" allowOverlap="1" wp14:anchorId="14EE5910" wp14:editId="7381433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410C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FD4DC7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EE591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7F1410C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FD4DC7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6DB702A" wp14:editId="56473A73">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7ECD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B702A"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1067ECD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7B6ABB51" wp14:editId="4A5AAD53">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58930"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ABB51"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F458930"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48A11E3E" wp14:editId="0B03382E">
          <wp:extent cx="1092835" cy="498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498475"/>
                  </a:xfrm>
                  <a:prstGeom prst="rect">
                    <a:avLst/>
                  </a:prstGeom>
                  <a:noFill/>
                  <a:ln>
                    <a:noFill/>
                  </a:ln>
                </pic:spPr>
              </pic:pic>
            </a:graphicData>
          </a:graphic>
        </wp:inline>
      </w:drawing>
    </w:r>
  </w:p>
  <w:p w14:paraId="292063A0" w14:textId="77777777" w:rsidR="00122F5F" w:rsidRDefault="00122F5F" w:rsidP="00122F5F">
    <w:pPr>
      <w:pStyle w:val="Header"/>
      <w:rPr>
        <w:sz w:val="16"/>
        <w:szCs w:val="16"/>
      </w:rPr>
    </w:pPr>
  </w:p>
  <w:p w14:paraId="5A9AC797" w14:textId="77777777" w:rsidR="00AA4AE4" w:rsidRDefault="00AA4AE4" w:rsidP="00122F5F">
    <w:pPr>
      <w:pStyle w:val="Header"/>
      <w:rPr>
        <w:sz w:val="16"/>
        <w:szCs w:val="16"/>
      </w:rPr>
    </w:pPr>
  </w:p>
  <w:p w14:paraId="7EE7DD38"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F114D" w14:textId="3AC501FF" w:rsidR="00540F02" w:rsidRDefault="000275BD" w:rsidP="00540F02">
    <w:pPr>
      <w:pStyle w:val="Header"/>
    </w:pPr>
    <w:r>
      <w:rPr>
        <w:noProof/>
      </w:rPr>
      <mc:AlternateContent>
        <mc:Choice Requires="wps">
          <w:drawing>
            <wp:anchor distT="0" distB="0" distL="114300" distR="114300" simplePos="0" relativeHeight="251658240" behindDoc="1" locked="0" layoutInCell="1" allowOverlap="1" wp14:anchorId="68120843" wp14:editId="44BA5112">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210D9"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0D193F"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120843"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34C210D9"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0D193F"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16D3E715" wp14:editId="6062D7BE">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4CE131"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3E715"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4B4CE131"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A54C3F4" wp14:editId="6DAB8D20">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AE0197"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4C3F4"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30AE0197"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0EE51BE" wp14:editId="66EC146D">
          <wp:extent cx="1092835" cy="4984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498475"/>
                  </a:xfrm>
                  <a:prstGeom prst="rect">
                    <a:avLst/>
                  </a:prstGeom>
                  <a:noFill/>
                  <a:ln>
                    <a:noFill/>
                  </a:ln>
                </pic:spPr>
              </pic:pic>
            </a:graphicData>
          </a:graphic>
        </wp:inline>
      </w:drawing>
    </w:r>
  </w:p>
  <w:p w14:paraId="387787BF" w14:textId="77777777" w:rsidR="00540F02" w:rsidRDefault="00540F02" w:rsidP="00540F02">
    <w:pPr>
      <w:pStyle w:val="Header"/>
      <w:rPr>
        <w:sz w:val="16"/>
        <w:szCs w:val="16"/>
      </w:rPr>
    </w:pPr>
  </w:p>
  <w:p w14:paraId="5C9F7CE2" w14:textId="77777777" w:rsidR="00540F02" w:rsidRDefault="00540F02" w:rsidP="00540F02">
    <w:pPr>
      <w:pStyle w:val="Header"/>
      <w:rPr>
        <w:sz w:val="16"/>
        <w:szCs w:val="16"/>
      </w:rPr>
    </w:pPr>
  </w:p>
  <w:p w14:paraId="6D86C36A"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F1EC4" w14:textId="6D86AC08" w:rsidR="00FF1D30" w:rsidRDefault="000275BD">
    <w:pPr>
      <w:pStyle w:val="Header"/>
    </w:pPr>
    <w:r>
      <w:rPr>
        <w:noProof/>
      </w:rPr>
      <mc:AlternateContent>
        <mc:Choice Requires="wps">
          <w:drawing>
            <wp:anchor distT="0" distB="0" distL="114300" distR="114300" simplePos="0" relativeHeight="251652096" behindDoc="1" locked="0" layoutInCell="1" allowOverlap="1" wp14:anchorId="060DA278" wp14:editId="6027AF8D">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B43A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FE3D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DA278"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781B43A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FE3D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41E9C66" wp14:editId="6F8CCAE6">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B8E8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E9C66"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125B8E8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562E7D9" wp14:editId="4B38E760">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72FE5"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E7D9"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69472FE5"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E652DCD" wp14:editId="4278EFD7">
          <wp:extent cx="1092835" cy="4984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498475"/>
                  </a:xfrm>
                  <a:prstGeom prst="rect">
                    <a:avLst/>
                  </a:prstGeom>
                  <a:noFill/>
                  <a:ln>
                    <a:noFill/>
                  </a:ln>
                </pic:spPr>
              </pic:pic>
            </a:graphicData>
          </a:graphic>
        </wp:inline>
      </w:drawing>
    </w:r>
  </w:p>
  <w:p w14:paraId="0D0C0652" w14:textId="77777777" w:rsidR="00FF1D30" w:rsidRDefault="00FF1D30">
    <w:pPr>
      <w:pStyle w:val="Header"/>
      <w:rPr>
        <w:sz w:val="16"/>
        <w:szCs w:val="16"/>
      </w:rPr>
    </w:pPr>
  </w:p>
  <w:p w14:paraId="215B2559" w14:textId="77777777" w:rsidR="00FF1D30" w:rsidRDefault="00FF1D30">
    <w:pPr>
      <w:pStyle w:val="Header"/>
      <w:rPr>
        <w:sz w:val="16"/>
        <w:szCs w:val="16"/>
      </w:rPr>
    </w:pPr>
  </w:p>
  <w:p w14:paraId="40B48B98"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2141DFB"/>
    <w:multiLevelType w:val="hybridMultilevel"/>
    <w:tmpl w:val="FFFFFFFF"/>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30" w15:restartNumberingAfterBreak="0">
    <w:nsid w:val="7EA856B4"/>
    <w:multiLevelType w:val="hybridMultilevel"/>
    <w:tmpl w:val="FFFFFFFF"/>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num w:numId="1" w16cid:durableId="1535265510">
    <w:abstractNumId w:val="14"/>
  </w:num>
  <w:num w:numId="2" w16cid:durableId="396325374">
    <w:abstractNumId w:val="8"/>
  </w:num>
  <w:num w:numId="3" w16cid:durableId="67659451">
    <w:abstractNumId w:val="9"/>
  </w:num>
  <w:num w:numId="4" w16cid:durableId="253050805">
    <w:abstractNumId w:val="23"/>
  </w:num>
  <w:num w:numId="5" w16cid:durableId="268197098">
    <w:abstractNumId w:val="22"/>
  </w:num>
  <w:num w:numId="6" w16cid:durableId="262957907">
    <w:abstractNumId w:val="21"/>
  </w:num>
  <w:num w:numId="7" w16cid:durableId="2003316828">
    <w:abstractNumId w:val="28"/>
  </w:num>
  <w:num w:numId="8" w16cid:durableId="1219173432">
    <w:abstractNumId w:val="15"/>
  </w:num>
  <w:num w:numId="9" w16cid:durableId="101415933">
    <w:abstractNumId w:val="24"/>
  </w:num>
  <w:num w:numId="10" w16cid:durableId="400912528">
    <w:abstractNumId w:val="25"/>
  </w:num>
  <w:num w:numId="11" w16cid:durableId="1440951070">
    <w:abstractNumId w:val="11"/>
  </w:num>
  <w:num w:numId="12" w16cid:durableId="330329290">
    <w:abstractNumId w:val="18"/>
  </w:num>
  <w:num w:numId="13" w16cid:durableId="168838285">
    <w:abstractNumId w:val="7"/>
  </w:num>
  <w:num w:numId="14" w16cid:durableId="680669459">
    <w:abstractNumId w:val="0"/>
  </w:num>
  <w:num w:numId="15" w16cid:durableId="568156991">
    <w:abstractNumId w:val="29"/>
  </w:num>
  <w:num w:numId="16" w16cid:durableId="419759692">
    <w:abstractNumId w:val="20"/>
  </w:num>
  <w:num w:numId="17" w16cid:durableId="1894922360">
    <w:abstractNumId w:val="27"/>
  </w:num>
  <w:num w:numId="18" w16cid:durableId="1475828432">
    <w:abstractNumId w:val="26"/>
  </w:num>
  <w:num w:numId="19" w16cid:durableId="1698458249">
    <w:abstractNumId w:val="17"/>
  </w:num>
  <w:num w:numId="20" w16cid:durableId="604001199">
    <w:abstractNumId w:val="5"/>
  </w:num>
  <w:num w:numId="21" w16cid:durableId="1482893532">
    <w:abstractNumId w:val="1"/>
  </w:num>
  <w:num w:numId="22" w16cid:durableId="1142849480">
    <w:abstractNumId w:val="12"/>
  </w:num>
  <w:num w:numId="23" w16cid:durableId="1409156071">
    <w:abstractNumId w:val="2"/>
  </w:num>
  <w:num w:numId="24" w16cid:durableId="1206605149">
    <w:abstractNumId w:val="3"/>
  </w:num>
  <w:num w:numId="25" w16cid:durableId="728304825">
    <w:abstractNumId w:val="4"/>
  </w:num>
  <w:num w:numId="26" w16cid:durableId="1679118804">
    <w:abstractNumId w:val="10"/>
  </w:num>
  <w:num w:numId="27" w16cid:durableId="184056894">
    <w:abstractNumId w:val="13"/>
  </w:num>
  <w:num w:numId="28" w16cid:durableId="1976636843">
    <w:abstractNumId w:val="6"/>
  </w:num>
  <w:num w:numId="29" w16cid:durableId="815728304">
    <w:abstractNumId w:val="16"/>
  </w:num>
  <w:num w:numId="30" w16cid:durableId="3898819">
    <w:abstractNumId w:val="30"/>
  </w:num>
  <w:num w:numId="31" w16cid:durableId="1866627598">
    <w:abstractNumId w:val="1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
    <w15:presenceInfo w15:providerId="None" w15:userId="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26E14"/>
    <w:rsid w:val="000275BD"/>
    <w:rsid w:val="000417D3"/>
    <w:rsid w:val="000475BE"/>
    <w:rsid w:val="00055FC4"/>
    <w:rsid w:val="0006191D"/>
    <w:rsid w:val="00066AC1"/>
    <w:rsid w:val="00076F8C"/>
    <w:rsid w:val="0008220C"/>
    <w:rsid w:val="000877EE"/>
    <w:rsid w:val="000A0B41"/>
    <w:rsid w:val="000A2548"/>
    <w:rsid w:val="000B0038"/>
    <w:rsid w:val="000B0CE5"/>
    <w:rsid w:val="000B59CD"/>
    <w:rsid w:val="000C0EE3"/>
    <w:rsid w:val="000C3688"/>
    <w:rsid w:val="000D26A8"/>
    <w:rsid w:val="000E1F30"/>
    <w:rsid w:val="000E31DC"/>
    <w:rsid w:val="000F66AA"/>
    <w:rsid w:val="00103AFF"/>
    <w:rsid w:val="00110D78"/>
    <w:rsid w:val="00112C37"/>
    <w:rsid w:val="00116ED8"/>
    <w:rsid w:val="00117792"/>
    <w:rsid w:val="00122F5F"/>
    <w:rsid w:val="00123EF2"/>
    <w:rsid w:val="001245CB"/>
    <w:rsid w:val="00130A2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1108"/>
    <w:rsid w:val="001E2AAA"/>
    <w:rsid w:val="001E41F7"/>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5B8"/>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D3D0B"/>
    <w:rsid w:val="003E1185"/>
    <w:rsid w:val="00400BB8"/>
    <w:rsid w:val="0040594B"/>
    <w:rsid w:val="00406D0E"/>
    <w:rsid w:val="00411F5E"/>
    <w:rsid w:val="00413EEB"/>
    <w:rsid w:val="00415562"/>
    <w:rsid w:val="004174DD"/>
    <w:rsid w:val="00423FBA"/>
    <w:rsid w:val="00425716"/>
    <w:rsid w:val="00425E5D"/>
    <w:rsid w:val="0043172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2FF9"/>
    <w:rsid w:val="00496D0C"/>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064A5"/>
    <w:rsid w:val="005227C8"/>
    <w:rsid w:val="00524445"/>
    <w:rsid w:val="005323E6"/>
    <w:rsid w:val="00534559"/>
    <w:rsid w:val="0053629A"/>
    <w:rsid w:val="005367ED"/>
    <w:rsid w:val="00540F02"/>
    <w:rsid w:val="0054303A"/>
    <w:rsid w:val="00543077"/>
    <w:rsid w:val="005469BE"/>
    <w:rsid w:val="005478C9"/>
    <w:rsid w:val="00553784"/>
    <w:rsid w:val="005569E1"/>
    <w:rsid w:val="0056036E"/>
    <w:rsid w:val="005611F1"/>
    <w:rsid w:val="005626AA"/>
    <w:rsid w:val="005635B4"/>
    <w:rsid w:val="005636D1"/>
    <w:rsid w:val="00567FE6"/>
    <w:rsid w:val="00571CFE"/>
    <w:rsid w:val="00591DE5"/>
    <w:rsid w:val="0059236C"/>
    <w:rsid w:val="005A4F69"/>
    <w:rsid w:val="005C14AA"/>
    <w:rsid w:val="005C643D"/>
    <w:rsid w:val="005D4A0D"/>
    <w:rsid w:val="005E7673"/>
    <w:rsid w:val="005E7E97"/>
    <w:rsid w:val="006035FA"/>
    <w:rsid w:val="006052AE"/>
    <w:rsid w:val="0061613E"/>
    <w:rsid w:val="0062129F"/>
    <w:rsid w:val="00622926"/>
    <w:rsid w:val="0062388D"/>
    <w:rsid w:val="00627913"/>
    <w:rsid w:val="006352D0"/>
    <w:rsid w:val="006419D1"/>
    <w:rsid w:val="006538D6"/>
    <w:rsid w:val="00654B07"/>
    <w:rsid w:val="00674CB5"/>
    <w:rsid w:val="00680536"/>
    <w:rsid w:val="00683EA5"/>
    <w:rsid w:val="006902BB"/>
    <w:rsid w:val="006A7DFF"/>
    <w:rsid w:val="006B0510"/>
    <w:rsid w:val="006B2D02"/>
    <w:rsid w:val="006B6E0F"/>
    <w:rsid w:val="006C65C4"/>
    <w:rsid w:val="006C6EBD"/>
    <w:rsid w:val="006C7730"/>
    <w:rsid w:val="006D0015"/>
    <w:rsid w:val="006D6149"/>
    <w:rsid w:val="006D782E"/>
    <w:rsid w:val="006E2F83"/>
    <w:rsid w:val="006E530B"/>
    <w:rsid w:val="006E7FC3"/>
    <w:rsid w:val="006F411A"/>
    <w:rsid w:val="00704378"/>
    <w:rsid w:val="00707398"/>
    <w:rsid w:val="007169EC"/>
    <w:rsid w:val="00727B9E"/>
    <w:rsid w:val="00741058"/>
    <w:rsid w:val="00752D64"/>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C1341"/>
    <w:rsid w:val="007D5BA1"/>
    <w:rsid w:val="007E508F"/>
    <w:rsid w:val="007F02FB"/>
    <w:rsid w:val="007F37D6"/>
    <w:rsid w:val="007F3D5E"/>
    <w:rsid w:val="007F422E"/>
    <w:rsid w:val="00802718"/>
    <w:rsid w:val="00802990"/>
    <w:rsid w:val="00802A96"/>
    <w:rsid w:val="00810811"/>
    <w:rsid w:val="008157AA"/>
    <w:rsid w:val="00815993"/>
    <w:rsid w:val="0082272E"/>
    <w:rsid w:val="00852EC7"/>
    <w:rsid w:val="0085484D"/>
    <w:rsid w:val="00862178"/>
    <w:rsid w:val="00862DDA"/>
    <w:rsid w:val="00863A78"/>
    <w:rsid w:val="008664A9"/>
    <w:rsid w:val="00874EB7"/>
    <w:rsid w:val="008765A5"/>
    <w:rsid w:val="00882CAF"/>
    <w:rsid w:val="0088746C"/>
    <w:rsid w:val="008940D8"/>
    <w:rsid w:val="008B23F8"/>
    <w:rsid w:val="008B4BA9"/>
    <w:rsid w:val="008B7A0F"/>
    <w:rsid w:val="008C0808"/>
    <w:rsid w:val="008C302B"/>
    <w:rsid w:val="008C3DC2"/>
    <w:rsid w:val="008C45DE"/>
    <w:rsid w:val="008D0F02"/>
    <w:rsid w:val="008E04E3"/>
    <w:rsid w:val="008E554D"/>
    <w:rsid w:val="008F3342"/>
    <w:rsid w:val="00902F9C"/>
    <w:rsid w:val="00906AC7"/>
    <w:rsid w:val="00911A24"/>
    <w:rsid w:val="009206DD"/>
    <w:rsid w:val="009276FB"/>
    <w:rsid w:val="00936811"/>
    <w:rsid w:val="00940F83"/>
    <w:rsid w:val="0094187E"/>
    <w:rsid w:val="00945575"/>
    <w:rsid w:val="0095288D"/>
    <w:rsid w:val="00954BA8"/>
    <w:rsid w:val="00957E06"/>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1C7F"/>
    <w:rsid w:val="00A03126"/>
    <w:rsid w:val="00A13315"/>
    <w:rsid w:val="00A175E3"/>
    <w:rsid w:val="00A27B34"/>
    <w:rsid w:val="00A34A76"/>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3E50"/>
    <w:rsid w:val="00A758BF"/>
    <w:rsid w:val="00A762E8"/>
    <w:rsid w:val="00A8066D"/>
    <w:rsid w:val="00A80B2E"/>
    <w:rsid w:val="00A819B4"/>
    <w:rsid w:val="00A83838"/>
    <w:rsid w:val="00A83E44"/>
    <w:rsid w:val="00A91CAD"/>
    <w:rsid w:val="00A92D0F"/>
    <w:rsid w:val="00A95B23"/>
    <w:rsid w:val="00AA4AE4"/>
    <w:rsid w:val="00AA4E7D"/>
    <w:rsid w:val="00AA6636"/>
    <w:rsid w:val="00AB66EC"/>
    <w:rsid w:val="00AC4862"/>
    <w:rsid w:val="00AC6628"/>
    <w:rsid w:val="00AD2E20"/>
    <w:rsid w:val="00AD3EFD"/>
    <w:rsid w:val="00AD559D"/>
    <w:rsid w:val="00AF35CC"/>
    <w:rsid w:val="00AF73DF"/>
    <w:rsid w:val="00B02CE0"/>
    <w:rsid w:val="00B134DB"/>
    <w:rsid w:val="00B17324"/>
    <w:rsid w:val="00B1796C"/>
    <w:rsid w:val="00B25EDF"/>
    <w:rsid w:val="00B35DC8"/>
    <w:rsid w:val="00B4389C"/>
    <w:rsid w:val="00B47B2C"/>
    <w:rsid w:val="00B56B54"/>
    <w:rsid w:val="00B70E6B"/>
    <w:rsid w:val="00B80A1A"/>
    <w:rsid w:val="00B814A3"/>
    <w:rsid w:val="00B86BF7"/>
    <w:rsid w:val="00B905EC"/>
    <w:rsid w:val="00B91F74"/>
    <w:rsid w:val="00B9472D"/>
    <w:rsid w:val="00BA6FF3"/>
    <w:rsid w:val="00BB2B6F"/>
    <w:rsid w:val="00BB6938"/>
    <w:rsid w:val="00BB6BDB"/>
    <w:rsid w:val="00BC4AB9"/>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055E"/>
    <w:rsid w:val="00CF57D6"/>
    <w:rsid w:val="00CF78EA"/>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6F9E"/>
    <w:rsid w:val="00DC7B34"/>
    <w:rsid w:val="00DD601D"/>
    <w:rsid w:val="00DE1E48"/>
    <w:rsid w:val="00DE4617"/>
    <w:rsid w:val="00DF0C41"/>
    <w:rsid w:val="00DF0EC0"/>
    <w:rsid w:val="00DF1636"/>
    <w:rsid w:val="00DF2729"/>
    <w:rsid w:val="00DF2E5A"/>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42D8B"/>
    <w:rsid w:val="00F47BFE"/>
    <w:rsid w:val="00F51A19"/>
    <w:rsid w:val="00F52E83"/>
    <w:rsid w:val="00F660DB"/>
    <w:rsid w:val="00F727DB"/>
    <w:rsid w:val="00F7294C"/>
    <w:rsid w:val="00F814D0"/>
    <w:rsid w:val="00F9056B"/>
    <w:rsid w:val="00F956D7"/>
    <w:rsid w:val="00F96C46"/>
    <w:rsid w:val="00FA3FD1"/>
    <w:rsid w:val="00FA4913"/>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2E7905"/>
  <w14:defaultImageDpi w14:val="96"/>
  <w15:docId w15:val="{275562FB-C8EB-45D1-A493-ED96E7463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3035B8"/>
    <w:rPr>
      <w:sz w:val="16"/>
      <w:szCs w:val="16"/>
    </w:rPr>
  </w:style>
  <w:style w:type="paragraph" w:styleId="CommentText">
    <w:name w:val="annotation text"/>
    <w:basedOn w:val="Normal"/>
    <w:link w:val="CommentTextChar"/>
    <w:uiPriority w:val="99"/>
    <w:rsid w:val="003035B8"/>
  </w:style>
  <w:style w:type="character" w:customStyle="1" w:styleId="CommentTextChar">
    <w:name w:val="Comment Text Char"/>
    <w:basedOn w:val="DefaultParagraphFont"/>
    <w:link w:val="CommentText"/>
    <w:uiPriority w:val="99"/>
    <w:rsid w:val="003035B8"/>
    <w:rPr>
      <w:lang w:val="en-US" w:eastAsia="en-GB"/>
    </w:rPr>
  </w:style>
  <w:style w:type="paragraph" w:styleId="CommentSubject">
    <w:name w:val="annotation subject"/>
    <w:basedOn w:val="CommentText"/>
    <w:next w:val="CommentText"/>
    <w:link w:val="CommentSubjectChar"/>
    <w:uiPriority w:val="99"/>
    <w:rsid w:val="003035B8"/>
    <w:rPr>
      <w:b/>
      <w:bCs/>
    </w:rPr>
  </w:style>
  <w:style w:type="character" w:customStyle="1" w:styleId="CommentSubjectChar">
    <w:name w:val="Comment Subject Char"/>
    <w:basedOn w:val="CommentTextChar"/>
    <w:link w:val="CommentSubject"/>
    <w:uiPriority w:val="99"/>
    <w:rsid w:val="003035B8"/>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5859833">
      <w:marLeft w:val="0"/>
      <w:marRight w:val="0"/>
      <w:marTop w:val="0"/>
      <w:marBottom w:val="0"/>
      <w:divBdr>
        <w:top w:val="none" w:sz="0" w:space="0" w:color="auto"/>
        <w:left w:val="none" w:sz="0" w:space="0" w:color="auto"/>
        <w:bottom w:val="none" w:sz="0" w:space="0" w:color="auto"/>
        <w:right w:val="none" w:sz="0" w:space="0" w:color="auto"/>
      </w:divBdr>
    </w:div>
    <w:div w:id="1755859834">
      <w:marLeft w:val="0"/>
      <w:marRight w:val="0"/>
      <w:marTop w:val="0"/>
      <w:marBottom w:val="0"/>
      <w:divBdr>
        <w:top w:val="none" w:sz="0" w:space="0" w:color="auto"/>
        <w:left w:val="none" w:sz="0" w:space="0" w:color="auto"/>
        <w:bottom w:val="none" w:sz="0" w:space="0" w:color="auto"/>
        <w:right w:val="none" w:sz="0" w:space="0" w:color="auto"/>
      </w:divBdr>
    </w:div>
    <w:div w:id="1755859835">
      <w:marLeft w:val="0"/>
      <w:marRight w:val="0"/>
      <w:marTop w:val="0"/>
      <w:marBottom w:val="0"/>
      <w:divBdr>
        <w:top w:val="none" w:sz="0" w:space="0" w:color="auto"/>
        <w:left w:val="none" w:sz="0" w:space="0" w:color="auto"/>
        <w:bottom w:val="none" w:sz="0" w:space="0" w:color="auto"/>
        <w:right w:val="none" w:sz="0" w:space="0" w:color="auto"/>
      </w:divBdr>
    </w:div>
    <w:div w:id="1755859836">
      <w:marLeft w:val="0"/>
      <w:marRight w:val="0"/>
      <w:marTop w:val="0"/>
      <w:marBottom w:val="0"/>
      <w:divBdr>
        <w:top w:val="none" w:sz="0" w:space="0" w:color="auto"/>
        <w:left w:val="none" w:sz="0" w:space="0" w:color="auto"/>
        <w:bottom w:val="none" w:sz="0" w:space="0" w:color="auto"/>
        <w:right w:val="none" w:sz="0" w:space="0" w:color="auto"/>
      </w:divBdr>
    </w:div>
    <w:div w:id="17558598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diagramColors" Target="diagrams/colors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diagramQuickStyle" Target="diagrams/quickStyle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creativecommons.org/licenses/by/4.0/" TargetMode="Externa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microsoft.com/office/2018/08/relationships/commentsExtensible" Target="commentsExtensible.xml"/><Relationship Id="rId22" Type="http://schemas.openxmlformats.org/officeDocument/2006/relationships/footer" Target="footer1.xml"/><Relationship Id="rId27"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228DD6-2B04-4BDE-9AB8-CA7985DE6587}" type="doc">
      <dgm:prSet loTypeId="urn:microsoft.com/office/officeart/2005/8/layout/process2" loCatId="process" qsTypeId="urn:microsoft.com/office/officeart/2005/8/quickstyle/simple2" qsCatId="simple" csTypeId="urn:microsoft.com/office/officeart/2005/8/colors/accent0_1" csCatId="mainScheme" phldr="1"/>
      <dgm:spPr/>
    </dgm:pt>
    <dgm:pt modelId="{2F3C88A0-47E7-4548-B1CE-B7AC10ED5264}">
      <dgm:prSet phldrT="[Text]"/>
      <dgm:spPr>
        <a:xfrm>
          <a:off x="1352946" y="1285"/>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Problem Definition</a:t>
          </a:r>
        </a:p>
      </dgm:t>
    </dgm:pt>
    <dgm:pt modelId="{6CD48681-75A7-47F3-AEE2-FBEB90D93D4C}" type="parTrans" cxnId="{30E47803-DBC3-4F3B-94B4-E8C904D6FB8D}">
      <dgm:prSet/>
      <dgm:spPr/>
      <dgm:t>
        <a:bodyPr/>
        <a:lstStyle/>
        <a:p>
          <a:endParaRPr lang="en-US"/>
        </a:p>
      </dgm:t>
    </dgm:pt>
    <dgm:pt modelId="{558B661B-C534-4AB4-AD5C-7FA0FD9EE8DE}" type="sibTrans" cxnId="{30E47803-DBC3-4F3B-94B4-E8C904D6FB8D}">
      <dgm:prSet/>
      <dgm:spPr>
        <a:xfrm rot="5400000">
          <a:off x="2809510" y="2647979"/>
          <a:ext cx="261295" cy="163998"/>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33185317-BE72-40D1-87D3-7B8F138B63BD}">
      <dgm:prSet phldrT="[Text]"/>
      <dgm:spPr>
        <a:xfrm>
          <a:off x="1352946" y="572443"/>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Literature Review</a:t>
          </a:r>
        </a:p>
      </dgm:t>
    </dgm:pt>
    <dgm:pt modelId="{7E0FCD31-DF81-4280-B8FA-0CA10DC1ABD4}" type="parTrans" cxnId="{32E3DA00-DE1E-425A-A94E-D80868578375}">
      <dgm:prSet/>
      <dgm:spPr/>
      <dgm:t>
        <a:bodyPr/>
        <a:lstStyle/>
        <a:p>
          <a:endParaRPr lang="en-US"/>
        </a:p>
      </dgm:t>
    </dgm:pt>
    <dgm:pt modelId="{D7BC7346-D2AB-4596-9477-928350B50BE5}" type="sibTrans" cxnId="{32E3DA00-DE1E-425A-A94E-D80868578375}">
      <dgm:prSet/>
      <dgm:spPr>
        <a:xfrm rot="5400000">
          <a:off x="2816655" y="1519559"/>
          <a:ext cx="261632" cy="149368"/>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AE4E8C2C-AA9C-4948-A888-3B8CE5F45BE8}">
      <dgm:prSet phldrT="[Text]"/>
      <dgm:spPr>
        <a:xfrm>
          <a:off x="1352946" y="1143602"/>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Normative Research</a:t>
          </a:r>
        </a:p>
      </dgm:t>
    </dgm:pt>
    <dgm:pt modelId="{84441174-B049-4B72-A4A8-92CC479E3D33}" type="parTrans" cxnId="{3C856DAC-C2AE-46A0-83F9-4311AD1DB112}">
      <dgm:prSet/>
      <dgm:spPr/>
      <dgm:t>
        <a:bodyPr/>
        <a:lstStyle/>
        <a:p>
          <a:endParaRPr lang="en-US"/>
        </a:p>
      </dgm:t>
    </dgm:pt>
    <dgm:pt modelId="{1FEA8EE5-06E5-4EE0-9788-E714B2160775}" type="sibTrans" cxnId="{3C856DAC-C2AE-46A0-83F9-4311AD1DB112}">
      <dgm:prSet/>
      <dgm:spPr>
        <a:xfrm rot="5400000">
          <a:off x="2816054" y="944964"/>
          <a:ext cx="232694" cy="191921"/>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759098F6-8517-4F76-A85E-261F6746EBFB}">
      <dgm:prSet/>
      <dgm:spPr>
        <a:xfrm>
          <a:off x="1352946" y="1714760"/>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Socio Legal Research</a:t>
          </a:r>
        </a:p>
      </dgm:t>
    </dgm:pt>
    <dgm:pt modelId="{40A6750E-D3E3-4DEE-BC28-6CA6883CC856}" type="parTrans" cxnId="{DC4A0209-9C75-4927-812D-115FBDC63F69}">
      <dgm:prSet/>
      <dgm:spPr/>
      <dgm:t>
        <a:bodyPr/>
        <a:lstStyle/>
        <a:p>
          <a:endParaRPr lang="en-US"/>
        </a:p>
      </dgm:t>
    </dgm:pt>
    <dgm:pt modelId="{369CECE7-626C-4CF0-A4A6-0A6E4D1F2FF6}" type="sibTrans" cxnId="{DC4A0209-9C75-4927-812D-115FBDC63F69}">
      <dgm:prSet/>
      <dgm:spPr>
        <a:xfrm rot="5400000">
          <a:off x="2816106" y="383446"/>
          <a:ext cx="204222" cy="183057"/>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45F82417-10AF-4A32-9329-BFA95AB7D212}">
      <dgm:prSet/>
      <dgm:spPr>
        <a:xfrm>
          <a:off x="1352946" y="2285919"/>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Obtime Result</a:t>
          </a:r>
        </a:p>
      </dgm:t>
    </dgm:pt>
    <dgm:pt modelId="{A512BC9D-08FD-4178-971E-74E43CDD1B26}" type="parTrans" cxnId="{E6867B96-361E-4136-9E02-0E646AF5A8AE}">
      <dgm:prSet/>
      <dgm:spPr/>
      <dgm:t>
        <a:bodyPr/>
        <a:lstStyle/>
        <a:p>
          <a:endParaRPr lang="en-US"/>
        </a:p>
      </dgm:t>
    </dgm:pt>
    <dgm:pt modelId="{C7377ABA-6515-46E5-9AA5-8F55D644D60C}" type="sibTrans" cxnId="{E6867B96-361E-4136-9E02-0E646AF5A8AE}">
      <dgm:prSet/>
      <dgm:spPr>
        <a:xfrm rot="5400000">
          <a:off x="2828573" y="2114765"/>
          <a:ext cx="218736" cy="156020"/>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BC1031D3-F3B3-47C5-BAE7-E27ABA1C5F13}">
      <dgm:prSet/>
      <dgm:spPr>
        <a:xfrm>
          <a:off x="1352946" y="2857077"/>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Implication and Recomendation</a:t>
          </a:r>
        </a:p>
      </dgm:t>
    </dgm:pt>
    <dgm:pt modelId="{A2B32DD7-B7EC-4AF7-9077-D68135EE1C96}" type="parTrans" cxnId="{D6BEA9F1-F649-4B46-97E8-739D570AFE39}">
      <dgm:prSet/>
      <dgm:spPr/>
      <dgm:t>
        <a:bodyPr/>
        <a:lstStyle/>
        <a:p>
          <a:endParaRPr lang="en-US"/>
        </a:p>
      </dgm:t>
    </dgm:pt>
    <dgm:pt modelId="{922BC7E1-1FED-41E3-BCF5-B2A538E20CA9}" type="sibTrans" cxnId="{D6BEA9F1-F649-4B46-97E8-739D570AFE39}">
      <dgm:prSet/>
      <dgm:spPr/>
      <dgm:t>
        <a:bodyPr/>
        <a:lstStyle/>
        <a:p>
          <a:endParaRPr lang="en-US"/>
        </a:p>
      </dgm:t>
    </dgm:pt>
    <dgm:pt modelId="{50C23891-45B7-4751-A7D4-928B8751F92D}" type="pres">
      <dgm:prSet presAssocID="{D4228DD6-2B04-4BDE-9AB8-CA7985DE6587}" presName="linearFlow" presStyleCnt="0">
        <dgm:presLayoutVars>
          <dgm:resizeHandles val="exact"/>
        </dgm:presLayoutVars>
      </dgm:prSet>
      <dgm:spPr/>
    </dgm:pt>
    <dgm:pt modelId="{2C1C2A70-F6CC-40C0-9BC7-6008739FD088}" type="pres">
      <dgm:prSet presAssocID="{2F3C88A0-47E7-4548-B1CE-B7AC10ED5264}" presName="node" presStyleLbl="node1" presStyleIdx="0" presStyleCnt="6" custScaleX="441815">
        <dgm:presLayoutVars>
          <dgm:bulletEnabled val="1"/>
        </dgm:presLayoutVars>
      </dgm:prSet>
      <dgm:spPr/>
    </dgm:pt>
    <dgm:pt modelId="{5265531B-BC86-4B5D-8A33-A519C7C7E1FB}" type="pres">
      <dgm:prSet presAssocID="{558B661B-C534-4AB4-AD5C-7FA0FD9EE8DE}" presName="sibTrans" presStyleLbl="sibTrans2D1" presStyleIdx="0" presStyleCnt="5" custScaleX="182993" custScaleY="95711" custLinFactY="614713" custLinFactNeighborX="51217" custLinFactNeighborY="700000"/>
      <dgm:spPr/>
    </dgm:pt>
    <dgm:pt modelId="{8B4AC485-AA46-41B5-9317-B949CE7E5449}" type="pres">
      <dgm:prSet presAssocID="{558B661B-C534-4AB4-AD5C-7FA0FD9EE8DE}" presName="connectorText" presStyleLbl="sibTrans2D1" presStyleIdx="0" presStyleCnt="5"/>
      <dgm:spPr/>
    </dgm:pt>
    <dgm:pt modelId="{D0A51A11-4E64-4690-917B-CFFA772DAFA6}" type="pres">
      <dgm:prSet presAssocID="{33185317-BE72-40D1-87D3-7B8F138B63BD}" presName="node" presStyleLbl="node1" presStyleIdx="1" presStyleCnt="6" custScaleX="441815">
        <dgm:presLayoutVars>
          <dgm:bulletEnabled val="1"/>
        </dgm:presLayoutVars>
      </dgm:prSet>
      <dgm:spPr/>
    </dgm:pt>
    <dgm:pt modelId="{7FC67A88-D2EA-4C45-9430-85AAB83B2A78}" type="pres">
      <dgm:prSet presAssocID="{D7BC7346-D2AB-4596-9477-928350B50BE5}" presName="sibTrans" presStyleLbl="sibTrans2D1" presStyleIdx="1" presStyleCnt="5" custScaleX="183229" custScaleY="87173" custLinFactY="118554" custLinFactNeighborX="56339" custLinFactNeighborY="200000"/>
      <dgm:spPr/>
    </dgm:pt>
    <dgm:pt modelId="{E25E21BB-6F4E-494D-8F4B-943D25DAEDBA}" type="pres">
      <dgm:prSet presAssocID="{D7BC7346-D2AB-4596-9477-928350B50BE5}" presName="connectorText" presStyleLbl="sibTrans2D1" presStyleIdx="1" presStyleCnt="5"/>
      <dgm:spPr/>
    </dgm:pt>
    <dgm:pt modelId="{90D5C527-FEC5-4E46-B9C2-5500FCFA9E27}" type="pres">
      <dgm:prSet presAssocID="{AE4E8C2C-AA9C-4948-A888-3B8CE5F45BE8}" presName="node" presStyleLbl="node1" presStyleIdx="2" presStyleCnt="6" custScaleX="441815">
        <dgm:presLayoutVars>
          <dgm:bulletEnabled val="1"/>
        </dgm:presLayoutVars>
      </dgm:prSet>
      <dgm:spPr/>
    </dgm:pt>
    <dgm:pt modelId="{B50A8A93-3260-4450-8135-832F9B641953}" type="pres">
      <dgm:prSet presAssocID="{1FEA8EE5-06E5-4EE0-9788-E714B2160775}" presName="sibTrans" presStyleLbl="sibTrans2D1" presStyleIdx="2" presStyleCnt="5" custScaleX="162963" custScaleY="112007" custLinFactY="-137701" custLinFactNeighborX="45785" custLinFactNeighborY="-200000"/>
      <dgm:spPr/>
    </dgm:pt>
    <dgm:pt modelId="{EF8CF59A-09A8-4E77-A29D-D89724144CB7}" type="pres">
      <dgm:prSet presAssocID="{1FEA8EE5-06E5-4EE0-9788-E714B2160775}" presName="connectorText" presStyleLbl="sibTrans2D1" presStyleIdx="2" presStyleCnt="5"/>
      <dgm:spPr/>
    </dgm:pt>
    <dgm:pt modelId="{8952D2CD-6230-46CB-8414-EB36F1B6D42B}" type="pres">
      <dgm:prSet presAssocID="{759098F6-8517-4F76-A85E-261F6746EBFB}" presName="node" presStyleLbl="node1" presStyleIdx="3" presStyleCnt="6" custScaleX="441815">
        <dgm:presLayoutVars>
          <dgm:bulletEnabled val="1"/>
        </dgm:presLayoutVars>
      </dgm:prSet>
      <dgm:spPr/>
    </dgm:pt>
    <dgm:pt modelId="{FAF3E964-ECCB-429E-B835-5CB9D8940584}" type="pres">
      <dgm:prSet presAssocID="{369CECE7-626C-4CF0-A4A6-0A6E4D1F2FF6}" presName="sibTrans" presStyleLbl="sibTrans2D1" presStyleIdx="3" presStyleCnt="5" custScaleX="143023" custScaleY="106834" custLinFactY="-500000" custLinFactNeighborX="35852" custLinFactNeighborY="-501328"/>
      <dgm:spPr/>
    </dgm:pt>
    <dgm:pt modelId="{20813DCF-0894-4AF7-B9E5-62348560496D}" type="pres">
      <dgm:prSet presAssocID="{369CECE7-626C-4CF0-A4A6-0A6E4D1F2FF6}" presName="connectorText" presStyleLbl="sibTrans2D1" presStyleIdx="3" presStyleCnt="5"/>
      <dgm:spPr/>
    </dgm:pt>
    <dgm:pt modelId="{D14D917B-FA78-4A39-9EB0-8F792B6D1C0F}" type="pres">
      <dgm:prSet presAssocID="{45F82417-10AF-4A32-9329-BFA95AB7D212}" presName="node" presStyleLbl="node1" presStyleIdx="4" presStyleCnt="6" custScaleX="441815">
        <dgm:presLayoutVars>
          <dgm:bulletEnabled val="1"/>
        </dgm:presLayoutVars>
      </dgm:prSet>
      <dgm:spPr/>
    </dgm:pt>
    <dgm:pt modelId="{22571621-06A2-4B56-8153-AD2CD5E0C292}" type="pres">
      <dgm:prSet presAssocID="{C7377ABA-6515-46E5-9AA5-8F55D644D60C}" presName="sibTrans" presStyleLbl="sibTrans2D1" presStyleIdx="4" presStyleCnt="5" custScaleX="153188" custScaleY="91055" custLinFactY="-132137" custLinFactNeighborX="49665" custLinFactNeighborY="-200000"/>
      <dgm:spPr/>
    </dgm:pt>
    <dgm:pt modelId="{B463B1B6-9D11-452B-A3C1-2C6D26BC1016}" type="pres">
      <dgm:prSet presAssocID="{C7377ABA-6515-46E5-9AA5-8F55D644D60C}" presName="connectorText" presStyleLbl="sibTrans2D1" presStyleIdx="4" presStyleCnt="5"/>
      <dgm:spPr/>
    </dgm:pt>
    <dgm:pt modelId="{F677F532-39D4-4FF3-AE15-B4592547F7B6}" type="pres">
      <dgm:prSet presAssocID="{BC1031D3-F3B3-47C5-BAE7-E27ABA1C5F13}" presName="node" presStyleLbl="node1" presStyleIdx="5" presStyleCnt="6" custScaleX="441815">
        <dgm:presLayoutVars>
          <dgm:bulletEnabled val="1"/>
        </dgm:presLayoutVars>
      </dgm:prSet>
      <dgm:spPr/>
    </dgm:pt>
  </dgm:ptLst>
  <dgm:cxnLst>
    <dgm:cxn modelId="{32E3DA00-DE1E-425A-A94E-D80868578375}" srcId="{D4228DD6-2B04-4BDE-9AB8-CA7985DE6587}" destId="{33185317-BE72-40D1-87D3-7B8F138B63BD}" srcOrd="1" destOrd="0" parTransId="{7E0FCD31-DF81-4280-B8FA-0CA10DC1ABD4}" sibTransId="{D7BC7346-D2AB-4596-9477-928350B50BE5}"/>
    <dgm:cxn modelId="{30E47803-DBC3-4F3B-94B4-E8C904D6FB8D}" srcId="{D4228DD6-2B04-4BDE-9AB8-CA7985DE6587}" destId="{2F3C88A0-47E7-4548-B1CE-B7AC10ED5264}" srcOrd="0" destOrd="0" parTransId="{6CD48681-75A7-47F3-AEE2-FBEB90D93D4C}" sibTransId="{558B661B-C534-4AB4-AD5C-7FA0FD9EE8DE}"/>
    <dgm:cxn modelId="{79503304-9CA7-49D6-B014-8CCA0D056B31}" type="presOf" srcId="{C7377ABA-6515-46E5-9AA5-8F55D644D60C}" destId="{B463B1B6-9D11-452B-A3C1-2C6D26BC1016}" srcOrd="1" destOrd="0" presId="urn:microsoft.com/office/officeart/2005/8/layout/process2"/>
    <dgm:cxn modelId="{DC4A0209-9C75-4927-812D-115FBDC63F69}" srcId="{D4228DD6-2B04-4BDE-9AB8-CA7985DE6587}" destId="{759098F6-8517-4F76-A85E-261F6746EBFB}" srcOrd="3" destOrd="0" parTransId="{40A6750E-D3E3-4DEE-BC28-6CA6883CC856}" sibTransId="{369CECE7-626C-4CF0-A4A6-0A6E4D1F2FF6}"/>
    <dgm:cxn modelId="{66A46D0F-1AF7-48D2-A56A-7515BAD6F001}" type="presOf" srcId="{BC1031D3-F3B3-47C5-BAE7-E27ABA1C5F13}" destId="{F677F532-39D4-4FF3-AE15-B4592547F7B6}" srcOrd="0" destOrd="0" presId="urn:microsoft.com/office/officeart/2005/8/layout/process2"/>
    <dgm:cxn modelId="{45AD1020-B31A-4C5C-9A72-AE3E094FAB77}" type="presOf" srcId="{759098F6-8517-4F76-A85E-261F6746EBFB}" destId="{8952D2CD-6230-46CB-8414-EB36F1B6D42B}" srcOrd="0" destOrd="0" presId="urn:microsoft.com/office/officeart/2005/8/layout/process2"/>
    <dgm:cxn modelId="{05C4422E-D6FC-475C-AA2F-1D952F1D828E}" type="presOf" srcId="{1FEA8EE5-06E5-4EE0-9788-E714B2160775}" destId="{EF8CF59A-09A8-4E77-A29D-D89724144CB7}" srcOrd="1" destOrd="0" presId="urn:microsoft.com/office/officeart/2005/8/layout/process2"/>
    <dgm:cxn modelId="{976B2962-0447-4D5D-9ED1-6CAB70C80C05}" type="presOf" srcId="{558B661B-C534-4AB4-AD5C-7FA0FD9EE8DE}" destId="{5265531B-BC86-4B5D-8A33-A519C7C7E1FB}" srcOrd="0" destOrd="0" presId="urn:microsoft.com/office/officeart/2005/8/layout/process2"/>
    <dgm:cxn modelId="{0B03DB65-65E6-4D87-AFF1-6248DE24C6C5}" type="presOf" srcId="{D7BC7346-D2AB-4596-9477-928350B50BE5}" destId="{E25E21BB-6F4E-494D-8F4B-943D25DAEDBA}" srcOrd="1" destOrd="0" presId="urn:microsoft.com/office/officeart/2005/8/layout/process2"/>
    <dgm:cxn modelId="{A0B68447-8D83-402A-AF24-C5E910BF3235}" type="presOf" srcId="{D7BC7346-D2AB-4596-9477-928350B50BE5}" destId="{7FC67A88-D2EA-4C45-9430-85AAB83B2A78}" srcOrd="0" destOrd="0" presId="urn:microsoft.com/office/officeart/2005/8/layout/process2"/>
    <dgm:cxn modelId="{5C8EA072-77C0-4989-A82B-786D2D5519FE}" type="presOf" srcId="{D4228DD6-2B04-4BDE-9AB8-CA7985DE6587}" destId="{50C23891-45B7-4751-A7D4-928B8751F92D}" srcOrd="0" destOrd="0" presId="urn:microsoft.com/office/officeart/2005/8/layout/process2"/>
    <dgm:cxn modelId="{AD9A1D74-E28C-40E8-87C7-B78FEC18166E}" type="presOf" srcId="{369CECE7-626C-4CF0-A4A6-0A6E4D1F2FF6}" destId="{FAF3E964-ECCB-429E-B835-5CB9D8940584}" srcOrd="0" destOrd="0" presId="urn:microsoft.com/office/officeart/2005/8/layout/process2"/>
    <dgm:cxn modelId="{6B79485A-AFAD-4D8B-B583-675691BD64EE}" type="presOf" srcId="{558B661B-C534-4AB4-AD5C-7FA0FD9EE8DE}" destId="{8B4AC485-AA46-41B5-9317-B949CE7E5449}" srcOrd="1" destOrd="0" presId="urn:microsoft.com/office/officeart/2005/8/layout/process2"/>
    <dgm:cxn modelId="{3178F47B-860B-4D1F-84DF-E51F93912D37}" type="presOf" srcId="{C7377ABA-6515-46E5-9AA5-8F55D644D60C}" destId="{22571621-06A2-4B56-8153-AD2CD5E0C292}" srcOrd="0" destOrd="0" presId="urn:microsoft.com/office/officeart/2005/8/layout/process2"/>
    <dgm:cxn modelId="{552C2B87-013C-46D9-998E-206867A82E8C}" type="presOf" srcId="{45F82417-10AF-4A32-9329-BFA95AB7D212}" destId="{D14D917B-FA78-4A39-9EB0-8F792B6D1C0F}" srcOrd="0" destOrd="0" presId="urn:microsoft.com/office/officeart/2005/8/layout/process2"/>
    <dgm:cxn modelId="{8977F38D-A193-4CA3-810E-32D343CB8BE9}" type="presOf" srcId="{AE4E8C2C-AA9C-4948-A888-3B8CE5F45BE8}" destId="{90D5C527-FEC5-4E46-B9C2-5500FCFA9E27}" srcOrd="0" destOrd="0" presId="urn:microsoft.com/office/officeart/2005/8/layout/process2"/>
    <dgm:cxn modelId="{E6867B96-361E-4136-9E02-0E646AF5A8AE}" srcId="{D4228DD6-2B04-4BDE-9AB8-CA7985DE6587}" destId="{45F82417-10AF-4A32-9329-BFA95AB7D212}" srcOrd="4" destOrd="0" parTransId="{A512BC9D-08FD-4178-971E-74E43CDD1B26}" sibTransId="{C7377ABA-6515-46E5-9AA5-8F55D644D60C}"/>
    <dgm:cxn modelId="{C5EFF6A5-DD7C-4244-BA81-884495E9E03E}" type="presOf" srcId="{2F3C88A0-47E7-4548-B1CE-B7AC10ED5264}" destId="{2C1C2A70-F6CC-40C0-9BC7-6008739FD088}" srcOrd="0" destOrd="0" presId="urn:microsoft.com/office/officeart/2005/8/layout/process2"/>
    <dgm:cxn modelId="{3C856DAC-C2AE-46A0-83F9-4311AD1DB112}" srcId="{D4228DD6-2B04-4BDE-9AB8-CA7985DE6587}" destId="{AE4E8C2C-AA9C-4948-A888-3B8CE5F45BE8}" srcOrd="2" destOrd="0" parTransId="{84441174-B049-4B72-A4A8-92CC479E3D33}" sibTransId="{1FEA8EE5-06E5-4EE0-9788-E714B2160775}"/>
    <dgm:cxn modelId="{FA7D77BB-1E5E-4C16-A0BA-1CB01E13AEF8}" type="presOf" srcId="{1FEA8EE5-06E5-4EE0-9788-E714B2160775}" destId="{B50A8A93-3260-4450-8135-832F9B641953}" srcOrd="0" destOrd="0" presId="urn:microsoft.com/office/officeart/2005/8/layout/process2"/>
    <dgm:cxn modelId="{B6E223DB-1842-4B0C-B16B-19F4A9F46117}" type="presOf" srcId="{369CECE7-626C-4CF0-A4A6-0A6E4D1F2FF6}" destId="{20813DCF-0894-4AF7-B9E5-62348560496D}" srcOrd="1" destOrd="0" presId="urn:microsoft.com/office/officeart/2005/8/layout/process2"/>
    <dgm:cxn modelId="{D6BEA9F1-F649-4B46-97E8-739D570AFE39}" srcId="{D4228DD6-2B04-4BDE-9AB8-CA7985DE6587}" destId="{BC1031D3-F3B3-47C5-BAE7-E27ABA1C5F13}" srcOrd="5" destOrd="0" parTransId="{A2B32DD7-B7EC-4AF7-9077-D68135EE1C96}" sibTransId="{922BC7E1-1FED-41E3-BCF5-B2A538E20CA9}"/>
    <dgm:cxn modelId="{8DCE18FC-FD49-4BF7-AC60-033CC8F7A80D}" type="presOf" srcId="{33185317-BE72-40D1-87D3-7B8F138B63BD}" destId="{D0A51A11-4E64-4690-917B-CFFA772DAFA6}" srcOrd="0" destOrd="0" presId="urn:microsoft.com/office/officeart/2005/8/layout/process2"/>
    <dgm:cxn modelId="{5EDCB790-12F3-48C1-A3AE-01C74F00672F}" type="presParOf" srcId="{50C23891-45B7-4751-A7D4-928B8751F92D}" destId="{2C1C2A70-F6CC-40C0-9BC7-6008739FD088}" srcOrd="0" destOrd="0" presId="urn:microsoft.com/office/officeart/2005/8/layout/process2"/>
    <dgm:cxn modelId="{A2EEDBE0-47FA-4CA0-8A77-1AE4EED4F698}" type="presParOf" srcId="{50C23891-45B7-4751-A7D4-928B8751F92D}" destId="{5265531B-BC86-4B5D-8A33-A519C7C7E1FB}" srcOrd="1" destOrd="0" presId="urn:microsoft.com/office/officeart/2005/8/layout/process2"/>
    <dgm:cxn modelId="{64D1005E-FC2D-407B-A3F8-1B6649131AE0}" type="presParOf" srcId="{5265531B-BC86-4B5D-8A33-A519C7C7E1FB}" destId="{8B4AC485-AA46-41B5-9317-B949CE7E5449}" srcOrd="0" destOrd="0" presId="urn:microsoft.com/office/officeart/2005/8/layout/process2"/>
    <dgm:cxn modelId="{AFB6CE5E-BA1A-4567-B894-6A1AB2834C25}" type="presParOf" srcId="{50C23891-45B7-4751-A7D4-928B8751F92D}" destId="{D0A51A11-4E64-4690-917B-CFFA772DAFA6}" srcOrd="2" destOrd="0" presId="urn:microsoft.com/office/officeart/2005/8/layout/process2"/>
    <dgm:cxn modelId="{7042512E-C562-41CF-8697-0B8D9CD06124}" type="presParOf" srcId="{50C23891-45B7-4751-A7D4-928B8751F92D}" destId="{7FC67A88-D2EA-4C45-9430-85AAB83B2A78}" srcOrd="3" destOrd="0" presId="urn:microsoft.com/office/officeart/2005/8/layout/process2"/>
    <dgm:cxn modelId="{BA28979E-E8CF-4524-8CE8-17648615979D}" type="presParOf" srcId="{7FC67A88-D2EA-4C45-9430-85AAB83B2A78}" destId="{E25E21BB-6F4E-494D-8F4B-943D25DAEDBA}" srcOrd="0" destOrd="0" presId="urn:microsoft.com/office/officeart/2005/8/layout/process2"/>
    <dgm:cxn modelId="{AD021D93-DDC7-4E95-842D-9FE7155EAE0F}" type="presParOf" srcId="{50C23891-45B7-4751-A7D4-928B8751F92D}" destId="{90D5C527-FEC5-4E46-B9C2-5500FCFA9E27}" srcOrd="4" destOrd="0" presId="urn:microsoft.com/office/officeart/2005/8/layout/process2"/>
    <dgm:cxn modelId="{0D0929FB-0E87-4E38-8EE4-0C9F3D82464B}" type="presParOf" srcId="{50C23891-45B7-4751-A7D4-928B8751F92D}" destId="{B50A8A93-3260-4450-8135-832F9B641953}" srcOrd="5" destOrd="0" presId="urn:microsoft.com/office/officeart/2005/8/layout/process2"/>
    <dgm:cxn modelId="{4E4DACCA-E12D-47F8-B748-9CB291161E98}" type="presParOf" srcId="{B50A8A93-3260-4450-8135-832F9B641953}" destId="{EF8CF59A-09A8-4E77-A29D-D89724144CB7}" srcOrd="0" destOrd="0" presId="urn:microsoft.com/office/officeart/2005/8/layout/process2"/>
    <dgm:cxn modelId="{877B5F81-222A-47C5-B407-4C5852C935FB}" type="presParOf" srcId="{50C23891-45B7-4751-A7D4-928B8751F92D}" destId="{8952D2CD-6230-46CB-8414-EB36F1B6D42B}" srcOrd="6" destOrd="0" presId="urn:microsoft.com/office/officeart/2005/8/layout/process2"/>
    <dgm:cxn modelId="{1F39D893-7303-481C-8937-E810E5F4453A}" type="presParOf" srcId="{50C23891-45B7-4751-A7D4-928B8751F92D}" destId="{FAF3E964-ECCB-429E-B835-5CB9D8940584}" srcOrd="7" destOrd="0" presId="urn:microsoft.com/office/officeart/2005/8/layout/process2"/>
    <dgm:cxn modelId="{ECB72BF7-3EAC-4466-9011-B0905B068997}" type="presParOf" srcId="{FAF3E964-ECCB-429E-B835-5CB9D8940584}" destId="{20813DCF-0894-4AF7-B9E5-62348560496D}" srcOrd="0" destOrd="0" presId="urn:microsoft.com/office/officeart/2005/8/layout/process2"/>
    <dgm:cxn modelId="{8CBC2C9D-5B9F-4C6F-88B3-D0383B198E4E}" type="presParOf" srcId="{50C23891-45B7-4751-A7D4-928B8751F92D}" destId="{D14D917B-FA78-4A39-9EB0-8F792B6D1C0F}" srcOrd="8" destOrd="0" presId="urn:microsoft.com/office/officeart/2005/8/layout/process2"/>
    <dgm:cxn modelId="{4F11D8CE-15BF-49E2-ABBE-1ED995728EA4}" type="presParOf" srcId="{50C23891-45B7-4751-A7D4-928B8751F92D}" destId="{22571621-06A2-4B56-8153-AD2CD5E0C292}" srcOrd="9" destOrd="0" presId="urn:microsoft.com/office/officeart/2005/8/layout/process2"/>
    <dgm:cxn modelId="{2C86352F-33EC-4377-A3AC-74F571124469}" type="presParOf" srcId="{22571621-06A2-4B56-8153-AD2CD5E0C292}" destId="{B463B1B6-9D11-452B-A3C1-2C6D26BC1016}" srcOrd="0" destOrd="0" presId="urn:microsoft.com/office/officeart/2005/8/layout/process2"/>
    <dgm:cxn modelId="{97E87DC0-7FC2-4130-8831-CAF5AF11A453}" type="presParOf" srcId="{50C23891-45B7-4751-A7D4-928B8751F92D}" destId="{F677F532-39D4-4FF3-AE15-B4592547F7B6}" srcOrd="10" destOrd="0" presId="urn:microsoft.com/office/officeart/2005/8/layout/process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C1C2A70-F6CC-40C0-9BC7-6008739FD088}">
      <dsp:nvSpPr>
        <dsp:cNvPr id="0" name=""/>
        <dsp:cNvSpPr/>
      </dsp:nvSpPr>
      <dsp:spPr>
        <a:xfrm>
          <a:off x="1354789" y="1284"/>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Problem Definition</a:t>
          </a:r>
        </a:p>
      </dsp:txBody>
      <dsp:txXfrm>
        <a:off x="1365935" y="12430"/>
        <a:ext cx="3004083" cy="358256"/>
      </dsp:txXfrm>
    </dsp:sp>
    <dsp:sp modelId="{5265531B-BC86-4B5D-8A33-A519C7C7E1FB}">
      <dsp:nvSpPr>
        <dsp:cNvPr id="0" name=""/>
        <dsp:cNvSpPr/>
      </dsp:nvSpPr>
      <dsp:spPr>
        <a:xfrm rot="5400000">
          <a:off x="2810496" y="2646422"/>
          <a:ext cx="261141" cy="163902"/>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891896" y="2597803"/>
        <a:ext cx="98342" cy="211970"/>
      </dsp:txXfrm>
    </dsp:sp>
    <dsp:sp modelId="{D0A51A11-4E64-4690-917B-CFFA772DAFA6}">
      <dsp:nvSpPr>
        <dsp:cNvPr id="0" name=""/>
        <dsp:cNvSpPr/>
      </dsp:nvSpPr>
      <dsp:spPr>
        <a:xfrm>
          <a:off x="1354789" y="572106"/>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Literature Review</a:t>
          </a:r>
        </a:p>
      </dsp:txBody>
      <dsp:txXfrm>
        <a:off x="1365935" y="583252"/>
        <a:ext cx="3004083" cy="358256"/>
      </dsp:txXfrm>
    </dsp:sp>
    <dsp:sp modelId="{7FC67A88-D2EA-4C45-9430-85AAB83B2A78}">
      <dsp:nvSpPr>
        <dsp:cNvPr id="0" name=""/>
        <dsp:cNvSpPr/>
      </dsp:nvSpPr>
      <dsp:spPr>
        <a:xfrm rot="5400000">
          <a:off x="2817637" y="1518665"/>
          <a:ext cx="261478" cy="149280"/>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903592" y="1462566"/>
        <a:ext cx="89568" cy="216694"/>
      </dsp:txXfrm>
    </dsp:sp>
    <dsp:sp modelId="{90D5C527-FEC5-4E46-B9C2-5500FCFA9E27}">
      <dsp:nvSpPr>
        <dsp:cNvPr id="0" name=""/>
        <dsp:cNvSpPr/>
      </dsp:nvSpPr>
      <dsp:spPr>
        <a:xfrm>
          <a:off x="1354789" y="1142929"/>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Normative Research</a:t>
          </a:r>
        </a:p>
      </dsp:txBody>
      <dsp:txXfrm>
        <a:off x="1365935" y="1154075"/>
        <a:ext cx="3004083" cy="358256"/>
      </dsp:txXfrm>
    </dsp:sp>
    <dsp:sp modelId="{B50A8A93-3260-4450-8135-832F9B641953}">
      <dsp:nvSpPr>
        <dsp:cNvPr id="0" name=""/>
        <dsp:cNvSpPr/>
      </dsp:nvSpPr>
      <dsp:spPr>
        <a:xfrm rot="5400000">
          <a:off x="2817036" y="944408"/>
          <a:ext cx="232557" cy="191808"/>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875772" y="924034"/>
        <a:ext cx="115084" cy="175015"/>
      </dsp:txXfrm>
    </dsp:sp>
    <dsp:sp modelId="{8952D2CD-6230-46CB-8414-EB36F1B6D42B}">
      <dsp:nvSpPr>
        <dsp:cNvPr id="0" name=""/>
        <dsp:cNvSpPr/>
      </dsp:nvSpPr>
      <dsp:spPr>
        <a:xfrm>
          <a:off x="1354789" y="1713752"/>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Socio Legal Research</a:t>
          </a:r>
        </a:p>
      </dsp:txBody>
      <dsp:txXfrm>
        <a:off x="1365935" y="1724898"/>
        <a:ext cx="3004083" cy="358256"/>
      </dsp:txXfrm>
    </dsp:sp>
    <dsp:sp modelId="{FAF3E964-ECCB-429E-B835-5CB9D8940584}">
      <dsp:nvSpPr>
        <dsp:cNvPr id="0" name=""/>
        <dsp:cNvSpPr/>
      </dsp:nvSpPr>
      <dsp:spPr>
        <a:xfrm rot="5400000">
          <a:off x="2817089" y="383220"/>
          <a:ext cx="204101" cy="182949"/>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864255" y="372645"/>
        <a:ext cx="109769" cy="149216"/>
      </dsp:txXfrm>
    </dsp:sp>
    <dsp:sp modelId="{D14D917B-FA78-4A39-9EB0-8F792B6D1C0F}">
      <dsp:nvSpPr>
        <dsp:cNvPr id="0" name=""/>
        <dsp:cNvSpPr/>
      </dsp:nvSpPr>
      <dsp:spPr>
        <a:xfrm>
          <a:off x="1354789" y="2284574"/>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Obtime Result</a:t>
          </a:r>
        </a:p>
      </dsp:txBody>
      <dsp:txXfrm>
        <a:off x="1365935" y="2295720"/>
        <a:ext cx="3004083" cy="358256"/>
      </dsp:txXfrm>
    </dsp:sp>
    <dsp:sp modelId="{22571621-06A2-4B56-8153-AD2CD5E0C292}">
      <dsp:nvSpPr>
        <dsp:cNvPr id="0" name=""/>
        <dsp:cNvSpPr/>
      </dsp:nvSpPr>
      <dsp:spPr>
        <a:xfrm rot="5400000">
          <a:off x="2829548" y="2113521"/>
          <a:ext cx="218607" cy="155928"/>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892073" y="2082182"/>
        <a:ext cx="93556" cy="171829"/>
      </dsp:txXfrm>
    </dsp:sp>
    <dsp:sp modelId="{F677F532-39D4-4FF3-AE15-B4592547F7B6}">
      <dsp:nvSpPr>
        <dsp:cNvPr id="0" name=""/>
        <dsp:cNvSpPr/>
      </dsp:nvSpPr>
      <dsp:spPr>
        <a:xfrm>
          <a:off x="1354789" y="2855397"/>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Implication and Recomendation</a:t>
          </a:r>
        </a:p>
      </dsp:txBody>
      <dsp:txXfrm>
        <a:off x="1365935" y="2866543"/>
        <a:ext cx="3004083" cy="35825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CADD8-910B-4054-8B66-4A2D17FD9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13</Pages>
  <Words>11046</Words>
  <Characters>62965</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73864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cp:lastModifiedBy>
  <cp:revision>34</cp:revision>
  <cp:lastPrinted>2008-11-01T04:52:00Z</cp:lastPrinted>
  <dcterms:created xsi:type="dcterms:W3CDTF">2025-02-22T14:23:00Z</dcterms:created>
  <dcterms:modified xsi:type="dcterms:W3CDTF">2025-06-04T22:35:00Z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67501212-a043-3744-93f4-a688092c34b6</vt:lpwstr>
  </property>
  <property fmtid="{D5CDD505-2E9C-101B-9397-08002B2CF9AE}" pid="4" name="Mendeley Citation Style_1">
    <vt:lpwstr>http://www.zotero.org/styles/apa</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http://www.zotero.org/styles/apa-6th-edition</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6th/7th edition</vt:lpwstr>
  </property>
  <property fmtid="{D5CDD505-2E9C-101B-9397-08002B2CF9AE}" pid="13" name="Mendeley Recent Style Id 4_1">
    <vt:lpwstr>http://www.zotero.org/styles/chicago-author-date-de</vt:lpwstr>
  </property>
  <property fmtid="{D5CDD505-2E9C-101B-9397-08002B2CF9AE}" pid="14" name="Mendeley Recent Style Name 4_1">
    <vt:lpwstr>Chicago Manual of Style 16th edition (author-date, Deutsch)</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4th edition (note with bibliography)</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http://www.zotero.org/styles/gost-r-7-0-5-2008-numeric-alphabetical</vt:lpwstr>
  </property>
  <property fmtid="{D5CDD505-2E9C-101B-9397-08002B2CF9AE}" pid="20" name="Mendeley Recent Style Name 7_1">
    <vt:lpwstr>Russian GOST R 7.0.5-2008 (numeric, sorted alphabetically, Ру́сский)</vt:lpwstr>
  </property>
  <property fmtid="{D5CDD505-2E9C-101B-9397-08002B2CF9AE}" pid="21" name="Mendeley Recent Style Id 8_1">
    <vt:lpwstr>http://www.zotero.org/styles/turabian-fullnote-bibliography-8th-edition</vt:lpwstr>
  </property>
  <property fmtid="{D5CDD505-2E9C-101B-9397-08002B2CF9AE}" pid="22" name="Mendeley Recent Style Name 8_1">
    <vt:lpwstr>Turabian 8th edition (full note)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GrammarlyDocumentId">
    <vt:lpwstr>78e4dd6c36b7de8c485ea8a6bfb51ff3e1d67c6a5b65c28c3b4b9ffde8afa4c7</vt:lpwstr>
  </property>
</Properties>
</file>