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F81F94" w14:textId="77777777" w:rsidR="00DE1E48" w:rsidRPr="00122F5F" w:rsidRDefault="00DE1E48" w:rsidP="00122F5F">
      <w:pPr>
        <w:rPr>
          <w:rFonts w:ascii="Calibri Light" w:hAnsi="Calibri Light" w:cs="Calibri Light"/>
          <w:b/>
          <w:bCs/>
          <w:sz w:val="24"/>
          <w:szCs w:val="24"/>
        </w:rPr>
      </w:pPr>
    </w:p>
    <w:p w14:paraId="55E073E4" w14:textId="77777777" w:rsidR="00DE1E48" w:rsidRPr="00122F5F" w:rsidRDefault="003320DA" w:rsidP="00122F5F">
      <w:pPr>
        <w:rPr>
          <w:rFonts w:ascii="Calibri Light" w:hAnsi="Calibri Light" w:cs="Calibri Light"/>
          <w:b/>
          <w:bCs/>
          <w:iCs/>
          <w:sz w:val="28"/>
          <w:szCs w:val="28"/>
          <w:lang w:val="id-ID"/>
        </w:rPr>
      </w:pPr>
      <w:r w:rsidRPr="003320DA">
        <w:rPr>
          <w:rFonts w:ascii="Calibri Light" w:hAnsi="Calibri Light" w:cs="Calibri Light"/>
          <w:b/>
          <w:bCs/>
          <w:sz w:val="28"/>
          <w:szCs w:val="28"/>
        </w:rPr>
        <w:t xml:space="preserve">Adhesive Factors of Social Cohesion in Communities: Ethnographic Studies of Minority-Majority Relations in </w:t>
      </w:r>
      <w:proofErr w:type="spellStart"/>
      <w:r w:rsidRPr="003320DA">
        <w:rPr>
          <w:rFonts w:ascii="Calibri Light" w:hAnsi="Calibri Light" w:cs="Calibri Light"/>
          <w:b/>
          <w:bCs/>
          <w:sz w:val="28"/>
          <w:szCs w:val="28"/>
        </w:rPr>
        <w:t>Jombang</w:t>
      </w:r>
      <w:proofErr w:type="spellEnd"/>
      <w:r w:rsidRPr="003320DA">
        <w:rPr>
          <w:rFonts w:ascii="Calibri Light" w:hAnsi="Calibri Light" w:cs="Calibri Light"/>
          <w:b/>
          <w:bCs/>
          <w:sz w:val="28"/>
          <w:szCs w:val="28"/>
        </w:rPr>
        <w:t xml:space="preserve">, Indonesia </w:t>
      </w:r>
    </w:p>
    <w:p w14:paraId="06808AB1" w14:textId="77777777" w:rsidR="009E4EBA" w:rsidRPr="00122F5F" w:rsidRDefault="009E4EBA" w:rsidP="00122F5F">
      <w:pPr>
        <w:rPr>
          <w:rFonts w:ascii="Calibri Light" w:hAnsi="Calibri Light" w:cs="Calibri Light"/>
          <w:sz w:val="24"/>
          <w:szCs w:val="24"/>
          <w:lang w:val="id-ID"/>
        </w:rPr>
      </w:pPr>
    </w:p>
    <w:p w14:paraId="0C555C61" w14:textId="77777777" w:rsidR="00DE1E48" w:rsidRPr="003320DA" w:rsidRDefault="00DE1E48" w:rsidP="001D7DEE">
      <w:pPr>
        <w:jc w:val="center"/>
        <w:rPr>
          <w:rFonts w:ascii="Calibri Light" w:hAnsi="Calibri Light" w:cs="Calibri Light"/>
          <w:sz w:val="24"/>
          <w:szCs w:val="24"/>
          <w:lang w:val="id-ID"/>
        </w:rPr>
      </w:pPr>
    </w:p>
    <w:p w14:paraId="41C5B1EE"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5847D63E"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56F3001C"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4358081D" w14:textId="77777777" w:rsidR="00863A78" w:rsidRPr="00863A78" w:rsidRDefault="00863A78" w:rsidP="00863A78">
      <w:pPr>
        <w:ind w:right="737"/>
        <w:rPr>
          <w:rFonts w:ascii="Calibri Light" w:hAnsi="Calibri Light" w:cs="Calibri Light"/>
          <w:b/>
          <w:bCs/>
        </w:rPr>
      </w:pPr>
    </w:p>
    <w:p w14:paraId="233C277D" w14:textId="6BA72E48" w:rsidR="00863A78" w:rsidRPr="00863A78" w:rsidRDefault="00D720FE"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643D56A3" wp14:editId="32AB2B41">
            <wp:extent cx="256540" cy="256540"/>
            <wp:effectExtent l="0" t="0" r="0" b="0"/>
            <wp:docPr id="18"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540" cy="25654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55C3AFEA"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0646009C" w14:textId="77777777" w:rsidTr="00540F02">
        <w:tc>
          <w:tcPr>
            <w:tcW w:w="9004" w:type="dxa"/>
            <w:tcBorders>
              <w:left w:val="nil"/>
              <w:right w:val="nil"/>
            </w:tcBorders>
          </w:tcPr>
          <w:p w14:paraId="4F40851D" w14:textId="77777777" w:rsidR="00863A78" w:rsidRPr="00540F02" w:rsidRDefault="00863A78" w:rsidP="00540F02">
            <w:pPr>
              <w:ind w:right="2"/>
              <w:jc w:val="both"/>
              <w:rPr>
                <w:rFonts w:ascii="Calibri Light" w:hAnsi="Calibri Light" w:cs="Calibri Light"/>
                <w:sz w:val="12"/>
                <w:szCs w:val="12"/>
              </w:rPr>
            </w:pPr>
          </w:p>
          <w:p w14:paraId="793F92F5"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Pr="00540F02">
              <w:rPr>
                <w:rFonts w:ascii="Calibri Light" w:hAnsi="Calibri Light" w:cs="Calibri Light"/>
              </w:rPr>
              <w:t>Pilotti</w:t>
            </w:r>
            <w:proofErr w:type="spellEnd"/>
            <w:r w:rsidRPr="00540F02">
              <w:rPr>
                <w:rFonts w:ascii="Calibri Light" w:hAnsi="Calibri Light" w:cs="Calibri Light"/>
              </w:rPr>
              <w:t xml:space="preserve">,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16F5B0A6" w14:textId="77777777" w:rsidR="00863A78" w:rsidRPr="00540F02" w:rsidRDefault="00863A78" w:rsidP="00540F02">
            <w:pPr>
              <w:ind w:right="2"/>
              <w:jc w:val="both"/>
              <w:rPr>
                <w:rFonts w:ascii="Calibri Light" w:hAnsi="Calibri Light" w:cs="Calibri Light"/>
                <w:color w:val="0462C1"/>
                <w:u w:val="single" w:color="0462C1"/>
              </w:rPr>
            </w:pPr>
          </w:p>
          <w:p w14:paraId="6A869CA8"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934B664" w14:textId="77777777" w:rsidR="00863A78" w:rsidRPr="00540F02" w:rsidRDefault="00863A78" w:rsidP="00540F02">
            <w:pPr>
              <w:ind w:right="2"/>
              <w:jc w:val="both"/>
              <w:rPr>
                <w:rFonts w:ascii="Calibri Light" w:hAnsi="Calibri Light" w:cs="Calibri Light"/>
                <w:b/>
                <w:bCs/>
                <w:sz w:val="12"/>
                <w:szCs w:val="12"/>
              </w:rPr>
            </w:pPr>
          </w:p>
        </w:tc>
      </w:tr>
    </w:tbl>
    <w:p w14:paraId="469211D3" w14:textId="77777777" w:rsidR="00863A78" w:rsidRDefault="00863A78" w:rsidP="00863A78">
      <w:pPr>
        <w:ind w:right="737"/>
        <w:rPr>
          <w:rFonts w:ascii="Calibri Light" w:hAnsi="Calibri Light" w:cs="Calibri Light"/>
          <w:b/>
          <w:bCs/>
          <w:sz w:val="24"/>
          <w:szCs w:val="24"/>
        </w:rPr>
      </w:pPr>
    </w:p>
    <w:p w14:paraId="6CC2AB7C" w14:textId="77777777" w:rsidR="00260D64" w:rsidRPr="00122F5F" w:rsidRDefault="00A27B34" w:rsidP="00540F02">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3320DA" w:rsidRPr="003320DA">
        <w:rPr>
          <w:rFonts w:ascii="Calibri Light" w:hAnsi="Calibri Light" w:cs="Calibri Light"/>
          <w:i/>
          <w:iCs/>
          <w:noProof/>
          <w:color w:val="000000"/>
          <w:sz w:val="24"/>
          <w:szCs w:val="24"/>
        </w:rPr>
        <w:t>This article powerfully underscores the critical importance of managing diversity within a region to establish it as a role model for others, particularly in post-conflict areas. It boldly examines the key factors that underpin social cohesion within society, drawing on an ethnographic study that recognizes and celebrates sociocultural diversity. Utilizing a robust qualitative methodology with an ethnographic focus, this research describes, analyzes, and interprets patterns emerging from various cultures. The investigation delves into behaviours, beliefs, and languages that evolve, supported by comprehensive data collection through observations, interviews, and document analysis. The results of this study reveal four primary factors: the historical context of religious arrival and development, family dynamics, group perspectives on religious understanding, and the influence of leadership. These interconnected factors work synergistically to enhance and solidify social cohesion</w:t>
      </w:r>
      <w:r w:rsidR="00334520" w:rsidRPr="00122F5F">
        <w:rPr>
          <w:rFonts w:ascii="Calibri Light" w:hAnsi="Calibri Light" w:cs="Calibri Light"/>
          <w:i/>
          <w:iCs/>
          <w:noProof/>
          <w:color w:val="000000"/>
          <w:sz w:val="24"/>
          <w:szCs w:val="24"/>
          <w:lang w:val="id-ID"/>
        </w:rPr>
        <w:t>-</w:t>
      </w:r>
      <w:r w:rsidR="008C45DE" w:rsidRPr="00122F5F">
        <w:rPr>
          <w:rFonts w:ascii="Calibri Light" w:hAnsi="Calibri Light" w:cs="Calibri Light"/>
          <w:i/>
          <w:iCs/>
          <w:noProof/>
          <w:color w:val="000000"/>
          <w:sz w:val="24"/>
          <w:szCs w:val="24"/>
        </w:rPr>
        <w:t xml:space="preserve"> </w:t>
      </w:r>
      <w:r w:rsidR="00334520" w:rsidRPr="00540F02">
        <w:rPr>
          <w:rFonts w:ascii="Calibri Light" w:hAnsi="Calibri Light" w:cs="Calibri Light"/>
          <w:color w:val="A6A6A6"/>
          <w:sz w:val="24"/>
          <w:szCs w:val="24"/>
          <w:lang w:val="id-ID"/>
        </w:rPr>
        <w:t>(</w:t>
      </w:r>
      <w:r w:rsidR="00334520" w:rsidRPr="00540F02">
        <w:rPr>
          <w:rFonts w:ascii="Calibri Light" w:hAnsi="Calibri Light" w:cs="Calibri Light"/>
          <w:i/>
          <w:iCs/>
          <w:color w:val="A6A6A6"/>
          <w:sz w:val="24"/>
          <w:szCs w:val="24"/>
          <w:lang w:val="id-ID"/>
        </w:rPr>
        <w:t xml:space="preserve">12 </w:t>
      </w:r>
      <w:r w:rsidR="00334520" w:rsidRPr="00540F02">
        <w:rPr>
          <w:rFonts w:ascii="Calibri Light" w:hAnsi="Calibri Light" w:cs="Calibri Light"/>
          <w:i/>
          <w:iCs/>
          <w:color w:val="A6A6A6"/>
          <w:sz w:val="22"/>
          <w:szCs w:val="22"/>
          <w:lang w:val="id-ID"/>
        </w:rPr>
        <w:t>Italic</w:t>
      </w:r>
      <w:r w:rsidR="00334520"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334520" w:rsidRPr="00540F02">
        <w:rPr>
          <w:rFonts w:ascii="Calibri Light" w:hAnsi="Calibri Light" w:cs="Calibri Light"/>
          <w:color w:val="A6A6A6"/>
          <w:sz w:val="24"/>
          <w:szCs w:val="24"/>
          <w:lang w:val="id-ID"/>
        </w:rPr>
        <w:t>)</w:t>
      </w:r>
    </w:p>
    <w:p w14:paraId="3B6E1BC4" w14:textId="77777777" w:rsidR="00942069" w:rsidRDefault="00942069" w:rsidP="00863A78">
      <w:pPr>
        <w:ind w:right="-1"/>
        <w:jc w:val="both"/>
        <w:rPr>
          <w:rFonts w:ascii="Calibri Light" w:hAnsi="Calibri Light" w:cs="Calibri Light"/>
          <w:i/>
          <w:iCs/>
          <w:noProof/>
          <w:sz w:val="24"/>
          <w:szCs w:val="24"/>
          <w:lang w:val="id-ID"/>
        </w:rPr>
      </w:pPr>
    </w:p>
    <w:p w14:paraId="03399A1A" w14:textId="0A2BF550" w:rsidR="00DE1E48" w:rsidRPr="00122F5F" w:rsidRDefault="003320DA" w:rsidP="00863A78">
      <w:pPr>
        <w:ind w:right="-1"/>
        <w:jc w:val="both"/>
        <w:rPr>
          <w:rFonts w:ascii="Calibri Light" w:hAnsi="Calibri Light" w:cs="Calibri Light"/>
          <w:i/>
          <w:iCs/>
          <w:sz w:val="24"/>
          <w:szCs w:val="24"/>
          <w:lang w:val="id-ID"/>
        </w:rPr>
      </w:pPr>
      <w:r w:rsidRPr="003320DA">
        <w:rPr>
          <w:rFonts w:ascii="Calibri Light" w:hAnsi="Calibri Light" w:cs="Calibri Light"/>
          <w:i/>
          <w:iCs/>
          <w:noProof/>
          <w:sz w:val="24"/>
          <w:szCs w:val="24"/>
          <w:lang w:val="id-ID"/>
        </w:rPr>
        <w:t xml:space="preserve">Artikel ini menekankan pentingnya mengelola keragaman dalam suatu wilayah untuk menjadikannya sebagai contoh untuh daerah lain, terutama di daerah pasca-konflik. </w:t>
      </w:r>
      <w:r w:rsidRPr="003320DA">
        <w:rPr>
          <w:rFonts w:ascii="Calibri Light" w:hAnsi="Calibri Light" w:cs="Calibri Light"/>
          <w:i/>
          <w:iCs/>
          <w:noProof/>
          <w:sz w:val="24"/>
          <w:szCs w:val="24"/>
        </w:rPr>
        <w:t>Ini dengan berani meneliti faktor-faktor kunci yang mendasari kohesi sosial dalam masyarakat, mengacu pada studi etnografi yang mengakui dan merayakan keragaman sosial budaya. Memanfaatkan metodologi kualitatif yang kuat dengan fokus etnografi, penelitian ini menggambarkan, menganalisis, dan menafsirkan pola yang muncul dari berbagai budaya. Melakukan investivigasi untuk menyelidiki perilaku, kepercayaan, dan bahasa yang berkembang, didukung oleh pengumpulan data yang komprehensif melalui observasi, wawancara, dan analisis dokumen. Hasil penelitian ini mengungkapkan empat faktor utama: konteks historis kedatangan dan perkembangan agama, dinamika keluarga, perspektif kelompok tentang pemahaman agama, dan pengaruh kepemimpinan. Faktor-faktor yang saling berhubungan ini bekerja secara sinergis untuk meningkatkan dan memperkuat kohesi sosial</w:t>
      </w:r>
      <w:r w:rsidRPr="003320DA">
        <w:rPr>
          <w:rFonts w:ascii="Calibri Light" w:hAnsi="Calibri Light" w:cs="Calibri Light"/>
          <w:noProof/>
          <w:color w:val="A6A6A6"/>
          <w:sz w:val="24"/>
          <w:szCs w:val="24"/>
        </w:rPr>
        <w:t xml:space="preserve"> </w:t>
      </w:r>
      <w:r w:rsidR="00003189" w:rsidRPr="00540F02">
        <w:rPr>
          <w:rFonts w:ascii="Calibri Light" w:hAnsi="Calibri Light" w:cs="Calibri Light"/>
          <w:color w:val="A6A6A6"/>
          <w:sz w:val="24"/>
          <w:szCs w:val="24"/>
          <w:lang w:val="id-ID"/>
        </w:rPr>
        <w:t xml:space="preserve">-- </w:t>
      </w:r>
      <w:r w:rsidR="00334520" w:rsidRPr="00540F02">
        <w:rPr>
          <w:rFonts w:ascii="Calibri Light" w:hAnsi="Calibri Light" w:cs="Calibri Light"/>
          <w:color w:val="A6A6A6"/>
          <w:sz w:val="24"/>
          <w:szCs w:val="24"/>
        </w:rPr>
        <w:t>(1</w:t>
      </w:r>
      <w:r w:rsidR="00540F02" w:rsidRPr="00540F02">
        <w:rPr>
          <w:rFonts w:ascii="Calibri Light" w:hAnsi="Calibri Light" w:cs="Calibri Light"/>
          <w:color w:val="A6A6A6"/>
          <w:sz w:val="24"/>
          <w:szCs w:val="24"/>
        </w:rPr>
        <w:t>2-Calibri Light</w:t>
      </w:r>
      <w:r w:rsidR="00334520" w:rsidRPr="00540F02">
        <w:rPr>
          <w:rFonts w:ascii="Calibri Light" w:hAnsi="Calibri Light" w:cs="Calibri Light"/>
          <w:color w:val="A6A6A6"/>
          <w:sz w:val="24"/>
          <w:szCs w:val="24"/>
        </w:rPr>
        <w:t>)</w:t>
      </w:r>
    </w:p>
    <w:p w14:paraId="53D99A35" w14:textId="77777777" w:rsidR="00486707" w:rsidRPr="00122F5F" w:rsidRDefault="00486707" w:rsidP="001D7DEE">
      <w:pPr>
        <w:ind w:left="709" w:right="737"/>
        <w:jc w:val="both"/>
        <w:rPr>
          <w:rFonts w:ascii="Calibri Light" w:hAnsi="Calibri Light" w:cs="Calibri Light"/>
          <w:i/>
          <w:iCs/>
          <w:sz w:val="24"/>
          <w:szCs w:val="24"/>
          <w:lang w:val="id-ID"/>
        </w:rPr>
      </w:pPr>
    </w:p>
    <w:p w14:paraId="5DFDB706"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E3E1B" w:rsidRPr="00FE3E1B">
        <w:rPr>
          <w:rStyle w:val="shorttext"/>
          <w:rFonts w:ascii="Calibri Light" w:hAnsi="Calibri Light" w:cs="Calibri Light"/>
          <w:i/>
          <w:iCs/>
          <w:sz w:val="24"/>
          <w:szCs w:val="24"/>
          <w:lang w:val="en"/>
        </w:rPr>
        <w:t>adhesive factors, social cohesion, community, ethnographic studies</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r w:rsidR="00540F02" w:rsidRPr="00540F02">
        <w:rPr>
          <w:rFonts w:ascii="Calibri Light" w:hAnsi="Calibri Light" w:cs="Calibri Light"/>
          <w:i/>
          <w:iCs/>
          <w:color w:val="A6A6A6"/>
          <w:sz w:val="22"/>
          <w:szCs w:val="22"/>
          <w:lang w:val="id-ID"/>
        </w:rPr>
        <w:t>Italic</w:t>
      </w:r>
      <w:r w:rsidR="00540F02"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B905EC" w:rsidRPr="00540F02">
        <w:rPr>
          <w:rFonts w:ascii="Calibri Light" w:hAnsi="Calibri Light" w:cs="Calibri Light"/>
          <w:i/>
          <w:iCs/>
          <w:color w:val="A6A6A6"/>
          <w:sz w:val="22"/>
          <w:szCs w:val="22"/>
        </w:rPr>
        <w:t>)</w:t>
      </w:r>
    </w:p>
    <w:p w14:paraId="696354DE" w14:textId="77777777" w:rsidR="00F1027C" w:rsidRPr="00122F5F" w:rsidRDefault="00F1027C" w:rsidP="00F1027C">
      <w:pPr>
        <w:jc w:val="center"/>
        <w:rPr>
          <w:rFonts w:ascii="Calibri Light" w:hAnsi="Calibri Light" w:cs="Calibri Light"/>
          <w:i/>
          <w:iCs/>
          <w:lang w:val="id-ID"/>
        </w:rPr>
      </w:pPr>
    </w:p>
    <w:p w14:paraId="22BBB3DF" w14:textId="77777777" w:rsidR="00F1027C" w:rsidRPr="00122F5F" w:rsidRDefault="00F1027C" w:rsidP="0095288D">
      <w:pPr>
        <w:rPr>
          <w:rFonts w:ascii="Calibri Light" w:hAnsi="Calibri Light" w:cs="Calibri Light"/>
          <w:b/>
          <w:bCs/>
          <w:sz w:val="24"/>
          <w:szCs w:val="24"/>
          <w:lang w:val="id-ID"/>
        </w:rPr>
      </w:pPr>
    </w:p>
    <w:p w14:paraId="15F04915"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r w:rsidRPr="00540F02">
        <w:rPr>
          <w:rFonts w:ascii="Calibri Light" w:hAnsi="Calibri Light" w:cs="Calibri Light"/>
          <w:b/>
          <w:color w:val="A6A6A6"/>
          <w:sz w:val="24"/>
          <w:szCs w:val="24"/>
        </w:rPr>
        <w:t>(</w:t>
      </w:r>
      <w:r w:rsidR="00540F02" w:rsidRPr="00540F02">
        <w:rPr>
          <w:rFonts w:ascii="Calibri Light" w:hAnsi="Calibri Light" w:cs="Calibri Light"/>
          <w:b/>
          <w:color w:val="A6A6A6"/>
          <w:sz w:val="24"/>
          <w:szCs w:val="24"/>
        </w:rPr>
        <w:t>Calibri Light</w:t>
      </w:r>
      <w:r w:rsidR="00D26ADD" w:rsidRPr="00540F02">
        <w:rPr>
          <w:rFonts w:ascii="Calibri Light" w:hAnsi="Calibri Light" w:cs="Calibri Light"/>
          <w:b/>
          <w:color w:val="A6A6A6"/>
          <w:sz w:val="24"/>
          <w:szCs w:val="24"/>
          <w:lang w:val="id-ID"/>
        </w:rPr>
        <w:t xml:space="preserve">, </w:t>
      </w:r>
      <w:r w:rsidRPr="00540F02">
        <w:rPr>
          <w:rFonts w:ascii="Calibri Light" w:hAnsi="Calibri Light" w:cs="Calibri Light"/>
          <w:b/>
          <w:color w:val="A6A6A6"/>
          <w:sz w:val="24"/>
          <w:szCs w:val="24"/>
        </w:rPr>
        <w:t>12 BOLD)</w:t>
      </w:r>
    </w:p>
    <w:p w14:paraId="3E3060A7"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The existence of religious pluralism in a society does not always cause conflict. This proves that religious differences are not always a factor that causes problems in society. However, Indonesia is a pluralistic nation in terms of language, ethnicity, and religion and is very vulnerable to social conflicts due to this problem of religious pluralism.</w:t>
      </w:r>
      <w:r w:rsidRPr="00FE3E1B">
        <w:rPr>
          <w:rFonts w:ascii="Calibri Light" w:hAnsi="Calibri Light" w:cs="Calibri Light"/>
          <w:sz w:val="24"/>
          <w:szCs w:val="24"/>
        </w:rPr>
        <w:fldChar w:fldCharType="begin" w:fldLock="1"/>
      </w:r>
      <w:r w:rsidRPr="00FE3E1B">
        <w:rPr>
          <w:rFonts w:ascii="Calibri Light" w:hAnsi="Calibri Light" w:cs="Calibri Light"/>
          <w:sz w:val="24"/>
          <w:szCs w:val="24"/>
        </w:rPr>
        <w:instrText>ADDIN CSL_CITATION {"citationItems":[{"id":"ITEM-1","itemData":{"DOI":"10.15642/jpai.2017.5.2.224-243","abstract":"&lt;p&gt;&lt;strong&gt;Bahasa Indonesia:&lt;/strong&gt;&lt;/p&gt;&lt;p&gt;Kertas kerja ini memaparkan pendidikan multikultural dalam usahanya menanggulangi narasi Islamisme di Indonesia. Intisari dari pendidikan multikultural adalah sebuah ide dan gerakan pembaruan dalam proses pendidikan. Kemajemukan Indonesia adalah dua mata pisau yang memiliki sisi positif dan negatif. Dalam kemajemukan itu sendiri, keeratan afiliasi kelompok muncul bersamaan dengan potensi perpecahan dalam konteks situasi yang tak terkendali dengan baik. Oleh karenanya, pendidikan multikultural menawarkan demokrasi, kesetaraan, kemerdekaan, dan keberagaman dalam sebuah pendekatan. Dengan kedatangan pendidikan multikultural, ini diharapkan bahwa setiap lapisan masyarakat merasa dikenali, dihargai, diperlakukan secara demokratis dan pantas kendati berbagai perbedaan budaya. Sebagai hasilnya, mereka mendapatkan kesempatan yang sama dalam mencapai tujuan-tujuannya. Indikasi idealnya adalah adanya kemauan untuk menerima dan menghargai kelompok-kelompok lain dari etnik, gender, dan afiliasi keberagamaan dan budayanya. Dengan kata lain, pendidikan multicultural muncul sebagai pengikat, kepenghubungan, pengaman, dan penjamin terhadap keberlangsungan kemajemukan. Ajuan pendidikan multikultural ini muncul untuk mengangulangi narasi Islamisme di Indonesia yang muncul sebagai akibat dari ketika Islam berhadapan dengan modernitas yang identik dengan Barat.&lt;/p&gt;&lt;p&gt; &lt;/p&gt;&lt;p&gt;&lt;strong&gt;English:&lt;/strong&gt;&lt;/p&gt;&lt;p&gt;This paper presents multicultural education in tackling Islamism narration in Indonesia. The heart of multicultural education is the idea and renewal movement in educational process. Indonesian diversity is like a double-edged knife, which involves both positives and negatives. In the diversity itself, strong group affilition emerged as well as potential of disunity appears in the context of unwell-managed circumstances. Hence, multicultural education offers democracy, equality, freedom, and pluralism in a single approach. With the advent of multicultural education, it is hoped that all levels of society will feel recognized, appreciated, democratically and equitably treated despite cultural differences. As a result, they have equal opportunity to achieve their goals. The ideal indication shows the willingness to accept and appreciate other groups of different ethnics, gender, and religious affilition and cultures. In other words, multicultural education exists as a binder, liaison, safety, and assurance of sustainability diver…","author":[{"dropping-particle":"","family":"Baharun","given":"Hasan","non-dropping-particle":"","parse-names":false,"suffix":""},{"dropping-particle":"","family":"Awwaliyah","given":"Robiatul","non-dropping-particle":"","parse-names":false,"suffix":""}],"container-title":"Jurnal Pendidikan Agama Islam (Journal of Islamic Education Studies)","id":"ITEM-1","issued":{"date-parts":[["2017"]]},"title":"Pendidikan Multikultural dalam Menanggulangi Narasi Islamisme di Indonesia","type":"article-journal"},"uris":["http://www.mendeley.com/documents/?uuid=2a76dc90-44d2-3040-9116-777b6b8abe61"]}],"mendeley":{"formattedCitation":"[1]","plainTextFormattedCitation":"[1]","previouslyFormattedCitation":"[1]"},"properties":{"noteIndex":0},"schema":"https://github.com/citation-style-language/schema/raw/master/csl-citation.json"}</w:instrText>
      </w:r>
      <w:r w:rsidRPr="00FE3E1B">
        <w:rPr>
          <w:rFonts w:ascii="Calibri Light" w:hAnsi="Calibri Light" w:cs="Calibri Light"/>
          <w:sz w:val="24"/>
          <w:szCs w:val="24"/>
        </w:rPr>
        <w:fldChar w:fldCharType="separate"/>
      </w:r>
      <w:r w:rsidRPr="00FE3E1B">
        <w:rPr>
          <w:rFonts w:ascii="Calibri Light" w:hAnsi="Calibri Light" w:cs="Calibri Light"/>
          <w:noProof/>
          <w:sz w:val="24"/>
          <w:szCs w:val="24"/>
        </w:rPr>
        <w:t>[1]</w:t>
      </w:r>
      <w:r w:rsidRPr="00FE3E1B">
        <w:rPr>
          <w:rFonts w:ascii="Calibri Light" w:hAnsi="Calibri Light" w:cs="Calibri Light"/>
          <w:sz w:val="24"/>
          <w:szCs w:val="24"/>
        </w:rPr>
        <w:fldChar w:fldCharType="end"/>
      </w:r>
      <w:r w:rsidRPr="00FE3E1B">
        <w:rPr>
          <w:rFonts w:ascii="Calibri Light" w:hAnsi="Calibri Light" w:cs="Calibri Light"/>
          <w:sz w:val="24"/>
          <w:szCs w:val="24"/>
        </w:rPr>
        <w:t xml:space="preserve">. Religious tolerance is paramount in addressing this issue. In addition, Indonesia is also a large country consisting of thousands of islands and hundreds of millions of people who have many different religions and beliefs. Then, the Indonesian government officially recognizes six religions: Islam, Christianity, Catholicism, Hinduism, Buddhism, and Confucianism. Based on 2009 United Nations data, Indonesia has the fourth largest population in the world after China, India, and the United States. </w:t>
      </w:r>
    </w:p>
    <w:p w14:paraId="60F8BF15"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The potential for social, cultural, political, and economic wealth in a country holds significant promise for the progress and well-being of its people as long as it is managed effectively. However, this wealth also presents a potential source of conflict if cooperation, tolerance, and constructive dialogue are lacking in society. In a country as diverse as Indonesia, where there is a sensitive intersection between religious beliefs, economic struggles, political ideologies, and social inequality, the need for tolerance and continued dialogue is paramount.</w:t>
      </w:r>
      <w:r w:rsidRPr="00FE3E1B">
        <w:rPr>
          <w:rFonts w:ascii="Calibri Light" w:hAnsi="Calibri Light" w:cs="Calibri Light"/>
          <w:sz w:val="24"/>
          <w:szCs w:val="24"/>
        </w:rPr>
        <w:fldChar w:fldCharType="begin" w:fldLock="1"/>
      </w:r>
      <w:r w:rsidRPr="00FE3E1B">
        <w:rPr>
          <w:rFonts w:ascii="Calibri Light" w:hAnsi="Calibri Light" w:cs="Calibri Light"/>
          <w:sz w:val="24"/>
          <w:szCs w:val="24"/>
        </w:rPr>
        <w:instrText>ADDIN CSL_CITATION {"citationItems":[{"id":"ITEM-1","itemData":{"author":[{"dropping-particle":"","family":"Basyar, Hamdan","given":"(Ed.)","non-dropping-particle":"","parse-names":false,"suffix":""}],"id":"ITEM-1","issued":{"date-parts":[["2003"]]},"publisher":"P2P LIPI","publisher-place":"Jakarta","title":"Konflik Poso: Pemetaan dan Pencarian Pola-pola Alternatif Penyelesaiannya","type":"book"},"uris":["http://www.mendeley.com/documents/?uuid=6886a4ce-bc07-48cf-9abb-c6d754c0b9bf"]}],"mendeley":{"formattedCitation":"[2]","plainTextFormattedCitation":"[2]","previouslyFormattedCitation":"[2]"},"properties":{"noteIndex":0},"schema":"https://github.com/citation-style-language/schema/raw/master/csl-citation.json"}</w:instrText>
      </w:r>
      <w:r w:rsidRPr="00FE3E1B">
        <w:rPr>
          <w:rFonts w:ascii="Calibri Light" w:hAnsi="Calibri Light" w:cs="Calibri Light"/>
          <w:sz w:val="24"/>
          <w:szCs w:val="24"/>
        </w:rPr>
        <w:fldChar w:fldCharType="separate"/>
      </w:r>
      <w:r w:rsidRPr="00FE3E1B">
        <w:rPr>
          <w:rFonts w:ascii="Calibri Light" w:hAnsi="Calibri Light" w:cs="Calibri Light"/>
          <w:noProof/>
          <w:sz w:val="24"/>
          <w:szCs w:val="24"/>
        </w:rPr>
        <w:t>[2]</w:t>
      </w:r>
      <w:r w:rsidRPr="00FE3E1B">
        <w:rPr>
          <w:rFonts w:ascii="Calibri Light" w:hAnsi="Calibri Light" w:cs="Calibri Light"/>
          <w:sz w:val="24"/>
          <w:szCs w:val="24"/>
        </w:rPr>
        <w:fldChar w:fldCharType="end"/>
      </w:r>
      <w:r w:rsidRPr="00FE3E1B">
        <w:rPr>
          <w:rFonts w:ascii="Calibri Light" w:hAnsi="Calibri Light" w:cs="Calibri Light"/>
          <w:sz w:val="24"/>
          <w:szCs w:val="24"/>
        </w:rPr>
        <w:t>, finding a way to regulate religious diversity and other social wealth is necessary.</w:t>
      </w:r>
    </w:p>
    <w:p w14:paraId="41C76F5B"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Research has been carried out on the study of religious diversity and moderation</w:t>
      </w:r>
      <w:bookmarkStart w:id="0" w:name="_Hlk191792781"/>
      <w:r w:rsidRPr="00FE3E1B">
        <w:rPr>
          <w:rFonts w:ascii="Calibri Light" w:hAnsi="Calibri Light" w:cs="Calibri Light"/>
          <w:sz w:val="24"/>
          <w:szCs w:val="24"/>
        </w:rPr>
        <w:fldChar w:fldCharType="begin" w:fldLock="1"/>
      </w:r>
      <w:r w:rsidRPr="00FE3E1B">
        <w:rPr>
          <w:rFonts w:ascii="Calibri Light" w:hAnsi="Calibri Light" w:cs="Calibri Light"/>
          <w:sz w:val="24"/>
          <w:szCs w:val="24"/>
        </w:rPr>
        <w:instrText>ADDIN CSL_CITATION {"citationItems":[{"id":"ITEM-1","itemData":{"author":[{"dropping-particle":"al","family":"Fuadi","given":"Moh. Ashif. et","non-dropping-particle":"","parse-names":false,"suffix":""}],"container-title":"Journal of Al-Tamaddun","id":"ITEM-1","issue":"1","issued":{"date-parts":[["2024"]]},"page":"47-59","title":"Religious Moderation in the Context of Integration Between Religion and Local Culture in Indonesia","type":"article-journal","volume":"19"},"uris":["http://www.mendeley.com/documents/?uuid=a1812b8f-15e8-422d-92aa-7d32bd434fbc"]}],"mendeley":{"formattedCitation":"[3]","plainTextFormattedCitation":"[3]","previouslyFormattedCitation":"[3]"},"properties":{"noteIndex":0},"schema":"https://github.com/citation-style-language/schema/raw/master/csl-citation.json"}</w:instrText>
      </w:r>
      <w:r w:rsidRPr="00FE3E1B">
        <w:rPr>
          <w:rFonts w:ascii="Calibri Light" w:hAnsi="Calibri Light" w:cs="Calibri Light"/>
          <w:sz w:val="24"/>
          <w:szCs w:val="24"/>
        </w:rPr>
        <w:fldChar w:fldCharType="separate"/>
      </w:r>
      <w:r w:rsidRPr="00FE3E1B">
        <w:rPr>
          <w:rFonts w:ascii="Calibri Light" w:hAnsi="Calibri Light" w:cs="Calibri Light"/>
          <w:noProof/>
          <w:sz w:val="24"/>
          <w:szCs w:val="24"/>
        </w:rPr>
        <w:t>[3]</w:t>
      </w:r>
      <w:r w:rsidRPr="00FE3E1B">
        <w:rPr>
          <w:rFonts w:ascii="Calibri Light" w:hAnsi="Calibri Light" w:cs="Calibri Light"/>
          <w:sz w:val="24"/>
          <w:szCs w:val="24"/>
        </w:rPr>
        <w:fldChar w:fldCharType="end"/>
      </w:r>
      <w:r w:rsidRPr="00FE3E1B">
        <w:rPr>
          <w:rFonts w:ascii="Calibri Light" w:hAnsi="Calibri Light" w:cs="Calibri Light"/>
          <w:sz w:val="24"/>
          <w:szCs w:val="24"/>
        </w:rPr>
        <w:fldChar w:fldCharType="begin" w:fldLock="1"/>
      </w:r>
      <w:r w:rsidRPr="00FE3E1B">
        <w:rPr>
          <w:rFonts w:ascii="Calibri Light" w:hAnsi="Calibri Light" w:cs="Calibri Light"/>
          <w:sz w:val="24"/>
          <w:szCs w:val="24"/>
        </w:rPr>
        <w:instrText>ADDIN CSL_CITATION {"citationItems":[{"id":"ITEM-1","itemData":{"DOI":"10.29332/ijssh.v3n1.277","ISSN":"2550-701X","abstract":"The study of religious tolerance this century has been entering the culmination point of saturation, in which it is no longer viewed relevantly with technology 4.0 or it is generally called millennium generation. Technology development is directly proportional to social life because humans enter the digital era in which the actualization and self-existence are prioritized. Therefore, in social interaction, it often makes friction and horizontal conflict and even social media felt more concerned about. Tolerance is gradually degraded in its implementation because it is assumed that tolerance givers have a higher level (majority) than the recipient of tolerance (minority). In this case, the tolerance model needs contextual modification, namely religious moderation as a fundamental of more acceptable social interaction among citizens and netizens.","author":[{"dropping-particle":"","family":"Kawangung","given":"Yudhi","non-dropping-particle":"","parse-names":false,"suffix":""}],"container-title":"International journal of social sciences and humanities","id":"ITEM-1","issue":"1","issued":{"date-parts":[["2019"]]},"page":"160-170","title":"Religious moderation discourse in plurality of social harmony in Indonesia","type":"article-journal","volume":"3"},"uris":["http://www.mendeley.com/documents/?uuid=e8a7062e-bbfb-45b4-8069-83b5df526815"]}],"mendeley":{"formattedCitation":"[4]","plainTextFormattedCitation":"[4]","previouslyFormattedCitation":"[4]"},"properties":{"noteIndex":0},"schema":"https://github.com/citation-style-language/schema/raw/master/csl-citation.json"}</w:instrText>
      </w:r>
      <w:r w:rsidRPr="00FE3E1B">
        <w:rPr>
          <w:rFonts w:ascii="Calibri Light" w:hAnsi="Calibri Light" w:cs="Calibri Light"/>
          <w:sz w:val="24"/>
          <w:szCs w:val="24"/>
        </w:rPr>
        <w:fldChar w:fldCharType="separate"/>
      </w:r>
      <w:r w:rsidRPr="00FE3E1B">
        <w:rPr>
          <w:rFonts w:ascii="Calibri Light" w:hAnsi="Calibri Light" w:cs="Calibri Light"/>
          <w:noProof/>
          <w:sz w:val="24"/>
          <w:szCs w:val="24"/>
        </w:rPr>
        <w:t>[4]</w:t>
      </w:r>
      <w:r w:rsidRPr="00FE3E1B">
        <w:rPr>
          <w:rFonts w:ascii="Calibri Light" w:hAnsi="Calibri Light" w:cs="Calibri Light"/>
          <w:sz w:val="24"/>
          <w:szCs w:val="24"/>
        </w:rPr>
        <w:fldChar w:fldCharType="end"/>
      </w:r>
      <w:r w:rsidRPr="00FE3E1B">
        <w:rPr>
          <w:rFonts w:ascii="Calibri Light" w:hAnsi="Calibri Light" w:cs="Calibri Light"/>
          <w:sz w:val="24"/>
          <w:szCs w:val="24"/>
        </w:rPr>
        <w:fldChar w:fldCharType="begin" w:fldLock="1"/>
      </w:r>
      <w:r w:rsidRPr="00FE3E1B">
        <w:rPr>
          <w:rFonts w:ascii="Calibri Light" w:hAnsi="Calibri Light" w:cs="Calibri Light"/>
          <w:sz w:val="24"/>
          <w:szCs w:val="24"/>
        </w:rPr>
        <w:instrText>ADDIN CSL_CITATION {"citationItems":[{"id":"ITEM-1","itemData":{"DOI":"10.1108/H-02-2017-0025","ISSN":"0828-8666","abstract":"Purpose: The main value in a culture of tolerance is wasatiyyah. The fragility of relationships and misunderstanding between Muslim and non-Muslim communities occurs when attention to values of tolerance which need more attention on moderation was not practiced especially in the life of a new Muslim convert community. Thus, the practice of moderation is one mechanism proposed by the government to ensure a harmonious continuation of life in a religious community can be achieved. For that, a qualitative study design was used to describe the current status of a phenomenon that occurs among new Muslim converts. The purposive sampling method is used to determine the applications of wasatiyyah in new Muslims’ life tolerance at Kota Kinabalu (East Malaysia) and Kuala Terengganu (West Malaysia). Although the study was conducted at two different locations, there is a relationship between religious phenomena that occur in the new Muslims community in Malaysia. The purpose of this study is to see the practical concept of moderation in the life of new Muslims and their relation with Muslims and non-Muslims. The results showed that the value of moderation was applied in the aspect of tolerance. The application of Wasatiyyah in practice of tolerance had helped non-Muslims family members to change their attitudes and perception towards Islam. This study suggests the values of wasatiyyah in the life of religious tolerance, need to be nourished especially in multiethnic society when sharing a living places, education and employment for better social development as well as a well-being pluralistic society. Design/methodology/approach: The study was conducted through descriptive data qualitative methods. Purposive sampling was used which refers to a group that has the characteristics of samples required by researchers (Mohd Najib Abdul Ghafar 2003). This study applies the method of in-depth interview with the selected new Muslims around Kota Kinabalu (representing East Malaysia) and around Kuala Terengganu (representing Peninsular Malaysia/West Malaysia). Thus, data accumulation involves new Muslims (new Converts) from various ethnics (Sabahan and Sarawakian) which comprise Kadazandusun, Murut, Rungus, Sino and Iban. Secondly, those are from the Peninsular Malaysia which includes Chinese and Indian. Whereas in Kuala Terengganu, data accumulation involves new Muslims from various ethnics (Chinese, Indian, Sarawakian and others). The result of the interview is shown through…","author":[{"dropping-particle":"","family":"Mohd Khambali@Hambali","given":"Khadijah","non-dropping-particle":"","parse-names":false,"suffix":""},{"dropping-particle":"","family":"Sintang","given":"Suraya","non-dropping-particle":"","parse-names":false,"suffix":""},{"dropping-particle":"","family":"Awang","given":"Azarudin","non-dropping-particle":"","parse-names":false,"suffix":""},{"dropping-particle":"","family":"Mat Karim","given":"Khairul Nizam","non-dropping-particle":"","parse-names":false,"suffix":""},{"dropping-particle":"","family":"Abdul Rahman","given":"Nur Farhana","non-dropping-particle":"","parse-names":false,"suffix":""},{"dropping-particle":"","family":"Wan Ramli","given":"Wan Adli","non-dropping-particle":"","parse-names":false,"suffix":""},{"dropping-particle":"","family":"Senin","given":"Nurhanisah","non-dropping-particle":"","parse-names":false,"suffix":""},{"dropping-particle":"","family":"Zainal Abidin","given":"Azmil","non-dropping-particle":"","parse-names":false,"suffix":""},{"dropping-particle":"","family":"Ismail","given":"Ahmad Zuhdi","non-dropping-particle":"","parse-names":false,"suffix":""},{"dropping-particle":"","family":"Wan Ali","given":"Wan Zailan Kamaruddin","non-dropping-particle":"","parse-names":false,"suffix":""},{"dropping-particle":"","family":"Md. Noor","given":"Ruzman","non-dropping-particle":"","parse-names":false,"suffix":""}],"container-title":"Humanomics","id":"ITEM-1","issue":"2","issued":{"date-parts":[["2017","5","8"]]},"page":"211-220","publisher":"Emerald Group Publishing Ltd.","title":"al-Wasatiyyah in the practice of religious tolerance among the families of new Muslims in sustaining a well-being society","type":"article-journal","volume":"33"},"uris":["http://www.mendeley.com/documents/?uuid=6c8b5b9c-44b8-3dea-b357-3da29d211fce"]}],"mendeley":{"formattedCitation":"[5]","plainTextFormattedCitation":"[5]","previouslyFormattedCitation":"[5]"},"properties":{"noteIndex":0},"schema":"https://github.com/citation-style-language/schema/raw/master/csl-citation.json"}</w:instrText>
      </w:r>
      <w:r w:rsidRPr="00FE3E1B">
        <w:rPr>
          <w:rFonts w:ascii="Calibri Light" w:hAnsi="Calibri Light" w:cs="Calibri Light"/>
          <w:sz w:val="24"/>
          <w:szCs w:val="24"/>
        </w:rPr>
        <w:fldChar w:fldCharType="separate"/>
      </w:r>
      <w:r w:rsidRPr="00FE3E1B">
        <w:rPr>
          <w:rFonts w:ascii="Calibri Light" w:hAnsi="Calibri Light" w:cs="Calibri Light"/>
          <w:noProof/>
          <w:sz w:val="24"/>
          <w:szCs w:val="24"/>
        </w:rPr>
        <w:t>[5]</w:t>
      </w:r>
      <w:r w:rsidRPr="00FE3E1B">
        <w:rPr>
          <w:rFonts w:ascii="Calibri Light" w:hAnsi="Calibri Light" w:cs="Calibri Light"/>
          <w:sz w:val="24"/>
          <w:szCs w:val="24"/>
        </w:rPr>
        <w:fldChar w:fldCharType="end"/>
      </w:r>
      <w:r w:rsidRPr="00FE3E1B">
        <w:rPr>
          <w:rFonts w:ascii="Calibri Light" w:hAnsi="Calibri Light" w:cs="Calibri Light"/>
          <w:sz w:val="24"/>
          <w:szCs w:val="24"/>
        </w:rPr>
        <w:fldChar w:fldCharType="begin" w:fldLock="1"/>
      </w:r>
      <w:r w:rsidRPr="00FE3E1B">
        <w:rPr>
          <w:rFonts w:ascii="Calibri Light" w:hAnsi="Calibri Light" w:cs="Calibri Light"/>
          <w:sz w:val="24"/>
          <w:szCs w:val="24"/>
        </w:rPr>
        <w:instrText>ADDIN CSL_CITATION {"citationItems":[{"id":"ITEM-1","itemData":{"DOI":"10.21580/nw.2020.14.1.5766","ISSN":"1979-1739","abstract":"Islam as a religion with a slogan that brings grace to the universe, however historically not all religious articulations are compatible. One example is extreme attitudes in religion. The most important element in realizing the peace mission in schools is learning Islamic Religious Education (PAI). This study was conducted to reveal how to maintain religious moderation in schools in preventing extremism. This field study at SMA Negeri 1 (Senior High School) Krembung, East Java, Indonesia uses a qualitative descriptive method. The results showed that school moderation uses three main principles, namely tawassuth, ta'adul and tawazun. These principles are able to create a moderate situation, create a school of peace, progress, and form a generation with moderate views. Abstrak Islam sebagai agama dengan semboyan pembawa rahmat bagi alam semesta, namun secara historis tidak semua artikulasi agama itu cocok. Salah satu contohnya adalah sikap ekstrim dalam beragama. Elemen terpenting dalam mewujudkan misi perdamaian tersebut di sekolah adalah pembelajaran Pendidikan Agama Islam (PAI). Studi ini dilakukan untuk mengungkap bagaimana mempertahankan moderasi beragama di sekolah dalam mencegah ekstrimisme. Studi lapangan di SMA Negeri 1 Krembung, Jawa Timur, Indonesia ini menggunakan metode deskriptif kualitatif. Hasil penelitian menunjukkan bahwa moderasi beragama sekolah menggunakan tiga prinsip utama yaitu tawassuth, ta’adul dan tawazun. Prinsip-prinsip ini mampu menciptakan situasi yang moderat dan  mewujudkan sekolah damai, berkemajuan dan membentuk generasi yang berpandangan moderat.","author":[{"dropping-particle":"","family":"Husna","given":"Ulfatul","non-dropping-particle":"","parse-names":false,"suffix":""},{"dropping-particle":"","family":"Thohir","given":"Muhammad","non-dropping-particle":"","parse-names":false,"suffix":""}],"container-title":"Nadwa: Jurnal Pendidikan Islam","id":"ITEM-1","issue":"1","issued":{"date-parts":[["2020"]]},"page":"199-222","title":"Religious Moderation as a New Approach to Learning Islamic Religious Education in Schools","type":"article-journal","volume":"14"},"uris":["http://www.mendeley.com/documents/?uuid=f7cbd861-9612-4e18-8d28-566f1dc6d20a"]}],"mendeley":{"formattedCitation":"[6]","plainTextFormattedCitation":"[6]","previouslyFormattedCitation":"[6]"},"properties":{"noteIndex":0},"schema":"https://github.com/citation-style-language/schema/raw/master/csl-citation.json"}</w:instrText>
      </w:r>
      <w:r w:rsidRPr="00FE3E1B">
        <w:rPr>
          <w:rFonts w:ascii="Calibri Light" w:hAnsi="Calibri Light" w:cs="Calibri Light"/>
          <w:sz w:val="24"/>
          <w:szCs w:val="24"/>
        </w:rPr>
        <w:fldChar w:fldCharType="separate"/>
      </w:r>
      <w:r w:rsidRPr="00FE3E1B">
        <w:rPr>
          <w:rFonts w:ascii="Calibri Light" w:hAnsi="Calibri Light" w:cs="Calibri Light"/>
          <w:noProof/>
          <w:sz w:val="24"/>
          <w:szCs w:val="24"/>
        </w:rPr>
        <w:t>[6]</w:t>
      </w:r>
      <w:r w:rsidRPr="00FE3E1B">
        <w:rPr>
          <w:rFonts w:ascii="Calibri Light" w:hAnsi="Calibri Light" w:cs="Calibri Light"/>
          <w:sz w:val="24"/>
          <w:szCs w:val="24"/>
        </w:rPr>
        <w:fldChar w:fldCharType="end"/>
      </w:r>
      <w:r w:rsidRPr="00FE3E1B">
        <w:rPr>
          <w:rFonts w:ascii="Calibri Light" w:hAnsi="Calibri Light" w:cs="Calibri Light"/>
          <w:sz w:val="24"/>
          <w:szCs w:val="24"/>
        </w:rPr>
        <w:t xml:space="preserve"> and studies of social cohesion</w:t>
      </w:r>
      <w:r w:rsidRPr="00FE3E1B">
        <w:rPr>
          <w:rFonts w:ascii="Calibri Light" w:hAnsi="Calibri Light" w:cs="Calibri Light"/>
          <w:sz w:val="24"/>
          <w:szCs w:val="24"/>
        </w:rPr>
        <w:fldChar w:fldCharType="begin" w:fldLock="1"/>
      </w:r>
      <w:r w:rsidRPr="00FE3E1B">
        <w:rPr>
          <w:rFonts w:ascii="Calibri Light" w:hAnsi="Calibri Light" w:cs="Calibri Light"/>
          <w:sz w:val="24"/>
          <w:szCs w:val="24"/>
        </w:rPr>
        <w:instrText>ADDIN CSL_CITATION {"citationItems":[{"id":"ITEM-1","itemData":{"DOI":"10.1007/s11577-023-00891-6","ISSN":"1861891X","abstract":"Although social integration has always been a central sociological issue, there has never been a consensus how to approach the topic empirically. In the new millennium, social cohesion has emerged as a lead concept for measuring how integrated societies are—not the least, because many observers see the social fabric of modern-day societies in deep crisis. Consequently, scholars and think tanks have intensified their efforts to chart how strong the social glue of contemporary societies is, as well as which conditions strengthen or weaken it. The main goal of our article is to provide an overview of measures of social cohesion that have been specifically designed for cross-national comparisons. To this end, we compare selected measures with respect to what they measure, how, and for what purpose. We then highlight key empirical insights gained by these measures, touching upon the issues of levels, regimes, as well as determinants and outcomes of social cohesion. The review concludes that one of the measures, the Bertelsmann Social Cohesion Radar, stands out in terms of conceptual clarity, methodological sophistication, and richness of empirical findings.","author":[{"dropping-particle":"","family":"Delhey","given":"Jan","non-dropping-particle":"","parse-names":false,"suffix":""},{"dropping-particle":"","family":"Dragolov","given":"Georgi","non-dropping-particle":"","parse-names":false,"suffix":""},{"dropping-particle":"","family":"Boehnke","given":"Klaus","non-dropping-particle":"","parse-names":false,"suffix":""}],"container-title":"Kolner Zeitschrift fur Soziologie und Sozialpsychologie","id":"ITEM-1","issued":{"date-parts":[["2022"]]},"page":"95-120","title":"Social Cohesion in International Comparison: A Review of Key Measures and Findings","type":"article-journal","volume":"75"},"uris":["http://www.mendeley.com/documents/?uuid=48128a29-0884-411d-b5ae-03e9d2750fbf"]}],"mendeley":{"formattedCitation":"[7]","plainTextFormattedCitation":"[7]","previouslyFormattedCitation":"[7]"},"properties":{"noteIndex":0},"schema":"https://github.com/citation-style-language/schema/raw/master/csl-citation.json"}</w:instrText>
      </w:r>
      <w:r w:rsidRPr="00FE3E1B">
        <w:rPr>
          <w:rFonts w:ascii="Calibri Light" w:hAnsi="Calibri Light" w:cs="Calibri Light"/>
          <w:sz w:val="24"/>
          <w:szCs w:val="24"/>
        </w:rPr>
        <w:fldChar w:fldCharType="separate"/>
      </w:r>
      <w:r w:rsidRPr="00FE3E1B">
        <w:rPr>
          <w:rFonts w:ascii="Calibri Light" w:hAnsi="Calibri Light" w:cs="Calibri Light"/>
          <w:noProof/>
          <w:sz w:val="24"/>
          <w:szCs w:val="24"/>
        </w:rPr>
        <w:t>[7]</w:t>
      </w:r>
      <w:r w:rsidRPr="00FE3E1B">
        <w:rPr>
          <w:rFonts w:ascii="Calibri Light" w:hAnsi="Calibri Light" w:cs="Calibri Light"/>
          <w:sz w:val="24"/>
          <w:szCs w:val="24"/>
        </w:rPr>
        <w:fldChar w:fldCharType="end"/>
      </w:r>
      <w:r w:rsidRPr="00FE3E1B">
        <w:rPr>
          <w:rFonts w:ascii="Calibri Light" w:hAnsi="Calibri Light" w:cs="Calibri Light"/>
          <w:sz w:val="24"/>
          <w:szCs w:val="24"/>
        </w:rPr>
        <w:fldChar w:fldCharType="begin" w:fldLock="1"/>
      </w:r>
      <w:r w:rsidRPr="00FE3E1B">
        <w:rPr>
          <w:rFonts w:ascii="Calibri Light" w:hAnsi="Calibri Light" w:cs="Calibri Light"/>
          <w:sz w:val="24"/>
          <w:szCs w:val="24"/>
        </w:rPr>
        <w:instrText>ADDIN CSL_CITATION {"citationItems":[{"id":"ITEM-1","itemData":{"DOI":"10.1007/s11205-023-03119-4","ISBN":"0123456789","ISSN":"15730921","abstract":"This paper is about studying social cohesion in functional urban areas (FUA). These territorial units become an important stakeholder and recipient of urban policy. Therefore, it is important to study problems of their development, including social cohesion. In the paper it is understood in spatial terms, i.e. it occurs when the differentiation of specific territorial units in terms of selected social indicators is reduced. In the research was studied the sigma convergence related to functional urban areas of vovodeship’s capital cities in five least-developed regions of Poland (so-called the Eastern Poland). The aim of this article is to investigate whether social cohesion is increased in the FUA of the Eastern Poland. The obtained results showed that only in three FUA in the analyzed period was sigma convergence but it was very slow process. In two FUA, no sigma convergence was identified. At the same time, it was observed that in all the analyzed areas there was an improvement in the social situation.","author":[{"dropping-particle":"","family":"Busłowska","given":"Anna","non-dropping-particle":"","parse-names":false,"suffix":""},{"dropping-particle":"","family":"Marcinkiewicz","given":"Jacek","non-dropping-particle":"","parse-names":false,"suffix":""}],"container-title":"Social Indicators Research","id":"ITEM-1","issue":"1-3","issued":{"date-parts":[["2023"]]},"page":"451-473","publisher":"Springer Netherlands","title":"Social Cohesion of Functional Urban Areas (Example of Eastern Poland)","type":"article-journal","volume":"167"},"uris":["http://www.mendeley.com/documents/?uuid=38f22ede-6f8d-43d0-940d-1852146db6c3"]}],"mendeley":{"formattedCitation":"[8]","plainTextFormattedCitation":"[8]","previouslyFormattedCitation":"[8]"},"properties":{"noteIndex":0},"schema":"https://github.com/citation-style-language/schema/raw/master/csl-citation.json"}</w:instrText>
      </w:r>
      <w:r w:rsidRPr="00FE3E1B">
        <w:rPr>
          <w:rFonts w:ascii="Calibri Light" w:hAnsi="Calibri Light" w:cs="Calibri Light"/>
          <w:sz w:val="24"/>
          <w:szCs w:val="24"/>
        </w:rPr>
        <w:fldChar w:fldCharType="separate"/>
      </w:r>
      <w:r w:rsidRPr="00FE3E1B">
        <w:rPr>
          <w:rFonts w:ascii="Calibri Light" w:hAnsi="Calibri Light" w:cs="Calibri Light"/>
          <w:noProof/>
          <w:sz w:val="24"/>
          <w:szCs w:val="24"/>
        </w:rPr>
        <w:t>[8]</w:t>
      </w:r>
      <w:r w:rsidRPr="00FE3E1B">
        <w:rPr>
          <w:rFonts w:ascii="Calibri Light" w:hAnsi="Calibri Light" w:cs="Calibri Light"/>
          <w:sz w:val="24"/>
          <w:szCs w:val="24"/>
        </w:rPr>
        <w:fldChar w:fldCharType="end"/>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{"citationItems":[{"id":"ITEM-1","itemData":{"DOI":"10.1007/s42413-024-00204-5","ISBN":"4241302400204","ISSN":"25245309","abstract":"Public space serves as opportunities for everyday engagement including cultural activities and social interactions. The co-presence of diverse groups and activities is seen as an important building block of social cohesion. This review synthesised the empirical evidence to understand the relationship between public space and social cohesion. Databases searched included Scopus, Web of Science, and PubMed with the inclusion of peer reviewed articles published in English, between 2000 and 2023 (till 22nd February 2023). A total of 63 published studies were identified. A variety of physical aspects of different public spaces was found to potentially encourage social interaction and cohesion, i.e., accessibility, mixed land use, presence of street furniture, etc. Furthermore, such impact was found to be affected by a range of sociodemographic factors, for example ethnicity, age, and length of residence, and perceptual factors such as safety perception, visual perceptions, and place attachment. Overall, research exploring the relationship between public space and social cohesion has occurred within disciplinary silos, posing a significant challenge in conceptualising this relationship. The recognition of these findings bridges the research effort in understanding the social mechanism between people and space across research agendas including urban design and planning, sociology, environmental psychology, public health, and human geography. We describe future work in studying the intangible aspects of urban space in the directions of assessing the social performance of public space and devising interventions to promote social interaction and foster social cohesion.","author":[{"dropping-particle":"","family":"Qi","given":"Jie","non-dropping-particle":"","parse-names":false,"suffix":""},{"dropping-particle":"","family":"Mazumdar","given":"Suvodeep","non-dropping-particle":"","parse-names":false,"suffix":""},{"dropping-particle":"","family":"Vasconcelos","given":"Ana C.","non-dropping-particle":"","parse-names":false,"suffix":""}],"container-title":"International Journal of Community Well-Being","id":"ITEM-1","issue":"0123456789","issued":{"date-parts":[["2024"]]},"publisher":"Springer International Publishing","title":"Understanding the Relationship between Urban Public Space and Social Cohesion: A Systematic Review","type":"book"},"uris":["http://www.mendeley.com/documents/?uuid=39db98c1-5f18-4b26-b6ba-6ee3364dc5f0"]}],"mendeley":{"formattedCitation":"[9]","plainTextFormattedCitation":"[9]","previouslyFormattedCitation":"[9]"},"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[9]</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w:t>
      </w:r>
      <w:bookmarkEnd w:id="0"/>
      <w:r w:rsidRPr="00FE3E1B">
        <w:rPr>
          <w:rFonts w:ascii="Calibri Light" w:hAnsi="Calibri Light" w:cs="Calibri Light"/>
          <w:sz w:val="24"/>
          <w:szCs w:val="24"/>
        </w:rPr>
        <w:t xml:space="preserve">and studies on conflict resolution strategies already exist </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https://doi.org/10.26811/peuradeun.v12i1.1043","author":[{"dropping-particle":"","family":"Puryanto","given":"Sidik","non-dropping-particle":"","parse-names":false,"suffix":""},{"dropping-particle":"","family":"Siswanto","given":"Romi","non-dropping-particle":"","parse-names":false,"suffix":""}],"container-title":"Jurnal Ilmiah Peuradeun","id":"ITEM-1","issue":"1","issued":{"date-parts":[["2024"]]},"page":"377-402","title":"The Indonesian Journal of the Social Sciences Ideological Conflict in Rembang ( Case Study : Cement Mining Conflict in Rembang )","type":"article-journal","volume":"12"},"uris":["http://www.mendeley.com/documents/?uuid=b100d056-d895-4d33-a453-b3e7811bf02b"]}],"mendeley":{"formattedCitation":"[10]","plainTextFormattedCitation":"[10]","previouslyFormattedCitation":"[10]"},"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[10]</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however, no one has fully explored the adhesive factors that drive social cohesion in multi-religious societies to increase social tolerance and sensitivity. This research fills the gap by observing the formation of a bond pattern in a multi-religious society in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Regency amid the dominance of the Islamic majority regarding the quantity and quality of the population.</w:t>
      </w:r>
    </w:p>
    <w:p w14:paraId="1B07D106"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The relationship between religious majority and minority groups in Indonesia is a complex and dynamic topic, influenced by various social, cultural, and political factors. Academic studies have attempted to understand this dynamic through various approaches and local contexts such as the Research in Bali, examining the practice of religious tolerance between the Hindu majority and the Muslim and Christian minorities</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{"citationItems":[{"id":"ITEM-1","itemData":{"DOI":"10.35719/aladalah.v25i2.292","ISSN":"1410-7406","abstract":"This study aims to determine the various factors that shape the harmonious relationship between Muslims and Hindus in Bali. The locus of this research is Jimbaran Village, South Kuta District, Badung Regency, Bali Province. This study uses a qualitative research methodology with a narrative descriptive analysis approach and is included in the type of literature study research. The results of this study indicate that the pattern of social relations between Muslims and Hindus in Bali is not only formed based on the understanding of their respective religious teachings, but it can also be shaped by customs in Balinese society and shaped by several factors that influence it. Five factors shape the harmonization of social relations between Muslims and Hindus in Bali, including the conflicts between Muslims and Hindus in Bali, the competition between Muslims and Hindus in Bali, and adjustments made by Muslims to Hindus in Bali, tolerance and cooperation among Muslims in Bali.","author":[{"dropping-particle":"","family":"Nurhidayati","given":"Titin","non-dropping-particle":"","parse-names":false,"suffix":""},{"dropping-particle":"","family":"Ula","given":"Muhammad Bahrul","non-dropping-particle":"","parse-names":false,"suffix":""}],"container-title":"Al'Adalah","id":"ITEM-1","issue":"2","issued":{"date-parts":[["2022"]]},"page":"207-225","title":"Driving the Minority and Majority Interreligious Relations in Bali","type":"article-journal","volume":"25"},"uris":["http://www.mendeley.com/documents/?uuid=43563481-d980-4106-85a0-7407f725b070"]}],"mendeley":{"formattedCitation":"[11]","plainTextFormattedCitation":"[11]","previouslyFormattedCitation":"[12]"},"properties":{"noteIndex":0},"schema":"https://github.com/citation-style-language/schema/raw/master/csl-citation.json"}</w:instrText>
      </w:r>
      <w:r w:rsidR="00771F8B">
        <w:rPr>
          <w:rFonts w:ascii="Calibri Light" w:hAnsi="Calibri Light" w:cs="Calibri Light"/>
          <w:sz w:val="24"/>
          <w:szCs w:val="24"/>
        </w:rPr>
        <w:fldChar w:fldCharType="separate"/>
      </w:r>
      <w:r w:rsidR="00771F8B" w:rsidRPr="00771F8B">
        <w:rPr>
          <w:rFonts w:ascii="Calibri Light" w:hAnsi="Calibri Light" w:cs="Calibri Light"/>
          <w:noProof/>
          <w:sz w:val="24"/>
          <w:szCs w:val="24"/>
        </w:rPr>
        <w:t>[11]</w:t>
      </w:r>
      <w:r w:rsidR="00771F8B">
        <w:rPr>
          <w:rFonts w:ascii="Calibri Light" w:hAnsi="Calibri Light" w:cs="Calibri Light"/>
          <w:sz w:val="24"/>
          <w:szCs w:val="24"/>
        </w:rPr>
        <w:fldChar w:fldCharType="end"/>
      </w:r>
      <w:r w:rsidRPr="00FE3E1B">
        <w:rPr>
          <w:rFonts w:ascii="Calibri Light" w:hAnsi="Calibri Light" w:cs="Calibri Light"/>
          <w:sz w:val="24"/>
          <w:szCs w:val="24"/>
        </w:rPr>
        <w:t>. The results show that although the administrative requirements for the establishment of places of worship have been met, minority groups often face obstacles due to local policies aimed at protecting Hindu identity and traditions as the main identity of the Balinese people. Another study, in the city of Banda Aceh revealed that although the majority of the population is Muslim and implements Islamic Sharia, social relations with minority communities such as Buddhists, Christians, Catholics, and Hindus are peaceful and harmonious</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{"citationItems":[{"id":"ITEM-1","itemData":{"DOI":"10.1007/s12142-021-00645-x","ISBN":"1214202100645","ISSN":"18746306","abstract":"The Aceh Jinayat Qanun, which is often considered violating Human Rights, has become the choice of the non-Muslim minorities as their rational choice. This study aims to analyze non-Muslims’ choice of The Aceh Jinayat Qanun implemented by the Sharia Court in Aceh and its underlying motives. This study relies on field research involving observations, in-depth interviews with Sharia Court judges, Head of the Islamic Sharia Service, Acehnese clerical figures, and Non-Muslims involved in criminal cases handled by the Sharia Courts. This study also analyzes Sharia Court decisions on criminal cases involving non-Muslims and various related documents issued by the Sharia Courts, police, and prosecutors. The study was undertaken between July 2017 and March 2020. The study shows that the Acehnese non-Muslims do not select The Aceh Jinayat Qanun because of its religious values but based on practicality, efficiency, and socio-cultural consideration. The Sharia-based sentences, which have often been conceived as inhuman and violate fundamental human rights, are chosen and become the rational choice for non-Muslims in solving their legal issues. This paper concludes that the implementation of the Sharia on non-Muslim has not always been negative. This paper demonstrates non-Muslims’ interest to choose Sharia-based criminal justice or The Aceh Jinayat Qanun over the Criminal Code. This can be seen as their rational choice over a more efficient, low-cost, effective, and fast legal process offered by The Aceh Jinayat Qanun sentencing system.","author":[{"dropping-particle":"","family":"Halim","given":"Abdul","non-dropping-particle":"","parse-names":false,"suffix":""}],"container-title":"Human Rights Review","id":"ITEM-1","issue":"2","issued":{"date-parts":[["2022"]]},"page":"265-288","publisher":"Springer Netherlands","title":"Non-Muslims in the Qanun Jinayat and the Choice of Law in Sharia Courts in Aceh","type":"article-journal","volume":"23"},"uris":["http://www.mendeley.com/documents/?uuid=6884bda1-bc62-49a7-a073-1f0186772db0"]}],"mendeley":{"formattedCitation":"[12]","plainTextFormattedCitation":"[12]","previouslyFormattedCitation":"[13]"},"properties":{"noteIndex":0},"schema":"https://github.com/citation-style-language/schema/raw/master/csl-citation.json"}</w:instrText>
      </w:r>
      <w:r w:rsidR="00771F8B">
        <w:rPr>
          <w:rFonts w:ascii="Calibri Light" w:hAnsi="Calibri Light" w:cs="Calibri Light"/>
          <w:sz w:val="24"/>
          <w:szCs w:val="24"/>
        </w:rPr>
        <w:fldChar w:fldCharType="separate"/>
      </w:r>
      <w:r w:rsidR="00771F8B" w:rsidRPr="00771F8B">
        <w:rPr>
          <w:rFonts w:ascii="Calibri Light" w:hAnsi="Calibri Light" w:cs="Calibri Light"/>
          <w:noProof/>
          <w:sz w:val="24"/>
          <w:szCs w:val="24"/>
        </w:rPr>
        <w:t>[12]</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Religious minorities can conform to and respect the religious practices of the majority, while </w:t>
      </w:r>
      <w:proofErr w:type="gramStart"/>
      <w:r w:rsidRPr="00FE3E1B">
        <w:rPr>
          <w:rFonts w:ascii="Calibri Light" w:hAnsi="Calibri Light" w:cs="Calibri Light"/>
          <w:sz w:val="24"/>
          <w:szCs w:val="24"/>
        </w:rPr>
        <w:t>Muslims</w:t>
      </w:r>
      <w:proofErr w:type="gramEnd"/>
      <w:r w:rsidRPr="00FE3E1B">
        <w:rPr>
          <w:rFonts w:ascii="Calibri Light" w:hAnsi="Calibri Light" w:cs="Calibri Light"/>
          <w:sz w:val="24"/>
          <w:szCs w:val="24"/>
        </w:rPr>
        <w:t xml:space="preserve"> act as protectors for minority communities. </w:t>
      </w:r>
    </w:p>
    <w:p w14:paraId="15EA9A4A"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Many more studies on tolerance highlight the importance of religious tolerance in social practices of society</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{"citationItems":[{"id":"ITEM-1","itemData":{"DOI":"10.58812/wsiss.v2i02.839","ISSN":"3031-9080","abstract":"This qualitative study delves into the dynamics of religious tolerance within the diverse societal fabric of Indonesia, with a particular focus on Islamic perspectives. Through interviews with 10 informants representing various religious backgrounds, the research elucidates the role of Islam in fostering tolerance amidst religious diversity. Key themes emerge, highlighting Islamic teachings on tolerance, challenges to religious harmony, and strategies for promoting interfaith understanding. While Islam emphasizes principles of acceptance and coexistence, the study uncovers persistent challenges such as the politicization of religion and the influence of extremist ideologies. Nevertheless, the findings underscore the agency of individuals and communities in promoting religious tolerance through dialogue, education, and community engagement initiatives. Ultimately, the study contributes to a nuanced understanding of the interplay between Islam and religious tolerance in Indonesia, offering insights for fostering a culture of inclusivity and respect in diverse societies.","author":[{"dropping-particle":"","family":"Idris","given":"Muh","non-dropping-particle":"","parse-names":false,"suffix":""},{"dropping-particle":"","family":"Willya","given":"Evra","non-dropping-particle":"","parse-names":false,"suffix":""},{"dropping-particle":"","family":"Mokodenseho","given":"Sabil","non-dropping-particle":"","parse-names":false,"suffix":""}],"container-title":"West Science Islamic Studies","id":"ITEM-1","issue":"02","issued":{"date-parts":[["2024"]]},"page":"106-113","title":"Strengthening Religious Tolerance with Islamic Views in the Era of Diversity in Indonesia","type":"article-journal","volume":"2"},"uris":["http://www.mendeley.com/documents/?uuid=98ca7d59-7b85-499d-a0a6-c79549047b0f"]}],"mendeley":{"formattedCitation":"[13]","plainTextFormattedCitation":"[13]","previouslyFormattedCitation":"[14]"},"properties":{"noteIndex":0},"schema":"https://github.com/citation-style-language/schema/raw/master/csl-citation.json"}</w:instrText>
      </w:r>
      <w:r w:rsidR="00771F8B">
        <w:rPr>
          <w:rFonts w:ascii="Calibri Light" w:hAnsi="Calibri Light" w:cs="Calibri Light"/>
          <w:sz w:val="24"/>
          <w:szCs w:val="24"/>
        </w:rPr>
        <w:fldChar w:fldCharType="separate"/>
      </w:r>
      <w:r w:rsidR="00771F8B" w:rsidRPr="00771F8B">
        <w:rPr>
          <w:rFonts w:ascii="Calibri Light" w:hAnsi="Calibri Light" w:cs="Calibri Light"/>
          <w:noProof/>
          <w:sz w:val="24"/>
          <w:szCs w:val="24"/>
        </w:rPr>
        <w:t>[13]</w:t>
      </w:r>
      <w:r w:rsidR="00771F8B">
        <w:rPr>
          <w:rFonts w:ascii="Calibri Light" w:hAnsi="Calibri Light" w:cs="Calibri Light"/>
          <w:sz w:val="24"/>
          <w:szCs w:val="24"/>
        </w:rPr>
        <w:fldChar w:fldCharType="end"/>
      </w:r>
      <w:r w:rsidRPr="00FE3E1B">
        <w:rPr>
          <w:rFonts w:ascii="Calibri Light" w:hAnsi="Calibri Light" w:cs="Calibri Light"/>
          <w:sz w:val="24"/>
          <w:szCs w:val="24"/>
        </w:rPr>
        <w:t>. Despite the differences in beliefs between the majority and minorities, the local community shows mutual respect and cooperation in various social activities, reflecting harmony between religious communities.  Furthermore, in their study emphasized that the Qur'an provides guidance in responding to religious diversity, emphasizing the importance of tolerance and mutual respect between human beings</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{"citationItems":[{"id":"ITEM-1","itemData":{"DOI":"10.3390/rel14020212","ISSN":"20771444","abstract":"Societies are getting more diverse, with social issues increasing, necessitating the need to intensify efforts to promote tolerance and respect for diversity. In this study, we report the approach employed to redesign and evaluate a general education course to enhance students’ knowledge of tolerance and respect for diversity, drawing on Islamic values in the United Arab Emirates. In collecting and analyzing data for the study, we adopted a qualitative approach to explore students’ nuanced and reflective understanding and application of the key concepts taught in the course. We retrieved and thematically analyzed 40 transcripts from sixty-nine students’ reflective assignments. Our results indicate that students see the education process based on Islamic principles as a socialization means for shaping human life, caring for others, demonstrating compassion, and sharing knowledge, as essential to fostering tolerance. Drawing on our findings, we recommend carefully redesigning courses to strengthen students’ knowledge of tolerance and respect for diversity using the authentic learning approach. This includes engaging them in activities to link class tasks to real-life contexts, providing them with safe learning spaces, and encouraging them to learn with peers from different backgrounds.","author":[{"dropping-particle":"","family":"Aderibigbe","given":"Semiyu Adejare","non-dropping-particle":"","parse-names":false,"suffix":""},{"dropping-particle":"","family":"Idriz","given":"Mesut","non-dropping-particle":"","parse-names":false,"suffix":""},{"dropping-particle":"","family":"Alzouebi","given":"Khadeegha","non-dropping-particle":"","parse-names":false,"suffix":""},{"dropping-particle":"","family":"AlOthman","given":"Hussain","non-dropping-particle":"","parse-names":false,"suffix":""},{"dropping-particle":"","family":"Hamdi","given":"Wafa Barhoumi","non-dropping-particle":"","parse-names":false,"suffix":""},{"dropping-particle":"","family":"Companioni","given":"Assad Asil","non-dropping-particle":"","parse-names":false,"suffix":""}],"container-title":"Religions","id":"ITEM-1","issue":"2","issued":{"date-parts":[["2023"]]},"page":"1-16","title":"Fostering Tolerance and Respect for Diversity through the Fundamentals of Islamic Education","type":"article-journal","volume":"14"},"uris":["http://www.mendeley.com/documents/?uuid=b1981258-90f0-48a3-9341-987441ef64f6"]}],"mendeley":{"formattedCitation":"[14]","plainTextFormattedCitation":"[14]","previouslyFormattedCitation":"[15]"},"properties":{"noteIndex":0},"schema":"https://github.com/citation-style-language/schema/raw/master/csl-citation.json"}</w:instrText>
      </w:r>
      <w:r w:rsidR="00771F8B">
        <w:rPr>
          <w:rFonts w:ascii="Calibri Light" w:hAnsi="Calibri Light" w:cs="Calibri Light"/>
          <w:sz w:val="24"/>
          <w:szCs w:val="24"/>
        </w:rPr>
        <w:fldChar w:fldCharType="separate"/>
      </w:r>
      <w:r w:rsidR="00771F8B" w:rsidRPr="00771F8B">
        <w:rPr>
          <w:rFonts w:ascii="Calibri Light" w:hAnsi="Calibri Light" w:cs="Calibri Light"/>
          <w:noProof/>
          <w:sz w:val="24"/>
          <w:szCs w:val="24"/>
        </w:rPr>
        <w:t>[14]</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The relationship </w:t>
      </w:r>
      <w:r w:rsidRPr="00FE3E1B">
        <w:rPr>
          <w:rFonts w:ascii="Calibri Light" w:hAnsi="Calibri Light" w:cs="Calibri Light"/>
          <w:sz w:val="24"/>
          <w:szCs w:val="24"/>
        </w:rPr>
        <w:lastRenderedPageBreak/>
        <w:t>between the majority and minorities has complex dynamics, where minority communities often face challenges such as marginalization and discrimination. Therefore, the majority group needs to create inclusive spaces and protect the rights of minorities to build a just and peaceful society.  The study of the Indonesian Chinese community in Surabaya found that linguistic and social integration between the Chinese community and the majority through the use of the Javanese language contributes to wider social acceptance</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{"citationItems":[{"id":"ITEM-1","itemData":{"DOI":"10.1080/10670564.2016.1184895","ISSN":"1067-0564","author":[{"dropping-particle":"","family":"Setijadi","given":"Charlotte","non-dropping-particle":"","parse-names":false,"suffix":""}],"container-title":"Journal of Contemporary China","id":"ITEM-1","issue":"102","issued":{"date-parts":[["2016","11","1"]]},"note":"doi: 10.1080/10670564.2016.1184895","page":"822-835","publisher":"Routledge","title":"‘A Beautiful Bridge’: Chinese Indonesian Associations, Social Capital and Strategic Identification in a New Era of China–Indonesia Relations","type":"article-journal","volume":"25"},"uris":["http://www.mendeley.com/documents/?uuid=f148decf-31f8-4a13-bfc1-59fc69f055cf"]}],"mendeley":{"formattedCitation":"[15]","plainTextFormattedCitation":"[15]","previouslyFormattedCitation":"[16]"},"properties":{"noteIndex":0},"schema":"https://github.com/citation-style-language/schema/raw/master/csl-citation.json"}</w:instrText>
      </w:r>
      <w:r w:rsidR="00771F8B">
        <w:rPr>
          <w:rFonts w:ascii="Calibri Light" w:hAnsi="Calibri Light" w:cs="Calibri Light"/>
          <w:sz w:val="24"/>
          <w:szCs w:val="24"/>
        </w:rPr>
        <w:fldChar w:fldCharType="separate"/>
      </w:r>
      <w:r w:rsidR="00771F8B" w:rsidRPr="00771F8B">
        <w:rPr>
          <w:rFonts w:ascii="Calibri Light" w:hAnsi="Calibri Light" w:cs="Calibri Light"/>
          <w:noProof/>
          <w:sz w:val="24"/>
          <w:szCs w:val="24"/>
        </w:rPr>
        <w:t>[15]</w:t>
      </w:r>
      <w:r w:rsidR="00771F8B">
        <w:rPr>
          <w:rFonts w:ascii="Calibri Light" w:hAnsi="Calibri Light" w:cs="Calibri Light"/>
          <w:sz w:val="24"/>
          <w:szCs w:val="24"/>
        </w:rPr>
        <w:fldChar w:fldCharType="end"/>
      </w:r>
      <w:r w:rsidRPr="00FE3E1B">
        <w:rPr>
          <w:rFonts w:ascii="Calibri Light" w:hAnsi="Calibri Light" w:cs="Calibri Light"/>
          <w:sz w:val="24"/>
          <w:szCs w:val="24"/>
        </w:rPr>
        <w:t>. This fluid relationship shows that despite differences in identity, harmonious interactions can be established through mutual understanding and respect. The pattern of relationships between the majority and minority religions which includes conflict, accommodation, and harmonization. Despite differences in beliefs that can trigger conflicts, local communities can achieve accommodation through a mixture of customs and interfaith marriages, as well as building harmonious relationships through tolerance and cooperation in social activities.  Overall, these studies show that the relationship between religious minorities in Indonesia is greatly influenced by local contexts and local government policies. Factors such as policies to protect local cultural identities, the implementation of religious laws, and community initiatives in building tolerance play an important role in shaping the dynamics of inter-religious relations.</w:t>
      </w:r>
    </w:p>
    <w:p w14:paraId="642DCAD1"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This article is reviewed with an ethnographic study a set of methods involving direct, long-term engagement between the ethnographer and the individuals whose lives are the object of study</w:t>
      </w:r>
      <w:r w:rsidRPr="00FE3E1B">
        <w:rPr>
          <w:rStyle w:val="FootnoteReference"/>
          <w:rFonts w:ascii="Calibri Light" w:hAnsi="Calibri Light" w:cs="Calibri Light"/>
          <w:sz w:val="24"/>
          <w:szCs w:val="24"/>
        </w:rPr>
        <w:t xml:space="preserve"> </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{"citationItems":[{"id":"ITEM-1","itemData":{"DOI":"10.1007/978-3-031-19631-7_36","ISBN":"9783031196317","abstract":"Ethnographic analysis is a set of methods involving direct, long-term engagement between the ethnographer and the individuals whose lives are the object of study.","author":[{"dropping-particle":"","family":"FitzGerald","given":"David","non-dropping-particle":"","parse-names":false,"suffix":""}],"container-title":"Selected Topics in Migration Studies","id":"ITEM-1","issued":{"date-parts":[["2023"]]},"page":"207-211","title":"Ethnographic Analysis","type":"article-journal"},"uris":["http://www.mendeley.com/documents/?uuid=e5914386-c8d7-4dba-835d-3dc15a01bb15"]}],"mendeley":{"formattedCitation":"[16]","plainTextFormattedCitation":"[16]","previouslyFormattedCitation":"[11]"},"properties":{"noteIndex":0},"schema":"https://github.com/citation-style-language/schema/raw/master/csl-citation.json"}</w:instrText>
      </w:r>
      <w:r w:rsidR="00771F8B">
        <w:rPr>
          <w:rFonts w:ascii="Calibri Light" w:hAnsi="Calibri Light" w:cs="Calibri Light"/>
          <w:sz w:val="24"/>
          <w:szCs w:val="24"/>
        </w:rPr>
        <w:fldChar w:fldCharType="separate"/>
      </w:r>
      <w:r w:rsidR="00771F8B" w:rsidRPr="00771F8B">
        <w:rPr>
          <w:rFonts w:ascii="Calibri Light" w:hAnsi="Calibri Light" w:cs="Calibri Light"/>
          <w:noProof/>
          <w:sz w:val="24"/>
          <w:szCs w:val="24"/>
        </w:rPr>
        <w:t>[16]</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of the culture of tolerance in the cultural ecology of the people of the South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district, which will include an in-depth understanding of the interaction between various cultural elements in the area. The etymology of a culture of tolerance in this context refers to the ability of individuals and groups to accept differences and work together with people from different backgrounds without conflict. On the other hand, cultural ecology is an approach that considers the relationship between a society and its environment. In this context, the cultural ecology of the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community will consider how factors such as religion, culture, and the natural environment interact with each other and shape behavioral patterns and social structures.</w:t>
      </w:r>
    </w:p>
    <w:p w14:paraId="4BCAAE22" w14:textId="77777777" w:rsidR="008C45DE" w:rsidRPr="00FE3E1B" w:rsidRDefault="00FE3E1B" w:rsidP="00FE3E1B">
      <w:pPr>
        <w:jc w:val="both"/>
        <w:rPr>
          <w:rFonts w:ascii="Garamond" w:hAnsi="Garamond"/>
        </w:rPr>
      </w:pPr>
      <w:r w:rsidRPr="00FE3E1B">
        <w:rPr>
          <w:rFonts w:ascii="Calibri Light" w:hAnsi="Calibri Light" w:cs="Calibri Light"/>
          <w:sz w:val="24"/>
          <w:szCs w:val="24"/>
        </w:rPr>
        <w:t xml:space="preserve">This study also explores formal and informal strengthening factors that can be a tool to strengthen tolerance and harmony in </w:t>
      </w:r>
      <w:proofErr w:type="spellStart"/>
      <w:r w:rsidRPr="00FE3E1B">
        <w:rPr>
          <w:rFonts w:ascii="Calibri Light" w:hAnsi="Calibri Light" w:cs="Calibri Light"/>
          <w:sz w:val="24"/>
          <w:szCs w:val="24"/>
        </w:rPr>
        <w:t>Jombang's</w:t>
      </w:r>
      <w:proofErr w:type="spellEnd"/>
      <w:r w:rsidRPr="00FE3E1B">
        <w:rPr>
          <w:rFonts w:ascii="Calibri Light" w:hAnsi="Calibri Light" w:cs="Calibri Light"/>
          <w:sz w:val="24"/>
          <w:szCs w:val="24"/>
        </w:rPr>
        <w:t xml:space="preserve"> pluralistic society. This can involve analyzing the pattern of cultural ecological approaches of Islamic society, the role of religious education institutions, the role of religious leaders, and daily religious practices in shaping people's views and behaviors towards diversity. By understanding how Islam plays a role in the context of the plurality of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society, this article can contribute to the development of valuable insights for more inclusive and sustainable education and strengthen social cohesion in an increasingly diverse society</w:t>
      </w:r>
      <w:r>
        <w:rPr>
          <w:rFonts w:ascii="Calibri Light" w:hAnsi="Calibri Light" w:cs="Calibri Light"/>
          <w:sz w:val="24"/>
          <w:szCs w:val="24"/>
          <w:lang w:val="en"/>
        </w:rPr>
        <w:t>.</w:t>
      </w:r>
    </w:p>
    <w:p w14:paraId="39873202"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12964089"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r w:rsidR="00D26ADD" w:rsidRPr="00540F02">
        <w:rPr>
          <w:rFonts w:ascii="Calibri Light" w:hAnsi="Calibri Light" w:cs="Calibri Light"/>
          <w:b/>
          <w:color w:val="A6A6A6"/>
          <w:sz w:val="24"/>
          <w:szCs w:val="24"/>
        </w:rPr>
        <w:t>(</w:t>
      </w:r>
      <w:r w:rsidR="00540F02" w:rsidRPr="00540F02">
        <w:rPr>
          <w:rFonts w:ascii="Calibri Light" w:hAnsi="Calibri Light" w:cs="Calibri Light"/>
          <w:b/>
          <w:color w:val="A6A6A6"/>
          <w:sz w:val="24"/>
          <w:szCs w:val="24"/>
        </w:rPr>
        <w:t>Calibri Light</w:t>
      </w:r>
      <w:r w:rsidR="00D26ADD" w:rsidRPr="00540F02">
        <w:rPr>
          <w:rFonts w:ascii="Calibri Light" w:hAnsi="Calibri Light" w:cs="Calibri Light"/>
          <w:b/>
          <w:color w:val="A6A6A6"/>
          <w:sz w:val="24"/>
          <w:szCs w:val="24"/>
          <w:lang w:val="id-ID"/>
        </w:rPr>
        <w:t xml:space="preserve">, </w:t>
      </w:r>
      <w:r w:rsidR="00D26ADD" w:rsidRPr="00540F02">
        <w:rPr>
          <w:rFonts w:ascii="Calibri Light" w:hAnsi="Calibri Light" w:cs="Calibri Light"/>
          <w:b/>
          <w:color w:val="A6A6A6"/>
          <w:sz w:val="24"/>
          <w:szCs w:val="24"/>
        </w:rPr>
        <w:t>12 BOLD)</w:t>
      </w:r>
    </w:p>
    <w:p w14:paraId="29367806" w14:textId="77777777" w:rsidR="00FE3E1B" w:rsidRDefault="008C3DC2" w:rsidP="00FE3E1B">
      <w:pPr>
        <w:spacing w:after="160"/>
        <w:jc w:val="both"/>
        <w:rPr>
          <w:rFonts w:ascii="Calibri Light" w:hAnsi="Calibri Light" w:cs="Calibri Light"/>
          <w:sz w:val="24"/>
          <w:szCs w:val="24"/>
        </w:rPr>
      </w:pPr>
      <w:r w:rsidRPr="00122F5F">
        <w:rPr>
          <w:rFonts w:ascii="Calibri Light" w:hAnsi="Calibri Light" w:cs="Calibri Light"/>
          <w:sz w:val="24"/>
          <w:szCs w:val="24"/>
        </w:rPr>
        <w:t>T</w:t>
      </w:r>
      <w:r w:rsidRPr="00FE3E1B">
        <w:rPr>
          <w:rFonts w:ascii="Calibri Light" w:hAnsi="Calibri Light" w:cs="Calibri Light"/>
          <w:sz w:val="24"/>
          <w:szCs w:val="24"/>
        </w:rPr>
        <w:t>h</w:t>
      </w:r>
      <w:r w:rsidR="00FE3E1B">
        <w:rPr>
          <w:rFonts w:ascii="Calibri Light" w:hAnsi="Calibri Light" w:cs="Calibri Light"/>
          <w:sz w:val="24"/>
          <w:szCs w:val="24"/>
        </w:rPr>
        <w:t>e</w:t>
      </w:r>
      <w:r w:rsidR="00FE3E1B" w:rsidRPr="00FE3E1B">
        <w:rPr>
          <w:rFonts w:ascii="Calibri Light" w:hAnsi="Calibri Light" w:cs="Calibri Light"/>
          <w:sz w:val="24"/>
          <w:szCs w:val="24"/>
        </w:rPr>
        <w:t xml:space="preserve"> research method used in this study is qualitative with an ethnographic approach</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{"citationItems":[{"id":"ITEM-1","itemData":{"author":[{"dropping-particle":"","family":"Creswell","given":"John W.","non-dropping-particle":"","parse-names":false,"suffix":""}],"id":"ITEM-1","issued":{"date-parts":[["2018"]]},"number-of-pages":"273","publisher":"Sage Publication","publisher-place":"Thousand Oaks, CA","title":"Research Design Qualitative, Quantitative, and Mixed Methods Approach, 2nd ed","type":"book"},"uris":["http://www.mendeley.com/documents/?uuid=a3b7ee38-6c1d-4936-856a-f96198be88bc"]}],"mendeley":{"formattedCitation":"[17]","plainTextFormattedCitation":"[17]","previouslyFormattedCitation":"[17]"},"properties":{"noteIndex":0},"schema":"https://github.com/citation-style-language/schema/raw/master/csl-citation.json"}</w:instrText>
      </w:r>
      <w:r w:rsidR="00771F8B">
        <w:rPr>
          <w:rFonts w:ascii="Calibri Light" w:hAnsi="Calibri Light" w:cs="Calibri Light"/>
          <w:sz w:val="24"/>
          <w:szCs w:val="24"/>
        </w:rPr>
        <w:fldChar w:fldCharType="separate"/>
      </w:r>
      <w:r w:rsidR="00FE3E1B" w:rsidRPr="00FE3E1B">
        <w:rPr>
          <w:rFonts w:ascii="Calibri Light" w:hAnsi="Calibri Light" w:cs="Calibri Light"/>
          <w:noProof/>
          <w:sz w:val="24"/>
          <w:szCs w:val="24"/>
        </w:rPr>
        <w:t>[17]</w:t>
      </w:r>
      <w:r w:rsidR="00771F8B">
        <w:rPr>
          <w:rFonts w:ascii="Calibri Light" w:hAnsi="Calibri Light" w:cs="Calibri Light"/>
          <w:sz w:val="24"/>
          <w:szCs w:val="24"/>
        </w:rPr>
        <w:fldChar w:fldCharType="end"/>
      </w:r>
      <w:r w:rsidR="00FE3E1B" w:rsidRPr="00FE3E1B">
        <w:rPr>
          <w:rFonts w:ascii="Calibri Light" w:hAnsi="Calibri Light" w:cs="Calibri Light"/>
          <w:sz w:val="24"/>
          <w:szCs w:val="24"/>
        </w:rPr>
        <w:t xml:space="preserve">. This qualitative research aligns with the topic being researched because qualitative research is used to explore and understand the meaning that several individuals or groups of society consider to come from social or humanitarian problems. The ethnographic approach is highly suitable because ethnographic research is a qualitative research procedure designed to describe, analyze, and interpret group patterns from various cultures. This process involves examining behavior, beliefs, and language development over time through the collection of observational </w:t>
      </w:r>
      <w:r w:rsidR="00FE3E1B" w:rsidRPr="00FE3E1B">
        <w:rPr>
          <w:rFonts w:ascii="Calibri Light" w:hAnsi="Calibri Light" w:cs="Calibri Light"/>
          <w:sz w:val="24"/>
          <w:szCs w:val="24"/>
        </w:rPr>
        <w:lastRenderedPageBreak/>
        <w:t xml:space="preserve">data on the people of </w:t>
      </w:r>
      <w:proofErr w:type="spellStart"/>
      <w:r w:rsidR="00FE3E1B" w:rsidRPr="00FE3E1B">
        <w:rPr>
          <w:rFonts w:ascii="Calibri Light" w:hAnsi="Calibri Light" w:cs="Calibri Light"/>
          <w:sz w:val="24"/>
          <w:szCs w:val="24"/>
        </w:rPr>
        <w:t>Mojowarno</w:t>
      </w:r>
      <w:proofErr w:type="spellEnd"/>
      <w:r w:rsidR="00FE3E1B" w:rsidRPr="00FE3E1B">
        <w:rPr>
          <w:rFonts w:ascii="Calibri Light" w:hAnsi="Calibri Light" w:cs="Calibri Light"/>
          <w:sz w:val="24"/>
          <w:szCs w:val="24"/>
        </w:rPr>
        <w:t xml:space="preserve"> and Ngoro sub-districts, </w:t>
      </w:r>
      <w:proofErr w:type="spellStart"/>
      <w:r w:rsidR="00FE3E1B" w:rsidRPr="00FE3E1B">
        <w:rPr>
          <w:rFonts w:ascii="Calibri Light" w:hAnsi="Calibri Light" w:cs="Calibri Light"/>
          <w:sz w:val="24"/>
          <w:szCs w:val="24"/>
        </w:rPr>
        <w:t>Jombang</w:t>
      </w:r>
      <w:proofErr w:type="spellEnd"/>
      <w:r w:rsidR="00FE3E1B" w:rsidRPr="00FE3E1B">
        <w:rPr>
          <w:rFonts w:ascii="Calibri Light" w:hAnsi="Calibri Light" w:cs="Calibri Light"/>
          <w:sz w:val="24"/>
          <w:szCs w:val="24"/>
        </w:rPr>
        <w:t xml:space="preserve"> Regency. Observations are followed by in-depth interviews with informants, including families from different religious backgrounds, religious leaders, and leaders of community organizations in the two sub-districts. Additionally, the study strengthens its findings through historical document analysis and other related materials, focusing on identifying factors that influence the life processes of the </w:t>
      </w:r>
      <w:proofErr w:type="spellStart"/>
      <w:r w:rsidR="00FE3E1B" w:rsidRPr="00FE3E1B">
        <w:rPr>
          <w:rFonts w:ascii="Calibri Light" w:hAnsi="Calibri Light" w:cs="Calibri Light"/>
          <w:sz w:val="24"/>
          <w:szCs w:val="24"/>
        </w:rPr>
        <w:t>Jombang</w:t>
      </w:r>
      <w:proofErr w:type="spellEnd"/>
      <w:r w:rsidR="00FE3E1B" w:rsidRPr="00FE3E1B">
        <w:rPr>
          <w:rFonts w:ascii="Calibri Light" w:hAnsi="Calibri Light" w:cs="Calibri Light"/>
          <w:sz w:val="24"/>
          <w:szCs w:val="24"/>
        </w:rPr>
        <w:t xml:space="preserve"> people in the context of multicultural education.</w:t>
      </w:r>
    </w:p>
    <w:p w14:paraId="29A7571F" w14:textId="77777777" w:rsidR="00FE3E1B" w:rsidRPr="00FE3E1B" w:rsidRDefault="00FE3E1B" w:rsidP="00FE3E1B">
      <w:pPr>
        <w:spacing w:after="160"/>
        <w:jc w:val="both"/>
        <w:rPr>
          <w:rFonts w:ascii="Calibri Light" w:hAnsi="Calibri Light" w:cs="Calibri Light"/>
          <w:sz w:val="24"/>
          <w:szCs w:val="24"/>
        </w:rPr>
      </w:pPr>
      <w:r w:rsidRPr="00FE3E1B">
        <w:rPr>
          <w:rFonts w:ascii="Calibri Light" w:hAnsi="Calibri Light" w:cs="Calibri Light"/>
          <w:sz w:val="24"/>
          <w:szCs w:val="24"/>
        </w:rPr>
        <w:t>To ensure data validity and reliability, this research employs triangulation techniques, including methodological triangulation, source triangulation, and theoretical triangulation</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{"citationItems":[{"id":"ITEM-1","itemData":{"author":[{"dropping-particle":"","family":"Meydan","given":"Cem Harun","non-dropping-particle":"","parse-names":false,"suffix":""},{"dropping-particle":"","family":"Akkaş","given":"Handan","non-dropping-particle":"","parse-names":false,"suffix":""}],"container-title":"Principles of Conducting Qualitative Research in Multicultural Settings","id":"ITEM-1","issued":{"date-parts":[["2024"]]},"page":"98-129","publisher":"IGI Global","title":"The role of triangulation in qualitative research: Converging perspectives","type":"chapter"},"uris":["http://www.mendeley.com/documents/?uuid=f4a4b9f2-b366-4cd6-85c1-31b85ede52e5"]}],"mendeley":{"formattedCitation":"[18]","plainTextFormattedCitation":"[18]","previouslyFormattedCitation":"[18]"},"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[18]</w:t>
      </w:r>
      <w:r w:rsidR="00771F8B">
        <w:rPr>
          <w:rFonts w:ascii="Calibri Light" w:hAnsi="Calibri Light" w:cs="Calibri Light"/>
          <w:sz w:val="24"/>
          <w:szCs w:val="24"/>
        </w:rPr>
        <w:fldChar w:fldCharType="end"/>
      </w:r>
      <w:r w:rsidRPr="00FE3E1B">
        <w:rPr>
          <w:rFonts w:ascii="Calibri Light" w:hAnsi="Calibri Light" w:cs="Calibri Light"/>
          <w:sz w:val="24"/>
          <w:szCs w:val="24"/>
        </w:rPr>
        <w:t>. Methodological triangulation involves using multiple qualitative data collection methods, such as participant observation, interviews, and document analysis, to provide a comprehensive understanding of the research problem. Source triangulation is applied by obtaining information from various stakeholders, such as local religious leaders, educators, community leaders, and government representatives, to gain diverse perspectives. Theoretical triangulation is used by comparing findings with existing theories on multicultural education, religious pluralism, and social cohesion. These triangulation techniques help to enhance the credibility and trustworthiness of the research findings.</w:t>
      </w:r>
    </w:p>
    <w:p w14:paraId="13C60B0B" w14:textId="77777777" w:rsidR="00D26ADD" w:rsidRPr="00FE3E1B" w:rsidRDefault="00FE3E1B" w:rsidP="00FE3E1B">
      <w:pPr>
        <w:spacing w:after="160"/>
        <w:jc w:val="both"/>
      </w:pPr>
      <w:r w:rsidRPr="00FE3E1B">
        <w:rPr>
          <w:rFonts w:ascii="Calibri Light" w:hAnsi="Calibri Light" w:cs="Calibri Light"/>
          <w:sz w:val="24"/>
          <w:szCs w:val="24"/>
        </w:rPr>
        <w:t>Furthermore, data analysis follows the interactive model which consists of data collection, data condensation, data display, and conclusion drawing/verification. Data condensation is conducted by selecting, focusing, simplifying, and abstracting data from field notes and interview transcripts. The data display stage involves organizing the information into matrices, graphs, or thematic networks to facilitate interpretation</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ISSN":"1052-0147","author":[{"dropping-particle":"","family":"Kalpokaite","given":"Neringa","non-dropping-particle":"","parse-names":false,"suffix":""},{"dropping-particle":"","family":"Radivojevic","given":"Ivana","non-dropping-particle":"","parse-names":false,"suffix":""}],"container-title":"The Qualitative Report","id":"ITEM-1","issue":"13","issued":{"date-parts":[["2019"]]},"page":"44-57","title":"Demystifying qualitative data analysis for novice qualitative researchers","type":"article-journal","volume":"24"},"uris":["http://www.mendeley.com/documents/?uuid=d5ec1cd6-cb5b-45d4-931f-9f2b33e69a44"]}],"mendeley":{"formattedCitation":"[19]","plainTextFormattedCitation":"[19]","previouslyFormattedCitation":"[19]"},"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[19]</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Finally, conclusions are drawn by continuously verifying emerging patterns and ensuring consistency with theoretical frameworks. The combination of ethnographic observation, triangulation techniques, and rigorous data analysis methods ensures that the study provides a comprehensive and in-depth understanding of religious diversity and multicultural education in </w:t>
      </w:r>
      <w:proofErr w:type="spellStart"/>
      <w:r w:rsidRPr="00FE3E1B">
        <w:rPr>
          <w:rFonts w:ascii="Calibri Light" w:hAnsi="Calibri Light" w:cs="Calibri Light"/>
          <w:sz w:val="24"/>
          <w:szCs w:val="24"/>
        </w:rPr>
        <w:t>Mojowarno</w:t>
      </w:r>
      <w:proofErr w:type="spellEnd"/>
      <w:r w:rsidRPr="00FE3E1B">
        <w:rPr>
          <w:rFonts w:ascii="Calibri Light" w:hAnsi="Calibri Light" w:cs="Calibri Light"/>
          <w:sz w:val="24"/>
          <w:szCs w:val="24"/>
        </w:rPr>
        <w:t xml:space="preserve"> and Ngoro sub-districts</w:t>
      </w:r>
      <w:r w:rsidR="008C3DC2" w:rsidRPr="00122F5F">
        <w:rPr>
          <w:rFonts w:ascii="Calibri Light" w:hAnsi="Calibri Light" w:cs="Calibri Light"/>
          <w:sz w:val="24"/>
          <w:szCs w:val="24"/>
        </w:rPr>
        <w:t>.</w:t>
      </w:r>
      <w:r w:rsidR="00D26ADD" w:rsidRPr="00122F5F">
        <w:rPr>
          <w:rFonts w:ascii="Calibri Light" w:hAnsi="Calibri Light" w:cs="Calibri Light"/>
          <w:sz w:val="24"/>
          <w:szCs w:val="24"/>
        </w:rPr>
        <w:t xml:space="preserve"> </w:t>
      </w:r>
      <w:r w:rsidR="00003189" w:rsidRPr="00540F02">
        <w:rPr>
          <w:rFonts w:ascii="Calibri Light" w:hAnsi="Calibri Light" w:cs="Calibri Light"/>
          <w:color w:val="A6A6A6"/>
          <w:sz w:val="24"/>
          <w:szCs w:val="24"/>
        </w:rPr>
        <w:t>(</w:t>
      </w:r>
      <w:r w:rsidR="007816FC" w:rsidRPr="007816FC">
        <w:rPr>
          <w:rFonts w:ascii="Calibri Light" w:hAnsi="Calibri Light" w:cs="Calibri Light"/>
          <w:color w:val="A6A6A6"/>
          <w:sz w:val="24"/>
          <w:szCs w:val="24"/>
        </w:rPr>
        <w:t>Calibri Light</w:t>
      </w:r>
      <w:r w:rsidR="008C3DC2" w:rsidRPr="00122F5F">
        <w:rPr>
          <w:rFonts w:ascii="Calibri Light" w:hAnsi="Calibri Light" w:cs="Calibri Light"/>
          <w:color w:val="A6A6A6"/>
          <w:sz w:val="24"/>
          <w:szCs w:val="24"/>
        </w:rPr>
        <w:t>-</w:t>
      </w:r>
      <w:r w:rsidR="00003189" w:rsidRPr="00540F02">
        <w:rPr>
          <w:rFonts w:ascii="Calibri Light" w:hAnsi="Calibri Light" w:cs="Calibri Light"/>
          <w:color w:val="A6A6A6"/>
          <w:sz w:val="24"/>
          <w:szCs w:val="24"/>
        </w:rPr>
        <w:t>12)</w:t>
      </w:r>
    </w:p>
    <w:p w14:paraId="2FA2631D"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03C11945"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r w:rsidRPr="00540F02">
        <w:rPr>
          <w:rFonts w:ascii="Calibri Light" w:hAnsi="Calibri Light" w:cs="Calibri Light"/>
          <w:b/>
          <w:color w:val="A6A6A6"/>
          <w:sz w:val="24"/>
          <w:szCs w:val="24"/>
        </w:rPr>
        <w:t>(</w:t>
      </w:r>
      <w:r w:rsidR="00540F02" w:rsidRPr="00540F02">
        <w:rPr>
          <w:rFonts w:ascii="Calibri Light" w:hAnsi="Calibri Light" w:cs="Calibri Light"/>
          <w:b/>
          <w:color w:val="A6A6A6"/>
          <w:sz w:val="24"/>
          <w:szCs w:val="24"/>
        </w:rPr>
        <w:t>Calibri Light</w:t>
      </w:r>
      <w:r w:rsidRPr="00540F02">
        <w:rPr>
          <w:rFonts w:ascii="Calibri Light" w:hAnsi="Calibri Light" w:cs="Calibri Light"/>
          <w:b/>
          <w:color w:val="A6A6A6"/>
          <w:sz w:val="24"/>
          <w:szCs w:val="24"/>
          <w:lang w:val="id-ID"/>
        </w:rPr>
        <w:t xml:space="preserve">, </w:t>
      </w:r>
      <w:r w:rsidRPr="00540F02">
        <w:rPr>
          <w:rFonts w:ascii="Calibri Light" w:hAnsi="Calibri Light" w:cs="Calibri Light"/>
          <w:b/>
          <w:color w:val="A6A6A6"/>
          <w:sz w:val="24"/>
          <w:szCs w:val="24"/>
        </w:rPr>
        <w:t>12 BOLD)</w:t>
      </w:r>
    </w:p>
    <w:p w14:paraId="21F3155B" w14:textId="77777777" w:rsidR="00FE3E1B" w:rsidRDefault="00FE3E1B" w:rsidP="00FE3E1B">
      <w:pPr>
        <w:jc w:val="both"/>
        <w:rPr>
          <w:rFonts w:ascii="Calibri Light" w:hAnsi="Calibri Light" w:cs="Calibri Light"/>
          <w:b/>
          <w:bCs/>
          <w:sz w:val="24"/>
          <w:szCs w:val="24"/>
        </w:rPr>
      </w:pPr>
      <w:r w:rsidRPr="00FE3E1B">
        <w:rPr>
          <w:rFonts w:ascii="Calibri Light" w:hAnsi="Calibri Light" w:cs="Calibri Light"/>
          <w:b/>
          <w:bCs/>
          <w:sz w:val="24"/>
          <w:szCs w:val="24"/>
        </w:rPr>
        <w:t xml:space="preserve">Adhesive Factors for Community Social Cohesion in the Perspective of Multicultural Education </w:t>
      </w:r>
    </w:p>
    <w:p w14:paraId="0586FAC3" w14:textId="77777777" w:rsidR="00FE3E1B" w:rsidRPr="00FE3E1B" w:rsidRDefault="00FE3E1B" w:rsidP="00FE3E1B">
      <w:pPr>
        <w:jc w:val="both"/>
        <w:rPr>
          <w:rFonts w:ascii="Calibri Light" w:hAnsi="Calibri Light" w:cs="Calibri Light"/>
          <w:b/>
          <w:bCs/>
          <w:sz w:val="24"/>
          <w:szCs w:val="24"/>
        </w:rPr>
      </w:pPr>
    </w:p>
    <w:p w14:paraId="264EAEE2" w14:textId="77777777" w:rsidR="00FE3E1B" w:rsidRPr="00FE3E1B" w:rsidRDefault="00FE3E1B" w:rsidP="00FE3E1B">
      <w:pPr>
        <w:pStyle w:val="ListParagraph"/>
        <w:shd w:val="clear" w:color="auto" w:fill="FFFFFF"/>
        <w:spacing w:after="0" w:line="240" w:lineRule="auto"/>
        <w:ind w:left="0"/>
        <w:jc w:val="both"/>
        <w:rPr>
          <w:rFonts w:ascii="Calibri Light" w:hAnsi="Calibri Light" w:cs="Calibri Light"/>
          <w:bCs/>
          <w:sz w:val="24"/>
          <w:szCs w:val="24"/>
        </w:rPr>
      </w:pPr>
      <w:r w:rsidRPr="00FE3E1B">
        <w:rPr>
          <w:rFonts w:ascii="Calibri Light" w:hAnsi="Calibri Light" w:cs="Calibri Light"/>
          <w:bCs/>
          <w:sz w:val="24"/>
          <w:szCs w:val="24"/>
        </w:rPr>
        <w:t xml:space="preserve">In the findings of this study, the social cohesion of the Jombang community can be used as a starting point in dissecting the empirical field at the research site with the theory of cohesiveness (wholeness, cohesiveness) is a strength, both positive and negative, that causes its members to remain in the group. Cohesion is a force, both positive and negative, that causes members to stay in the group. However, etymologically cohesion means the ability of a group to come together. Social cohesion is often characterized by social closeness </w:t>
      </w:r>
      <w:r w:rsidRPr="00FE3E1B">
        <w:rPr>
          <w:rFonts w:ascii="Calibri Light" w:hAnsi="Calibri Light" w:cs="Calibri Light"/>
          <w:bCs/>
          <w:sz w:val="24"/>
          <w:szCs w:val="24"/>
        </w:rPr>
        <w:fldChar w:fldCharType="begin" w:fldLock="1"/>
      </w:r>
      <w:r w:rsidRPr="00FE3E1B">
        <w:rPr>
          <w:rFonts w:ascii="Calibri Light" w:hAnsi="Calibri Light" w:cs="Calibri Light"/>
          <w:bCs/>
          <w:sz w:val="24"/>
          <w:szCs w:val="24"/>
        </w:rPr>
        <w:instrText>ADDIN CSL_CITATION {"citationItems":[{"id":"ITEM-1","itemData":{"DOI":"10.1007/s11577-023-00891-6","ISSN":"1861891X","abstract":"Although social integration has always been a central sociological issue, there has never been a consensus how to approach the topic empirically. In the new millennium, social cohesion has emerged as a lead concept for measuring how integrated societies are—not the least, because many observers see the social fabric of modern-day societies in deep crisis. Consequently, scholars and think tanks have intensified their efforts to chart how strong the social glue of contemporary societies is, as well as which conditions strengthen or weaken it. The main goal of our article is to provide an overview of measures of social cohesion that have been specifically designed for cross-national comparisons. To this end, we compare selected measures with respect to what they measure, how, and for what purpose. We then highlight key empirical insights gained by these measures, touching upon the issues of levels, regimes, as well as determinants and outcomes of social cohesion. The review concludes that one of the measures, the Bertelsmann Social Cohesion Radar, stands out in terms of conceptual clarity, methodological sophistication, and richness of empirical findings.","author":[{"dropping-particle":"","family":"Delhey","given":"Jan","non-dropping-particle":"","parse-names":false,"suffix":""},{"dropping-particle":"","family":"Dragolov","given":"Georgi","non-dropping-particle":"","parse-names":false,"suffix":""},{"dropping-particle":"","family":"Boehnke","given":"Klaus","non-dropping-particle":"","parse-names":false,"suffix":""}],"container-title":"Kolner Zeitschrift fur Soziologie und Sozialpsychologie","id":"ITEM-1","issued":{"date-parts":[["2022"]]},"page":"95-120","title":"Social Cohesion in International Comparison: A Review of Key Measures and Findings","type":"article-journal","volume":"75"},"uris":["http://www.mendeley.com/documents/?uuid=48128a29-0884-411d-b5ae-03e9d2750fbf"]}],"mendeley":{"formattedCitation":"[7]","plainTextFormattedCitation":"[7]","previouslyFormattedCitation":"[7]"},"properties":{"noteIndex":0},"schema":"https://github.com/citation-style-language/schema/raw/master/csl-citation.json"}</w:instrText>
      </w:r>
      <w:r w:rsidRPr="00FE3E1B">
        <w:rPr>
          <w:rFonts w:ascii="Calibri Light" w:hAnsi="Calibri Light" w:cs="Calibri Light"/>
          <w:bCs/>
          <w:sz w:val="24"/>
          <w:szCs w:val="24"/>
        </w:rPr>
        <w:fldChar w:fldCharType="separate"/>
      </w:r>
      <w:r w:rsidRPr="00FE3E1B">
        <w:rPr>
          <w:rFonts w:ascii="Calibri Light" w:hAnsi="Calibri Light" w:cs="Calibri Light"/>
          <w:bCs/>
          <w:sz w:val="24"/>
          <w:szCs w:val="24"/>
        </w:rPr>
        <w:t>[7]</w:t>
      </w:r>
      <w:r w:rsidRPr="00FE3E1B">
        <w:rPr>
          <w:rFonts w:ascii="Calibri Light" w:hAnsi="Calibri Light" w:cs="Calibri Light"/>
          <w:bCs/>
          <w:sz w:val="24"/>
          <w:szCs w:val="24"/>
        </w:rPr>
        <w:fldChar w:fldCharType="end"/>
      </w:r>
      <w:r w:rsidRPr="00FE3E1B">
        <w:rPr>
          <w:rFonts w:ascii="Calibri Light" w:hAnsi="Calibri Light" w:cs="Calibri Light"/>
          <w:bCs/>
          <w:sz w:val="24"/>
          <w:szCs w:val="24"/>
        </w:rPr>
        <w:t xml:space="preserve">. In the great sociological theory of social closeness, we know the term solidarity, and this is what is currently happening to the people of Jombang as an object of research. </w:t>
      </w:r>
    </w:p>
    <w:p w14:paraId="3397D5BD" w14:textId="77777777" w:rsidR="00FE3E1B" w:rsidRPr="00FE3E1B" w:rsidRDefault="00FE3E1B" w:rsidP="00FE3E1B">
      <w:pPr>
        <w:pStyle w:val="ListParagraph"/>
        <w:shd w:val="clear" w:color="auto" w:fill="FFFFFF"/>
        <w:spacing w:line="240" w:lineRule="auto"/>
        <w:ind w:left="0" w:firstLine="720"/>
        <w:jc w:val="both"/>
        <w:rPr>
          <w:rFonts w:ascii="Calibri Light" w:hAnsi="Calibri Light" w:cs="Calibri Light"/>
          <w:bCs/>
          <w:sz w:val="24"/>
          <w:szCs w:val="24"/>
        </w:rPr>
      </w:pPr>
      <w:r w:rsidRPr="00FE3E1B">
        <w:rPr>
          <w:rFonts w:ascii="Calibri Light" w:hAnsi="Calibri Light" w:cs="Calibri Light"/>
          <w:bCs/>
          <w:sz w:val="24"/>
          <w:szCs w:val="24"/>
        </w:rPr>
        <w:t>As said by the Chairman of FKUB Jombang Munif Kusnan</w:t>
      </w:r>
    </w:p>
    <w:p w14:paraId="62EF91FE" w14:textId="77777777" w:rsidR="00FE3E1B" w:rsidRPr="00FE3E1B" w:rsidRDefault="00FE3E1B" w:rsidP="00FE3E1B">
      <w:pPr>
        <w:pStyle w:val="ListParagraph"/>
        <w:shd w:val="clear" w:color="auto" w:fill="FFFFFF"/>
        <w:spacing w:line="240" w:lineRule="auto"/>
        <w:ind w:left="567" w:right="804" w:firstLine="153"/>
        <w:jc w:val="both"/>
        <w:rPr>
          <w:rFonts w:ascii="Calibri Light" w:hAnsi="Calibri Light" w:cs="Calibri Light"/>
          <w:bCs/>
          <w:sz w:val="24"/>
          <w:szCs w:val="24"/>
        </w:rPr>
      </w:pPr>
      <w:r w:rsidRPr="00FE3E1B">
        <w:rPr>
          <w:rFonts w:ascii="Calibri Light" w:hAnsi="Calibri Light" w:cs="Calibri Light"/>
          <w:bCs/>
          <w:sz w:val="24"/>
          <w:szCs w:val="24"/>
        </w:rPr>
        <w:t xml:space="preserve">“As the majority of Muslims, the people of Jombang are diverse, because indeed Jombang is green, some are very religious, and there are ordinary people who do not understand religion. There are many Islamic boarding schools as a </w:t>
      </w:r>
      <w:r w:rsidRPr="00FE3E1B">
        <w:rPr>
          <w:rFonts w:ascii="Calibri Light" w:hAnsi="Calibri Light" w:cs="Calibri Light"/>
          <w:bCs/>
          <w:sz w:val="24"/>
          <w:szCs w:val="24"/>
        </w:rPr>
        <w:lastRenderedPageBreak/>
        <w:t>place to seek religious knowledge from various regions in Indonesia, besides that here also stands the oldest church in East Java. Various people live side by side in this district almost without any hostility in the community”</w:t>
      </w:r>
    </w:p>
    <w:p w14:paraId="1BC0B16A" w14:textId="77777777" w:rsidR="00FE3E1B" w:rsidRPr="00FE3E1B" w:rsidRDefault="00FE3E1B" w:rsidP="00FE3E1B">
      <w:pPr>
        <w:pStyle w:val="ListParagraph"/>
        <w:shd w:val="clear" w:color="auto" w:fill="FFFFFF"/>
        <w:spacing w:after="0" w:line="240" w:lineRule="auto"/>
        <w:ind w:left="0"/>
        <w:jc w:val="both"/>
        <w:rPr>
          <w:rFonts w:ascii="Calibri Light" w:hAnsi="Calibri Light" w:cs="Calibri Light"/>
          <w:bCs/>
          <w:sz w:val="24"/>
          <w:szCs w:val="24"/>
        </w:rPr>
      </w:pPr>
      <w:r w:rsidRPr="00FE3E1B">
        <w:rPr>
          <w:rFonts w:ascii="Calibri Light" w:hAnsi="Calibri Light" w:cs="Calibri Light"/>
          <w:bCs/>
          <w:sz w:val="24"/>
          <w:szCs w:val="24"/>
        </w:rPr>
        <w:t>This historical review of the interaction between Islam and local culture has been widely discussed. In this case, there are many discussions from various regions</w:t>
      </w:r>
      <w:r w:rsidR="00771F8B">
        <w:rPr>
          <w:rFonts w:ascii="Calibri Light" w:hAnsi="Calibri Light" w:cs="Calibri Light"/>
          <w:bCs/>
          <w:sz w:val="24"/>
          <w:szCs w:val="24"/>
        </w:rPr>
        <w:fldChar w:fldCharType="begin" w:fldLock="1"/>
      </w:r>
      <w:r w:rsidR="00771F8B">
        <w:rPr>
          <w:rFonts w:ascii="Calibri Light" w:hAnsi="Calibri Light" w:cs="Calibri Light"/>
          <w:bCs/>
          <w:sz w:val="24"/>
          <w:szCs w:val="24"/>
        </w:rPr>
        <w:instrText>ADDIN CSL_CITATION {"citationItems":[{"id":"ITEM-1","itemData":{"DOI":"10.15642/JIIS.2019.13.2.326-349","ISSN":"23556994","abstract":"Religion and culture are inextricably connected like two sides of the same coin because in understanding the religion properly often requires knowing the culture that shaped it, and vice versa. This paper reports on the research of how Islam has interacted with Balinese Hinduism for several hundred years. Using historical-anthropological study with a phenomenological approach, this study has revealed that religious traditions practiced by Balinese Muslims are identical to the Hinduism-based local culture. It means that the existence of local culture in Bali highly influences Islamic practices, which are certainly distinct from those in the Middle East, especially Saudi of Arabia, as the cradle of Islam. The expressions of Islam are resulted from the dialogue between Islamic traditions with local culture, Hindu tradition in particular, which shapes Balinese’s distinctive Islamic identity that is more progressive, tolerant, and egalitarian.","author":[{"dropping-particle":"","family":"Basyir","given":"Kunawi","non-dropping-particle":"","parse-names":false,"suffix":""}],"container-title":"Journal of Indonesian Islam","id":"ITEM-1","issue":"2","issued":{"date-parts":[["2019"]]},"page":"326-349","title":"The “acculturative islam” as a type of home-grown islamic tradition religion and local culture in bali1","type":"article-journal","volume":"13"},"uris":["http://www.mendeley.com/documents/?uuid=a84f9cbe-c4e3-49dc-8ff1-94a62d10484a"]}],"mendeley":{"formattedCitation":"[20]","plainTextFormattedCitation":"[20]","previouslyFormattedCitation":"[20]"},"properties":{"noteIndex":0},"schema":"https://github.com/citation-style-language/schema/raw/master/csl-citation.json"}</w:instrText>
      </w:r>
      <w:r w:rsidR="00771F8B">
        <w:rPr>
          <w:rFonts w:ascii="Calibri Light" w:hAnsi="Calibri Light" w:cs="Calibri Light"/>
          <w:bCs/>
          <w:sz w:val="24"/>
          <w:szCs w:val="24"/>
        </w:rPr>
        <w:fldChar w:fldCharType="separate"/>
      </w:r>
      <w:r w:rsidRPr="00FE3E1B">
        <w:rPr>
          <w:rFonts w:ascii="Calibri Light" w:hAnsi="Calibri Light" w:cs="Calibri Light"/>
          <w:sz w:val="24"/>
          <w:szCs w:val="24"/>
        </w:rPr>
        <w:t>[20]</w:t>
      </w:r>
      <w:r w:rsidR="00771F8B">
        <w:rPr>
          <w:rFonts w:ascii="Calibri Light" w:hAnsi="Calibri Light" w:cs="Calibri Light"/>
          <w:bCs/>
          <w:sz w:val="24"/>
          <w:szCs w:val="24"/>
        </w:rPr>
        <w:fldChar w:fldCharType="end"/>
      </w:r>
      <w:r w:rsidRPr="00FE3E1B">
        <w:rPr>
          <w:rFonts w:ascii="Calibri Light" w:hAnsi="Calibri Light" w:cs="Calibri Light"/>
          <w:bCs/>
          <w:sz w:val="24"/>
          <w:szCs w:val="24"/>
        </w:rPr>
        <w:t xml:space="preserve"> that highlight it from the perspective of the Balinese people. The theory of solidarity was popularized by Emile Durkheim (1858-1917), and divided this solidarity into two, namely mechanical and organic. Mechanical solidarity is the social integration of members of society who share the same values and beliefs, and religious values are key to this model of solidarity</w:t>
      </w:r>
      <w:r w:rsidR="00771F8B">
        <w:rPr>
          <w:rFonts w:ascii="Calibri Light" w:hAnsi="Calibri Light" w:cs="Calibri Light"/>
          <w:bCs/>
          <w:sz w:val="24"/>
          <w:szCs w:val="24"/>
        </w:rPr>
        <w:fldChar w:fldCharType="begin" w:fldLock="1"/>
      </w:r>
      <w:r w:rsidR="00771F8B">
        <w:rPr>
          <w:rFonts w:ascii="Calibri Light" w:hAnsi="Calibri Light" w:cs="Calibri Light"/>
          <w:bCs/>
          <w:sz w:val="24"/>
          <w:szCs w:val="24"/>
        </w:rPr>
        <w:instrText>ADDIN CSL_CITATION {"citationItems":[{"id":"ITEM-1","itemData":{"author":[{"dropping-particle":"","family":"Supriyanto","given":"","non-dropping-particle":"","parse-names":false,"suffix":""}],"id":"ITEM-1","issue":"2","issued":{"date-parts":[["2024"]]},"page":"1-8","title":"Religion and Its Position in the Society: A Critical Study on Rudolf Carnap’s Thoughts","type":"article-journal","volume":"19"},"uris":["http://www.mendeley.com/documents/?uuid=7e47640e-7701-4441-83dd-222e506dd8e8"]}],"mendeley":{"formattedCitation":"[21]","plainTextFormattedCitation":"[21]","previouslyFormattedCitation":"[21]"},"properties":{"noteIndex":0},"schema":"https://github.com/citation-style-language/schema/raw/master/csl-citation.json"}</w:instrText>
      </w:r>
      <w:r w:rsidR="00771F8B">
        <w:rPr>
          <w:rFonts w:ascii="Calibri Light" w:hAnsi="Calibri Light" w:cs="Calibri Light"/>
          <w:bCs/>
          <w:sz w:val="24"/>
          <w:szCs w:val="24"/>
        </w:rPr>
        <w:fldChar w:fldCharType="separate"/>
      </w:r>
      <w:r w:rsidRPr="00FE3E1B">
        <w:rPr>
          <w:rFonts w:ascii="Calibri Light" w:hAnsi="Calibri Light" w:cs="Calibri Light"/>
          <w:sz w:val="24"/>
          <w:szCs w:val="24"/>
        </w:rPr>
        <w:t>[21]</w:t>
      </w:r>
      <w:r w:rsidR="00771F8B">
        <w:rPr>
          <w:rFonts w:ascii="Calibri Light" w:hAnsi="Calibri Light" w:cs="Calibri Light"/>
          <w:bCs/>
          <w:sz w:val="24"/>
          <w:szCs w:val="24"/>
        </w:rPr>
        <w:fldChar w:fldCharType="end"/>
      </w:r>
      <w:r w:rsidRPr="00FE3E1B">
        <w:rPr>
          <w:rFonts w:ascii="Calibri Light" w:hAnsi="Calibri Light" w:cs="Calibri Light"/>
          <w:bCs/>
          <w:sz w:val="24"/>
          <w:szCs w:val="24"/>
        </w:rPr>
        <w:t xml:space="preserve">. The people of Jombang are classified as this solidarity.  These common values and beliefs are the "collective conscience" that works internally within the individual members that cause them to work together. Since, in Durkheim's view, the force that causes members of society to work together is like the internal energy that causes molecules to fuse in solids, he draws on the terminology of physics in coining the term mechanical solidarity. </w:t>
      </w:r>
    </w:p>
    <w:p w14:paraId="4A62F7D0" w14:textId="77777777" w:rsidR="00FE3E1B" w:rsidRPr="00FE3E1B" w:rsidRDefault="00FE3E1B" w:rsidP="00FE3E1B">
      <w:pPr>
        <w:pStyle w:val="ListParagraph"/>
        <w:shd w:val="clear" w:color="auto" w:fill="FFFFFF"/>
        <w:spacing w:after="0" w:line="240" w:lineRule="auto"/>
        <w:ind w:left="0"/>
        <w:jc w:val="both"/>
        <w:rPr>
          <w:rFonts w:ascii="Calibri Light" w:hAnsi="Calibri Light" w:cs="Calibri Light"/>
          <w:bCs/>
          <w:sz w:val="24"/>
          <w:szCs w:val="24"/>
        </w:rPr>
      </w:pPr>
      <w:r w:rsidRPr="00FE3E1B">
        <w:rPr>
          <w:rFonts w:ascii="Calibri Light" w:hAnsi="Calibri Light" w:cs="Calibri Light"/>
          <w:bCs/>
          <w:sz w:val="24"/>
          <w:szCs w:val="24"/>
        </w:rPr>
        <w:t>The organic solidarity model, on the other hand, is a social integration that arises from the needs of individuals for the same services as another. In a society characterized by organic solidarity, there is a comparatively greater division of labour, with individuals functioning like interdependent but distinct organs. Society relies less on the application of uniform rules for all people and more on regulating the relationship between different groups and people, often through the use of contracts and common legal rules</w:t>
      </w:r>
      <w:r w:rsidR="00771F8B">
        <w:rPr>
          <w:rFonts w:ascii="Calibri Light" w:hAnsi="Calibri Light" w:cs="Calibri Light"/>
          <w:bCs/>
          <w:sz w:val="24"/>
          <w:szCs w:val="24"/>
        </w:rPr>
        <w:fldChar w:fldCharType="begin" w:fldLock="1"/>
      </w:r>
      <w:r w:rsidR="00771F8B">
        <w:rPr>
          <w:rFonts w:ascii="Calibri Light" w:hAnsi="Calibri Light" w:cs="Calibri Light"/>
          <w:bCs/>
          <w:sz w:val="24"/>
          <w:szCs w:val="24"/>
        </w:rPr>
        <w:instrText>ADDIN CSL_CITATION {"citationItems":[{"id":"ITEM-1","itemData":{"author":[{"dropping-particle":"","family":"Britannica","given":"The Editors of Encyclopaedia.","non-dropping-particle":"","parse-names":false,"suffix":""}],"container-title":"Encyclopedia Britannica,","id":"ITEM-1","issued":{"date-parts":[["2010"]]},"title":"Mechanical and organic solidarity\"","type":"article-journal"},"uris":["http://www.mendeley.com/documents/?uuid=97b804b4-425c-4791-9ac8-bb782a4f6518"]}],"mendeley":{"formattedCitation":"[22]","plainTextFormattedCitation":"[22]","previouslyFormattedCitation":"[22]"},"properties":{"noteIndex":0},"schema":"https://github.com/citation-style-language/schema/raw/master/csl-citation.json"}</w:instrText>
      </w:r>
      <w:r w:rsidR="00771F8B">
        <w:rPr>
          <w:rFonts w:ascii="Calibri Light" w:hAnsi="Calibri Light" w:cs="Calibri Light"/>
          <w:bCs/>
          <w:sz w:val="24"/>
          <w:szCs w:val="24"/>
        </w:rPr>
        <w:fldChar w:fldCharType="separate"/>
      </w:r>
      <w:r w:rsidRPr="00FE3E1B">
        <w:rPr>
          <w:rFonts w:ascii="Calibri Light" w:hAnsi="Calibri Light" w:cs="Calibri Light"/>
          <w:bCs/>
          <w:sz w:val="24"/>
          <w:szCs w:val="24"/>
        </w:rPr>
        <w:t>[22]</w:t>
      </w:r>
      <w:r w:rsidR="00771F8B">
        <w:rPr>
          <w:rFonts w:ascii="Calibri Light" w:hAnsi="Calibri Light" w:cs="Calibri Light"/>
          <w:bCs/>
          <w:sz w:val="24"/>
          <w:szCs w:val="24"/>
        </w:rPr>
        <w:fldChar w:fldCharType="end"/>
      </w:r>
      <w:r w:rsidRPr="00FE3E1B">
        <w:rPr>
          <w:rFonts w:ascii="Calibri Light" w:hAnsi="Calibri Light" w:cs="Calibri Light"/>
          <w:bCs/>
          <w:sz w:val="24"/>
          <w:szCs w:val="24"/>
        </w:rPr>
        <w:t>. In solidarity, there is an element of interaction between individuals. This theory of interaction was further initiated by George Harbert Mead (1863-1931) and is based on the basic idea that forms the meaning that comes from the human mind, about the self  and its relationship during social interaction, and the ultimate goal to mediate and interpret the meaning that exists in the community (Society) where each person lives</w:t>
      </w:r>
      <w:r w:rsidR="00771F8B">
        <w:rPr>
          <w:rFonts w:ascii="Calibri Light" w:hAnsi="Calibri Light" w:cs="Calibri Light"/>
          <w:bCs/>
          <w:sz w:val="24"/>
          <w:szCs w:val="24"/>
        </w:rPr>
        <w:fldChar w:fldCharType="begin" w:fldLock="1"/>
      </w:r>
      <w:r w:rsidR="00771F8B">
        <w:rPr>
          <w:rFonts w:ascii="Calibri Light" w:hAnsi="Calibri Light" w:cs="Calibri Light"/>
          <w:bCs/>
          <w:sz w:val="24"/>
          <w:szCs w:val="24"/>
        </w:rPr>
        <w:instrText>ADDIN CSL_CITATION {"citationItems":[{"id":"ITEM-1","itemData":{"author":[{"dropping-particle":"","family":"Ardianto","given":"Elvinaro","non-dropping-particle":"","parse-names":false,"suffix":""}],"id":"ITEM-1","issued":{"date-parts":[["2017"]]},"publisher":"Bandung: Simbiosa Rekatama Media","publisher-place":"Bandung","title":"Filsafat Ilmu Komunikasi","type":"book"},"uris":["http://www.mendeley.com/documents/?uuid=9d94cf79-aaca-4db8-9677-91976f95e04c"]}],"mendeley":{"formattedCitation":"[23]","plainTextFormattedCitation":"[23]","previouslyFormattedCitation":"[23]"},"properties":{"noteIndex":0},"schema":"https://github.com/citation-style-language/schema/raw/master/csl-citation.json"}</w:instrText>
      </w:r>
      <w:r w:rsidR="00771F8B">
        <w:rPr>
          <w:rFonts w:ascii="Calibri Light" w:hAnsi="Calibri Light" w:cs="Calibri Light"/>
          <w:bCs/>
          <w:sz w:val="24"/>
          <w:szCs w:val="24"/>
        </w:rPr>
        <w:fldChar w:fldCharType="separate"/>
      </w:r>
      <w:r w:rsidRPr="00FE3E1B">
        <w:rPr>
          <w:rFonts w:ascii="Calibri Light" w:hAnsi="Calibri Light" w:cs="Calibri Light"/>
          <w:bCs/>
          <w:sz w:val="24"/>
          <w:szCs w:val="24"/>
        </w:rPr>
        <w:t>[23]</w:t>
      </w:r>
      <w:r w:rsidR="00771F8B">
        <w:rPr>
          <w:rFonts w:ascii="Calibri Light" w:hAnsi="Calibri Light" w:cs="Calibri Light"/>
          <w:bCs/>
          <w:sz w:val="24"/>
          <w:szCs w:val="24"/>
        </w:rPr>
        <w:fldChar w:fldCharType="end"/>
      </w:r>
      <w:r w:rsidRPr="00FE3E1B">
        <w:rPr>
          <w:rFonts w:ascii="Calibri Light" w:hAnsi="Calibri Light" w:cs="Calibri Light"/>
          <w:bCs/>
          <w:sz w:val="24"/>
          <w:szCs w:val="24"/>
        </w:rPr>
        <w:t xml:space="preserve">. Broadly speaking, this theory has three basic ideas. Namely, the mind, self, and society </w:t>
      </w:r>
      <w:r w:rsidR="00771F8B">
        <w:rPr>
          <w:rFonts w:ascii="Calibri Light" w:hAnsi="Calibri Light" w:cs="Calibri Light"/>
          <w:bCs/>
          <w:sz w:val="24"/>
          <w:szCs w:val="24"/>
        </w:rPr>
        <w:fldChar w:fldCharType="begin" w:fldLock="1"/>
      </w:r>
      <w:r w:rsidR="00771F8B">
        <w:rPr>
          <w:rFonts w:ascii="Calibri Light" w:hAnsi="Calibri Light" w:cs="Calibri Light"/>
          <w:bCs/>
          <w:sz w:val="24"/>
          <w:szCs w:val="24"/>
        </w:rPr>
        <w:instrText>ADDIN CSL_CITATION {"citationItems":[{"id":"ITEM-1","itemData":{"author":[{"dropping-particle":"","family":"West","given":"Richard","non-dropping-particle":"","parse-names":false,"suffix":""},{"dropping-particle":"","family":"Turner","given":"Lynn H","non-dropping-particle":"","parse-names":false,"suffix":""}],"edition":"3","id":"ITEM-1","issued":{"date-parts":[["2008"]]},"number-of-pages":"99","publisher":"Salemba Humanika","publisher-place":"Jakarta","title":"Pengantar Teori Komunikasi Analisis dan Aplikasi","type":"book"},"uris":["http://www.mendeley.com/documents/?uuid=39007830-866f-44e9-9199-a73ce35aad82"]}],"mendeley":{"formattedCitation":"[24]","plainTextFormattedCitation":"[24]","previouslyFormattedCitation":"[24]"},"properties":{"noteIndex":0},"schema":"https://github.com/citation-style-language/schema/raw/master/csl-citation.json"}</w:instrText>
      </w:r>
      <w:r w:rsidR="00771F8B">
        <w:rPr>
          <w:rFonts w:ascii="Calibri Light" w:hAnsi="Calibri Light" w:cs="Calibri Light"/>
          <w:bCs/>
          <w:sz w:val="24"/>
          <w:szCs w:val="24"/>
        </w:rPr>
        <w:fldChar w:fldCharType="separate"/>
      </w:r>
      <w:r w:rsidRPr="00FE3E1B">
        <w:rPr>
          <w:rFonts w:ascii="Calibri Light" w:hAnsi="Calibri Light" w:cs="Calibri Light"/>
          <w:sz w:val="24"/>
          <w:szCs w:val="24"/>
        </w:rPr>
        <w:t>[24]</w:t>
      </w:r>
      <w:r w:rsidR="00771F8B">
        <w:rPr>
          <w:rFonts w:ascii="Calibri Light" w:hAnsi="Calibri Light" w:cs="Calibri Light"/>
          <w:bCs/>
          <w:sz w:val="24"/>
          <w:szCs w:val="24"/>
        </w:rPr>
        <w:fldChar w:fldCharType="end"/>
      </w:r>
      <w:r w:rsidRPr="00FE3E1B">
        <w:rPr>
          <w:rFonts w:ascii="Calibri Light" w:hAnsi="Calibri Light" w:cs="Calibri Light"/>
          <w:bCs/>
          <w:sz w:val="24"/>
          <w:szCs w:val="24"/>
        </w:rPr>
        <w:t>. Mind is termed as a person's ability to use symbols that have the same social meaning, where each individual is required to develop his mind through interaction with other individuals. Then the Self is identified with the ability to describe itself to each individual from the point of view or opinion of others. Meanwhile, society is intended as a network of social relationships that are created, built, and developed by each individual during society in which, in the end, each individual can take on his or her own role in society.</w:t>
      </w:r>
      <w:r w:rsidR="00771F8B">
        <w:rPr>
          <w:rFonts w:ascii="Calibri Light" w:hAnsi="Calibri Light" w:cs="Calibri Light"/>
          <w:bCs/>
          <w:sz w:val="24"/>
          <w:szCs w:val="24"/>
        </w:rPr>
        <w:fldChar w:fldCharType="begin" w:fldLock="1"/>
      </w:r>
      <w:r w:rsidR="00771F8B">
        <w:rPr>
          <w:rFonts w:ascii="Calibri Light" w:hAnsi="Calibri Light" w:cs="Calibri Light"/>
          <w:bCs/>
          <w:sz w:val="24"/>
          <w:szCs w:val="24"/>
        </w:rPr>
        <w:instrText>ADDIN CSL_CITATION {"citationItems":[{"id":"ITEM-1","itemData":{"DOI":"10.7454/mssh.v16i2.1463","ISSN":"2355-794X","abstract":"Berbagai fenomena di kalangan mahasiswa seperti bunuh diri dan tawuran menunjukkan bahwa kondisi kesehatan jiwa mahasiswa sebagai warga kota semakin mengkhawatirkan. Sejumlah penelitian telah menghubungkan pemanfaatan ruang terbuka publik dengan fasilitasi interaksi sosial dan kohesi sosial, serta kohesi sosial dengan kesehatan jiwa. Kontribusi original penelitian ini adalah menjadikan persepsi kerekatan sosial (kohesi sosial) menjadi mediator hubungan integratif antara pemanfaatan ruang terbuka publik dengan kesehatan jiwa. Desain penelitian ini adalah non- eksperimental, korelasional prediktif, dengan teknik analisis data berupa analisis jalur. Penelitian dilakukan terhadap 375 mahasiswa (182 laki-laki, 193 perempuan) dari berbagai universitas dan program studi di Jakarta dengan teknik penyampelan convenience dan insidental. Hasil penelitian menunjukkan bahwa pemanfaatan ruang terbuka publik mampu memprediksi kesehatan jiwa melalui kohesi sosial (χ2 = 0, df = 1, p &gt; 0.05, RMSEA &lt; 0.05). The","author":[{"dropping-particle":"","family":"Nisa","given":"Afifatun","non-dropping-particle":"","parse-names":false,"suffix":""},{"dropping-particle":"","family":"Abraham","given":"Juneman","non-dropping-particle":"","parse-names":false,"suffix":""}],"container-title":"Makara Human Behavior Studies in Asia","id":"ITEM-1","issue":"2","issued":{"date-parts":[["2012"]]},"page":"89","title":"Peran Mediasi Persepsi Kohesi Sosial Dalam Hubungan Prediktif Persepsi Pemanfaatan Ruang Terbuka Publik Terhadap Kesehatan Jiwa","type":"article-journal","volume":"16"},"uris":["http://www.mendeley.com/documents/?uuid=a053737e-9cfd-4d99-9dcd-b6bac62a0828"]}],"mendeley":{"formattedCitation":"[25]","plainTextFormattedCitation":"[25]","previouslyFormattedCitation":"[25]"},"properties":{"noteIndex":0},"schema":"https://github.com/citation-style-language/schema/raw/master/csl-citation.json"}</w:instrText>
      </w:r>
      <w:r w:rsidR="00771F8B">
        <w:rPr>
          <w:rFonts w:ascii="Calibri Light" w:hAnsi="Calibri Light" w:cs="Calibri Light"/>
          <w:bCs/>
          <w:sz w:val="24"/>
          <w:szCs w:val="24"/>
        </w:rPr>
        <w:fldChar w:fldCharType="separate"/>
      </w:r>
      <w:r w:rsidRPr="00FE3E1B">
        <w:rPr>
          <w:rFonts w:ascii="Calibri Light" w:hAnsi="Calibri Light" w:cs="Calibri Light"/>
          <w:sz w:val="24"/>
          <w:szCs w:val="24"/>
        </w:rPr>
        <w:t>[25]</w:t>
      </w:r>
      <w:r w:rsidR="00771F8B">
        <w:rPr>
          <w:rFonts w:ascii="Calibri Light" w:hAnsi="Calibri Light" w:cs="Calibri Light"/>
          <w:bCs/>
          <w:sz w:val="24"/>
          <w:szCs w:val="24"/>
        </w:rPr>
        <w:fldChar w:fldCharType="end"/>
      </w:r>
      <w:r w:rsidRPr="00FE3E1B">
        <w:rPr>
          <w:rFonts w:ascii="Calibri Light" w:hAnsi="Calibri Light" w:cs="Calibri Light"/>
          <w:bCs/>
          <w:sz w:val="24"/>
          <w:szCs w:val="24"/>
        </w:rPr>
        <w:t xml:space="preserve"> For a deeper discussion of this interaction theory, there is a functionalist structural theory from Talcott Parsons that develops functional systems in society based on the A.G.I.L. scheme, namely Adaptation, Goal, Integration, and Latency. The adaptation intended by Parsons is a system that can adjust between the environment and its needs. The goal is intended as the main goal of the existing system. Furthermore, integration is the arrangement of the relationships of the parts of each system into one whole component. And lastly, Latency, meaning that the maintenance of patterns from existing systems must be maintained</w:t>
      </w:r>
      <w:r w:rsidR="00771F8B">
        <w:rPr>
          <w:rFonts w:ascii="Calibri Light" w:hAnsi="Calibri Light" w:cs="Calibri Light"/>
          <w:bCs/>
          <w:sz w:val="24"/>
          <w:szCs w:val="24"/>
        </w:rPr>
        <w:fldChar w:fldCharType="begin" w:fldLock="1"/>
      </w:r>
      <w:r w:rsidR="00771F8B">
        <w:rPr>
          <w:rFonts w:ascii="Calibri Light" w:hAnsi="Calibri Light" w:cs="Calibri Light"/>
          <w:bCs/>
          <w:sz w:val="24"/>
          <w:szCs w:val="24"/>
        </w:rPr>
        <w:instrText>ADDIN CSL_CITATION {"citationItems":[{"id":"ITEM-1","itemData":{"author":[{"dropping-particle":"","family":"Berger","given":"Peter L","non-dropping-particle":"","parse-names":false,"suffix":""},{"dropping-particle":"","family":"Luckmann","given":"Thomas","non-dropping-particle":"","parse-names":false,"suffix":""}],"id":"ITEM-1","issued":{"date-parts":[["1979"]]},"publisher":"Penguin Books","publisher-place":"New York","title":"The social construction of reality : a treatise in the sociology of knowledge","type":"book"},"uris":["http://www.mendeley.com/documents/?uuid=1af34c6c-68fb-4dcc-82f9-1e6cf24f7afc"]}],"mendeley":{"formattedCitation":"[26]","plainTextFormattedCitation":"[26]","previouslyFormattedCitation":"[26]"},"properties":{"noteIndex":0},"schema":"https://github.com/citation-style-language/schema/raw/master/csl-citation.json"}</w:instrText>
      </w:r>
      <w:r w:rsidR="00771F8B">
        <w:rPr>
          <w:rFonts w:ascii="Calibri Light" w:hAnsi="Calibri Light" w:cs="Calibri Light"/>
          <w:bCs/>
          <w:sz w:val="24"/>
          <w:szCs w:val="24"/>
        </w:rPr>
        <w:fldChar w:fldCharType="separate"/>
      </w:r>
      <w:r w:rsidRPr="00FE3E1B">
        <w:rPr>
          <w:rFonts w:ascii="Calibri Light" w:hAnsi="Calibri Light" w:cs="Calibri Light"/>
          <w:bCs/>
          <w:sz w:val="24"/>
          <w:szCs w:val="24"/>
        </w:rPr>
        <w:t>[26]</w:t>
      </w:r>
      <w:r w:rsidR="00771F8B">
        <w:rPr>
          <w:rFonts w:ascii="Calibri Light" w:hAnsi="Calibri Light" w:cs="Calibri Light"/>
          <w:bCs/>
          <w:sz w:val="24"/>
          <w:szCs w:val="24"/>
        </w:rPr>
        <w:fldChar w:fldCharType="end"/>
      </w:r>
      <w:r w:rsidRPr="00FE3E1B">
        <w:rPr>
          <w:rFonts w:ascii="Calibri Light" w:hAnsi="Calibri Light" w:cs="Calibri Light"/>
          <w:bCs/>
          <w:sz w:val="24"/>
          <w:szCs w:val="24"/>
        </w:rPr>
        <w:t>. In essence, the findings at the research site show that the solidarity of the Jombang community is in line with Durkheim's theory of solidarity and in line with the Parsons scheme.</w:t>
      </w:r>
    </w:p>
    <w:p w14:paraId="51C9CB44" w14:textId="77777777" w:rsidR="00FE3E1B" w:rsidRPr="00FE3E1B" w:rsidRDefault="00FE3E1B" w:rsidP="00FE3E1B">
      <w:pPr>
        <w:pStyle w:val="ListParagraph"/>
        <w:shd w:val="clear" w:color="auto" w:fill="FFFFFF"/>
        <w:spacing w:after="0" w:line="240" w:lineRule="auto"/>
        <w:ind w:left="0" w:firstLine="720"/>
        <w:jc w:val="both"/>
        <w:rPr>
          <w:rFonts w:ascii="Calibri Light" w:hAnsi="Calibri Light" w:cs="Calibri Light"/>
          <w:bCs/>
          <w:sz w:val="24"/>
          <w:szCs w:val="24"/>
        </w:rPr>
      </w:pPr>
    </w:p>
    <w:p w14:paraId="4587CE56" w14:textId="77777777" w:rsidR="00FE3E1B" w:rsidRPr="00FE3E1B" w:rsidRDefault="00FE3E1B" w:rsidP="00FE3E1B">
      <w:pPr>
        <w:pStyle w:val="ListParagraph"/>
        <w:shd w:val="clear" w:color="auto" w:fill="FFFFFF"/>
        <w:spacing w:after="0" w:line="240" w:lineRule="auto"/>
        <w:ind w:left="0" w:firstLine="720"/>
        <w:jc w:val="both"/>
        <w:rPr>
          <w:rFonts w:ascii="Calibri Light" w:hAnsi="Calibri Light" w:cs="Calibri Light"/>
          <w:bCs/>
          <w:sz w:val="24"/>
          <w:szCs w:val="24"/>
        </w:rPr>
      </w:pPr>
    </w:p>
    <w:p w14:paraId="0603A2E5" w14:textId="41E7F4E2" w:rsidR="00FE3E1B" w:rsidRPr="00FE3E1B" w:rsidRDefault="00D720FE" w:rsidP="00FE3E1B">
      <w:pPr>
        <w:pStyle w:val="ListParagraph"/>
        <w:shd w:val="clear" w:color="auto" w:fill="FFFFFF"/>
        <w:spacing w:after="0" w:line="240" w:lineRule="auto"/>
        <w:ind w:left="0" w:firstLine="720"/>
        <w:jc w:val="both"/>
        <w:rPr>
          <w:rFonts w:ascii="Calibri Light" w:hAnsi="Calibri Light" w:cs="Calibri Light"/>
          <w:bCs/>
          <w:sz w:val="24"/>
          <w:szCs w:val="24"/>
        </w:rPr>
      </w:pPr>
      <w:r w:rsidRPr="00FE3E1B">
        <w:rPr>
          <w:rFonts w:ascii="Calibri Light" w:hAnsi="Calibri Light" w:cs="Calibri Light"/>
          <w:sz w:val="24"/>
          <w:szCs w:val="24"/>
        </w:rPr>
        <w:lastRenderedPageBreak/>
        <w:drawing>
          <wp:inline distT="0" distB="0" distL="0" distR="0" wp14:anchorId="2031A6C7" wp14:editId="61883862">
            <wp:extent cx="3999230" cy="2426970"/>
            <wp:effectExtent l="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99230" cy="2426970"/>
                    </a:xfrm>
                    <a:prstGeom prst="rect">
                      <a:avLst/>
                    </a:prstGeom>
                    <a:noFill/>
                    <a:ln>
                      <a:noFill/>
                    </a:ln>
                  </pic:spPr>
                </pic:pic>
              </a:graphicData>
            </a:graphic>
          </wp:inline>
        </w:drawing>
      </w:r>
    </w:p>
    <w:p w14:paraId="548CE303" w14:textId="77777777" w:rsidR="00FE3E1B" w:rsidRPr="00FE3E1B" w:rsidRDefault="00FE3E1B" w:rsidP="00FE3E1B">
      <w:pPr>
        <w:pStyle w:val="ListParagraph"/>
        <w:shd w:val="clear" w:color="auto" w:fill="FFFFFF"/>
        <w:spacing w:line="240" w:lineRule="auto"/>
        <w:ind w:left="0" w:firstLine="720"/>
        <w:jc w:val="center"/>
        <w:rPr>
          <w:rFonts w:ascii="Calibri Light" w:hAnsi="Calibri Light" w:cs="Calibri Light"/>
          <w:bCs/>
          <w:sz w:val="24"/>
          <w:szCs w:val="24"/>
        </w:rPr>
      </w:pPr>
      <w:r w:rsidRPr="00FE3E1B">
        <w:rPr>
          <w:rFonts w:ascii="Calibri Light" w:hAnsi="Calibri Light" w:cs="Calibri Light"/>
          <w:bCs/>
          <w:sz w:val="24"/>
          <w:szCs w:val="24"/>
        </w:rPr>
        <w:t>Figure 1. Model of Social Cohesion in Jombang Community</w:t>
      </w:r>
    </w:p>
    <w:p w14:paraId="3BEDD04B" w14:textId="77777777" w:rsidR="00FE3E1B" w:rsidRPr="00FE3E1B" w:rsidRDefault="00FE3E1B" w:rsidP="00FE3E1B">
      <w:pPr>
        <w:jc w:val="both"/>
        <w:rPr>
          <w:rFonts w:ascii="Calibri Light" w:hAnsi="Calibri Light" w:cs="Calibri Light"/>
          <w:sz w:val="24"/>
          <w:szCs w:val="24"/>
        </w:rPr>
      </w:pPr>
    </w:p>
    <w:p w14:paraId="2D5C9DCC"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The findings about adhesive factors in social cohesion in the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community were obtained from in-depth interviews and observations conducted on several elders and several families who did not want to be named. Therefore, in this discussion, the author presents the data as well as discusses it in the language that the author himself summarizes from the data that the author has obtained. In the study of cultural ecology, researchers found factors that are quite influential and are the key to the success of this process. These factors include Historical, Kinship and Family, Group, and Leadership factors. These factors will be explained by the researcher as follows: </w:t>
      </w:r>
    </w:p>
    <w:p w14:paraId="551E58B3" w14:textId="77777777" w:rsidR="00FE3E1B" w:rsidRPr="00FE3E1B" w:rsidRDefault="00FE3E1B" w:rsidP="00FE3E1B">
      <w:pPr>
        <w:jc w:val="both"/>
        <w:rPr>
          <w:rFonts w:ascii="Calibri Light" w:hAnsi="Calibri Light" w:cs="Calibri Light"/>
          <w:b/>
          <w:bCs/>
          <w:sz w:val="24"/>
          <w:szCs w:val="24"/>
        </w:rPr>
      </w:pPr>
      <w:r w:rsidRPr="00FE3E1B">
        <w:rPr>
          <w:rFonts w:ascii="Calibri Light" w:hAnsi="Calibri Light" w:cs="Calibri Light"/>
          <w:b/>
          <w:bCs/>
          <w:sz w:val="24"/>
          <w:szCs w:val="24"/>
        </w:rPr>
        <w:t xml:space="preserve">Historical Factors. </w:t>
      </w:r>
    </w:p>
    <w:p w14:paraId="083DB0B5"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This factor is one of the important factors in supporting the creation of religious tolerance in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Regency. The history of the origin and development of religions in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is seen as the root of the creation of religious tolerance. In the history of religion in South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Christianity has a significant influence as conveyed by Ihsan and Abdullah. Historical heritage has its own advantages. When compared to cultural authenticity, historical heritage is easier to perpetuate or nurture because it has been formed from the past </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10.2991/assehr.k.210421.121","author":[{"dropping-particle":"","family":"Ihsan","given":"Ihsan","non-dropping-particle":"","parse-names":false,"suffix":""},{"dropping-particle":"","family":"Abdullah","given":"Irwan","non-dropping-particle":"","parse-names":false,"suffix":""}],"container-title":"Proceedings of the International Conference on Engineering, Technology and Social Science (ICONETOS 2020)","id":"ITEM-1","issued":{"date-parts":[["2020"]]},"publisher":"Atlantis Press.","title":"Interpretation of Historical Values of Sunan Kudus: Religious Moderation in Indonesian Islamic Boarding Schools","type":"paper-conference"},"uris":["http://www.mendeley.com/documents/?uuid=66f9500a-29a6-4249-9ffc-ccc4f0a5320b"]}],"mendeley":{"formattedCitation":"[27]","plainTextFormattedCitation":"[27]","previouslyFormattedCitation":"[27]"},"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[27]</w:t>
      </w:r>
      <w:r w:rsidR="00771F8B">
        <w:rPr>
          <w:rFonts w:ascii="Calibri Light" w:hAnsi="Calibri Light" w:cs="Calibri Light"/>
          <w:sz w:val="24"/>
          <w:szCs w:val="24"/>
        </w:rPr>
        <w:fldChar w:fldCharType="end"/>
      </w:r>
    </w:p>
    <w:p w14:paraId="41B0D5E3" w14:textId="77777777" w:rsidR="00FE3E1B" w:rsidRPr="00FE3E1B" w:rsidRDefault="00FE3E1B" w:rsidP="00FE3E1B">
      <w:pPr>
        <w:ind w:firstLine="567"/>
        <w:jc w:val="both"/>
        <w:rPr>
          <w:rFonts w:ascii="Calibri Light" w:hAnsi="Calibri Light" w:cs="Calibri Light"/>
          <w:sz w:val="24"/>
          <w:szCs w:val="24"/>
        </w:rPr>
      </w:pPr>
    </w:p>
    <w:p w14:paraId="380A3FE7" w14:textId="2A007C25" w:rsidR="00FE3E1B" w:rsidRPr="00FE3E1B" w:rsidRDefault="00D720FE" w:rsidP="00FE3E1B">
      <w:pPr>
        <w:ind w:firstLine="567"/>
        <w:jc w:val="both"/>
        <w:rPr>
          <w:rFonts w:ascii="Calibri Light" w:hAnsi="Calibri Light" w:cs="Calibri Light"/>
          <w:sz w:val="24"/>
          <w:szCs w:val="24"/>
        </w:rPr>
      </w:pPr>
      <w:r w:rsidRPr="00FE3E1B">
        <w:rPr>
          <w:rFonts w:ascii="Calibri Light" w:hAnsi="Calibri Light" w:cs="Calibri Light"/>
          <w:noProof/>
          <w:sz w:val="24"/>
          <w:szCs w:val="24"/>
        </w:rPr>
        <w:drawing>
          <wp:inline distT="0" distB="0" distL="0" distR="0" wp14:anchorId="2BD7D891" wp14:editId="554743CA">
            <wp:extent cx="4853940" cy="2332990"/>
            <wp:effectExtent l="0" t="0" r="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53940" cy="2332990"/>
                    </a:xfrm>
                    <a:prstGeom prst="rect">
                      <a:avLst/>
                    </a:prstGeom>
                    <a:noFill/>
                    <a:ln>
                      <a:noFill/>
                    </a:ln>
                  </pic:spPr>
                </pic:pic>
              </a:graphicData>
            </a:graphic>
          </wp:inline>
        </w:drawing>
      </w:r>
    </w:p>
    <w:p w14:paraId="7C4263F8" w14:textId="77777777" w:rsidR="00FE3E1B" w:rsidRPr="00FE3E1B" w:rsidRDefault="00FE3E1B" w:rsidP="00FE3E1B">
      <w:pPr>
        <w:jc w:val="center"/>
        <w:rPr>
          <w:rFonts w:ascii="Calibri Light" w:hAnsi="Calibri Light" w:cs="Calibri Light"/>
          <w:sz w:val="24"/>
          <w:szCs w:val="24"/>
        </w:rPr>
      </w:pPr>
      <w:r w:rsidRPr="00FE3E1B">
        <w:rPr>
          <w:rFonts w:ascii="Calibri Light" w:hAnsi="Calibri Light" w:cs="Calibri Light"/>
          <w:sz w:val="24"/>
          <w:szCs w:val="24"/>
        </w:rPr>
        <w:t xml:space="preserve">Figure 2: </w:t>
      </w:r>
      <w:r w:rsidRPr="00FE3E1B">
        <w:rPr>
          <w:rFonts w:ascii="Calibri Light" w:hAnsi="Calibri Light" w:cs="Calibri Light"/>
          <w:sz w:val="24"/>
          <w:szCs w:val="24"/>
          <w:lang w:val="en"/>
        </w:rPr>
        <w:t xml:space="preserve">documentation of the holy mass at the </w:t>
      </w:r>
      <w:proofErr w:type="spellStart"/>
      <w:r w:rsidRPr="00FE3E1B">
        <w:rPr>
          <w:rFonts w:ascii="Calibri Light" w:hAnsi="Calibri Light" w:cs="Calibri Light"/>
          <w:sz w:val="24"/>
          <w:szCs w:val="24"/>
          <w:lang w:val="en"/>
        </w:rPr>
        <w:t>Mojowarno</w:t>
      </w:r>
      <w:proofErr w:type="spellEnd"/>
      <w:r w:rsidRPr="00FE3E1B">
        <w:rPr>
          <w:rFonts w:ascii="Calibri Light" w:hAnsi="Calibri Light" w:cs="Calibri Light"/>
          <w:sz w:val="24"/>
          <w:szCs w:val="24"/>
          <w:lang w:val="en"/>
        </w:rPr>
        <w:t xml:space="preserve"> church</w:t>
      </w:r>
    </w:p>
    <w:p w14:paraId="1A02263E" w14:textId="77777777" w:rsidR="00FE3E1B" w:rsidRPr="00FE3E1B" w:rsidRDefault="00FE3E1B" w:rsidP="00FE3E1B">
      <w:pPr>
        <w:ind w:firstLine="567"/>
        <w:jc w:val="both"/>
        <w:rPr>
          <w:rFonts w:ascii="Calibri Light" w:hAnsi="Calibri Light" w:cs="Calibri Light"/>
          <w:sz w:val="24"/>
          <w:szCs w:val="24"/>
        </w:rPr>
      </w:pPr>
    </w:p>
    <w:p w14:paraId="5F81E9D2"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From the words of the elders of the residents in South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precisely in the Ngoro and </w:t>
      </w:r>
      <w:proofErr w:type="spellStart"/>
      <w:r w:rsidRPr="00FE3E1B">
        <w:rPr>
          <w:rFonts w:ascii="Calibri Light" w:hAnsi="Calibri Light" w:cs="Calibri Light"/>
          <w:sz w:val="24"/>
          <w:szCs w:val="24"/>
        </w:rPr>
        <w:t>Mojowarno</w:t>
      </w:r>
      <w:proofErr w:type="spellEnd"/>
      <w:r w:rsidRPr="00FE3E1B">
        <w:rPr>
          <w:rFonts w:ascii="Calibri Light" w:hAnsi="Calibri Light" w:cs="Calibri Light"/>
          <w:sz w:val="24"/>
          <w:szCs w:val="24"/>
        </w:rPr>
        <w:t xml:space="preserve"> areas, in the past, the residents who embraced Christianity were residents who joined the Dutch, or became Dutch believers. As said by one of the residents who did not want to be named (NN). </w:t>
      </w:r>
    </w:p>
    <w:p w14:paraId="15F3FA34" w14:textId="77777777" w:rsidR="00FE3E1B" w:rsidRPr="00FE3E1B" w:rsidRDefault="00FE3E1B" w:rsidP="00FE3E1B">
      <w:pPr>
        <w:ind w:left="709" w:right="1371" w:firstLine="567"/>
        <w:jc w:val="both"/>
        <w:rPr>
          <w:rFonts w:ascii="Calibri Light" w:hAnsi="Calibri Light" w:cs="Calibri Light"/>
          <w:sz w:val="24"/>
          <w:szCs w:val="24"/>
        </w:rPr>
      </w:pPr>
      <w:r w:rsidRPr="00FE3E1B">
        <w:rPr>
          <w:rFonts w:ascii="Calibri Light" w:hAnsi="Calibri Light" w:cs="Calibri Light"/>
          <w:sz w:val="24"/>
          <w:szCs w:val="24"/>
        </w:rPr>
        <w:t xml:space="preserve">“In the past, people who embraced Christianity were people who followed the Netherlands or people who worked with the Netherlands. After that, there were indeed missionaries who came. However, indeed, its origin is from a Dutch family that opened a sugarcane plantation in the South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area. Because there is a sugar factory in </w:t>
      </w:r>
      <w:proofErr w:type="spellStart"/>
      <w:r w:rsidRPr="00FE3E1B">
        <w:rPr>
          <w:rFonts w:ascii="Calibri Light" w:hAnsi="Calibri Light" w:cs="Calibri Light"/>
          <w:sz w:val="24"/>
          <w:szCs w:val="24"/>
        </w:rPr>
        <w:t>Cukir</w:t>
      </w:r>
      <w:proofErr w:type="spellEnd"/>
      <w:r w:rsidRPr="00FE3E1B">
        <w:rPr>
          <w:rFonts w:ascii="Calibri Light" w:hAnsi="Calibri Light" w:cs="Calibri Light"/>
          <w:sz w:val="24"/>
          <w:szCs w:val="24"/>
        </w:rPr>
        <w:t xml:space="preserve">, South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w:t>
      </w:r>
    </w:p>
    <w:p w14:paraId="4BD2595B" w14:textId="77777777" w:rsidR="00FE3E1B" w:rsidRPr="00FE3E1B" w:rsidRDefault="00FE3E1B" w:rsidP="00FE3E1B">
      <w:pPr>
        <w:jc w:val="both"/>
        <w:rPr>
          <w:rFonts w:ascii="Calibri Light" w:hAnsi="Calibri Light" w:cs="Calibri Light"/>
          <w:sz w:val="24"/>
          <w:szCs w:val="24"/>
        </w:rPr>
      </w:pPr>
    </w:p>
    <w:p w14:paraId="5FBAE84D"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This is confirmed in historical writings. That, the seeds of Christianity in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especially in southern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have been planted since 1827, when the Dutch colonialists led by Coolen succeeded in clearing forest land in the area. Coolen's full name is </w:t>
      </w:r>
      <w:proofErr w:type="spellStart"/>
      <w:r w:rsidRPr="00FE3E1B">
        <w:rPr>
          <w:rFonts w:ascii="Calibri Light" w:hAnsi="Calibri Light" w:cs="Calibri Light"/>
          <w:sz w:val="24"/>
          <w:szCs w:val="24"/>
        </w:rPr>
        <w:t>Coenrad</w:t>
      </w:r>
      <w:proofErr w:type="spellEnd"/>
      <w:r w:rsidRPr="00FE3E1B">
        <w:rPr>
          <w:rFonts w:ascii="Calibri Light" w:hAnsi="Calibri Light" w:cs="Calibri Light"/>
          <w:sz w:val="24"/>
          <w:szCs w:val="24"/>
        </w:rPr>
        <w:t xml:space="preserve"> Laurens Coolen was born in </w:t>
      </w:r>
      <w:proofErr w:type="spellStart"/>
      <w:r w:rsidRPr="00FE3E1B">
        <w:rPr>
          <w:rFonts w:ascii="Calibri Light" w:hAnsi="Calibri Light" w:cs="Calibri Light"/>
          <w:sz w:val="24"/>
          <w:szCs w:val="24"/>
        </w:rPr>
        <w:t>Ungaran</w:t>
      </w:r>
      <w:proofErr w:type="spellEnd"/>
      <w:r w:rsidRPr="00FE3E1B">
        <w:rPr>
          <w:rFonts w:ascii="Calibri Light" w:hAnsi="Calibri Light" w:cs="Calibri Light"/>
          <w:sz w:val="24"/>
          <w:szCs w:val="24"/>
        </w:rPr>
        <w:t xml:space="preserve"> in 1773. His father was from Russia while his mother was the daughter of Prince </w:t>
      </w:r>
      <w:proofErr w:type="spellStart"/>
      <w:r w:rsidRPr="00FE3E1B">
        <w:rPr>
          <w:rFonts w:ascii="Calibri Light" w:hAnsi="Calibri Light" w:cs="Calibri Light"/>
          <w:sz w:val="24"/>
          <w:szCs w:val="24"/>
        </w:rPr>
        <w:t>Kojaran</w:t>
      </w:r>
      <w:proofErr w:type="spellEnd"/>
      <w:r w:rsidRPr="00FE3E1B">
        <w:rPr>
          <w:rFonts w:ascii="Calibri Light" w:hAnsi="Calibri Light" w:cs="Calibri Light"/>
          <w:sz w:val="24"/>
          <w:szCs w:val="24"/>
        </w:rPr>
        <w:t xml:space="preserve"> from a noble family of </w:t>
      </w:r>
      <w:proofErr w:type="spellStart"/>
      <w:r w:rsidRPr="00FE3E1B">
        <w:rPr>
          <w:rFonts w:ascii="Calibri Light" w:hAnsi="Calibri Light" w:cs="Calibri Light"/>
          <w:sz w:val="24"/>
          <w:szCs w:val="24"/>
        </w:rPr>
        <w:t>Mataram</w:t>
      </w:r>
      <w:proofErr w:type="spellEnd"/>
      <w:r w:rsidRPr="00FE3E1B">
        <w:rPr>
          <w:rFonts w:ascii="Calibri Light" w:hAnsi="Calibri Light" w:cs="Calibri Light"/>
          <w:sz w:val="24"/>
          <w:szCs w:val="24"/>
        </w:rPr>
        <w:t>, so it can be said that in Coolen flows Indo-Russian blood.</w:t>
      </w:r>
    </w:p>
    <w:p w14:paraId="206EAF8F"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Coolen was one of the envoys of the </w:t>
      </w:r>
      <w:proofErr w:type="spellStart"/>
      <w:r w:rsidRPr="00FE3E1B">
        <w:rPr>
          <w:rFonts w:ascii="Calibri Light" w:hAnsi="Calibri Light" w:cs="Calibri Light"/>
          <w:sz w:val="24"/>
          <w:szCs w:val="24"/>
        </w:rPr>
        <w:t>Daendles</w:t>
      </w:r>
      <w:proofErr w:type="spellEnd"/>
      <w:r w:rsidRPr="00FE3E1B">
        <w:rPr>
          <w:rFonts w:ascii="Calibri Light" w:hAnsi="Calibri Light" w:cs="Calibri Light"/>
          <w:sz w:val="24"/>
          <w:szCs w:val="24"/>
        </w:rPr>
        <w:t xml:space="preserve"> government (the Dutch colonial who controlled Indonesia) engaged in artillery and served as a forest guard. On July 3, 1827 Coolen obtained permission to clear forest land in the Ngoro area, where he lived with his wife and children. The area is a fertile area, so it attracts outsiders to do activities and even live in the area. Whenever he clears a forest for rice fields, Coolen invites his followers to ask for God's blessings. The initial approach used is to adjust the beliefs of the local community, namely animism and dynamism. Prior to 1850 the island of Java was essentially a "closed" area meaning an area that was officially forbidden to carry out the message of the Gospel</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{"citationItems":[{"id":"ITEM-1","itemData":{"author":[{"dropping-particle":"","family":"Kruger","given":"Muller","non-dropping-particle":"","parse-names":false,"suffix":""}],"id":"ITEM-1","issued":{"date-parts":[["1959"]]},"publisher":"BPK Gunung Mulia","publisher-place":"Jakarta","title":"Sedjarah Geredja di Indonesia","type":"book"},"uris":["http://www.mendeley.com/documents/?uuid=8dd6966d-822e-44b3-9c7d-8521fff8e0b8"]}],"mendeley":{"formattedCitation":"[28]","plainTextFormattedCitation":"[28]","previouslyFormattedCitation":"[28]"},"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[28]</w:t>
      </w:r>
      <w:r w:rsidR="00771F8B">
        <w:rPr>
          <w:rFonts w:ascii="Calibri Light" w:hAnsi="Calibri Light" w:cs="Calibri Light"/>
          <w:sz w:val="24"/>
          <w:szCs w:val="24"/>
        </w:rPr>
        <w:fldChar w:fldCharType="end"/>
      </w:r>
      <w:r w:rsidRPr="00FE3E1B">
        <w:rPr>
          <w:rFonts w:ascii="Calibri Light" w:hAnsi="Calibri Light" w:cs="Calibri Light"/>
          <w:sz w:val="24"/>
          <w:szCs w:val="24"/>
        </w:rPr>
        <w:t>, but there are also those who preach the gospel individually.</w:t>
      </w:r>
    </w:p>
    <w:p w14:paraId="5151D5C4"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This is because the Dutch colonial government did not want to take the risk of religious conflict between Christianity and Islam, considering that most Indonesian people are Muslims. They come to Indonesia as a trading body to make a profit and not experience conflicts that will cost a lot of money. However, the Dutch colonial government could not prevent Indonesians from becoming Christians because they were neutral in religious matters</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{"citationItems":[{"id":"ITEM-1","itemData":{"author":[{"dropping-particle":"","family":"Kruger","given":"Muller","non-dropping-particle":"","parse-names":false,"suffix":""}],"id":"ITEM-1","issued":{"date-parts":[["1959"]]},"publisher":"BPK Gunung Mulia","publisher-place":"Jakarta","title":"Sedjarah Geredja di Indonesia","type":"book"},"uris":["http://www.mendeley.com/documents/?uuid=8dd6966d-822e-44b3-9c7d-8521fff8e0b8"]}],"mendeley":{"formattedCitation":"[28]","plainTextFormattedCitation":"[28]","previouslyFormattedCitation":"[28]"},"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[28]</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Coolen himself was one of the envoys of the J.W. </w:t>
      </w:r>
      <w:proofErr w:type="spellStart"/>
      <w:r w:rsidRPr="00FE3E1B">
        <w:rPr>
          <w:rFonts w:ascii="Calibri Light" w:hAnsi="Calibri Light" w:cs="Calibri Light"/>
          <w:sz w:val="24"/>
          <w:szCs w:val="24"/>
        </w:rPr>
        <w:t>Daendles</w:t>
      </w:r>
      <w:proofErr w:type="spellEnd"/>
      <w:r w:rsidRPr="00FE3E1B">
        <w:rPr>
          <w:rFonts w:ascii="Calibri Light" w:hAnsi="Calibri Light" w:cs="Calibri Light"/>
          <w:sz w:val="24"/>
          <w:szCs w:val="24"/>
        </w:rPr>
        <w:t xml:space="preserve"> government engaged in artillery who served as a ranger. On July 3, 1827 Coolen obtained permission to clear forest land in the Ngoro area, where he lived with his wife and children. The Ngoro area is a fertile area, so it attracts outsiders to do activities and even live in the area. </w:t>
      </w:r>
    </w:p>
    <w:p w14:paraId="4B82B1B8"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In every activity of clearing forests or tripe beds for rice fields, Coolen invites his followers to ask for God's blessings. The initial approach used is to adjust the beliefs of the local community, namely animism and dynamism. In East Java, there have been efforts to evangelize private evangelists independent of certain evangelistic organizations, such as those carried out by Johannes </w:t>
      </w:r>
      <w:proofErr w:type="spellStart"/>
      <w:r w:rsidRPr="00FE3E1B">
        <w:rPr>
          <w:rFonts w:ascii="Calibri Light" w:hAnsi="Calibri Light" w:cs="Calibri Light"/>
          <w:sz w:val="24"/>
          <w:szCs w:val="24"/>
        </w:rPr>
        <w:t>Emde</w:t>
      </w:r>
      <w:proofErr w:type="spellEnd"/>
      <w:r w:rsidRPr="00FE3E1B">
        <w:rPr>
          <w:rFonts w:ascii="Calibri Light" w:hAnsi="Calibri Light" w:cs="Calibri Light"/>
          <w:sz w:val="24"/>
          <w:szCs w:val="24"/>
        </w:rPr>
        <w:t xml:space="preserve"> in Surabaya (1856) and Coenraad Laurens Coolen (1827) in Ngoro</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{"citationItems":[{"id":"ITEM-1","itemData":{"author":[{"dropping-particle":"Den","family":"End","given":"Van","non-dropping-particle":"","parse-names":false,"suffix":""}],"id":"ITEM-1","issued":{"date-parts":[["1988"]]},"publisher":"BPK Gunung Mulia","publisher-place":"Jakarta","title":"Harta Dalam Bejana","type":"book"},"uris":["http://www.mendeley.com/documents/?uuid=8a7bdb0a-8191-4525-a79e-c6977e759652"]}],"mendeley":{"formattedCitation":"[29]","plainTextFormattedCitation":"[29]","previouslyFormattedCitation":"[29]"},"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[29]</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Jonathan </w:t>
      </w:r>
      <w:proofErr w:type="spellStart"/>
      <w:r w:rsidRPr="00FE3E1B">
        <w:rPr>
          <w:rFonts w:ascii="Calibri Light" w:hAnsi="Calibri Light" w:cs="Calibri Light"/>
          <w:sz w:val="24"/>
          <w:szCs w:val="24"/>
        </w:rPr>
        <w:t>Emde</w:t>
      </w:r>
      <w:proofErr w:type="spellEnd"/>
      <w:r w:rsidRPr="00FE3E1B">
        <w:rPr>
          <w:rFonts w:ascii="Calibri Light" w:hAnsi="Calibri Light" w:cs="Calibri Light"/>
          <w:sz w:val="24"/>
          <w:szCs w:val="24"/>
        </w:rPr>
        <w:t xml:space="preserve"> succeeded in establishing the "</w:t>
      </w:r>
      <w:proofErr w:type="spellStart"/>
      <w:r w:rsidRPr="00FE3E1B">
        <w:rPr>
          <w:rFonts w:ascii="Calibri Light" w:hAnsi="Calibri Light" w:cs="Calibri Light"/>
          <w:sz w:val="24"/>
          <w:szCs w:val="24"/>
        </w:rPr>
        <w:t>Londo</w:t>
      </w:r>
      <w:proofErr w:type="spellEnd"/>
      <w:r w:rsidRPr="00FE3E1B">
        <w:rPr>
          <w:rFonts w:ascii="Calibri Light" w:hAnsi="Calibri Light" w:cs="Calibri Light"/>
          <w:sz w:val="24"/>
          <w:szCs w:val="24"/>
        </w:rPr>
        <w:t xml:space="preserve"> Christians" congregation, and Coolen founded the "Javanese Christians" congregation in Ngoro. In the past, Ngoro was also a center of education, and now it is the center of the Ngoro Regional Development Sub Unit (SSWP).</w:t>
      </w:r>
    </w:p>
    <w:p w14:paraId="6FE8C0CC"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lastRenderedPageBreak/>
        <w:t>Coolen's Christianization by accommodating Javanese culture is actually new and quite successful, considering that Coolen himself is one of the evangelists who is still unfamiliar with preaching the Gospel in East Java. After that, he had the opportunity to teach Protestant Christianity to the people of Ngoro and its surroundings by holding worship services on Sundays and gathering a small group of people who had become his congregation to teach Christianity to those closest to him</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{"citationItems":[{"id":"ITEM-1","itemData":{"author":[{"dropping-particle":"","family":"Salindri","given":"Dewi","non-dropping-particle":"","parse-names":false,"suffix":""}],"container-title":"Proceedings Seminar kepemimpinan","id":"ITEM-1","issued":{"date-parts":[["2014"]]},"publisher":"Universitas Jember","publisher-place":"Jember","title":"COENRAAD LAURENS COOLEN SEBAGAI PEMIMPIN “KRISTEN JAWA” Di NGORO KABUPATEN JOMBANG JAWA TIMUR TAHUN 1827-1854","type":"paper-conference"},"uris":["http://www.mendeley.com/documents/?uuid=f31c0f11-54f6-4a12-a32c-b62a220d8f21"]}],"mendeley":{"formattedCitation":"[30]","plainTextFormattedCitation":"[30]","previouslyFormattedCitation":"[30]"},"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[30]</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.What Coolen does by using Javanese culture in spreading Christianity is to facilitate delivery to the community. He also uses a puppet art performance every Sunday whose story is taken from the Bible with Coolen as the puppeteer and songs used when planting in rice fields to imitate Islamic da'wah carried out by </w:t>
      </w:r>
      <w:proofErr w:type="spellStart"/>
      <w:r w:rsidRPr="00FE3E1B">
        <w:rPr>
          <w:rFonts w:ascii="Calibri Light" w:hAnsi="Calibri Light" w:cs="Calibri Light"/>
          <w:i/>
          <w:iCs/>
          <w:sz w:val="24"/>
          <w:szCs w:val="24"/>
        </w:rPr>
        <w:t>walisongo</w:t>
      </w:r>
      <w:proofErr w:type="spellEnd"/>
      <w:r w:rsidRPr="00FE3E1B">
        <w:rPr>
          <w:rFonts w:ascii="Calibri Light" w:hAnsi="Calibri Light" w:cs="Calibri Light"/>
          <w:i/>
          <w:iCs/>
          <w:sz w:val="24"/>
          <w:szCs w:val="24"/>
        </w:rPr>
        <w:t>.</w:t>
      </w:r>
      <w:r w:rsidRPr="00FE3E1B">
        <w:rPr>
          <w:rFonts w:ascii="Calibri Light" w:hAnsi="Calibri Light" w:cs="Calibri Light"/>
          <w:sz w:val="24"/>
          <w:szCs w:val="24"/>
        </w:rPr>
        <w:t xml:space="preserve"> </w:t>
      </w:r>
    </w:p>
    <w:p w14:paraId="4F3953F6"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In fact, in the past, the preaching of the Gospel that was carried out privately or organized was forbidden for people who devoutly embraced Islam for fear of conflict.  What many Coolen targets in his da'wah are people who still adhere to the Javanese religion. This personal preaching of the gospel gave birth to religious leaders who influenced people's lives. One of the leaders who played a very important role in the development of Christianity, especially in East Java, was Coolen, who succeeded in clearing the forest in 1827 and ended in 1854, because the Dutch Colonial Government revoked the land lease in Ngoro.</w:t>
      </w:r>
    </w:p>
    <w:p w14:paraId="6556D5F6"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This activity was carried out until finally producing a typical Christian congregation that is very thick with Javanese and puppets. Coolen called it Javanese Christianity or now known as “</w:t>
      </w:r>
      <w:proofErr w:type="spellStart"/>
      <w:r w:rsidRPr="00FE3E1B">
        <w:rPr>
          <w:rFonts w:ascii="Calibri Light" w:hAnsi="Calibri Light" w:cs="Calibri Light"/>
          <w:i/>
          <w:iCs/>
          <w:sz w:val="24"/>
          <w:szCs w:val="24"/>
        </w:rPr>
        <w:t>Jawi</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wetan</w:t>
      </w:r>
      <w:proofErr w:type="spellEnd"/>
      <w:r w:rsidRPr="00FE3E1B">
        <w:rPr>
          <w:rFonts w:ascii="Calibri Light" w:hAnsi="Calibri Light" w:cs="Calibri Light"/>
          <w:i/>
          <w:iCs/>
          <w:sz w:val="24"/>
          <w:szCs w:val="24"/>
        </w:rPr>
        <w:t>”</w:t>
      </w:r>
      <w:r w:rsidRPr="00FE3E1B">
        <w:rPr>
          <w:rFonts w:ascii="Calibri Light" w:hAnsi="Calibri Light" w:cs="Calibri Light"/>
          <w:sz w:val="24"/>
          <w:szCs w:val="24"/>
        </w:rPr>
        <w:t xml:space="preserve"> Christianity, which we often encounter with his </w:t>
      </w:r>
      <w:r w:rsidRPr="00FE3E1B">
        <w:rPr>
          <w:rFonts w:ascii="Calibri Light" w:hAnsi="Calibri Light" w:cs="Calibri Light"/>
          <w:i/>
          <w:iCs/>
          <w:sz w:val="24"/>
          <w:szCs w:val="24"/>
        </w:rPr>
        <w:t>“</w:t>
      </w:r>
      <w:proofErr w:type="spellStart"/>
      <w:r w:rsidRPr="00FE3E1B">
        <w:rPr>
          <w:rFonts w:ascii="Calibri Light" w:hAnsi="Calibri Light" w:cs="Calibri Light"/>
          <w:i/>
          <w:iCs/>
          <w:sz w:val="24"/>
          <w:szCs w:val="24"/>
        </w:rPr>
        <w:t>Jawi</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wetan</w:t>
      </w:r>
      <w:proofErr w:type="spellEnd"/>
      <w:r w:rsidRPr="00FE3E1B">
        <w:rPr>
          <w:rFonts w:ascii="Calibri Light" w:hAnsi="Calibri Light" w:cs="Calibri Light"/>
          <w:sz w:val="24"/>
          <w:szCs w:val="24"/>
        </w:rPr>
        <w:t xml:space="preserve">” Christian Church (GKJW). In addition to being an evangelist in East Java, Coolen had a very important position in the Ngoro government, namely as the head of Ngoro village (now Ngoro district). In this case, Coolen took advantage of his position for the Christianization mission in the Ngoro area by establishing rules that must be followed by the community. </w:t>
      </w:r>
    </w:p>
    <w:p w14:paraId="4F5B3727"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Coolen's missionary was quite interesting to get as many followers as possible without the baptism process in general (Christianity), so in that era, Christians in the Ngoro area began to grow quite rapidly, including in the entire southern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area. Coolen determines the religious identity of the people who were born and developed under his rule. In other words, the religious identity created by Coolen at that time was formed from sociological and psychological power. In sociological and psychological theories emphasizing that one's identity is potentially many and fluid, built through experience in developing their identity, people refer to the culturally available resources in social networks that they experience directly and in society as a whole. The process of identity construction is colored and significantly influenced by the contradictions and dispositions of the sociocultural environment that surrounds it</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{"citationItems":[{"id":"ITEM-1","itemData":{"DOI":"https://doi.org/10.1353/aim.2016.0003.","author":[{"dropping-particle":"","family":"Frosh","given":"Stephen","non-dropping-particle":"","parse-names":false,"suffix":""}],"container-title":"American Imago","id":"ITEM-1","issue":"1","issued":{"date-parts":[["2016"]]},"page":"121-128","title":"The Future of Politics and Psychoanalysis","type":"article-journal","volume":"73"},"uris":["http://www.mendeley.com/documents/?uuid=fce98e28-6596-4e51-973b-4188bf748377"]}],"mendeley":{"formattedCitation":"[31]","plainTextFormattedCitation":"[31]","previouslyFormattedCitation":"[31]"},"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[31]</w:t>
      </w:r>
      <w:r w:rsidR="00771F8B">
        <w:rPr>
          <w:rFonts w:ascii="Calibri Light" w:hAnsi="Calibri Light" w:cs="Calibri Light"/>
          <w:sz w:val="24"/>
          <w:szCs w:val="24"/>
        </w:rPr>
        <w:fldChar w:fldCharType="end"/>
      </w:r>
      <w:r w:rsidRPr="00FE3E1B">
        <w:rPr>
          <w:rFonts w:ascii="Calibri Light" w:hAnsi="Calibri Light" w:cs="Calibri Light"/>
          <w:sz w:val="24"/>
          <w:szCs w:val="24"/>
        </w:rPr>
        <w:t>. As Jenkins theorizes, identity contains elements of 'individual uniqueness' and 'collective part'</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Jenkins","given":"Richard","non-dropping-particle":"","parse-names":false,"suffix":""}],"id":"ITEM-1","issued":{"date-parts":[["1996"]]},"publisher":"Routledge","publisher-place":"London","title":"Social Identity","type":"book"},"uris":["http://www.mendeley.com/documents/?uuid=55f7756a-54d1-4eb4-a214-713f30967410"]}],"mendeley":{"formattedCitation":"[32]","plainTextFormattedCitation":"[32]","previouslyFormattedCitation":"[32]"},"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[32]</w:t>
      </w:r>
      <w:r w:rsidR="00771F8B">
        <w:rPr>
          <w:rFonts w:ascii="Calibri Light" w:hAnsi="Calibri Light" w:cs="Calibri Light"/>
          <w:sz w:val="24"/>
          <w:szCs w:val="24"/>
        </w:rPr>
        <w:fldChar w:fldCharType="end"/>
      </w:r>
      <w:r w:rsidRPr="00FE3E1B">
        <w:rPr>
          <w:rFonts w:ascii="Calibri Light" w:hAnsi="Calibri Light" w:cs="Calibri Light"/>
          <w:sz w:val="24"/>
          <w:szCs w:val="24"/>
        </w:rPr>
        <w:t>. When each individual has an identity that is personal to him, that identity is formed through membership in a social group. The elements of individual identity emphasize differences, the elements of the collective emphasize similarities, but they are closely related</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{"citationItems":[{"id":"ITEM-1","itemData":{"DOI":"10.1007/s12136-024-00587-2","ISSN":"18746349","abstract":"I identify a class of arguments against multiple realization (MR): BookofSand arguments. The arguments are in their general form successful under reasonably uncontroversial assumptions, but this, on the other hand, turns the table on identity theory: If arguments from MR can always be refuted by BookofSand arguments, is identity theory falsifiable? In the absence of operational demarcation criteria, it is not. I suggest a parameterized formal demarcation principle for brain state/process types and show how it can be used to identify previously unconsidered contenders for evidence for MR, e.g., binary classification, division, and sorting. For these to be actual instances of MR, the corresponding psychological kinds must be verifiably, relevantly similar. I also briefly discuss possible linguistic, behavioral, and experimental demarcation criteria for psychological kinds.","author":[{"dropping-particle":"","family":"Søgaard","given":"Anders","non-dropping-particle":"","parse-names":false,"suffix":""}],"container-title":"Acta Analytica","id":"ITEM-1","issue":"February","issued":{"date-parts":[["2024"]]},"title":"Identity Theory and Falsifiability","type":"article-journal"},"uris":["http://www.mendeley.com/documents/?uuid=c1b7168d-dd3d-4dd7-a5bb-2e80bd0ca671"]}],"mendeley":{"formattedCitation":"[33]","plainTextFormattedCitation":"[33]","previouslyFormattedCitation":"[33]"},"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[33]</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From this history, Christians in southern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are actually followers of GKJW, but now it has developed into several sects along with the many sects of Protestant Christians who are divided into several groups. The spread of Christianity in its gentle style through an approach that accommodates local interests and cultures makes Christians more tolerant and respectful of the diversity of beliefs of the population and feel safer in mingling and socializing in the bonds of one citizen who has common interests.</w:t>
      </w:r>
    </w:p>
    <w:p w14:paraId="795FA583"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Furthermore, the history of Islam and its development in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has existed since the time of </w:t>
      </w:r>
      <w:proofErr w:type="spellStart"/>
      <w:r w:rsidRPr="00FE3E1B">
        <w:rPr>
          <w:rFonts w:ascii="Calibri Light" w:hAnsi="Calibri Light" w:cs="Calibri Light"/>
          <w:sz w:val="24"/>
          <w:szCs w:val="24"/>
        </w:rPr>
        <w:t>Walisongo</w:t>
      </w:r>
      <w:proofErr w:type="spellEnd"/>
      <w:r w:rsidRPr="00FE3E1B">
        <w:rPr>
          <w:rFonts w:ascii="Calibri Light" w:hAnsi="Calibri Light" w:cs="Calibri Light"/>
          <w:sz w:val="24"/>
          <w:szCs w:val="24"/>
        </w:rPr>
        <w:t xml:space="preserve">. However, there is an important inter-regional event in southern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related </w:t>
      </w:r>
      <w:r w:rsidRPr="00FE3E1B">
        <w:rPr>
          <w:rFonts w:ascii="Calibri Light" w:hAnsi="Calibri Light" w:cs="Calibri Light"/>
          <w:sz w:val="24"/>
          <w:szCs w:val="24"/>
        </w:rPr>
        <w:lastRenderedPageBreak/>
        <w:t xml:space="preserve">to the encounter between Islam and Christianity in the area where Coolen Christianization is based. Islamic da'wah in this area at that time was carried out by a figure from </w:t>
      </w:r>
      <w:proofErr w:type="spellStart"/>
      <w:r w:rsidRPr="00FE3E1B">
        <w:rPr>
          <w:rFonts w:ascii="Calibri Light" w:hAnsi="Calibri Light" w:cs="Calibri Light"/>
          <w:sz w:val="24"/>
          <w:szCs w:val="24"/>
        </w:rPr>
        <w:t>Mataram</w:t>
      </w:r>
      <w:proofErr w:type="spellEnd"/>
      <w:r w:rsidRPr="00FE3E1B">
        <w:rPr>
          <w:rFonts w:ascii="Calibri Light" w:hAnsi="Calibri Light" w:cs="Calibri Light"/>
          <w:sz w:val="24"/>
          <w:szCs w:val="24"/>
        </w:rPr>
        <w:t xml:space="preserve"> who was an immigrant to the community, was the son of a soldier in the </w:t>
      </w:r>
      <w:proofErr w:type="spellStart"/>
      <w:r w:rsidRPr="00FE3E1B">
        <w:rPr>
          <w:rFonts w:ascii="Calibri Light" w:hAnsi="Calibri Light" w:cs="Calibri Light"/>
          <w:sz w:val="24"/>
          <w:szCs w:val="24"/>
        </w:rPr>
        <w:t>Diponegoro</w:t>
      </w:r>
      <w:proofErr w:type="spellEnd"/>
      <w:r w:rsidRPr="00FE3E1B">
        <w:rPr>
          <w:rFonts w:ascii="Calibri Light" w:hAnsi="Calibri Light" w:cs="Calibri Light"/>
          <w:sz w:val="24"/>
          <w:szCs w:val="24"/>
        </w:rPr>
        <w:t xml:space="preserve"> war who escaped from Dutch colonial pursuit and later managed to become Coolen's confidant. As is known, the </w:t>
      </w:r>
      <w:proofErr w:type="spellStart"/>
      <w:r w:rsidRPr="00FE3E1B">
        <w:rPr>
          <w:rFonts w:ascii="Calibri Light" w:hAnsi="Calibri Light" w:cs="Calibri Light"/>
          <w:sz w:val="24"/>
          <w:szCs w:val="24"/>
        </w:rPr>
        <w:t>Diponegoro</w:t>
      </w:r>
      <w:proofErr w:type="spellEnd"/>
      <w:r w:rsidRPr="00FE3E1B">
        <w:rPr>
          <w:rFonts w:ascii="Calibri Light" w:hAnsi="Calibri Light" w:cs="Calibri Light"/>
          <w:sz w:val="24"/>
          <w:szCs w:val="24"/>
        </w:rPr>
        <w:t xml:space="preserve"> war occurred in 1820-1830, leading the resistance assisted by nobles and other people. </w:t>
      </w:r>
    </w:p>
    <w:p w14:paraId="655D8454"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Furthermore, the history of Hinduism and its development, as told by the elder that: the seeds of Hinduism, in fact, have occurred since the time of "</w:t>
      </w:r>
      <w:proofErr w:type="spellStart"/>
      <w:r w:rsidRPr="00FE3E1B">
        <w:rPr>
          <w:rFonts w:ascii="Calibri Light" w:hAnsi="Calibri Light" w:cs="Calibri Light"/>
          <w:i/>
          <w:iCs/>
          <w:sz w:val="24"/>
          <w:szCs w:val="24"/>
        </w:rPr>
        <w:t>aliran</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kepercayaan</w:t>
      </w:r>
      <w:proofErr w:type="spellEnd"/>
      <w:r w:rsidRPr="00FE3E1B">
        <w:rPr>
          <w:rFonts w:ascii="Calibri Light" w:hAnsi="Calibri Light" w:cs="Calibri Light"/>
          <w:i/>
          <w:iCs/>
          <w:sz w:val="24"/>
          <w:szCs w:val="24"/>
        </w:rPr>
        <w:t>"</w:t>
      </w:r>
      <w:r w:rsidRPr="00FE3E1B">
        <w:rPr>
          <w:rFonts w:ascii="Calibri Light" w:hAnsi="Calibri Light" w:cs="Calibri Light"/>
          <w:sz w:val="24"/>
          <w:szCs w:val="24"/>
        </w:rPr>
        <w:t xml:space="preserve"> (school of belief) because the school of belief in East Java is mostly synchronistic. As stated by </w:t>
      </w:r>
      <w:proofErr w:type="spellStart"/>
      <w:r w:rsidRPr="00FE3E1B">
        <w:rPr>
          <w:rFonts w:ascii="Calibri Light" w:hAnsi="Calibri Light" w:cs="Calibri Light"/>
          <w:sz w:val="24"/>
          <w:szCs w:val="24"/>
        </w:rPr>
        <w:t>Subagyo</w:t>
      </w:r>
      <w:proofErr w:type="spellEnd"/>
      <w:r w:rsidRPr="00FE3E1B">
        <w:rPr>
          <w:rFonts w:ascii="Calibri Light" w:hAnsi="Calibri Light" w:cs="Calibri Light"/>
          <w:sz w:val="24"/>
          <w:szCs w:val="24"/>
        </w:rPr>
        <w:t>: Ancient animism and "spirituality" have just been merged into Javanese religion. Buddhism, Brahmanism, Hinduism, and Islam enter into it; even Catholic and Protestant Christians are processed as side dishes in the view of the Javanese</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{"citationItems":[{"id":"ITEM-1","itemData":{"author":[{"dropping-particle":"","family":"Subagyo","given":"Rahmat","non-dropping-particle":"","parse-names":false,"suffix":""}],"id":"ITEM-1","issued":{"date-parts":[["1984"]]},"publisher":"Yayasan Kanisius","publisher-place":"Jakarta","title":"Kepercayaan, Kebatinan, Kerohanian, Kejiwaan dan agama","type":"book"},"uris":["http://www.mendeley.com/documents/?uuid=14532887-618f-46e5-9785-640b1132de58"]}],"mendeley":{"formattedCitation":"[34]","plainTextFormattedCitation":"[34]","previouslyFormattedCitation":"[34]"},"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[34]</w:t>
      </w:r>
      <w:r w:rsidR="00771F8B">
        <w:rPr>
          <w:rFonts w:ascii="Calibri Light" w:hAnsi="Calibri Light" w:cs="Calibri Light"/>
          <w:sz w:val="24"/>
          <w:szCs w:val="24"/>
        </w:rPr>
        <w:fldChar w:fldCharType="end"/>
      </w:r>
      <w:r w:rsidRPr="00FE3E1B">
        <w:rPr>
          <w:rFonts w:ascii="Calibri Light" w:hAnsi="Calibri Light" w:cs="Calibri Light"/>
          <w:sz w:val="24"/>
          <w:szCs w:val="24"/>
        </w:rPr>
        <w:t>.</w:t>
      </w:r>
    </w:p>
    <w:p w14:paraId="4FAA8087"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Hinduism still exists and can survive now because the main thing is that they believe this religion is their ancestral religion, and most of them have chosen the belief between Christianity and Islam. Meanwhile, people who do not feel confident in their Islam and Christianity are looking for solutions to new beliefs that make them feel calm and prosperous in meeting their spiritual needs. In the history of Hinduism in Ngoro and its surroundings, according to the village elders, </w:t>
      </w:r>
      <w:proofErr w:type="spellStart"/>
      <w:r w:rsidRPr="00FE3E1B">
        <w:rPr>
          <w:rFonts w:ascii="Calibri Light" w:hAnsi="Calibri Light" w:cs="Calibri Light"/>
          <w:sz w:val="24"/>
          <w:szCs w:val="24"/>
        </w:rPr>
        <w:t>Pinandita</w:t>
      </w:r>
      <w:proofErr w:type="spellEnd"/>
      <w:r w:rsidRPr="00FE3E1B">
        <w:rPr>
          <w:rFonts w:ascii="Calibri Light" w:hAnsi="Calibri Light" w:cs="Calibri Light"/>
          <w:sz w:val="24"/>
          <w:szCs w:val="24"/>
        </w:rPr>
        <w:t xml:space="preserve"> Hari </w:t>
      </w:r>
      <w:proofErr w:type="spellStart"/>
      <w:r w:rsidRPr="00FE3E1B">
        <w:rPr>
          <w:rFonts w:ascii="Calibri Light" w:hAnsi="Calibri Light" w:cs="Calibri Light"/>
          <w:sz w:val="24"/>
          <w:szCs w:val="24"/>
        </w:rPr>
        <w:t>Sumarso</w:t>
      </w:r>
      <w:proofErr w:type="spellEnd"/>
      <w:r w:rsidRPr="00FE3E1B">
        <w:rPr>
          <w:rFonts w:ascii="Calibri Light" w:hAnsi="Calibri Light" w:cs="Calibri Light"/>
          <w:sz w:val="24"/>
          <w:szCs w:val="24"/>
        </w:rPr>
        <w:t xml:space="preserve"> (Hindu elder at that time), in 1968 he and </w:t>
      </w:r>
      <w:proofErr w:type="spellStart"/>
      <w:r w:rsidRPr="00FE3E1B">
        <w:rPr>
          <w:rFonts w:ascii="Calibri Light" w:hAnsi="Calibri Light" w:cs="Calibri Light"/>
          <w:sz w:val="24"/>
          <w:szCs w:val="24"/>
        </w:rPr>
        <w:t>Nurali</w:t>
      </w:r>
      <w:proofErr w:type="spellEnd"/>
      <w:r w:rsidRPr="00FE3E1B">
        <w:rPr>
          <w:rFonts w:ascii="Calibri Light" w:hAnsi="Calibri Light" w:cs="Calibri Light"/>
          <w:sz w:val="24"/>
          <w:szCs w:val="24"/>
        </w:rPr>
        <w:t xml:space="preserve">, Kirjan, </w:t>
      </w:r>
      <w:proofErr w:type="spellStart"/>
      <w:r w:rsidRPr="00FE3E1B">
        <w:rPr>
          <w:rFonts w:ascii="Calibri Light" w:hAnsi="Calibri Light" w:cs="Calibri Light"/>
          <w:sz w:val="24"/>
          <w:szCs w:val="24"/>
        </w:rPr>
        <w:t>Woko</w:t>
      </w:r>
      <w:proofErr w:type="spellEnd"/>
      <w:r w:rsidRPr="00FE3E1B">
        <w:rPr>
          <w:rFonts w:ascii="Calibri Light" w:hAnsi="Calibri Light" w:cs="Calibri Light"/>
          <w:sz w:val="24"/>
          <w:szCs w:val="24"/>
        </w:rPr>
        <w:t xml:space="preserve">, </w:t>
      </w:r>
      <w:proofErr w:type="spellStart"/>
      <w:r w:rsidRPr="00FE3E1B">
        <w:rPr>
          <w:rFonts w:ascii="Calibri Light" w:hAnsi="Calibri Light" w:cs="Calibri Light"/>
          <w:sz w:val="24"/>
          <w:szCs w:val="24"/>
        </w:rPr>
        <w:t>Sakijo</w:t>
      </w:r>
      <w:proofErr w:type="spellEnd"/>
      <w:r w:rsidRPr="00FE3E1B">
        <w:rPr>
          <w:rFonts w:ascii="Calibri Light" w:hAnsi="Calibri Light" w:cs="Calibri Light"/>
          <w:sz w:val="24"/>
          <w:szCs w:val="24"/>
        </w:rPr>
        <w:t xml:space="preserve">, and </w:t>
      </w:r>
      <w:proofErr w:type="spellStart"/>
      <w:r w:rsidRPr="00FE3E1B">
        <w:rPr>
          <w:rFonts w:ascii="Calibri Light" w:hAnsi="Calibri Light" w:cs="Calibri Light"/>
          <w:sz w:val="24"/>
          <w:szCs w:val="24"/>
        </w:rPr>
        <w:t>Ngatiman</w:t>
      </w:r>
      <w:proofErr w:type="spellEnd"/>
      <w:r w:rsidRPr="00FE3E1B">
        <w:rPr>
          <w:rFonts w:ascii="Calibri Light" w:hAnsi="Calibri Light" w:cs="Calibri Light"/>
          <w:sz w:val="24"/>
          <w:szCs w:val="24"/>
        </w:rPr>
        <w:t xml:space="preserve"> gathered in one place to pray according to their beliefs, under the auspices of Shiva Buddha (the religion before it was given the name Hindu). This group shared with several cities, such as Kediri, </w:t>
      </w:r>
      <w:proofErr w:type="spellStart"/>
      <w:r w:rsidRPr="00FE3E1B">
        <w:rPr>
          <w:rFonts w:ascii="Calibri Light" w:hAnsi="Calibri Light" w:cs="Calibri Light"/>
          <w:sz w:val="24"/>
          <w:szCs w:val="24"/>
        </w:rPr>
        <w:t>Mojosari</w:t>
      </w:r>
      <w:proofErr w:type="spellEnd"/>
      <w:r w:rsidRPr="00FE3E1B">
        <w:rPr>
          <w:rFonts w:ascii="Calibri Light" w:hAnsi="Calibri Light" w:cs="Calibri Light"/>
          <w:sz w:val="24"/>
          <w:szCs w:val="24"/>
        </w:rPr>
        <w:t>, and Mojokerto, about the recognition of their faith. From this, it can be understood that not all religious believers understand their religion in depth, so there is a desire to study religion in its deepest form</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{"citationItems":[{"id":"ITEM-1","itemData":{"author":[{"dropping-particle":"","family":"Hadiwijono","given":"Harun","non-dropping-particle":"","parse-names":false,"suffix":""}],"id":"ITEM-1","issued":{"date-parts":[["2009"]]},"publisher":"BPK Gunung Mulia","publisher-place":"Jakarta","title":"Kebatinan dan Injil","type":"book"},"uris":["http://www.mendeley.com/documents/?uuid=d71b9658-6e72-4ab3-9360-932546e1f7e3"]}],"mendeley":{"formattedCitation":"[35]","plainTextFormattedCitation":"[35]","previouslyFormattedCitation":"[35]"},"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[35]</w:t>
      </w:r>
      <w:r w:rsidR="00771F8B">
        <w:rPr>
          <w:rFonts w:ascii="Calibri Light" w:hAnsi="Calibri Light" w:cs="Calibri Light"/>
          <w:sz w:val="24"/>
          <w:szCs w:val="24"/>
        </w:rPr>
        <w:fldChar w:fldCharType="end"/>
      </w:r>
      <w:r w:rsidRPr="00FE3E1B">
        <w:rPr>
          <w:rFonts w:ascii="Calibri Light" w:hAnsi="Calibri Light" w:cs="Calibri Light"/>
          <w:sz w:val="24"/>
          <w:szCs w:val="24"/>
        </w:rPr>
        <w:t>.</w:t>
      </w:r>
    </w:p>
    <w:p w14:paraId="5B11981A"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Historical factors in the development of religion have a considerable contribution in realizing and, at the same time, strengthening the tolerant behavior of their people, because, from history, many things can be learned and developed. The entry of existing religions without any element of coercion and the absence of violence in the process of entering and developing the three existing religions stigmatizes that religion is presented to organize a civilized society, not to compartmentalize, and ultimately cause division and dispute.  </w:t>
      </w:r>
    </w:p>
    <w:p w14:paraId="4D050E36" w14:textId="77777777" w:rsidR="00FE3E1B" w:rsidRPr="00FE3E1B" w:rsidRDefault="00FE3E1B" w:rsidP="00FE3E1B">
      <w:pPr>
        <w:ind w:firstLine="567"/>
        <w:jc w:val="both"/>
        <w:rPr>
          <w:rFonts w:ascii="Calibri Light" w:hAnsi="Calibri Light" w:cs="Calibri Light"/>
          <w:sz w:val="24"/>
          <w:szCs w:val="24"/>
        </w:rPr>
      </w:pPr>
    </w:p>
    <w:p w14:paraId="55FF159E" w14:textId="77777777" w:rsidR="00FE3E1B" w:rsidRPr="00FE3E1B" w:rsidRDefault="00FE3E1B" w:rsidP="00FE3E1B">
      <w:pPr>
        <w:jc w:val="both"/>
        <w:rPr>
          <w:rFonts w:ascii="Calibri Light" w:hAnsi="Calibri Light" w:cs="Calibri Light"/>
          <w:b/>
          <w:bCs/>
          <w:sz w:val="24"/>
          <w:szCs w:val="24"/>
        </w:rPr>
      </w:pPr>
      <w:bookmarkStart w:id="1" w:name="_Hlk176774403"/>
      <w:r w:rsidRPr="00FE3E1B">
        <w:rPr>
          <w:rFonts w:ascii="Calibri Light" w:hAnsi="Calibri Light" w:cs="Calibri Light"/>
          <w:b/>
          <w:bCs/>
          <w:sz w:val="24"/>
          <w:szCs w:val="24"/>
        </w:rPr>
        <w:t>Familial factors</w:t>
      </w:r>
      <w:bookmarkEnd w:id="1"/>
    </w:p>
    <w:p w14:paraId="35ED2CBC"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Kinship here is an important factor in instilling multicultural educational values in strengthening the tolerant behavior of the existing community as a culture that is firmly rooted in society. This factor is important because, basically the indigenous people in this hamlet are one big family, namely descendants from the same ancestor. Referring to the history of the establishment of each village and hamlet in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Regency in general, by calling their ancestors "</w:t>
      </w:r>
      <w:proofErr w:type="spellStart"/>
      <w:r w:rsidRPr="00FE3E1B">
        <w:rPr>
          <w:rFonts w:ascii="Calibri Light" w:hAnsi="Calibri Light" w:cs="Calibri Light"/>
          <w:i/>
          <w:iCs/>
          <w:sz w:val="24"/>
          <w:szCs w:val="24"/>
        </w:rPr>
        <w:t>bubak</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deso</w:t>
      </w:r>
      <w:proofErr w:type="spellEnd"/>
      <w:r w:rsidRPr="00FE3E1B">
        <w:rPr>
          <w:rFonts w:ascii="Calibri Light" w:hAnsi="Calibri Light" w:cs="Calibri Light"/>
          <w:i/>
          <w:iCs/>
          <w:sz w:val="24"/>
          <w:szCs w:val="24"/>
        </w:rPr>
        <w:t>"</w:t>
      </w:r>
      <w:r w:rsidRPr="00FE3E1B">
        <w:rPr>
          <w:rFonts w:ascii="Calibri Light" w:hAnsi="Calibri Light" w:cs="Calibri Light"/>
          <w:sz w:val="24"/>
          <w:szCs w:val="24"/>
        </w:rPr>
        <w:t xml:space="preserve"> people who then developed into different religious communities. Because, in theory, the family is the main means of socialization for a person to know and learn about their culture</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{"citationItems":[{"id":"ITEM-1","itemData":{"author":[{"dropping-particle":"","family":"Goode","given":"William. J.","non-dropping-particle":"","parse-names":false,"suffix":""}],"id":"ITEM-1","issued":{"date-parts":[["1995"]]},"publisher":"Bumi Aksara","publisher-place":"Jakarta","title":"Sosiologi Keluarga","type":"book"},"uris":["http://www.mendeley.com/documents/?uuid=2929485e-4bc9-480e-bb28-259bf895e840"]}],"mendeley":{"formattedCitation":"[36]","plainTextFormattedCitation":"[36]","previouslyFormattedCitation":"[36]"},"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[36]</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In addition to feeling that they come from the same lineage, the people of South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especially the Ngoro area, </w:t>
      </w:r>
      <w:proofErr w:type="spellStart"/>
      <w:r w:rsidRPr="00FE3E1B">
        <w:rPr>
          <w:rFonts w:ascii="Calibri Light" w:hAnsi="Calibri Light" w:cs="Calibri Light"/>
          <w:sz w:val="24"/>
          <w:szCs w:val="24"/>
        </w:rPr>
        <w:t>Mojowarno</w:t>
      </w:r>
      <w:proofErr w:type="spellEnd"/>
      <w:r w:rsidRPr="00FE3E1B">
        <w:rPr>
          <w:rFonts w:ascii="Calibri Light" w:hAnsi="Calibri Light" w:cs="Calibri Light"/>
          <w:sz w:val="24"/>
          <w:szCs w:val="24"/>
        </w:rPr>
        <w:t>, and surrounding areas, also allow interfaith marriages. Interfaith marriages are not allowed in marriage contracts according to religious and state regulations, but various cases in this hamlet finally hold interfaith marriages. In the State regulation, as stipulated in Law No. 1 of 1974 Article 2 states that (1). Marriage is valid if it is carried out under the laws of each religion and belief. (2) Every marriage must be recorded under the applicable laws and regulations (Law No. 1 of 1974</w:t>
      </w:r>
      <w:proofErr w:type="gramStart"/>
      <w:r w:rsidRPr="00FE3E1B">
        <w:rPr>
          <w:rFonts w:ascii="Calibri Light" w:hAnsi="Calibri Light" w:cs="Calibri Light"/>
          <w:sz w:val="24"/>
          <w:szCs w:val="24"/>
        </w:rPr>
        <w:t>).In</w:t>
      </w:r>
      <w:proofErr w:type="gramEnd"/>
      <w:r w:rsidRPr="00FE3E1B">
        <w:rPr>
          <w:rFonts w:ascii="Calibri Light" w:hAnsi="Calibri Light" w:cs="Calibri Light"/>
          <w:sz w:val="24"/>
          <w:szCs w:val="24"/>
        </w:rPr>
        <w:t xml:space="preserve"> Islam, interfaith marriage is </w:t>
      </w:r>
      <w:r w:rsidRPr="00FE3E1B">
        <w:rPr>
          <w:rFonts w:ascii="Calibri Light" w:hAnsi="Calibri Light" w:cs="Calibri Light"/>
          <w:sz w:val="24"/>
          <w:szCs w:val="24"/>
        </w:rPr>
        <w:lastRenderedPageBreak/>
        <w:t xml:space="preserve">forbidden. However, there are exceptions where the male partner is a believer, and the female partner is a member of the book. In this kind of couple, the scholars differ in their opinion on condemnation. Rules of </w:t>
      </w:r>
      <w:proofErr w:type="spellStart"/>
      <w:r w:rsidRPr="00FE3E1B">
        <w:rPr>
          <w:rFonts w:ascii="Calibri Light" w:hAnsi="Calibri Light" w:cs="Calibri Light"/>
          <w:i/>
          <w:iCs/>
          <w:sz w:val="24"/>
          <w:szCs w:val="24"/>
        </w:rPr>
        <w:t>ushul</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fiqh</w:t>
      </w:r>
      <w:r w:rsidRPr="00FE3E1B">
        <w:rPr>
          <w:rFonts w:ascii="Calibri Light" w:hAnsi="Calibri Light" w:cs="Calibri Light"/>
          <w:sz w:val="24"/>
          <w:szCs w:val="24"/>
        </w:rPr>
        <w:t>"</w:t>
      </w:r>
      <w:r w:rsidRPr="00FE3E1B">
        <w:rPr>
          <w:rFonts w:ascii="Calibri Light" w:hAnsi="Calibri Light" w:cs="Calibri Light"/>
          <w:i/>
          <w:iCs/>
          <w:sz w:val="24"/>
          <w:szCs w:val="24"/>
        </w:rPr>
        <w:t>Idza</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ijtama'a</w:t>
      </w:r>
      <w:proofErr w:type="spellEnd"/>
      <w:r w:rsidRPr="00FE3E1B">
        <w:rPr>
          <w:rFonts w:ascii="Calibri Light" w:hAnsi="Calibri Light" w:cs="Calibri Light"/>
          <w:i/>
          <w:iCs/>
          <w:sz w:val="24"/>
          <w:szCs w:val="24"/>
        </w:rPr>
        <w:t xml:space="preserve"> </w:t>
      </w:r>
      <w:proofErr w:type="spellStart"/>
      <w:r w:rsidRPr="00FE3E1B">
        <w:rPr>
          <w:rFonts w:ascii="Calibri Light" w:hAnsi="Calibri Light" w:cs="Calibri Light"/>
          <w:i/>
          <w:iCs/>
          <w:sz w:val="24"/>
          <w:szCs w:val="24"/>
        </w:rPr>
        <w:t>baina</w:t>
      </w:r>
      <w:proofErr w:type="spellEnd"/>
      <w:r w:rsidRPr="00FE3E1B">
        <w:rPr>
          <w:rFonts w:ascii="Calibri Light" w:hAnsi="Calibri Light" w:cs="Calibri Light"/>
          <w:i/>
          <w:iCs/>
          <w:sz w:val="24"/>
          <w:szCs w:val="24"/>
        </w:rPr>
        <w:t xml:space="preserve"> al halal </w:t>
      </w:r>
      <w:proofErr w:type="spellStart"/>
      <w:r w:rsidRPr="00FE3E1B">
        <w:rPr>
          <w:rFonts w:ascii="Calibri Light" w:hAnsi="Calibri Light" w:cs="Calibri Light"/>
          <w:i/>
          <w:iCs/>
          <w:sz w:val="24"/>
          <w:szCs w:val="24"/>
        </w:rPr>
        <w:t>wal</w:t>
      </w:r>
      <w:proofErr w:type="spellEnd"/>
      <w:r w:rsidRPr="00FE3E1B">
        <w:rPr>
          <w:rFonts w:ascii="Calibri Light" w:hAnsi="Calibri Light" w:cs="Calibri Light"/>
          <w:i/>
          <w:iCs/>
          <w:sz w:val="24"/>
          <w:szCs w:val="24"/>
        </w:rPr>
        <w:t xml:space="preserve"> haram </w:t>
      </w:r>
      <w:proofErr w:type="spellStart"/>
      <w:r w:rsidRPr="00FE3E1B">
        <w:rPr>
          <w:rFonts w:ascii="Calibri Light" w:hAnsi="Calibri Light" w:cs="Calibri Light"/>
          <w:i/>
          <w:iCs/>
          <w:sz w:val="24"/>
          <w:szCs w:val="24"/>
        </w:rPr>
        <w:t>ghuliba</w:t>
      </w:r>
      <w:proofErr w:type="spellEnd"/>
      <w:r w:rsidRPr="00FE3E1B">
        <w:rPr>
          <w:rFonts w:ascii="Calibri Light" w:hAnsi="Calibri Light" w:cs="Calibri Light"/>
          <w:i/>
          <w:iCs/>
          <w:sz w:val="24"/>
          <w:szCs w:val="24"/>
        </w:rPr>
        <w:t xml:space="preserve"> al haram</w:t>
      </w:r>
      <w:r w:rsidRPr="00FE3E1B">
        <w:rPr>
          <w:rFonts w:ascii="Calibri Light" w:hAnsi="Calibri Light" w:cs="Calibri Light"/>
          <w:sz w:val="24"/>
          <w:szCs w:val="24"/>
        </w:rPr>
        <w:t>" can be used as a solution in taking the law as a form "</w:t>
      </w:r>
      <w:proofErr w:type="spellStart"/>
      <w:r w:rsidRPr="00FE3E1B">
        <w:rPr>
          <w:rFonts w:ascii="Calibri Light" w:hAnsi="Calibri Light" w:cs="Calibri Light"/>
          <w:i/>
          <w:iCs/>
          <w:sz w:val="24"/>
          <w:szCs w:val="24"/>
        </w:rPr>
        <w:t>ihtiyaat</w:t>
      </w:r>
      <w:proofErr w:type="spellEnd"/>
      <w:r w:rsidRPr="00FE3E1B">
        <w:rPr>
          <w:rFonts w:ascii="Calibri Light" w:hAnsi="Calibri Light" w:cs="Calibri Light"/>
          <w:sz w:val="24"/>
          <w:szCs w:val="24"/>
        </w:rPr>
        <w:t xml:space="preserve"> "or prudence in the application of Islamic sharia</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{"citationItems":[{"id":"ITEM-1","itemData":{"DOI":"10.36052/andragogi.v6i2.56","ISSN":"2620-5009","abstract":"Penelitian ini bertujuan untuk mengkaji persamaan dan perbedaan cara pandang hukum Islam dan Hukum positif tentang pernikahan beda agama. Metode yang digunakan adalah kualitatif, dengan pendekatan komparatif. Dalam kajian hukum Islam, pernikahan beda agama diklasifikasikan pada tiga katagori: pernikahan pria muslim dengan wanita musyrik; pernikahan pria muslim dengan wanita ahlulkitab; dan pernikahan wanita muslimah dengan pria non muslim. Secara regulatif, pernikahan beda agama di Indonesia tidak memiliki kekuatan hukum, sebab Undang-Undang Nomor 1 Tahun 1974 Tentang Perkawinan dan Kompilasi Hukum Islam sebagai hukum positif telah melarang nikah beda agama. Karena itu, Kantor Urusan Agama maupun Catatan Sipil tidak akan melakukan pencatatan administratif atas peristiwa nikah beda agama","author":[{"dropping-particle":"","family":"Jalil","given":"Abdul","non-dropping-particle":"","parse-names":false,"suffix":""}],"container-title":"Andragogi: Jurnal Diklat Teknis Pendidikan dan Keagamaan","id":"ITEM-1","issue":"2","issued":{"date-parts":[["2018"]]},"page":"46-69","title":"Pernikahan Beda Agama dalam Perspektif Hukum Islam dan Hukum Positif di Indonesia","type":"article-journal","volume":"6"},"uris":["http://www.mendeley.com/documents/?uuid=22cba0b0-c852-400e-a570-d56b78bb8158"]}],"mendeley":{"formattedCitation":"[37]","plainTextFormattedCitation":"[37]","previouslyFormattedCitation":"[37]"},"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[37]</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w:t>
      </w:r>
    </w:p>
    <w:p w14:paraId="66D9F612"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In the findings of the research, there is a unique case, such as a Hindu youth who proposed to a Muslim woman he claimed to have converted to Islam and then married the Muslim woman with an Islamic marriage contract after the Islamic marriage contract was carried out at the woman's house, the Hindu youth again carried out the Hindu marriage contract at the Hindu youth's house. And this marriage contract continued without significant rejection from the woman's family because of the woman's love. </w:t>
      </w:r>
    </w:p>
    <w:p w14:paraId="52C1FF35"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In this case, the Hindu youth committed fraud against the woman's family, and in Islamic law, the marriage contract was carried out by fraud. In research conducted by Putri Maulana in Kendari it was found that: Marriage fraud is usually carried out in the form of identity forgery, for example, claiming to be a virgin even though she is married. Fraud can be committed by husbands, and it can also be committed by wives. 2 (two) forms of marriage fraud occur in religious courts, namely first, status fraud, and second, identity fraud. The impact that occurs on victims of marital infidelity is trauma, physical shame (psychological), and material losses. The perspective of Islamic law on the judge's decision on the issue of marriage fraud is that if viewed from all points of view to obtain profits, it is under Islamic law, but if you look at the form and consequences of marriage fraud, it is not under Islamic law, because the nature and characteristics of Islamic law are humanity and morality, and it is obligatory to act fairly and honestly towards married couples</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{"citationItems":[{"id":"ITEM-1","itemData":{"DOI":"http://dx.doi.org/10.31332/zjpi.v4i2.1027","abstract":"Perbedaan dan keberagaman merupakan sebuah keniscayaan, hal ini tidak dapat dihindari dalam kehidupan manusia. Perbedaan muncul dari berbagai aspek, seperti perbedaan suku, ras, bangsa, maupun agama. Dalam konteks Indonesia, perbedaan ini dapat dilihat dari terbentuknya negara Indonesia, dimana penduduk Indonesia terdiri dari berbagai suku, ras, dan agama, sehingga tidak jarang perselisihan pendapat terjadi antara suku satu dengan lainnya, ataupun antara agama yang satu dengan lainnya. Melalui kajian ini, penulis memfokuskan penelitian terhadap peran agama Islam dan merawat keberagaman yang ada di Indonesia. Islam mempunyai peran penting terhadap terbentuknya negara Indonesia, dan telah menjadi agama mayoritas penduduk Indonesia, meskipun negara juga mengakui lima agama lain sebagai agama resmi. Alih-alih menjadikan negara Indonesia menjadi negara Islam, umat Islam di Indonesia lebih memilih menjembatani perbedaan-perbedaan yang ada untuk menuju sebuah kesatuan sesuai dengan motto bangsa Indonesia “Bhineka Tunggal Ika”. Dalam sudut pandang Islam, perbedaan adalah sebuah fitrah, yang kemudian di implementasikan oleh umat Islam Indonesia dalam kehidupan berbangsa dan bertanah air, seperti penerimaan Pancasila sebagai ideologi dan asas negara Indonesia. Sifat compatible dalam Islam inilah yang menjadikan Islam menjadi komponen penting dalam menjaga persatuan bangsa.","author":[{"dropping-particle":"","family":"Maulana","given":"Anastasya Putri","non-dropping-particle":"","parse-names":false,"suffix":""}],"container-title":"Zawiyah: Jurnal Pemikiran Islam","id":"ITEM-1","issue":"2","issued":{"date-parts":[["2018"]]},"page":"1-18","title":"Penipuan Pernikahan Perspektif Hukum Islam (Studi Kasus Putusan Nomor 0375/Pdt.G/2017/Pa Kdi","type":"article-journal","volume":"4"},"uris":["http://www.mendeley.com/documents/?uuid=247fe331-89d9-4296-9316-972ce23c91b7"]}],"mendeley":{"formattedCitation":"[38]","plainTextFormattedCitation":"[38]","previouslyFormattedCitation":"[38]"},"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[38]</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and in this case, their marriage is null and void according to Islamic law. </w:t>
      </w:r>
    </w:p>
    <w:p w14:paraId="776878F4" w14:textId="77777777" w:rsidR="00FE3E1B" w:rsidRPr="00FE3E1B" w:rsidRDefault="00FE3E1B" w:rsidP="00FE3E1B">
      <w:pPr>
        <w:ind w:firstLine="567"/>
        <w:jc w:val="both"/>
        <w:rPr>
          <w:rFonts w:ascii="Calibri Light" w:hAnsi="Calibri Light" w:cs="Calibri Light"/>
          <w:sz w:val="24"/>
          <w:szCs w:val="24"/>
        </w:rPr>
      </w:pPr>
      <w:r w:rsidRPr="00FE3E1B">
        <w:rPr>
          <w:rFonts w:ascii="Calibri Light" w:hAnsi="Calibri Light" w:cs="Calibri Light"/>
          <w:sz w:val="24"/>
          <w:szCs w:val="24"/>
        </w:rPr>
        <w:t>In other cases, in society, family relationships occur not only between religions but also between religions. Because in there is a family with different religions, starting from the father, who is different from the mother, as well as the two children, one of whom adheres to the faith or the other mother who adheres to the religion of her father, which makes the religion different from the two so that it is clear that there are differences between religions in one family due to interfaith marriage.</w:t>
      </w:r>
    </w:p>
    <w:p w14:paraId="7DF52DA3" w14:textId="77777777" w:rsidR="00FE3E1B" w:rsidRPr="00FE3E1B" w:rsidRDefault="00FE3E1B" w:rsidP="00FE3E1B">
      <w:pPr>
        <w:ind w:firstLine="567"/>
        <w:jc w:val="both"/>
        <w:rPr>
          <w:rFonts w:ascii="Calibri Light" w:hAnsi="Calibri Light" w:cs="Calibri Light"/>
          <w:sz w:val="24"/>
          <w:szCs w:val="24"/>
        </w:rPr>
      </w:pPr>
      <w:r w:rsidRPr="00FE3E1B">
        <w:rPr>
          <w:rFonts w:ascii="Calibri Light" w:hAnsi="Calibri Light" w:cs="Calibri Light"/>
          <w:sz w:val="24"/>
          <w:szCs w:val="24"/>
        </w:rPr>
        <w:t>The Qur'anic affirmation of Surah Al Baqarah verse 221 has forbidden marriage between a Muslim and a non-Muslim in the category of polytheism. A Muslim man is allowed to marry a biblical woman (Jewish and Christian) according to verse 5 of QS al-</w:t>
      </w:r>
      <w:proofErr w:type="spellStart"/>
      <w:r w:rsidRPr="00FE3E1B">
        <w:rPr>
          <w:rFonts w:ascii="Calibri Light" w:hAnsi="Calibri Light" w:cs="Calibri Light"/>
          <w:sz w:val="24"/>
          <w:szCs w:val="24"/>
        </w:rPr>
        <w:t>Mā'idah</w:t>
      </w:r>
      <w:proofErr w:type="spellEnd"/>
      <w:r w:rsidRPr="00FE3E1B">
        <w:rPr>
          <w:rFonts w:ascii="Calibri Light" w:hAnsi="Calibri Light" w:cs="Calibri Light"/>
          <w:sz w:val="24"/>
          <w:szCs w:val="24"/>
        </w:rPr>
        <w:t>, as long as the quality of the faith of the Muslim and Muslim man is good, as this kind of marriage carries a high risk: "conversion or divorce"</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{"citationItems":[{"id":"ITEM-1","itemData":{"DOI":"10.36052/andragogi.v6i2.56","ISSN":"2620-5009","abstract":"Penelitian ini bertujuan untuk mengkaji persamaan dan perbedaan cara pandang hukum Islam dan Hukum positif tentang pernikahan beda agama. Metode yang digunakan adalah kualitatif, dengan pendekatan komparatif. Dalam kajian hukum Islam, pernikahan beda agama diklasifikasikan pada tiga katagori: pernikahan pria muslim dengan wanita musyrik; pernikahan pria muslim dengan wanita ahlulkitab; dan pernikahan wanita muslimah dengan pria non muslim. Secara regulatif, pernikahan beda agama di Indonesia tidak memiliki kekuatan hukum, sebab Undang-Undang Nomor 1 Tahun 1974 Tentang Perkawinan dan Kompilasi Hukum Islam sebagai hukum positif telah melarang nikah beda agama. Karena itu, Kantor Urusan Agama maupun Catatan Sipil tidak akan melakukan pencatatan administratif atas peristiwa nikah beda agama","author":[{"dropping-particle":"","family":"Jalil","given":"Abdul","non-dropping-particle":"","parse-names":false,"suffix":""}],"container-title":"Andragogi: Jurnal Diklat Teknis Pendidikan dan Keagamaan","id":"ITEM-1","issue":"2","issued":{"date-parts":[["2018"]]},"page":"46-69","title":"Pernikahan Beda Agama dalam Perspektif Hukum Islam dan Hukum Positif di Indonesia","type":"article-journal","volume":"6"},"uris":["http://www.mendeley.com/documents/?uuid=22cba0b0-c852-400e-a570-d56b78bb8158"]}],"mendeley":{"formattedCitation":"[37]","plainTextFormattedCitation":"[37]","previouslyFormattedCitation":"[37]"},"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[37]</w:t>
      </w:r>
      <w:r w:rsidR="00771F8B">
        <w:rPr>
          <w:rFonts w:ascii="Calibri Light" w:hAnsi="Calibri Light" w:cs="Calibri Light"/>
          <w:sz w:val="24"/>
          <w:szCs w:val="24"/>
        </w:rPr>
        <w:fldChar w:fldCharType="end"/>
      </w:r>
      <w:r w:rsidRPr="00FE3E1B">
        <w:rPr>
          <w:rFonts w:ascii="Calibri Light" w:hAnsi="Calibri Light" w:cs="Calibri Light"/>
          <w:sz w:val="24"/>
          <w:szCs w:val="24"/>
        </w:rPr>
        <w:t>. The marriage of a Muslim man to a woman in the Bible is only an act punishable by "</w:t>
      </w:r>
      <w:proofErr w:type="spellStart"/>
      <w:r w:rsidRPr="00FE3E1B">
        <w:rPr>
          <w:rFonts w:ascii="Calibri Light" w:hAnsi="Calibri Light" w:cs="Calibri Light"/>
          <w:sz w:val="24"/>
          <w:szCs w:val="24"/>
        </w:rPr>
        <w:t>mubah</w:t>
      </w:r>
      <w:proofErr w:type="spellEnd"/>
      <w:r w:rsidRPr="00FE3E1B">
        <w:rPr>
          <w:rFonts w:ascii="Calibri Light" w:hAnsi="Calibri Light" w:cs="Calibri Light"/>
          <w:sz w:val="24"/>
          <w:szCs w:val="24"/>
        </w:rPr>
        <w:t xml:space="preserve">" (permissible), but not a recommendation, let alone a commandment. The companions of Umar bin Khattab also expressed their disapproval of the companions of </w:t>
      </w:r>
      <w:proofErr w:type="spellStart"/>
      <w:r w:rsidRPr="00FE3E1B">
        <w:rPr>
          <w:rFonts w:ascii="Calibri Light" w:hAnsi="Calibri Light" w:cs="Calibri Light"/>
          <w:sz w:val="24"/>
          <w:szCs w:val="24"/>
        </w:rPr>
        <w:t>Hudzaifah</w:t>
      </w:r>
      <w:proofErr w:type="spellEnd"/>
      <w:r w:rsidRPr="00FE3E1B">
        <w:rPr>
          <w:rFonts w:ascii="Calibri Light" w:hAnsi="Calibri Light" w:cs="Calibri Light"/>
          <w:sz w:val="24"/>
          <w:szCs w:val="24"/>
        </w:rPr>
        <w:t xml:space="preserve"> bin Al </w:t>
      </w:r>
      <w:proofErr w:type="spellStart"/>
      <w:r w:rsidRPr="00FE3E1B">
        <w:rPr>
          <w:rFonts w:ascii="Calibri Light" w:hAnsi="Calibri Light" w:cs="Calibri Light"/>
          <w:sz w:val="24"/>
          <w:szCs w:val="24"/>
        </w:rPr>
        <w:t>Yaman</w:t>
      </w:r>
      <w:proofErr w:type="spellEnd"/>
      <w:r w:rsidRPr="00FE3E1B">
        <w:rPr>
          <w:rFonts w:ascii="Calibri Light" w:hAnsi="Calibri Light" w:cs="Calibri Light"/>
          <w:sz w:val="24"/>
          <w:szCs w:val="24"/>
        </w:rPr>
        <w:t xml:space="preserve"> and </w:t>
      </w:r>
      <w:proofErr w:type="spellStart"/>
      <w:r w:rsidRPr="00FE3E1B">
        <w:rPr>
          <w:rFonts w:ascii="Calibri Light" w:hAnsi="Calibri Light" w:cs="Calibri Light"/>
          <w:sz w:val="24"/>
          <w:szCs w:val="24"/>
        </w:rPr>
        <w:t>Talhah</w:t>
      </w:r>
      <w:proofErr w:type="spellEnd"/>
      <w:r w:rsidRPr="00FE3E1B">
        <w:rPr>
          <w:rFonts w:ascii="Calibri Light" w:hAnsi="Calibri Light" w:cs="Calibri Light"/>
          <w:sz w:val="24"/>
          <w:szCs w:val="24"/>
        </w:rPr>
        <w:t xml:space="preserve"> who married Jewish and Christian women, for fear of being followed by other Muslims, so they would avoid Muslim women.</w:t>
      </w:r>
    </w:p>
    <w:p w14:paraId="41E4AFF0"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For example, Mr. D's family, Mr. D's father is Muslim while his mother is Christian and Mr. D himself is Muslim and Mr. D's wife is also Muslim, even though they live in harmony and peace, even in their home life they live it like a family in general, even every Sunday Mr. D invites his mother to the church to carry out routine worship, In the perspective of harmony,  This is a positive thing to emulate, but on a psychological level, there will be times when the mother will feel alienated when doing religious things in her child's </w:t>
      </w:r>
      <w:proofErr w:type="spellStart"/>
      <w:r w:rsidRPr="00FE3E1B">
        <w:rPr>
          <w:rFonts w:ascii="Calibri Light" w:hAnsi="Calibri Light" w:cs="Calibri Light"/>
          <w:sz w:val="24"/>
          <w:szCs w:val="24"/>
        </w:rPr>
        <w:t>home.The</w:t>
      </w:r>
      <w:proofErr w:type="spellEnd"/>
      <w:r w:rsidRPr="00FE3E1B">
        <w:rPr>
          <w:rFonts w:ascii="Calibri Light" w:hAnsi="Calibri Light" w:cs="Calibri Light"/>
          <w:sz w:val="24"/>
          <w:szCs w:val="24"/>
        </w:rPr>
        <w:t xml:space="preserve"> different conditions felt by </w:t>
      </w:r>
      <w:r w:rsidRPr="00FE3E1B">
        <w:rPr>
          <w:rFonts w:ascii="Calibri Light" w:hAnsi="Calibri Light" w:cs="Calibri Light"/>
          <w:sz w:val="24"/>
          <w:szCs w:val="24"/>
        </w:rPr>
        <w:lastRenderedPageBreak/>
        <w:t>Mr. J. The grandfather of these two children is Christian, while his wife is Muslim, the two children adhere to their mother's faith, namely Islam. In choosing a partner, the two children chose not to follow in the footsteps of their parents, i.e., couples of different beliefs, so that practically only Mr. J was a Christian because they began to feel that a different religion would psychologically create a barrier of distance in their hearts, even though there seemed to be nothing in it</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{"citationItems":[{"id":"ITEM-1","itemData":{"DOI":"https://doi.org/10.1007/978-3-319-76694-2 Library","author":[{"dropping-particle":"","family":"Schneider","given":"Barbara","non-dropping-particle":"","parse-names":false,"suffix":""}],"edition":"2","id":"ITEM-1","issued":{"date-parts":[["2018"]]},"publisher":"Springer","publisher-place":"Michigan State University","title":"Handbook of the Sociology of Education in the 21st Century","type":"book"},"uris":["http://www.mendeley.com/documents/?uuid=3d6f5b0f-d0bd-4c25-9090-88eb7d775c8f"]}],"mendeley":{"formattedCitation":"[39]","plainTextFormattedCitation":"[39]","previouslyFormattedCitation":"[39]"},"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[39]</w:t>
      </w:r>
      <w:r w:rsidR="00771F8B">
        <w:rPr>
          <w:rFonts w:ascii="Calibri Light" w:hAnsi="Calibri Light" w:cs="Calibri Light"/>
          <w:sz w:val="24"/>
          <w:szCs w:val="24"/>
        </w:rPr>
        <w:fldChar w:fldCharType="end"/>
      </w:r>
      <w:r w:rsidRPr="00FE3E1B">
        <w:rPr>
          <w:rFonts w:ascii="Calibri Light" w:hAnsi="Calibri Light" w:cs="Calibri Light"/>
          <w:b/>
          <w:bCs/>
          <w:sz w:val="24"/>
          <w:szCs w:val="24"/>
        </w:rPr>
        <w:t xml:space="preserve"> </w:t>
      </w:r>
    </w:p>
    <w:p w14:paraId="7D3E6F6A"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From the findings of data in the field that the demographics of the research location can be classified by religion, the residents of </w:t>
      </w:r>
      <w:proofErr w:type="spellStart"/>
      <w:r w:rsidRPr="00FE3E1B">
        <w:rPr>
          <w:rFonts w:ascii="Calibri Light" w:hAnsi="Calibri Light" w:cs="Calibri Light"/>
          <w:sz w:val="24"/>
          <w:szCs w:val="24"/>
        </w:rPr>
        <w:t>Jombang</w:t>
      </w:r>
      <w:proofErr w:type="spellEnd"/>
      <w:r w:rsidRPr="00FE3E1B">
        <w:rPr>
          <w:rFonts w:ascii="Calibri Light" w:hAnsi="Calibri Light" w:cs="Calibri Light"/>
          <w:sz w:val="24"/>
          <w:szCs w:val="24"/>
        </w:rPr>
        <w:t xml:space="preserve"> can be classified as adherents of six religions and </w:t>
      </w:r>
      <w:r w:rsidRPr="00FE3E1B">
        <w:rPr>
          <w:rFonts w:ascii="Calibri Light" w:hAnsi="Calibri Light" w:cs="Calibri Light"/>
          <w:i/>
          <w:iCs/>
          <w:sz w:val="24"/>
          <w:szCs w:val="24"/>
        </w:rPr>
        <w:t>"</w:t>
      </w:r>
      <w:proofErr w:type="spellStart"/>
      <w:r w:rsidRPr="00FE3E1B">
        <w:rPr>
          <w:rFonts w:ascii="Calibri Light" w:hAnsi="Calibri Light" w:cs="Calibri Light"/>
          <w:i/>
          <w:iCs/>
          <w:sz w:val="24"/>
          <w:szCs w:val="24"/>
        </w:rPr>
        <w:t>kejawen</w:t>
      </w:r>
      <w:proofErr w:type="spellEnd"/>
      <w:r w:rsidRPr="00FE3E1B">
        <w:rPr>
          <w:rFonts w:ascii="Calibri Light" w:hAnsi="Calibri Light" w:cs="Calibri Light"/>
          <w:i/>
          <w:iCs/>
          <w:sz w:val="24"/>
          <w:szCs w:val="24"/>
        </w:rPr>
        <w:t>".</w:t>
      </w:r>
      <w:r w:rsidRPr="00FE3E1B">
        <w:rPr>
          <w:rFonts w:ascii="Calibri Light" w:hAnsi="Calibri Light" w:cs="Calibri Light"/>
          <w:sz w:val="24"/>
          <w:szCs w:val="24"/>
        </w:rPr>
        <w:t xml:space="preserve"> The composition of the population based on religion is a consequence of the history of the development of religion itself, in the sense that the religion that developed earlier in this hamlet was the religion of belief, then Christianity, followed by Islam and Hinduism, while Buddhism came later. The adherents of the latter (Buddhism) are immigrants and do not blend in with society. Internally, the existence of groups based on religious understanding only occurs in Islam and Christianity, while Hinduism does not occur in diversity in religious understanding. Christian religious sects include the Pentecostal Church of the Prosperous Congregation, the Bethel Church of “</w:t>
      </w:r>
      <w:proofErr w:type="spellStart"/>
      <w:r w:rsidRPr="00FE3E1B">
        <w:rPr>
          <w:rFonts w:ascii="Calibri Light" w:hAnsi="Calibri Light" w:cs="Calibri Light"/>
          <w:sz w:val="24"/>
          <w:szCs w:val="24"/>
        </w:rPr>
        <w:t>Tuhan</w:t>
      </w:r>
      <w:proofErr w:type="spellEnd"/>
      <w:r w:rsidRPr="00FE3E1B">
        <w:rPr>
          <w:rFonts w:ascii="Calibri Light" w:hAnsi="Calibri Light" w:cs="Calibri Light"/>
          <w:sz w:val="24"/>
          <w:szCs w:val="24"/>
        </w:rPr>
        <w:t xml:space="preserve"> </w:t>
      </w:r>
      <w:proofErr w:type="spellStart"/>
      <w:r w:rsidRPr="00FE3E1B">
        <w:rPr>
          <w:rFonts w:ascii="Calibri Light" w:hAnsi="Calibri Light" w:cs="Calibri Light"/>
          <w:sz w:val="24"/>
          <w:szCs w:val="24"/>
        </w:rPr>
        <w:t>Baik</w:t>
      </w:r>
      <w:proofErr w:type="spellEnd"/>
      <w:r w:rsidRPr="00FE3E1B">
        <w:rPr>
          <w:rFonts w:ascii="Calibri Light" w:hAnsi="Calibri Light" w:cs="Calibri Light"/>
          <w:sz w:val="24"/>
          <w:szCs w:val="24"/>
        </w:rPr>
        <w:t xml:space="preserve">”, and the adherents of the GKJW Ngoro church. For Muslims, there are three groups, namely </w:t>
      </w:r>
      <w:proofErr w:type="spellStart"/>
      <w:r w:rsidRPr="00FE3E1B">
        <w:rPr>
          <w:rFonts w:ascii="Calibri Light" w:hAnsi="Calibri Light" w:cs="Calibri Light"/>
          <w:sz w:val="24"/>
          <w:szCs w:val="24"/>
        </w:rPr>
        <w:t>Nahdlatul</w:t>
      </w:r>
      <w:proofErr w:type="spellEnd"/>
      <w:r w:rsidRPr="00FE3E1B">
        <w:rPr>
          <w:rFonts w:ascii="Calibri Light" w:hAnsi="Calibri Light" w:cs="Calibri Light"/>
          <w:sz w:val="24"/>
          <w:szCs w:val="24"/>
        </w:rPr>
        <w:t xml:space="preserve"> Ulama, Muhammadiyah, and </w:t>
      </w:r>
      <w:proofErr w:type="spellStart"/>
      <w:r w:rsidRPr="00FE3E1B">
        <w:rPr>
          <w:rFonts w:ascii="Calibri Light" w:hAnsi="Calibri Light" w:cs="Calibri Light"/>
          <w:sz w:val="24"/>
          <w:szCs w:val="24"/>
        </w:rPr>
        <w:t>Wahidiyah</w:t>
      </w:r>
      <w:proofErr w:type="spellEnd"/>
      <w:r w:rsidRPr="00FE3E1B">
        <w:rPr>
          <w:rFonts w:ascii="Calibri Light" w:hAnsi="Calibri Light" w:cs="Calibri Light"/>
          <w:sz w:val="24"/>
          <w:szCs w:val="24"/>
        </w:rPr>
        <w:t>. In the theory of a Multicultural society, each group will influence each other as Parekh says every community consisting of not only one cultural community will never be neutral from another culture and will certainly be influenced by other cultures either consciously or unconsciously. Because another culture is not an outward reality of silence but is capable of defining itself and manifesting its presence secretly in a community without realizing it</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Parekh","given":"Bikhu","non-dropping-particle":"","parse-names":false,"suffix":""}],"id":"ITEM-1","issued":{"date-parts":[["2008"]]},"publisher":"Kanisius","publisher-place":"Yogyakarta","title":"Rethinking Multikulturalism; Keberagaman Budaya dan Teori Politik","type":"book"},"uris":["http://www.mendeley.com/documents/?uuid=6d5cfe52-1457-4805-9503-280973b7fbf3"]}],"mendeley":{"formattedCitation":"[40]","plainTextFormattedCitation":"[40]","previouslyFormattedCitation":"[40]"},"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[40]</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w:t>
      </w:r>
    </w:p>
    <w:p w14:paraId="5F451E8E"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The influence between groups, which in this case is the influence between religious people one and another, there is a tug-of-war and negotiation. According to Moran and </w:t>
      </w:r>
      <w:proofErr w:type="spellStart"/>
      <w:r w:rsidRPr="00FE3E1B">
        <w:rPr>
          <w:rFonts w:ascii="Calibri Light" w:hAnsi="Calibri Light" w:cs="Calibri Light"/>
          <w:sz w:val="24"/>
          <w:szCs w:val="24"/>
        </w:rPr>
        <w:t>Stripp</w:t>
      </w:r>
      <w:proofErr w:type="spellEnd"/>
      <w:r w:rsidRPr="00FE3E1B">
        <w:rPr>
          <w:rFonts w:ascii="Calibri Light" w:hAnsi="Calibri Light" w:cs="Calibri Light"/>
          <w:sz w:val="24"/>
          <w:szCs w:val="24"/>
        </w:rPr>
        <w:t xml:space="preserve"> in their theory, negotiation takes place in the space described by the four C's, namely common interests, conflicts of interest, compromises, and criteria</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{"citationItems":[{"id":"ITEM-1","itemData":{"author":[{"dropping-particle":"","family":"Moran, R.T. &amp; Stripp","given":"W.G.","non-dropping-particle":"","parse-names":false,"suffix":""}],"id":"ITEM-1","issued":{"date-parts":[["1991"]]},"publisher":"TX: Gulf Publishing Company","publisher-place":"Houston,","title":"Dynamics of Successful International Business Negotiations.","type":"book"},"uris":["http://www.mendeley.com/documents/?uuid=79916646-d9a0-4b0f-985f-f829494a7d6a"]}],"mendeley":{"formattedCitation":"[41]","plainTextFormattedCitation":"[41]","previouslyFormattedCitation":"[41]"},"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[41]</w:t>
      </w:r>
      <w:r w:rsidR="00771F8B">
        <w:rPr>
          <w:rFonts w:ascii="Calibri Light" w:hAnsi="Calibri Light" w:cs="Calibri Light"/>
          <w:sz w:val="24"/>
          <w:szCs w:val="24"/>
        </w:rPr>
        <w:fldChar w:fldCharType="end"/>
      </w:r>
      <w:r w:rsidRPr="00FE3E1B">
        <w:rPr>
          <w:rFonts w:ascii="Calibri Light" w:hAnsi="Calibri Light" w:cs="Calibri Light"/>
          <w:sz w:val="24"/>
          <w:szCs w:val="24"/>
        </w:rPr>
        <w:t>. In this regard, the space of common interest in the object of research refers to the fact that each party involved in the negotiation process has, or wants something that the other party owns or claims. In the conflict space, there will be conflicts if there are people who disagree on things of mutual interest, such as profits, contractual responsibilities, and quality. In the space of compromise is to join hands in an effort to find solutions to the areas of opposition. In the last space, criteria are the objectives achieved at the moment of the best conditions in which the negotiations take place. Although all negotiations generally take place in the context mentioned above, each negotiation is specifically determined by the political, economic, social, and cultural system of a country. The negotiation process theory includes the following elements: (1) the characteristics of bargaining, (2) situational constraints, (3) the bargaining process, and (4) the outcome of the negotiation</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{"citationItems":[{"id":"ITEM-1","itemData":{"author":[{"dropping-particle":"","family":"Lussier, R. N., and Hendon","given":"J. R.","non-dropping-particle":"","parse-names":false,"suffix":""}],"edition":"2","id":"ITEM-1","issued":{"date-parts":[["2016"]]},"publisher":"Sage Publication","publisher-place":"Canada","title":"Human Resource Mnagement","type":"book"},"uris":["http://www.mendeley.com/documents/?uuid=6436dee8-8f49-4e6c-9192-a39e7dffe048"]}],"mendeley":{"formattedCitation":"[42]","plainTextFormattedCitation":"[42]","previouslyFormattedCitation":"[42]"},"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[42]</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The differences in group backgrounds provide a good picture of the image of humans as social beings who tend to group with each other and make a close residence to other families. This tendency is one of the foundations for the formation of a society that lives side by side or lives next to each other</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{"citationItems":[{"id":"ITEM-1","itemData":{"DOI":"10.1057/s41599-023-02217-5","ISSN":"26629992","abstract":"The pragmatic view of urban resilience has re-framed long-lasting social issues as chronic social stresses that can be addressed by building strong social networks in urban environments. This practice, inspired by disaster management, is problematic because it presupposes a community whose members share the same fate. Conversely, social vulnerability emerges from the asymmetrical distribution of agency in the social order, so that a low social position jeopardises life chances. Hence, we argue that the social dimension in urban resilience should focus on the role of social positions and individuals’ agentic predispositions to control their life chances if faced with adversity (i.e., their Mastery). Using structural equation modelling and data from a 2018 public Dutch survey, we found that when mediated by Mastery, socioeconomic status drives the individual’s positive adaptation behaviour. In contrast, Interaction with Primary Networks, Neighbourhood Cohesion, and Membership in Voluntary Associations have an unsubstantial relationship to positive adaptation. These empirical results suggest that Mastery is crucial for people’s resilience in their daily life. In view of the recent shift towards negotiation in resilience thinking, we propose Mastery as the guiding factor for transforming arrangements that shape social positions.","author":[{"dropping-particle":"","family":"Benitez-Avila","given":"Camilo","non-dropping-particle":"","parse-names":false,"suffix":""},{"dropping-particle":"","family":"Schuberth","given":"Florian","non-dropping-particle":"","parse-names":false,"suffix":""},{"dropping-particle":"","family":"Copeland","given":"Samantha","non-dropping-particle":"","parse-names":false,"suffix":""}],"container-title":"Humanities and Social Sciences Communications","id":"ITEM-1","issue":"1","issued":{"date-parts":[["2023"]]},"publisher":"Springer US","title":"Mastery and social position: factors in negotiating urban social resilience","type":"article-journal","volume":"10"},"uris":["http://www.mendeley.com/documents/?uuid=08941460-7c8c-4bd2-9ecc-c02a8ad251a4"]}],"mendeley":{"formattedCitation":"[43]","plainTextFormattedCitation":"[43]","previouslyFormattedCitation":"[43]"},"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[43]</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w:t>
      </w:r>
    </w:p>
    <w:p w14:paraId="79B220E6"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The situation that exists in different groups, tends to ask for bargaining is a conflict of interest that exists between two or more parties. Negotiations are influenced by factors such as communication and actions involved in bargaining acts, background factors of pre-existing traditions or cultural relations, and the specific situational conditions under which negotiations are conducted</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{"citationItems":[{"id":"ITEM-1","itemData":{"author":[{"dropping-particle":"","family":"Rogoveanu, Raluca-Nicoleta","given":"","non-dropping-particle":"","parse-names":false,"suffix":""}],"container-title":"Professional communication and translation studies","id":"ITEM-1","issue":"1","issued":{"date-parts":[["2010"]]},"title":"Intercultural negotiations: A cultural approach.","type":"article-journal","volume":"3"},"uris":["http://www.mendeley.com/documents/?uuid=9af57629-e354-41b9-bc25-2cce254bdb32"]}],"mendeley":{"formattedCitation":"[44]","plainTextFormattedCitation":"[44]","previouslyFormattedCitation":"[44]"},"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[44]</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By way of negotiations, the two parties try to reach an agreement on </w:t>
      </w:r>
      <w:r w:rsidRPr="00FE3E1B">
        <w:rPr>
          <w:rFonts w:ascii="Calibri Light" w:hAnsi="Calibri Light" w:cs="Calibri Light"/>
          <w:sz w:val="24"/>
          <w:szCs w:val="24"/>
        </w:rPr>
        <w:lastRenderedPageBreak/>
        <w:t xml:space="preserve">matters of mutual interest. Negotiation involves two elements: the substance of the negotiation and the process. In cross-cultural contexts, misunderstandings are possible because the negotiation process is always heavily influenced by new behaviors and social environments </w:t>
      </w:r>
    </w:p>
    <w:p w14:paraId="41A5064D"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The existence of these sects does not mean the breakup of Christianity, but the Pentecostal church of the Prosperous Church is the first church to be established in Ngoro and has the largest indigenous congregation. This condition does not affect the harmony of Christians in Ngoro. While among Muslims, there are also several different religious understandings, there is the </w:t>
      </w:r>
      <w:proofErr w:type="spellStart"/>
      <w:r w:rsidRPr="00FE3E1B">
        <w:rPr>
          <w:rFonts w:ascii="Calibri Light" w:hAnsi="Calibri Light" w:cs="Calibri Light"/>
          <w:sz w:val="24"/>
          <w:szCs w:val="24"/>
        </w:rPr>
        <w:t>Nahdliyin</w:t>
      </w:r>
      <w:proofErr w:type="spellEnd"/>
      <w:r w:rsidRPr="00FE3E1B">
        <w:rPr>
          <w:rFonts w:ascii="Calibri Light" w:hAnsi="Calibri Light" w:cs="Calibri Light"/>
          <w:sz w:val="24"/>
          <w:szCs w:val="24"/>
        </w:rPr>
        <w:t xml:space="preserve"> group better known as </w:t>
      </w:r>
      <w:proofErr w:type="spellStart"/>
      <w:r w:rsidRPr="00FE3E1B">
        <w:rPr>
          <w:rFonts w:ascii="Calibri Light" w:hAnsi="Calibri Light" w:cs="Calibri Light"/>
          <w:sz w:val="24"/>
          <w:szCs w:val="24"/>
        </w:rPr>
        <w:t>Nahdlatul</w:t>
      </w:r>
      <w:proofErr w:type="spellEnd"/>
      <w:r w:rsidRPr="00FE3E1B">
        <w:rPr>
          <w:rFonts w:ascii="Calibri Light" w:hAnsi="Calibri Light" w:cs="Calibri Light"/>
          <w:sz w:val="24"/>
          <w:szCs w:val="24"/>
        </w:rPr>
        <w:t xml:space="preserve"> Ulama'</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10.1007/978-981-99-9655-1","ISBN":"9789819996544","author":[{"dropping-particle":"","family":"Facal","given":"Gabriel","non-dropping-particle":"","parse-names":false,"suffix":""},{"dropping-particle":"","family":"Lafaye","given":"Elsa","non-dropping-particle":"","parse-names":false,"suffix":""},{"dropping-particle":"","family":"Astrid","given":"De Micheaux","non-dropping-particle":"","parse-names":false,"suffix":""}],"container-title":"The Palgrave Handbook of Political Norms in Southeast Asia","id":"ITEM-1","issued":{"date-parts":[["2024"]]},"title":"The Palgrave Handbook of Political Norms in Southeast Asia","type":"book"},"uris":["http://www.mendeley.com/documents/?uuid=c6f7cb47-7ad2-46e0-97be-e4aa6bdc0931"]}],"mendeley":{"formattedCitation":"[45]","plainTextFormattedCitation":"[45]","previouslyFormattedCitation":"[45]"},"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[45]</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This group is the largest base of the Islamic community, followed by the </w:t>
      </w:r>
      <w:proofErr w:type="spellStart"/>
      <w:r w:rsidRPr="00FE3E1B">
        <w:rPr>
          <w:rFonts w:ascii="Calibri Light" w:hAnsi="Calibri Light" w:cs="Calibri Light"/>
          <w:sz w:val="24"/>
          <w:szCs w:val="24"/>
        </w:rPr>
        <w:t>Wahidiyah</w:t>
      </w:r>
      <w:proofErr w:type="spellEnd"/>
      <w:r w:rsidRPr="00FE3E1B">
        <w:rPr>
          <w:rFonts w:ascii="Calibri Light" w:hAnsi="Calibri Light" w:cs="Calibri Light"/>
          <w:sz w:val="24"/>
          <w:szCs w:val="24"/>
        </w:rPr>
        <w:t xml:space="preserve"> group, which is a member of the </w:t>
      </w:r>
      <w:proofErr w:type="spellStart"/>
      <w:r w:rsidRPr="00FE3E1B">
        <w:rPr>
          <w:rFonts w:ascii="Calibri Light" w:hAnsi="Calibri Light" w:cs="Calibri Light"/>
          <w:sz w:val="24"/>
          <w:szCs w:val="24"/>
        </w:rPr>
        <w:t>Grenggeng</w:t>
      </w:r>
      <w:proofErr w:type="spellEnd"/>
      <w:r w:rsidRPr="00FE3E1B">
        <w:rPr>
          <w:rFonts w:ascii="Calibri Light" w:hAnsi="Calibri Light" w:cs="Calibri Light"/>
          <w:sz w:val="24"/>
          <w:szCs w:val="24"/>
        </w:rPr>
        <w:t xml:space="preserve"> Islamic boarding school. Muhammadiyah is the smallest base. Culture influences negotiation in three ways: by determining one's perception of reality, by rejecting information that is inconsistent or foreign to culturally accepted understanding; and by projecting meaning onto the words and actions of others.</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{"citationItems":[{"id":"ITEM-1","itemData":{"DOI":"10.1057/s41599-023-02217-5","ISSN":"26629992","abstract":"The pragmatic view of urban resilience has re-framed long-lasting social issues as chronic social stresses that can be addressed by building strong social networks in urban environments. This practice, inspired by disaster management, is problematic because it presupposes a community whose members share the same fate. Conversely, social vulnerability emerges from the asymmetrical distribution of agency in the social order, so that a low social position jeopardises life chances. Hence, we argue that the social dimension in urban resilience should focus on the role of social positions and individuals’ agentic predispositions to control their life chances if faced with adversity (i.e., their Mastery). Using structural equation modelling and data from a 2018 public Dutch survey, we found that when mediated by Mastery, socioeconomic status drives the individual’s positive adaptation behaviour. In contrast, Interaction with Primary Networks, Neighbourhood Cohesion, and Membership in Voluntary Associations have an unsubstantial relationship to positive adaptation. These empirical results suggest that Mastery is crucial for people’s resilience in their daily life. In view of the recent shift towards negotiation in resilience thinking, we propose Mastery as the guiding factor for transforming arrangements that shape social positions.","author":[{"dropping-particle":"","family":"Benitez-Avila","given":"Camilo","non-dropping-particle":"","parse-names":false,"suffix":""},{"dropping-particle":"","family":"Schuberth","given":"Florian","non-dropping-particle":"","parse-names":false,"suffix":""},{"dropping-particle":"","family":"Copeland","given":"Samantha","non-dropping-particle":"","parse-names":false,"suffix":""}],"container-title":"Humanities and Social Sciences Communications","id":"ITEM-1","issue":"1","issued":{"date-parts":[["2023"]]},"publisher":"Springer US","title":"Mastery and social position: factors in negotiating urban social resilience","type":"article-journal","volume":"10"},"uris":["http://www.mendeley.com/documents/?uuid=08941460-7c8c-4bd2-9ecc-c02a8ad251a4"]}],"mendeley":{"formattedCitation":"[43]","plainTextFormattedCitation":"[43]","previouslyFormattedCitation":"[43]"},"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[43]</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w:t>
      </w:r>
    </w:p>
    <w:p w14:paraId="72EF7D6E"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The layering of religious people can be seen from the level of knowledge they have about the teachings of their respective religions. On this basis, religious people can be classified into educated and uneducated people</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{"citationItems":[{"id":"ITEM-1","itemData":{"DOI":"10.18592/khazanah.v20i1.8487","author":[{"dropping-particle":"","family":"Hamdan","given":"Rahmadi;","non-dropping-particle":"","parse-names":false,"suffix":""}],"container-title":"Khazanah: Jurnal Studi Islam dan Humaniora","id":"ITEM-1","issue":"1","issued":{"date-parts":[["2023"]]},"page":"59-82","title":"RELIGIOUS MODERATION IN THE CONTEXT OF ISLAMIC EDUCATION : A MULTIDISCIPLINARY PERSPECTIVE AND ITS APPLICATION IN ISLAMIC","type":"article-journal","volume":"21"},"uris":["http://www.mendeley.com/documents/?uuid=e475f9c7-2704-4dcf-8034-8cc5eaddeedc"]}],"mendeley":{"formattedCitation":"[46]","plainTextFormattedCitation":"[46]","previouslyFormattedCitation":"[46]"},"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[46]</w:t>
      </w:r>
      <w:r w:rsidR="00771F8B">
        <w:rPr>
          <w:rFonts w:ascii="Calibri Light" w:hAnsi="Calibri Light" w:cs="Calibri Light"/>
          <w:sz w:val="24"/>
          <w:szCs w:val="24"/>
        </w:rPr>
        <w:fldChar w:fldCharType="end"/>
      </w:r>
      <w:r w:rsidRPr="00FE3E1B">
        <w:rPr>
          <w:rFonts w:ascii="Calibri Light" w:hAnsi="Calibri Light" w:cs="Calibri Light"/>
          <w:sz w:val="24"/>
          <w:szCs w:val="24"/>
        </w:rPr>
        <w:t>This group is also an influencing factor because it influences people's understanding of the importance of tolerant behavior, especially in a multi-religious society. Existing groups, both religious and education-related groups, play a major role in strengthening society's tolerance.</w:t>
      </w:r>
    </w:p>
    <w:p w14:paraId="68ABCD69" w14:textId="77777777" w:rsidR="00FE3E1B" w:rsidRPr="00FE3E1B" w:rsidRDefault="00FE3E1B" w:rsidP="00FE3E1B">
      <w:pPr>
        <w:ind w:firstLine="567"/>
        <w:jc w:val="both"/>
        <w:rPr>
          <w:rFonts w:ascii="Calibri Light" w:hAnsi="Calibri Light" w:cs="Calibri Light"/>
          <w:sz w:val="24"/>
          <w:szCs w:val="24"/>
        </w:rPr>
      </w:pPr>
    </w:p>
    <w:p w14:paraId="21F41714" w14:textId="77777777" w:rsidR="00FE3E1B" w:rsidRPr="00FE3E1B" w:rsidRDefault="00FE3E1B" w:rsidP="00FE3E1B">
      <w:pPr>
        <w:jc w:val="both"/>
        <w:rPr>
          <w:rFonts w:ascii="Calibri Light" w:hAnsi="Calibri Light" w:cs="Calibri Light"/>
          <w:b/>
          <w:bCs/>
          <w:sz w:val="24"/>
          <w:szCs w:val="24"/>
        </w:rPr>
      </w:pPr>
      <w:bookmarkStart w:id="2" w:name="_Hlk176774465"/>
      <w:r w:rsidRPr="00FE3E1B">
        <w:rPr>
          <w:rFonts w:ascii="Calibri Light" w:hAnsi="Calibri Light" w:cs="Calibri Light"/>
          <w:b/>
          <w:bCs/>
          <w:sz w:val="24"/>
          <w:szCs w:val="24"/>
        </w:rPr>
        <w:t xml:space="preserve">Leadership factors. </w:t>
      </w:r>
    </w:p>
    <w:bookmarkEnd w:id="2"/>
    <w:p w14:paraId="2C261D41"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In a multicultural society consisting of several religions and religious beliefs, the leadership factor of community leaders has a very significant role. The community leaders in the object of this study show plurality so that at a certain level, it also impacts their own social interaction and the community group they lead. In other words, in the development of religious harmony among the community, community leaders occupy a decisive position</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{"citationItems":[{"id":"ITEM-1","itemData":{"DOI":"10.1016/j.ssaho.2024.100827","ISSN":"25902911","abstract":"Religion has long been associated with peace, compassion, and noble human values. Meanwhile, conflicts involving religious differences continue to occur in Indonesia. This research investigated the behavior and interactions of religious communities in Malang, Indonesia. This study used a qualitative approach with participatory observation techniques, interviews, and documentation. The Social Capital theory of Pierre Bourdieu, which does not distinguish between the roles of actors and structures, was used to assess the social interaction in interfaith communication. The results indicated that religious communities can coexist harmoniously, as induced by local wisdom as cultural capital and inheritance. The religious community, including Muslims, Hindus, and Christians, believe they originated from the same ancestor. Even in the same family, people from different religions coexist harmoniously. This study contributes to the role of community leaders as charismatic, traditional, and legal actors that should not be underestimated in creating harmonious interactions through local cultural events. These community leaders can provide their communities with direction and assist them in avoiding conflicts. Finally, Harmony based on regional knowledge will lead to lasting peace.","author":[{"dropping-particle":"","family":"Gede Agung","given":"Dewa Agung","non-dropping-particle":"","parse-names":false,"suffix":""},{"dropping-particle":"","family":"Nasih","given":"Ahmad Munjin","non-dropping-particle":"","parse-names":false,"suffix":""},{"dropping-particle":"","family":"Sumarmi","given":"","non-dropping-particle":"","parse-names":false,"suffix":""},{"dropping-particle":"","family":"Idris","given":"","non-dropping-particle":"","parse-names":false,"suffix":""},{"dropping-particle":"","family":"Kurniawan","given":"Bayu","non-dropping-particle":"","parse-names":false,"suffix":""}],"container-title":"Social Sciences and Humanities Open","id":"ITEM-1","issue":"February","issued":{"date-parts":[["2024"]]},"page":"100827","publisher":"Elsevier Ltd","title":"Local wisdom as a model of interfaith communication in creating religious harmony in Indonesia","type":"article-journal","volume":"9"},"uris":["http://www.mendeley.com/documents/?uuid=1283901f-852e-4e0c-a96f-28d5f6e12420"]}],"mendeley":{"formattedCitation":"[47]","plainTextFormattedCitation":"[47]","previouslyFormattedCitation":"[47]"},"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[47]</w:t>
      </w:r>
      <w:r w:rsidR="00771F8B">
        <w:rPr>
          <w:rFonts w:ascii="Calibri Light" w:hAnsi="Calibri Light" w:cs="Calibri Light"/>
          <w:sz w:val="24"/>
          <w:szCs w:val="24"/>
        </w:rPr>
        <w:fldChar w:fldCharType="end"/>
      </w:r>
      <w:r w:rsidRPr="00FE3E1B">
        <w:rPr>
          <w:rFonts w:ascii="Calibri Light" w:hAnsi="Calibri Light" w:cs="Calibri Light"/>
          <w:sz w:val="24"/>
          <w:szCs w:val="24"/>
        </w:rPr>
        <w:t>. In society, there are two types of leadership: formal and informal. What is meant by formal leadership (leaders) here is those who obtain legitimacy of power based on law (legal). Included in this type of leadership are those who manage or exercise government authority that is legitimized by the state. Non-formal leadership, on the other hand, is a charismatic or personal force that comes from "devotion to the purity, heroism, or certain exemplary traits of a person and from the pattern of order exhibited by him</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{"citationItems":[{"id":"ITEM-1","itemData":{"DOI":"10.1007/s11089-023-01113-8","ISBN":"0123456789","ISSN":"15736679","abstract":"A clear understanding of what constitutes effective religious leadership in the context of faith communities is essential for religious practitioners, religious communities, and educational institutes. Twenty-five years after the latest review study by Nauss, an updated overview is needed to account for new insights, especially regarding the latest developments in leadership research and the changing religious landscape. A scoping review was conducted in four databases from 1997 to 2022 to examine the academic literature. The search identified 64 unique references that researched effective religious leadership using 27 different effectiveness criteria. These criteria were categorized based on their target of evaluation: (1) the religious leader, (2) followers/members, and (3) the congregation. Although most references assessed leadership effectiveness by evaluating the religious leader, the most used effectiveness criterion was ‘attendance or numerical growth.’ Over the last 25 years, the criteria for religious leadership effectiveness have become more diverse, and a growing number of references combine criteria from multiple targets to evaluate effectiveness. However, the focus on Christian leadership remains prevalent in the academic literature. The present overview is intended as a starting point for future research as it identifies the current trends and existing knowledge gaps. The study’s findings also invite religious practitioners and congregations to reflect on their methods of assessing leadership effectiveness.","author":[{"dropping-particle":"","family":"Foppen","given":"Annemarie","non-dropping-particle":"","parse-names":false,"suffix":""},{"dropping-particle":"","family":"Saane","given":"Joke W.","non-dropping-particle":"van","parse-names":false,"suffix":""}],"container-title":"Pastoral Psychology","id":"ITEM-1","issue":"1","issued":{"date-parts":[["2024"]]},"page":"1-21","publisher":"Springer US","title":"Assessing Religious Leadership: A Scoping Review of Leadership Effectiveness Criteria and Current Trends in the Academic Literature","type":"article-journal","volume":"73"},"uris":["http://www.mendeley.com/documents/?uuid=9539944f-8076-4140-a6ac-9704a82e14b6"]}],"mendeley":{"formattedCitation":"[48]","plainTextFormattedCitation":"[48]","previouslyFormattedCitation":"[48]"},"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[48]</w:t>
      </w:r>
      <w:r w:rsidR="00771F8B">
        <w:rPr>
          <w:rFonts w:ascii="Calibri Light" w:hAnsi="Calibri Light" w:cs="Calibri Light"/>
          <w:sz w:val="24"/>
          <w:szCs w:val="24"/>
        </w:rPr>
        <w:fldChar w:fldCharType="end"/>
      </w:r>
      <w:r w:rsidRPr="00FE3E1B">
        <w:rPr>
          <w:rFonts w:ascii="Calibri Light" w:hAnsi="Calibri Light" w:cs="Calibri Light"/>
          <w:sz w:val="24"/>
          <w:szCs w:val="24"/>
        </w:rPr>
        <w:t>, which in local community terms is known as community leaders or religious leaders</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{"citationItems":[{"id":"ITEM-1","itemData":{"DOI":"10.1108/14777281311302021","ISSN":"14777282","abstract":"Purpose: Valuing diversity emphasizes the awareness, recognition, and appreciation of human differences and revolves around creating an inclusive environment in which everyone feels esteemed. This generally takes place through a series of training programs that attempt to improve interpersonal relationships among workers by asking participants to become more tolerant-generally understood today as an approval and acceptance of others' practices and beliefs. Because tolerance is such a highly desirable quality in many Western societies, and seemingly one of its few non-controversial values, rarely is its significance questioned. Nevertheless, contemporary interpretations of tolerance can be problematic for multicultural programs, and tolerance understood as respect and civility toward others may be a more appropriate tool to easing hostile tensions between individuals and groups and to helping communities move past intractable conflict. The purpose of this paper is to offer a reinterpretation of tolerance. Design/methodology/approach: This literature review suggests that contemporary interpretations of tolerance often used in multicultural workshops as the recognition, appreciation, acceptance, and celebration of differences may be problematic. Findings: An understanding of tolerance involving civility and respect for others, not their beliefs or conduct, may lead to greater effectiveness of diversity training efforts. This new interpretation of tolerance may also help counter the belief among a number of leaders, particularly in Europe, that multiculturalism has failed. Originality/value: Given the resistance and backlash that sometimes emerge in response to terms such as \"diversity,\" \"inclusion,\" and \"discrimination,\" it is possible that focusing on civility instead could improve the efficacy of existing multicultural training programs. © Emerald Group Publishing Limited.","author":[{"dropping-particle":"","family":"Bergen","given":"C. W.","non-dropping-particle":"von","parse-names":false,"suffix":""}],"container-title":"Development and Learning in Organisations","id":"ITEM-1","issue":"2","issued":{"date-parts":[["2013","2"]]},"page":"9-12","title":"Misconstrued tolerance: Issues for multicultural and diversity training","type":"article","volume":"27"},"uris":["http://www.mendeley.com/documents/?uuid=5df2f147-7be4-32c9-8191-9d6177585bf1"]}],"mendeley":{"formattedCitation":"[49]","plainTextFormattedCitation":"[49]","previouslyFormattedCitation":"[49]"},"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[49]</w:t>
      </w:r>
      <w:r w:rsidR="00771F8B">
        <w:rPr>
          <w:rFonts w:ascii="Calibri Light" w:hAnsi="Calibri Light" w:cs="Calibri Light"/>
          <w:sz w:val="24"/>
          <w:szCs w:val="24"/>
        </w:rPr>
        <w:fldChar w:fldCharType="end"/>
      </w:r>
      <w:r w:rsidRPr="00FE3E1B">
        <w:rPr>
          <w:rFonts w:ascii="Calibri Light" w:hAnsi="Calibri Light" w:cs="Calibri Light"/>
          <w:sz w:val="24"/>
          <w:szCs w:val="24"/>
        </w:rPr>
        <w:t>.</w:t>
      </w:r>
    </w:p>
    <w:p w14:paraId="4D3D08ED"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In Mintzberg's theory, there are three main roles played by each leader regardless of the hierarchy</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{"citationItems":[{"id":"ITEM-1","itemData":{"author":[{"dropping-particle":"","family":"Miftah","given":"Thoha","non-dropping-particle":"","parse-names":false,"suffix":""}],"id":"ITEM-1","issued":{"date-parts":[["2010"]]},"publisher":"Gaya Media","publisher-place":"Yogyakarta","title":"Pembinaan Organisasi, proses dianosa dan intervensi, Manajemen Kepemimpinan","type":"book"},"uris":["http://www.mendeley.com/documents/?uuid=aac76d9b-355a-46c9-afb1-a9c45bd9f1e2"]}],"mendeley":{"formattedCitation":"[50]","plainTextFormattedCitation":"[50]","previouslyFormattedCitation":"[50]"},"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noProof/>
          <w:sz w:val="24"/>
          <w:szCs w:val="24"/>
        </w:rPr>
        <w:t>[50]</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The three main roles are then broken down into ten other roles, namely: 1). Interpersonal Roles The roles in this role are: a) The role as a puppet. b) Role as a leader, c) Role as a liaison manager. 2). The role of information. This role consists of the following roles: a) Role as a monitor. b) Role as a disseminator. c) Role as a spokesperson, 3. This role makes leaders must be involved in the process of making strategies in the organization they lead. In this role, there are the following roles: a) The role of an entrepreneur. b) Role as a distraction handler, c) Role as a resource allocator, d) Role as a negotiator. </w:t>
      </w:r>
    </w:p>
    <w:p w14:paraId="398C3C6C" w14:textId="77777777" w:rsidR="00FE3E1B" w:rsidRPr="00FE3E1B" w:rsidRDefault="00FE3E1B" w:rsidP="00FE3E1B">
      <w:pPr>
        <w:jc w:val="both"/>
        <w:rPr>
          <w:rFonts w:ascii="Calibri Light" w:hAnsi="Calibri Light" w:cs="Calibri Light"/>
          <w:sz w:val="24"/>
          <w:szCs w:val="24"/>
        </w:rPr>
      </w:pPr>
      <w:r w:rsidRPr="00FE3E1B">
        <w:rPr>
          <w:rFonts w:ascii="Calibri Light" w:hAnsi="Calibri Light" w:cs="Calibri Light"/>
          <w:sz w:val="24"/>
          <w:szCs w:val="24"/>
        </w:rPr>
        <w:t xml:space="preserve">The type of leader in government activities is also involved in dealing with problems faced by the government, both in the field of government and society, so that there is cooperation between formal leaders and non-formal leaders in developing their regions. In its journey </w:t>
      </w:r>
      <w:r w:rsidRPr="00FE3E1B">
        <w:rPr>
          <w:rFonts w:ascii="Calibri Light" w:hAnsi="Calibri Light" w:cs="Calibri Light"/>
          <w:sz w:val="24"/>
          <w:szCs w:val="24"/>
        </w:rPr>
        <w:lastRenderedPageBreak/>
        <w:t>toward religious harmony, is always accompanied by several factors</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{"citationItems":[{"id":"ITEM-1","itemData":{"DOI":"10.1007/s12144-023-04873-x","ISBN":"0123456789","ISSN":"19364733","abstract":"The Leipzig Leadership Model (LLM) connects theory and practice. Building on actor-world relations and insights from motivational psychology (actor-action relations), the LLM proposes a holistic framework able to integrate the existing plethora of leadership theories and styles. This opens up a new perspective on a comprehensive understanding of leadership roles. With its four leadership orientation dimensions of purpose, entrepreneurial spirit, responsibility, and effectiveness, the LLM enables leaders to identify and reflect on relevant leadership competencies. In order to facilitate future research on the LLM and its dimensions, we report on two studies that are developing and validating a 32-item LLM-based scale. We applied oblique bifactor target rotation in a bifactor Exploratory Structural Equation Model within CFA approach in a German sample (N = 309) with robust WLSMV-estimates to fit an LLM-based model to the data. The results suggest a good fit. Furthermore, as ECV, PUC and ARPB support the multidimensional nature of the scale, we report the appropriate bifactor statistical indices. After parallel back translation, an English version of the scale was tested in a second sample (N = 311) to replicate our earlier findings. This study facilitates future empirical research by providing a concise and integrative self-rating measure of leadership orientations. We further strengthen the scientific foundation of the LLM by empirically testing its conceptually developed four-factor structure. The scale provides a starting point for further research into leadership orientations (also as standalone subscales), and offers an applicable guideline for self-reflection and decision-making.","author":[{"dropping-particle":"","family":"Meynhardt","given":"Timo","non-dropping-particle":"","parse-names":false,"suffix":""},{"dropping-particle":"","family":"Steuber","given":"Josephina","non-dropping-particle":"","parse-names":false,"suffix":""},{"dropping-particle":"","family":"Feser","given":"Maximilian","non-dropping-particle":"","parse-names":false,"suffix":""}],"container-title":"Current Psychology","id":"ITEM-1","issue":"10","issued":{"date-parts":[["2024"]]},"page":"9005-9024","publisher":"Springer US","title":"The Leipzig Leadership Model: Measuring leadership orientations","type":"article-journal","volume":"43"},"uris":["http://www.mendeley.com/documents/?uuid=9dc4c1f7-1ccc-4812-8f41-6726e926917f"]}],"mendeley":{"formattedCitation":"[51]","plainTextFormattedCitation":"[51]","previouslyFormattedCitation":"[51]"},"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[51]</w:t>
      </w:r>
      <w:r w:rsidR="00771F8B">
        <w:rPr>
          <w:rFonts w:ascii="Calibri Light" w:hAnsi="Calibri Light" w:cs="Calibri Light"/>
          <w:sz w:val="24"/>
          <w:szCs w:val="24"/>
        </w:rPr>
        <w:fldChar w:fldCharType="end"/>
      </w:r>
      <w:r w:rsidRPr="00FE3E1B">
        <w:rPr>
          <w:rFonts w:ascii="Calibri Light" w:hAnsi="Calibri Light" w:cs="Calibri Light"/>
          <w:sz w:val="24"/>
          <w:szCs w:val="24"/>
        </w:rPr>
        <w:t>, some that intersect directly in society, some that occur due to cultural acculturation that sometimes clashes with the rules that apply in the religion itself.</w:t>
      </w:r>
    </w:p>
    <w:p w14:paraId="53F6CA48" w14:textId="77777777" w:rsidR="005062E6" w:rsidRPr="00122F5F" w:rsidRDefault="00FE3E1B" w:rsidP="00FE3E1B">
      <w:pPr>
        <w:jc w:val="both"/>
        <w:rPr>
          <w:rFonts w:ascii="Calibri Light" w:hAnsi="Calibri Light" w:cs="Calibri Light"/>
          <w:color w:val="FF0000"/>
          <w:sz w:val="24"/>
          <w:szCs w:val="24"/>
        </w:rPr>
      </w:pPr>
      <w:r w:rsidRPr="00FE3E1B">
        <w:rPr>
          <w:rFonts w:ascii="Calibri Light" w:hAnsi="Calibri Light" w:cs="Calibri Light"/>
          <w:sz w:val="24"/>
          <w:szCs w:val="24"/>
        </w:rPr>
        <w:t>The leadership factor in realizing and preserving harmony between religious communities is very influential, and the community consciously has its own commitment to maintaining possibilities that hinder harmony between religious communities</w:t>
      </w:r>
      <w:r w:rsidR="00771F8B">
        <w:rPr>
          <w:rFonts w:ascii="Calibri Light" w:hAnsi="Calibri Light" w:cs="Calibri Light"/>
          <w:sz w:val="24"/>
          <w:szCs w:val="24"/>
        </w:rPr>
        <w:fldChar w:fldCharType="begin" w:fldLock="1"/>
      </w:r>
      <w:r w:rsidR="00771F8B">
        <w:rPr>
          <w:rFonts w:ascii="Calibri Light" w:hAnsi="Calibri Light" w:cs="Calibri Light"/>
          <w:sz w:val="24"/>
          <w:szCs w:val="24"/>
        </w:rPr>
        <w:instrText>ADDIN CSL_CITATION {"citationItems":[{"id":"ITEM-1","itemData":{"DOI":"10.1108/13527591111143736","ISSN":"13527592","abstract":"Purpose: This paper aims to analyze the relationship between religious differences (i.e. religious diversity and tolerance diversity), on the one hand, and dysfunctional intergroup conflicts, on the other. Design/methodology/approach: A quantitative research design is used, through which the paper examines 47 public schools in India. Findings: Religious diversity, that is, the distribution of heterogeneous religious affiliations in an organization, is unrelated to dysfunctional intergroup conflicts. By contrast, tolerance diversity, that is, the heterogeneity of organizational members' beliefs regarding the question of how strictly religious commandments should be followed, is positively related to dysfunctional conflicts. Research limitations/implications: The results of this study are limited to public organizations in the Indian context. Practical implications: Since religious diversity is not connected to intergroup conflicts, fostering religious diversity in organizations could render the societal norm \"unity in diversity\" more authentic and attractive. This in turn would enhance the ability of different religions to cooperate in Indian organizations. In contrast with religious diversity, the heterogeneity of religious tolerance is significantly related to intergroup conflicts; a possible remedy could be the use of a transformational leadership style. Originality/value: This study is the first to investigate both religious diversity and tolerance diversity in their effects on the emergence of intergroup conflicts, that is, apparent emotional tensions between organizational subgroups. © Emerald Group Publishing Limited.","author":[{"dropping-particle":"","family":"Gebert","given":"Diether","non-dropping-particle":"","parse-names":false,"suffix":""},{"dropping-particle":"","family":"Boerner","given":"Sabine","non-dropping-particle":"","parse-names":false,"suffix":""},{"dropping-particle":"","family":"Chatterjee","given":"Debrabata","non-dropping-particle":"","parse-names":false,"suffix":""}],"container-title":"Team Performance Management","id":"ITEM-1","issue":"3","issued":{"date-parts":[["2011","6"]]},"page":"224-240","title":"Do religious differences matter? An analysis in India","type":"article-journal","volume":"17"},"uris":["http://www.mendeley.com/documents/?uuid=a07cfa92-71ab-321f-b6de-21f4af8a631b"]}],"mendeley":{"formattedCitation":"[52]","plainTextFormattedCitation":"[52]","previouslyFormattedCitation":"[52]"},"properties":{"noteIndex":0},"schema":"https://github.com/citation-style-language/schema/raw/master/csl-citation.json"}</w:instrText>
      </w:r>
      <w:r w:rsidR="00771F8B">
        <w:rPr>
          <w:rFonts w:ascii="Calibri Light" w:hAnsi="Calibri Light" w:cs="Calibri Light"/>
          <w:sz w:val="24"/>
          <w:szCs w:val="24"/>
        </w:rPr>
        <w:fldChar w:fldCharType="separate"/>
      </w:r>
      <w:r w:rsidRPr="00FE3E1B">
        <w:rPr>
          <w:rFonts w:ascii="Calibri Light" w:hAnsi="Calibri Light" w:cs="Calibri Light"/>
          <w:bCs/>
          <w:noProof/>
          <w:sz w:val="24"/>
          <w:szCs w:val="24"/>
        </w:rPr>
        <w:t>[52]</w:t>
      </w:r>
      <w:r w:rsidR="00771F8B">
        <w:rPr>
          <w:rFonts w:ascii="Calibri Light" w:hAnsi="Calibri Light" w:cs="Calibri Light"/>
          <w:sz w:val="24"/>
          <w:szCs w:val="24"/>
        </w:rPr>
        <w:fldChar w:fldCharType="end"/>
      </w:r>
      <w:r w:rsidRPr="00FE3E1B">
        <w:rPr>
          <w:rFonts w:ascii="Calibri Light" w:hAnsi="Calibri Light" w:cs="Calibri Light"/>
          <w:sz w:val="24"/>
          <w:szCs w:val="24"/>
        </w:rPr>
        <w:t xml:space="preserve">. as an </w:t>
      </w:r>
      <w:proofErr w:type="gramStart"/>
      <w:r w:rsidRPr="00FE3E1B">
        <w:rPr>
          <w:rFonts w:ascii="Calibri Light" w:hAnsi="Calibri Light" w:cs="Calibri Light"/>
          <w:sz w:val="24"/>
          <w:szCs w:val="24"/>
        </w:rPr>
        <w:t>example</w:t>
      </w:r>
      <w:proofErr w:type="gramEnd"/>
      <w:r w:rsidRPr="00FE3E1B">
        <w:rPr>
          <w:rFonts w:ascii="Calibri Light" w:hAnsi="Calibri Light" w:cs="Calibri Light"/>
          <w:sz w:val="24"/>
          <w:szCs w:val="24"/>
        </w:rPr>
        <w:t xml:space="preserve"> contained in the findings, namely, Friday Sermons held in mosques. At that time, the khatib who came from outside delivered provocative material, meaning that the content of the sermon material blatantly offended other religions regardless of the consequences caused (the occurrence of divisions or conflicts between religions) because the delivery of the sermon used loudspeakers where everyone, both Muslims and non-Muslims, also heard it, the khatib would be reprimanded by the head of the mosque taker and given insight into plurality. This leadership factor has had a tremendous impact in creating tolerant societal behavior and upholding existing human rights. Religious leaders, such as the head of the taker, are not only religious leaders but also have a great role in maintaining tolerance and are able to analyze the possibility of conflict in their area</w:t>
      </w:r>
      <w:r w:rsidR="00D26ADD" w:rsidRPr="00FE3E1B">
        <w:rPr>
          <w:rFonts w:ascii="Calibri Light" w:hAnsi="Calibri Light" w:cs="Calibri Light"/>
          <w:sz w:val="24"/>
          <w:szCs w:val="24"/>
        </w:rPr>
        <w:t>.</w:t>
      </w:r>
    </w:p>
    <w:p w14:paraId="3DBB1E33"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4E824F89"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r w:rsidRPr="00540F02">
        <w:rPr>
          <w:rFonts w:ascii="Calibri Light" w:hAnsi="Calibri Light" w:cs="Calibri Light"/>
          <w:b/>
          <w:color w:val="A6A6A6"/>
          <w:sz w:val="24"/>
          <w:szCs w:val="24"/>
        </w:rPr>
        <w:t>(</w:t>
      </w:r>
      <w:r w:rsidR="007816FC" w:rsidRPr="007816FC">
        <w:rPr>
          <w:rFonts w:ascii="Calibri Light" w:hAnsi="Calibri Light" w:cs="Calibri Light"/>
          <w:b/>
          <w:bCs/>
          <w:color w:val="A6A6A6"/>
          <w:sz w:val="24"/>
          <w:szCs w:val="24"/>
        </w:rPr>
        <w:t>Calibri Light</w:t>
      </w:r>
      <w:r w:rsidR="008B23F8" w:rsidRPr="00540F02">
        <w:rPr>
          <w:rFonts w:ascii="Calibri Light" w:hAnsi="Calibri Light" w:cs="Calibri Light"/>
          <w:b/>
          <w:color w:val="A6A6A6"/>
          <w:sz w:val="24"/>
          <w:szCs w:val="24"/>
          <w:lang w:val="id-ID"/>
        </w:rPr>
        <w:t xml:space="preserve">, </w:t>
      </w:r>
      <w:r w:rsidRPr="00540F02">
        <w:rPr>
          <w:rFonts w:ascii="Calibri Light" w:hAnsi="Calibri Light" w:cs="Calibri Light"/>
          <w:b/>
          <w:color w:val="A6A6A6"/>
          <w:sz w:val="24"/>
          <w:szCs w:val="24"/>
        </w:rPr>
        <w:t>12 BOLD)</w:t>
      </w:r>
    </w:p>
    <w:p w14:paraId="78321FC5" w14:textId="77777777" w:rsidR="006B0510" w:rsidRPr="00122F5F" w:rsidRDefault="00771F8B"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771F8B">
        <w:rPr>
          <w:rFonts w:ascii="Calibri Light" w:hAnsi="Calibri Light" w:cs="Calibri Light"/>
          <w:sz w:val="24"/>
          <w:szCs w:val="24"/>
        </w:rPr>
        <w:t>The key factors identified in this study as crucial in fostering a tolerant and open-minded society significantly influence how individuals educate others about religion, promote understanding, and navigate the complexities of religious, cultural, and group diversity. The findings reveal that the absence of any one of these four factors results in a noticeable difference, manifesting as weaker social cohesion and diminished mutual respect. Therefore, it is essential not only to maintain but also to actively nurture these factors through inclusive and sustainable educational practices. The findings of this study make significant contributions to the advancement of scholarly knowledge in several key areas. First, they strengthen the theoretical foundation of multicultural education by providing empirical evidence that underscores the importance of key factors in fostering a tolerant society. This enriches the theoretical framework, particularly in its application to teaching practices that prioritize diversity and inclusion. Second, the study offers valuable guidance for educational policy development, providing a robust basis for policymakers to design curricula and programs that integrate the values of tolerance, cross-cultural understanding, and openness to diversity. These initiatives are applicable not only to formal education but also to teacher training and informal education efforts. Third, by illuminating the connection between these factors and social cohesion, the findings present a blueprint for developing social models aimed at fostering harmony within diverse communities. Finally, the study advances cross-cultural research methodologies by offering a replicable approach to identifying similar factors in varying cultural and societal contexts. Collectively, these findings affirm that multicultural education is not merely a medium for knowledge transfer but a transformative tool for cultivating mutual respect and coexistence. They position education as an essential instrument in building a more inclusive and harmonious world.</w:t>
      </w:r>
      <w:r w:rsidR="00741058" w:rsidRPr="00122F5F">
        <w:rPr>
          <w:rFonts w:ascii="Calibri Light" w:hAnsi="Calibri Light" w:cs="Calibri Light"/>
          <w:sz w:val="24"/>
          <w:szCs w:val="24"/>
        </w:rPr>
        <w:t xml:space="preserve"> </w:t>
      </w:r>
    </w:p>
    <w:p w14:paraId="35F9C313"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49BD8924" w14:textId="77777777"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lastRenderedPageBreak/>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r w:rsidR="00741058" w:rsidRPr="00122F5F">
        <w:rPr>
          <w:rFonts w:ascii="Calibri Light" w:hAnsi="Calibri Light" w:cs="Calibri Light"/>
          <w:b/>
          <w:color w:val="7030A0"/>
          <w:sz w:val="24"/>
          <w:szCs w:val="24"/>
        </w:rPr>
        <w:t xml:space="preserve"> </w:t>
      </w:r>
      <w:r w:rsidR="00741058" w:rsidRPr="00540F02">
        <w:rPr>
          <w:rFonts w:ascii="Calibri Light" w:hAnsi="Calibri Light" w:cs="Calibri Light"/>
          <w:b/>
          <w:color w:val="A6A6A6"/>
          <w:sz w:val="24"/>
          <w:szCs w:val="24"/>
        </w:rPr>
        <w:t>(</w:t>
      </w:r>
      <w:r w:rsidR="007816FC" w:rsidRPr="007816FC">
        <w:rPr>
          <w:rFonts w:ascii="Calibri Light" w:hAnsi="Calibri Light" w:cs="Calibri Light"/>
          <w:b/>
          <w:bCs/>
          <w:color w:val="A6A6A6"/>
          <w:sz w:val="24"/>
          <w:szCs w:val="24"/>
        </w:rPr>
        <w:t>Calibri Light</w:t>
      </w:r>
      <w:r w:rsidR="008B23F8" w:rsidRPr="00540F02">
        <w:rPr>
          <w:rFonts w:ascii="Calibri Light" w:hAnsi="Calibri Light" w:cs="Calibri Light"/>
          <w:b/>
          <w:color w:val="A6A6A6"/>
          <w:sz w:val="24"/>
          <w:szCs w:val="24"/>
          <w:lang w:val="id-ID"/>
        </w:rPr>
        <w:t xml:space="preserve">, </w:t>
      </w:r>
      <w:r w:rsidR="00741058" w:rsidRPr="00540F02">
        <w:rPr>
          <w:rFonts w:ascii="Calibri Light" w:hAnsi="Calibri Light" w:cs="Calibri Light"/>
          <w:b/>
          <w:color w:val="A6A6A6"/>
          <w:sz w:val="24"/>
          <w:szCs w:val="24"/>
        </w:rPr>
        <w:t>12 Bold)</w:t>
      </w:r>
    </w:p>
    <w:p w14:paraId="074310BC" w14:textId="77777777" w:rsidR="00741058" w:rsidRPr="00122F5F" w:rsidRDefault="00771F8B"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Pr>
          <w:rFonts w:ascii="Calibri Light" w:hAnsi="Calibri Light" w:cs="Calibri Light"/>
          <w:sz w:val="24"/>
          <w:szCs w:val="24"/>
        </w:rPr>
        <w:t>Acknowledgments</w:t>
      </w:r>
      <w:r w:rsidRPr="00771F8B">
        <w:rPr>
          <w:rFonts w:ascii="Calibri Light" w:hAnsi="Calibri Light" w:cs="Calibri Light"/>
          <w:sz w:val="24"/>
          <w:szCs w:val="24"/>
        </w:rPr>
        <w:t xml:space="preserve"> to Universitas Terbuka research and community service institutes for assisting in funding this research. We also express our gratitude to informants, both informants who allow us to be named in this article and those who do not want to be named</w:t>
      </w:r>
      <w:r w:rsidR="00741058" w:rsidRPr="00122F5F">
        <w:rPr>
          <w:rFonts w:ascii="Calibri Light" w:hAnsi="Calibri Light" w:cs="Calibri Light"/>
          <w:sz w:val="24"/>
          <w:szCs w:val="24"/>
        </w:rPr>
        <w:t>.</w:t>
      </w:r>
      <w:r w:rsidR="00F369EC" w:rsidRPr="00122F5F">
        <w:rPr>
          <w:rFonts w:ascii="Calibri Light" w:hAnsi="Calibri Light" w:cs="Calibri Light"/>
          <w:sz w:val="24"/>
          <w:szCs w:val="24"/>
        </w:rPr>
        <w:t xml:space="preserve"> </w:t>
      </w:r>
      <w:r w:rsidR="00003189" w:rsidRPr="00540F02">
        <w:rPr>
          <w:rFonts w:ascii="Calibri Light" w:hAnsi="Calibri Light" w:cs="Calibri Light"/>
          <w:color w:val="A6A6A6"/>
          <w:sz w:val="24"/>
          <w:szCs w:val="24"/>
        </w:rPr>
        <w:t>(12)</w:t>
      </w:r>
    </w:p>
    <w:p w14:paraId="32E5A9EE"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2FB4DAB1" w14:textId="7777777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r w:rsidR="001B3613" w:rsidRPr="00122F5F">
        <w:rPr>
          <w:rFonts w:ascii="Calibri Light" w:hAnsi="Calibri Light" w:cs="Calibri Light"/>
          <w:b/>
          <w:color w:val="A6A6A6"/>
          <w:sz w:val="24"/>
          <w:szCs w:val="24"/>
        </w:rPr>
        <w:t>(</w:t>
      </w:r>
      <w:r w:rsidR="007816FC" w:rsidRPr="007816FC">
        <w:rPr>
          <w:rFonts w:ascii="Calibri Light" w:hAnsi="Calibri Light" w:cs="Calibri Light"/>
          <w:b/>
          <w:bCs/>
          <w:color w:val="A6A6A6"/>
          <w:sz w:val="24"/>
          <w:szCs w:val="24"/>
        </w:rPr>
        <w:t>Calibri Light</w:t>
      </w:r>
      <w:r w:rsidR="001B3613" w:rsidRPr="00122F5F">
        <w:rPr>
          <w:rFonts w:ascii="Calibri Light" w:hAnsi="Calibri Light" w:cs="Calibri Light"/>
          <w:b/>
          <w:color w:val="A6A6A6"/>
          <w:sz w:val="24"/>
          <w:szCs w:val="24"/>
          <w:lang w:val="id-ID"/>
        </w:rPr>
        <w:t xml:space="preserve">, </w:t>
      </w:r>
      <w:r w:rsidR="001B3613" w:rsidRPr="00122F5F">
        <w:rPr>
          <w:rFonts w:ascii="Calibri Light" w:hAnsi="Calibri Light" w:cs="Calibri Light"/>
          <w:b/>
          <w:color w:val="A6A6A6"/>
          <w:sz w:val="24"/>
          <w:szCs w:val="24"/>
        </w:rPr>
        <w:t>12 Bold)</w:t>
      </w:r>
    </w:p>
    <w:p w14:paraId="483679DD" w14:textId="77777777" w:rsidR="00741058" w:rsidRPr="00122F5F" w:rsidRDefault="00741058" w:rsidP="00F369EC">
      <w:pPr>
        <w:spacing w:line="36" w:lineRule="exact"/>
        <w:jc w:val="both"/>
        <w:rPr>
          <w:rFonts w:ascii="Calibri Light" w:hAnsi="Calibri Light" w:cs="Calibri Light"/>
          <w:bCs/>
          <w:sz w:val="24"/>
          <w:szCs w:val="24"/>
        </w:rPr>
      </w:pPr>
    </w:p>
    <w:p w14:paraId="6CEDEAA6"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Pr="00771F8B">
        <w:rPr>
          <w:rFonts w:ascii="Calibri Light" w:hAnsi="Calibri Light" w:cs="Calibri Light"/>
          <w:noProof/>
          <w:sz w:val="24"/>
        </w:rPr>
        <w:t>[1]</w:t>
      </w:r>
      <w:r w:rsidRPr="00771F8B">
        <w:rPr>
          <w:rFonts w:ascii="Calibri Light" w:hAnsi="Calibri Light" w:cs="Calibri Light"/>
          <w:noProof/>
          <w:sz w:val="24"/>
        </w:rPr>
        <w:tab/>
        <w:t xml:space="preserve">H. Baharun and R. Awwaliyah, “Pendidikan Multikultural dalam Menanggulangi Narasi Islamisme di Indonesia,” </w:t>
      </w:r>
      <w:r w:rsidRPr="00771F8B">
        <w:rPr>
          <w:rFonts w:ascii="Calibri Light" w:hAnsi="Calibri Light" w:cs="Calibri Light"/>
          <w:i/>
          <w:iCs/>
          <w:noProof/>
          <w:sz w:val="24"/>
        </w:rPr>
        <w:t>J. Pendidik. Agama Islam (Journal Islam. Educ. Stud.</w:t>
      </w:r>
      <w:r w:rsidRPr="00771F8B">
        <w:rPr>
          <w:rFonts w:ascii="Calibri Light" w:hAnsi="Calibri Light" w:cs="Calibri Light"/>
          <w:noProof/>
          <w:sz w:val="24"/>
        </w:rPr>
        <w:t>, 2017, doi: 10.15642/jpai.2017.5.2.224-243.</w:t>
      </w:r>
    </w:p>
    <w:p w14:paraId="7E4FDA90"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w:t>
      </w:r>
      <w:r w:rsidRPr="00771F8B">
        <w:rPr>
          <w:rFonts w:ascii="Calibri Light" w:hAnsi="Calibri Light" w:cs="Calibri Light"/>
          <w:noProof/>
          <w:sz w:val="24"/>
        </w:rPr>
        <w:tab/>
        <w:t xml:space="preserve">(Ed.) Basyar, Hamdan, </w:t>
      </w:r>
      <w:r w:rsidRPr="00771F8B">
        <w:rPr>
          <w:rFonts w:ascii="Calibri Light" w:hAnsi="Calibri Light" w:cs="Calibri Light"/>
          <w:i/>
          <w:iCs/>
          <w:noProof/>
          <w:sz w:val="24"/>
        </w:rPr>
        <w:t>Konflik Poso: Pemetaan dan Pencarian Pola-pola Alternatif Penyelesaiannya</w:t>
      </w:r>
      <w:r w:rsidRPr="00771F8B">
        <w:rPr>
          <w:rFonts w:ascii="Calibri Light" w:hAnsi="Calibri Light" w:cs="Calibri Light"/>
          <w:noProof/>
          <w:sz w:val="24"/>
        </w:rPr>
        <w:t>. Jakarta: P2P LIPI, 2003.</w:t>
      </w:r>
    </w:p>
    <w:p w14:paraId="5880B4AE"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w:t>
      </w:r>
      <w:r w:rsidRPr="00771F8B">
        <w:rPr>
          <w:rFonts w:ascii="Calibri Light" w:hAnsi="Calibri Light" w:cs="Calibri Light"/>
          <w:noProof/>
          <w:sz w:val="24"/>
        </w:rPr>
        <w:tab/>
        <w:t xml:space="preserve">M. A. et al Fuadi, “Religious Moderation in the Context of Integration Between Religion and Local Culture in Indonesia,” </w:t>
      </w:r>
      <w:r w:rsidRPr="00771F8B">
        <w:rPr>
          <w:rFonts w:ascii="Calibri Light" w:hAnsi="Calibri Light" w:cs="Calibri Light"/>
          <w:i/>
          <w:iCs/>
          <w:noProof/>
          <w:sz w:val="24"/>
        </w:rPr>
        <w:t>J. Al-Tamaddun</w:t>
      </w:r>
      <w:r w:rsidRPr="00771F8B">
        <w:rPr>
          <w:rFonts w:ascii="Calibri Light" w:hAnsi="Calibri Light" w:cs="Calibri Light"/>
          <w:noProof/>
          <w:sz w:val="24"/>
        </w:rPr>
        <w:t>, vol. 19, no. 1, pp. 47–59, 2024.</w:t>
      </w:r>
    </w:p>
    <w:p w14:paraId="5CA0667A"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w:t>
      </w:r>
      <w:r w:rsidRPr="00771F8B">
        <w:rPr>
          <w:rFonts w:ascii="Calibri Light" w:hAnsi="Calibri Light" w:cs="Calibri Light"/>
          <w:noProof/>
          <w:sz w:val="24"/>
        </w:rPr>
        <w:tab/>
        <w:t xml:space="preserve">Y. Kawangung, “Religious moderation discourse in plurality of social harmony in Indonesia,” </w:t>
      </w:r>
      <w:r w:rsidRPr="00771F8B">
        <w:rPr>
          <w:rFonts w:ascii="Calibri Light" w:hAnsi="Calibri Light" w:cs="Calibri Light"/>
          <w:i/>
          <w:iCs/>
          <w:noProof/>
          <w:sz w:val="24"/>
        </w:rPr>
        <w:t>Int. J. Soc. Sci. Humanit.</w:t>
      </w:r>
      <w:r w:rsidRPr="00771F8B">
        <w:rPr>
          <w:rFonts w:ascii="Calibri Light" w:hAnsi="Calibri Light" w:cs="Calibri Light"/>
          <w:noProof/>
          <w:sz w:val="24"/>
        </w:rPr>
        <w:t>, vol. 3, no. 1, pp. 160–170, 2019, doi: 10.29332/ijssh.v3n1.277.</w:t>
      </w:r>
    </w:p>
    <w:p w14:paraId="10884C69"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[5]</w:t>
      </w:r>
      <w:r w:rsidRPr="00771F8B">
        <w:rPr>
          <w:rFonts w:ascii="Calibri Light" w:hAnsi="Calibri Light" w:cs="Calibri Light"/>
          <w:noProof/>
          <w:sz w:val="24"/>
        </w:rPr>
        <w:tab/>
        <w:t xml:space="preserve">K. Mohd Khambali@Hambali </w:t>
      </w:r>
      <w:r w:rsidRPr="00771F8B">
        <w:rPr>
          <w:rFonts w:ascii="Calibri Light" w:hAnsi="Calibri Light" w:cs="Calibri Light"/>
          <w:i/>
          <w:iCs/>
          <w:noProof/>
          <w:sz w:val="24"/>
        </w:rPr>
        <w:t>et al.</w:t>
      </w:r>
      <w:r w:rsidRPr="00771F8B">
        <w:rPr>
          <w:rFonts w:ascii="Calibri Light" w:hAnsi="Calibri Light" w:cs="Calibri Light"/>
          <w:noProof/>
          <w:sz w:val="24"/>
        </w:rPr>
        <w:t xml:space="preserve">, “al-Wasatiyyah in the practice of religious tolerance among the families of new Muslims in sustaining a well-being society,” </w:t>
      </w:r>
      <w:r w:rsidRPr="00771F8B">
        <w:rPr>
          <w:rFonts w:ascii="Calibri Light" w:hAnsi="Calibri Light" w:cs="Calibri Light"/>
          <w:i/>
          <w:iCs/>
          <w:noProof/>
          <w:sz w:val="24"/>
        </w:rPr>
        <w:t>Humanomics</w:t>
      </w:r>
      <w:r w:rsidRPr="00771F8B">
        <w:rPr>
          <w:rFonts w:ascii="Calibri Light" w:hAnsi="Calibri Light" w:cs="Calibri Light"/>
          <w:noProof/>
          <w:sz w:val="24"/>
        </w:rPr>
        <w:t>, vol. 33, no. 2, pp. 211–220, May 2017, doi: 10.1108/H-02-2017-0025.</w:t>
      </w:r>
    </w:p>
    <w:p w14:paraId="57E815CF"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[6]</w:t>
      </w:r>
      <w:r w:rsidRPr="00771F8B">
        <w:rPr>
          <w:rFonts w:ascii="Calibri Light" w:hAnsi="Calibri Light" w:cs="Calibri Light"/>
          <w:noProof/>
          <w:sz w:val="24"/>
        </w:rPr>
        <w:tab/>
        <w:t xml:space="preserve">U. Husna and M. Thohir, “Religious Moderation as a New Approach to Learning Islamic Religious Education in Schools,” </w:t>
      </w:r>
      <w:r w:rsidRPr="00771F8B">
        <w:rPr>
          <w:rFonts w:ascii="Calibri Light" w:hAnsi="Calibri Light" w:cs="Calibri Light"/>
          <w:i/>
          <w:iCs/>
          <w:noProof/>
          <w:sz w:val="24"/>
        </w:rPr>
        <w:t>Nadwa J. Pendidik. Islam</w:t>
      </w:r>
      <w:r w:rsidRPr="00771F8B">
        <w:rPr>
          <w:rFonts w:ascii="Calibri Light" w:hAnsi="Calibri Light" w:cs="Calibri Light"/>
          <w:noProof/>
          <w:sz w:val="24"/>
        </w:rPr>
        <w:t>, vol. 14, no. 1, pp. 199–222, 2020, doi: 10.21580/nw.2020.14.1.5766.</w:t>
      </w:r>
    </w:p>
    <w:p w14:paraId="7D9992D8"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[7]</w:t>
      </w:r>
      <w:r w:rsidRPr="00771F8B">
        <w:rPr>
          <w:rFonts w:ascii="Calibri Light" w:hAnsi="Calibri Light" w:cs="Calibri Light"/>
          <w:noProof/>
          <w:sz w:val="24"/>
        </w:rPr>
        <w:tab/>
        <w:t xml:space="preserve">J. Delhey, G. Dragolov, and K. Boehnke, “Social Cohesion in International Comparison: A Review of Key Measures and Findings,” </w:t>
      </w:r>
      <w:r w:rsidRPr="00771F8B">
        <w:rPr>
          <w:rFonts w:ascii="Calibri Light" w:hAnsi="Calibri Light" w:cs="Calibri Light"/>
          <w:i/>
          <w:iCs/>
          <w:noProof/>
          <w:sz w:val="24"/>
        </w:rPr>
        <w:t>Kolner Z. Soz. Sozpsychol.</w:t>
      </w:r>
      <w:r w:rsidRPr="00771F8B">
        <w:rPr>
          <w:rFonts w:ascii="Calibri Light" w:hAnsi="Calibri Light" w:cs="Calibri Light"/>
          <w:noProof/>
          <w:sz w:val="24"/>
        </w:rPr>
        <w:t>, vol. 75, pp. 95–120, 2022, doi: 10.1007/s11577-023-00891-6.</w:t>
      </w:r>
    </w:p>
    <w:p w14:paraId="07A350D9"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[8]</w:t>
      </w:r>
      <w:r w:rsidRPr="00771F8B">
        <w:rPr>
          <w:rFonts w:ascii="Calibri Light" w:hAnsi="Calibri Light" w:cs="Calibri Light"/>
          <w:noProof/>
          <w:sz w:val="24"/>
        </w:rPr>
        <w:tab/>
        <w:t xml:space="preserve">A. Busłowska and J. Marcinkiewicz, “Social Cohesion of Functional Urban Areas (Example of Eastern Poland),” </w:t>
      </w:r>
      <w:r w:rsidRPr="00771F8B">
        <w:rPr>
          <w:rFonts w:ascii="Calibri Light" w:hAnsi="Calibri Light" w:cs="Calibri Light"/>
          <w:i/>
          <w:iCs/>
          <w:noProof/>
          <w:sz w:val="24"/>
        </w:rPr>
        <w:t>Soc. Indic. Res.</w:t>
      </w:r>
      <w:r w:rsidRPr="00771F8B">
        <w:rPr>
          <w:rFonts w:ascii="Calibri Light" w:hAnsi="Calibri Light" w:cs="Calibri Light"/>
          <w:noProof/>
          <w:sz w:val="24"/>
        </w:rPr>
        <w:t>, vol. 167, no. 1–3, pp. 451–473, 2023, doi: 10.1007/s11205-023-03119-4.</w:t>
      </w:r>
    </w:p>
    <w:p w14:paraId="1F61495C"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[9]</w:t>
      </w:r>
      <w:r w:rsidRPr="00771F8B">
        <w:rPr>
          <w:rFonts w:ascii="Calibri Light" w:hAnsi="Calibri Light" w:cs="Calibri Light"/>
          <w:noProof/>
          <w:sz w:val="24"/>
        </w:rPr>
        <w:tab/>
        <w:t xml:space="preserve">J. Qi, S. Mazumdar, and A. C. Vasconcelos, </w:t>
      </w:r>
      <w:r w:rsidRPr="00771F8B">
        <w:rPr>
          <w:rFonts w:ascii="Calibri Light" w:hAnsi="Calibri Light" w:cs="Calibri Light"/>
          <w:i/>
          <w:iCs/>
          <w:noProof/>
          <w:sz w:val="24"/>
        </w:rPr>
        <w:t>Understanding the Relationship between Urban Public Space and Social Cohesion: A Systematic Review</w:t>
      </w:r>
      <w:r w:rsidRPr="00771F8B">
        <w:rPr>
          <w:rFonts w:ascii="Calibri Light" w:hAnsi="Calibri Light" w:cs="Calibri Light"/>
          <w:noProof/>
          <w:sz w:val="24"/>
        </w:rPr>
        <w:t>, no. 0123456789. Springer International Publishing, 2024.</w:t>
      </w:r>
    </w:p>
    <w:p w14:paraId="72480E8F"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[10]</w:t>
      </w:r>
      <w:r w:rsidRPr="00771F8B">
        <w:rPr>
          <w:rFonts w:ascii="Calibri Light" w:hAnsi="Calibri Light" w:cs="Calibri Light"/>
          <w:noProof/>
          <w:sz w:val="24"/>
        </w:rPr>
        <w:tab/>
        <w:t xml:space="preserve">S. Puryanto and R. Siswanto, “The Indonesian Journal of the Social Sciences Ideological Conflict in Rembang ( Case Study : Cement Mining Conflict in Rembang ),” </w:t>
      </w:r>
      <w:r w:rsidRPr="00771F8B">
        <w:rPr>
          <w:rFonts w:ascii="Calibri Light" w:hAnsi="Calibri Light" w:cs="Calibri Light"/>
          <w:i/>
          <w:iCs/>
          <w:noProof/>
          <w:sz w:val="24"/>
        </w:rPr>
        <w:t>J. Ilm. Peuradeun</w:t>
      </w:r>
      <w:r w:rsidRPr="00771F8B">
        <w:rPr>
          <w:rFonts w:ascii="Calibri Light" w:hAnsi="Calibri Light" w:cs="Calibri Light"/>
          <w:noProof/>
          <w:sz w:val="24"/>
        </w:rPr>
        <w:t>, vol. 12, no. 1, pp. 377–402, 2024, doi: https://doi.org/10.26811/peuradeun.v12i1.1043.</w:t>
      </w:r>
    </w:p>
    <w:p w14:paraId="5163705F"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[11]</w:t>
      </w:r>
      <w:r w:rsidRPr="00771F8B">
        <w:rPr>
          <w:rFonts w:ascii="Calibri Light" w:hAnsi="Calibri Light" w:cs="Calibri Light"/>
          <w:noProof/>
          <w:sz w:val="24"/>
        </w:rPr>
        <w:tab/>
        <w:t xml:space="preserve">T. Nurhidayati and M. B. Ula, “Driving the Minority and Majority Interreligious Relations in Bali,” </w:t>
      </w:r>
      <w:r w:rsidRPr="00771F8B">
        <w:rPr>
          <w:rFonts w:ascii="Calibri Light" w:hAnsi="Calibri Light" w:cs="Calibri Light"/>
          <w:i/>
          <w:iCs/>
          <w:noProof/>
          <w:sz w:val="24"/>
        </w:rPr>
        <w:t>Al’Adalah</w:t>
      </w:r>
      <w:r w:rsidRPr="00771F8B">
        <w:rPr>
          <w:rFonts w:ascii="Calibri Light" w:hAnsi="Calibri Light" w:cs="Calibri Light"/>
          <w:noProof/>
          <w:sz w:val="24"/>
        </w:rPr>
        <w:t>, vol. 25, no. 2, pp. 207–225, 2022, doi: 10.35719/aladalah.v25i2.292.</w:t>
      </w:r>
    </w:p>
    <w:p w14:paraId="6EDAC00E"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[12]</w:t>
      </w:r>
      <w:r w:rsidRPr="00771F8B">
        <w:rPr>
          <w:rFonts w:ascii="Calibri Light" w:hAnsi="Calibri Light" w:cs="Calibri Light"/>
          <w:noProof/>
          <w:sz w:val="24"/>
        </w:rPr>
        <w:tab/>
        <w:t xml:space="preserve">A. Halim, “Non-Muslims in the Qanun Jinayat and the Choice of Law in Sharia Courts in </w:t>
      </w:r>
      <w:r w:rsidRPr="00771F8B">
        <w:rPr>
          <w:rFonts w:ascii="Calibri Light" w:hAnsi="Calibri Light" w:cs="Calibri Light"/>
          <w:noProof/>
          <w:sz w:val="24"/>
        </w:rPr>
        <w:lastRenderedPageBreak/>
        <w:t xml:space="preserve">Aceh,” </w:t>
      </w:r>
      <w:r w:rsidRPr="00771F8B">
        <w:rPr>
          <w:rFonts w:ascii="Calibri Light" w:hAnsi="Calibri Light" w:cs="Calibri Light"/>
          <w:i/>
          <w:iCs/>
          <w:noProof/>
          <w:sz w:val="24"/>
        </w:rPr>
        <w:t>Hum. Rights Rev.</w:t>
      </w:r>
      <w:r w:rsidRPr="00771F8B">
        <w:rPr>
          <w:rFonts w:ascii="Calibri Light" w:hAnsi="Calibri Light" w:cs="Calibri Light"/>
          <w:noProof/>
          <w:sz w:val="24"/>
        </w:rPr>
        <w:t>, vol. 23, no. 2, pp. 265–288, 2022, doi: 10.1007/s12142-021-00645-x.</w:t>
      </w:r>
    </w:p>
    <w:p w14:paraId="5906C73B"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[13]</w:t>
      </w:r>
      <w:r w:rsidRPr="00771F8B">
        <w:rPr>
          <w:rFonts w:ascii="Calibri Light" w:hAnsi="Calibri Light" w:cs="Calibri Light"/>
          <w:noProof/>
          <w:sz w:val="24"/>
        </w:rPr>
        <w:tab/>
        <w:t xml:space="preserve">M. Idris, E. Willya, and S. Mokodenseho, “Strengthening Religious Tolerance with Islamic Views in the Era of Diversity in Indonesia,” </w:t>
      </w:r>
      <w:r w:rsidRPr="00771F8B">
        <w:rPr>
          <w:rFonts w:ascii="Calibri Light" w:hAnsi="Calibri Light" w:cs="Calibri Light"/>
          <w:i/>
          <w:iCs/>
          <w:noProof/>
          <w:sz w:val="24"/>
        </w:rPr>
        <w:t>West Sci. Islam. Stud.</w:t>
      </w:r>
      <w:r w:rsidRPr="00771F8B">
        <w:rPr>
          <w:rFonts w:ascii="Calibri Light" w:hAnsi="Calibri Light" w:cs="Calibri Light"/>
          <w:noProof/>
          <w:sz w:val="24"/>
        </w:rPr>
        <w:t>, vol. 2, no. 02, pp. 106–113, 2024, doi: 10.58812/wsiss.v2i02.839.</w:t>
      </w:r>
    </w:p>
    <w:p w14:paraId="7415FCDF"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[14]</w:t>
      </w:r>
      <w:r w:rsidRPr="00771F8B">
        <w:rPr>
          <w:rFonts w:ascii="Calibri Light" w:hAnsi="Calibri Light" w:cs="Calibri Light"/>
          <w:noProof/>
          <w:sz w:val="24"/>
        </w:rPr>
        <w:tab/>
        <w:t xml:space="preserve">S. A. Aderibigbe, M. Idriz, K. Alzouebi, H. AlOthman, W. B. Hamdi, and A. A. Companioni, “Fostering Tolerance and Respect for Diversity through the Fundamentals of Islamic Education,” </w:t>
      </w:r>
      <w:r w:rsidRPr="00771F8B">
        <w:rPr>
          <w:rFonts w:ascii="Calibri Light" w:hAnsi="Calibri Light" w:cs="Calibri Light"/>
          <w:i/>
          <w:iCs/>
          <w:noProof/>
          <w:sz w:val="24"/>
        </w:rPr>
        <w:t>Religions</w:t>
      </w:r>
      <w:r w:rsidRPr="00771F8B">
        <w:rPr>
          <w:rFonts w:ascii="Calibri Light" w:hAnsi="Calibri Light" w:cs="Calibri Light"/>
          <w:noProof/>
          <w:sz w:val="24"/>
        </w:rPr>
        <w:t>, vol. 14, no. 2, pp. 1–16, 2023, doi: 10.3390/rel14020212.</w:t>
      </w:r>
    </w:p>
    <w:p w14:paraId="0A92DA12"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[15]</w:t>
      </w:r>
      <w:r w:rsidRPr="00771F8B">
        <w:rPr>
          <w:rFonts w:ascii="Calibri Light" w:hAnsi="Calibri Light" w:cs="Calibri Light"/>
          <w:noProof/>
          <w:sz w:val="24"/>
        </w:rPr>
        <w:tab/>
        <w:t xml:space="preserve">C. Setijadi, “‘A Beautiful Bridge’: Chinese Indonesian Associations, Social Capital and Strategic Identification in a New Era of China–Indonesia Relations,” </w:t>
      </w:r>
      <w:r w:rsidRPr="00771F8B">
        <w:rPr>
          <w:rFonts w:ascii="Calibri Light" w:hAnsi="Calibri Light" w:cs="Calibri Light"/>
          <w:i/>
          <w:iCs/>
          <w:noProof/>
          <w:sz w:val="24"/>
        </w:rPr>
        <w:t>J. Contemp. China</w:t>
      </w:r>
      <w:r w:rsidRPr="00771F8B">
        <w:rPr>
          <w:rFonts w:ascii="Calibri Light" w:hAnsi="Calibri Light" w:cs="Calibri Light"/>
          <w:noProof/>
          <w:sz w:val="24"/>
        </w:rPr>
        <w:t>, vol. 25, no. 102, pp. 822–835, Nov. 2016, doi: 10.1080/10670564.2016.1184895.</w:t>
      </w:r>
    </w:p>
    <w:p w14:paraId="3EC49D1C"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[16]</w:t>
      </w:r>
      <w:r w:rsidRPr="00771F8B">
        <w:rPr>
          <w:rFonts w:ascii="Calibri Light" w:hAnsi="Calibri Light" w:cs="Calibri Light"/>
          <w:noProof/>
          <w:sz w:val="24"/>
        </w:rPr>
        <w:tab/>
        <w:t xml:space="preserve">D. FitzGerald, “Ethnographic Analysis,” </w:t>
      </w:r>
      <w:r w:rsidRPr="00771F8B">
        <w:rPr>
          <w:rFonts w:ascii="Calibri Light" w:hAnsi="Calibri Light" w:cs="Calibri Light"/>
          <w:i/>
          <w:iCs/>
          <w:noProof/>
          <w:sz w:val="24"/>
        </w:rPr>
        <w:t>Sel. Top. Migr. Stud.</w:t>
      </w:r>
      <w:r w:rsidRPr="00771F8B">
        <w:rPr>
          <w:rFonts w:ascii="Calibri Light" w:hAnsi="Calibri Light" w:cs="Calibri Light"/>
          <w:noProof/>
          <w:sz w:val="24"/>
        </w:rPr>
        <w:t>, pp. 207–211, 2023, doi: 10.1007/978-3-031-19631-7_36.</w:t>
      </w:r>
    </w:p>
    <w:p w14:paraId="17CC1A55"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[17]</w:t>
      </w:r>
      <w:r w:rsidRPr="00771F8B">
        <w:rPr>
          <w:rFonts w:ascii="Calibri Light" w:hAnsi="Calibri Light" w:cs="Calibri Light"/>
          <w:noProof/>
          <w:sz w:val="24"/>
        </w:rPr>
        <w:tab/>
        <w:t xml:space="preserve">J. W. Creswell, </w:t>
      </w:r>
      <w:r w:rsidRPr="00771F8B">
        <w:rPr>
          <w:rFonts w:ascii="Calibri Light" w:hAnsi="Calibri Light" w:cs="Calibri Light"/>
          <w:i/>
          <w:iCs/>
          <w:noProof/>
          <w:sz w:val="24"/>
        </w:rPr>
        <w:t>Research Design Qualitative, Quantitative, and Mixed Methods Approach, 2nd ed</w:t>
      </w:r>
      <w:r w:rsidRPr="00771F8B">
        <w:rPr>
          <w:rFonts w:ascii="Calibri Light" w:hAnsi="Calibri Light" w:cs="Calibri Light"/>
          <w:noProof/>
          <w:sz w:val="24"/>
        </w:rPr>
        <w:t>. Thousand Oaks, CA: Sage Publication, 2018.</w:t>
      </w:r>
    </w:p>
    <w:p w14:paraId="0C1AFC95"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[18]</w:t>
      </w:r>
      <w:r w:rsidRPr="00771F8B">
        <w:rPr>
          <w:rFonts w:ascii="Calibri Light" w:hAnsi="Calibri Light" w:cs="Calibri Light"/>
          <w:noProof/>
          <w:sz w:val="24"/>
        </w:rPr>
        <w:tab/>
        <w:t xml:space="preserve">C. H. Meydan and H. Akkaş, “The role of triangulation in qualitative research: Converging perspectives,” in </w:t>
      </w:r>
      <w:r w:rsidRPr="00771F8B">
        <w:rPr>
          <w:rFonts w:ascii="Calibri Light" w:hAnsi="Calibri Light" w:cs="Calibri Light"/>
          <w:i/>
          <w:iCs/>
          <w:noProof/>
          <w:sz w:val="24"/>
        </w:rPr>
        <w:t>Principles of Conducting Qualitative Research in Multicultural Settings</w:t>
      </w:r>
      <w:r w:rsidRPr="00771F8B">
        <w:rPr>
          <w:rFonts w:ascii="Calibri Light" w:hAnsi="Calibri Light" w:cs="Calibri Light"/>
          <w:noProof/>
          <w:sz w:val="24"/>
        </w:rPr>
        <w:t>, IGI Global, 2024, pp. 98–129.</w:t>
      </w:r>
    </w:p>
    <w:p w14:paraId="0258A178"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[19]</w:t>
      </w:r>
      <w:r w:rsidRPr="00771F8B">
        <w:rPr>
          <w:rFonts w:ascii="Calibri Light" w:hAnsi="Calibri Light" w:cs="Calibri Light"/>
          <w:noProof/>
          <w:sz w:val="24"/>
        </w:rPr>
        <w:tab/>
        <w:t xml:space="preserve">N. Kalpokaite and I. Radivojevic, “Demystifying qualitative data analysis for novice qualitative researchers,” </w:t>
      </w:r>
      <w:r w:rsidRPr="00771F8B">
        <w:rPr>
          <w:rFonts w:ascii="Calibri Light" w:hAnsi="Calibri Light" w:cs="Calibri Light"/>
          <w:i/>
          <w:iCs/>
          <w:noProof/>
          <w:sz w:val="24"/>
        </w:rPr>
        <w:t>Qual. Rep.</w:t>
      </w:r>
      <w:r w:rsidRPr="00771F8B">
        <w:rPr>
          <w:rFonts w:ascii="Calibri Light" w:hAnsi="Calibri Light" w:cs="Calibri Light"/>
          <w:noProof/>
          <w:sz w:val="24"/>
        </w:rPr>
        <w:t>, vol. 24, no. 13, pp. 44–57, 2019.</w:t>
      </w:r>
    </w:p>
    <w:p w14:paraId="1D373B0F"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[20]</w:t>
      </w:r>
      <w:r w:rsidRPr="00771F8B">
        <w:rPr>
          <w:rFonts w:ascii="Calibri Light" w:hAnsi="Calibri Light" w:cs="Calibri Light"/>
          <w:noProof/>
          <w:sz w:val="24"/>
        </w:rPr>
        <w:tab/>
        <w:t xml:space="preserve">K. Basyir, “The ‘acculturative islam’ as a type of home-grown islamic tradition religion and local culture in bali1,” </w:t>
      </w:r>
      <w:r w:rsidRPr="00771F8B">
        <w:rPr>
          <w:rFonts w:ascii="Calibri Light" w:hAnsi="Calibri Light" w:cs="Calibri Light"/>
          <w:i/>
          <w:iCs/>
          <w:noProof/>
          <w:sz w:val="24"/>
        </w:rPr>
        <w:t>J. Indones. Islam</w:t>
      </w:r>
      <w:r w:rsidRPr="00771F8B">
        <w:rPr>
          <w:rFonts w:ascii="Calibri Light" w:hAnsi="Calibri Light" w:cs="Calibri Light"/>
          <w:noProof/>
          <w:sz w:val="24"/>
        </w:rPr>
        <w:t>, vol. 13, no. 2, pp. 326–349, 2019, doi: 10.15642/JIIS.2019.13.2.326-349.</w:t>
      </w:r>
    </w:p>
    <w:p w14:paraId="6AE16659"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[21]</w:t>
      </w:r>
      <w:r w:rsidRPr="00771F8B">
        <w:rPr>
          <w:rFonts w:ascii="Calibri Light" w:hAnsi="Calibri Light" w:cs="Calibri Light"/>
          <w:noProof/>
          <w:sz w:val="24"/>
        </w:rPr>
        <w:tab/>
        <w:t>Supriyanto, “Religion and Its Position in the Society: A Critical Study on Rudolf Carnap’s Thoughts,” vol. 19, no. 2, pp. 1–8, 2024, [Online]. Available: https://doi.org/10.22452/JAT.vol19no1.4.</w:t>
      </w:r>
    </w:p>
    <w:p w14:paraId="64204224"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[22]</w:t>
      </w:r>
      <w:r w:rsidRPr="00771F8B">
        <w:rPr>
          <w:rFonts w:ascii="Calibri Light" w:hAnsi="Calibri Light" w:cs="Calibri Light"/>
          <w:noProof/>
          <w:sz w:val="24"/>
        </w:rPr>
        <w:tab/>
        <w:t xml:space="preserve">T. E. of E. Britannica, “Mechanical and organic solidarity",” </w:t>
      </w:r>
      <w:r w:rsidRPr="00771F8B">
        <w:rPr>
          <w:rFonts w:ascii="Calibri Light" w:hAnsi="Calibri Light" w:cs="Calibri Light"/>
          <w:i/>
          <w:iCs/>
          <w:noProof/>
          <w:sz w:val="24"/>
        </w:rPr>
        <w:t>Encycl. Br.</w:t>
      </w:r>
      <w:r w:rsidRPr="00771F8B">
        <w:rPr>
          <w:rFonts w:ascii="Calibri Light" w:hAnsi="Calibri Light" w:cs="Calibri Light"/>
          <w:noProof/>
          <w:sz w:val="24"/>
        </w:rPr>
        <w:t>, 2010, [Online]. Available: https://www.britannica.com/topic/mechanical-and-organic-solidarity.</w:t>
      </w:r>
    </w:p>
    <w:p w14:paraId="449648CD"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[23]</w:t>
      </w:r>
      <w:r w:rsidRPr="00771F8B">
        <w:rPr>
          <w:rFonts w:ascii="Calibri Light" w:hAnsi="Calibri Light" w:cs="Calibri Light"/>
          <w:noProof/>
          <w:sz w:val="24"/>
        </w:rPr>
        <w:tab/>
        <w:t xml:space="preserve">E. Ardianto, </w:t>
      </w:r>
      <w:r w:rsidRPr="00771F8B">
        <w:rPr>
          <w:rFonts w:ascii="Calibri Light" w:hAnsi="Calibri Light" w:cs="Calibri Light"/>
          <w:i/>
          <w:iCs/>
          <w:noProof/>
          <w:sz w:val="24"/>
        </w:rPr>
        <w:t>Filsafat Ilmu Komunikasi</w:t>
      </w:r>
      <w:r w:rsidRPr="00771F8B">
        <w:rPr>
          <w:rFonts w:ascii="Calibri Light" w:hAnsi="Calibri Light" w:cs="Calibri Light"/>
          <w:noProof/>
          <w:sz w:val="24"/>
        </w:rPr>
        <w:t>. Bandung: Bandung: Simbiosa Rekatama Media, 2017.</w:t>
      </w:r>
    </w:p>
    <w:p w14:paraId="5473C5A0"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[24]</w:t>
      </w:r>
      <w:r w:rsidRPr="00771F8B">
        <w:rPr>
          <w:rFonts w:ascii="Calibri Light" w:hAnsi="Calibri Light" w:cs="Calibri Light"/>
          <w:noProof/>
          <w:sz w:val="24"/>
        </w:rPr>
        <w:tab/>
        <w:t xml:space="preserve">R. West and L. H. Turner, </w:t>
      </w:r>
      <w:r w:rsidRPr="00771F8B">
        <w:rPr>
          <w:rFonts w:ascii="Calibri Light" w:hAnsi="Calibri Light" w:cs="Calibri Light"/>
          <w:i/>
          <w:iCs/>
          <w:noProof/>
          <w:sz w:val="24"/>
        </w:rPr>
        <w:t>Pengantar Teori Komunikasi Analisis dan Aplikasi</w:t>
      </w:r>
      <w:r w:rsidRPr="00771F8B">
        <w:rPr>
          <w:rFonts w:ascii="Calibri Light" w:hAnsi="Calibri Light" w:cs="Calibri Light"/>
          <w:noProof/>
          <w:sz w:val="24"/>
        </w:rPr>
        <w:t>, 3rd ed. Jakarta: Salemba Humanika, 2008.</w:t>
      </w:r>
    </w:p>
    <w:p w14:paraId="78716D34"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[25]</w:t>
      </w:r>
      <w:r w:rsidRPr="00771F8B">
        <w:rPr>
          <w:rFonts w:ascii="Calibri Light" w:hAnsi="Calibri Light" w:cs="Calibri Light"/>
          <w:noProof/>
          <w:sz w:val="24"/>
        </w:rPr>
        <w:tab/>
        <w:t xml:space="preserve">A. Nisa and J. Abraham, “Peran Mediasi Persepsi Kohesi Sosial Dalam Hubungan Prediktif Persepsi Pemanfaatan Ruang Terbuka Publik Terhadap Kesehatan Jiwa,” </w:t>
      </w:r>
      <w:r w:rsidRPr="00771F8B">
        <w:rPr>
          <w:rFonts w:ascii="Calibri Light" w:hAnsi="Calibri Light" w:cs="Calibri Light"/>
          <w:i/>
          <w:iCs/>
          <w:noProof/>
          <w:sz w:val="24"/>
        </w:rPr>
        <w:t>Makara Hum. Behav. Stud. Asia</w:t>
      </w:r>
      <w:r w:rsidRPr="00771F8B">
        <w:rPr>
          <w:rFonts w:ascii="Calibri Light" w:hAnsi="Calibri Light" w:cs="Calibri Light"/>
          <w:noProof/>
          <w:sz w:val="24"/>
        </w:rPr>
        <w:t>, vol. 16, no. 2, p. 89, 2012, doi: 10.7454/mssh.v16i2.1463.</w:t>
      </w:r>
    </w:p>
    <w:p w14:paraId="32775B2D"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[26]</w:t>
      </w:r>
      <w:r w:rsidRPr="00771F8B">
        <w:rPr>
          <w:rFonts w:ascii="Calibri Light" w:hAnsi="Calibri Light" w:cs="Calibri Light"/>
          <w:noProof/>
          <w:sz w:val="24"/>
        </w:rPr>
        <w:tab/>
        <w:t xml:space="preserve">P. L. Berger and T. Luckmann, </w:t>
      </w:r>
      <w:r w:rsidRPr="00771F8B">
        <w:rPr>
          <w:rFonts w:ascii="Calibri Light" w:hAnsi="Calibri Light" w:cs="Calibri Light"/>
          <w:i/>
          <w:iCs/>
          <w:noProof/>
          <w:sz w:val="24"/>
        </w:rPr>
        <w:t>The social construction of reality : a treatise in the sociology of knowledge</w:t>
      </w:r>
      <w:r w:rsidRPr="00771F8B">
        <w:rPr>
          <w:rFonts w:ascii="Calibri Light" w:hAnsi="Calibri Light" w:cs="Calibri Light"/>
          <w:noProof/>
          <w:sz w:val="24"/>
        </w:rPr>
        <w:t>. New York: Penguin Books, 1979.</w:t>
      </w:r>
    </w:p>
    <w:p w14:paraId="27F1ADC8"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lastRenderedPageBreak/>
        <w:t>[27]</w:t>
      </w:r>
      <w:r w:rsidRPr="00771F8B">
        <w:rPr>
          <w:rFonts w:ascii="Calibri Light" w:hAnsi="Calibri Light" w:cs="Calibri Light"/>
          <w:noProof/>
          <w:sz w:val="24"/>
        </w:rPr>
        <w:tab/>
        <w:t>I. Ihsan and I. Abdullah, “Interpretation of Historical Values of Sunan Kudus: Religious Moderation in Indonesian Islamic Boarding Schools,” 2020, doi: 10.2991/assehr.k.210421.121.</w:t>
      </w:r>
    </w:p>
    <w:p w14:paraId="7DA4A2BA"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[28]</w:t>
      </w:r>
      <w:r w:rsidRPr="00771F8B">
        <w:rPr>
          <w:rFonts w:ascii="Calibri Light" w:hAnsi="Calibri Light" w:cs="Calibri Light"/>
          <w:noProof/>
          <w:sz w:val="24"/>
        </w:rPr>
        <w:tab/>
        <w:t xml:space="preserve">M. Kruger, </w:t>
      </w:r>
      <w:r w:rsidRPr="00771F8B">
        <w:rPr>
          <w:rFonts w:ascii="Calibri Light" w:hAnsi="Calibri Light" w:cs="Calibri Light"/>
          <w:i/>
          <w:iCs/>
          <w:noProof/>
          <w:sz w:val="24"/>
        </w:rPr>
        <w:t>Sedjarah Geredja di Indonesia</w:t>
      </w:r>
      <w:r w:rsidRPr="00771F8B">
        <w:rPr>
          <w:rFonts w:ascii="Calibri Light" w:hAnsi="Calibri Light" w:cs="Calibri Light"/>
          <w:noProof/>
          <w:sz w:val="24"/>
        </w:rPr>
        <w:t>. Jakarta: BPK Gunung Mulia, 1959.</w:t>
      </w:r>
    </w:p>
    <w:p w14:paraId="3003A7F1"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[29]</w:t>
      </w:r>
      <w:r w:rsidRPr="00771F8B">
        <w:rPr>
          <w:rFonts w:ascii="Calibri Light" w:hAnsi="Calibri Light" w:cs="Calibri Light"/>
          <w:noProof/>
          <w:sz w:val="24"/>
        </w:rPr>
        <w:tab/>
        <w:t xml:space="preserve">V. Den End, </w:t>
      </w:r>
      <w:r w:rsidRPr="00771F8B">
        <w:rPr>
          <w:rFonts w:ascii="Calibri Light" w:hAnsi="Calibri Light" w:cs="Calibri Light"/>
          <w:i/>
          <w:iCs/>
          <w:noProof/>
          <w:sz w:val="24"/>
        </w:rPr>
        <w:t>Harta Dalam Bejana</w:t>
      </w:r>
      <w:r w:rsidRPr="00771F8B">
        <w:rPr>
          <w:rFonts w:ascii="Calibri Light" w:hAnsi="Calibri Light" w:cs="Calibri Light"/>
          <w:noProof/>
          <w:sz w:val="24"/>
        </w:rPr>
        <w:t>. Jakarta: BPK Gunung Mulia, 1988.</w:t>
      </w:r>
    </w:p>
    <w:p w14:paraId="174E9175"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[30]</w:t>
      </w:r>
      <w:r w:rsidRPr="00771F8B">
        <w:rPr>
          <w:rFonts w:ascii="Calibri Light" w:hAnsi="Calibri Light" w:cs="Calibri Light"/>
          <w:noProof/>
          <w:sz w:val="24"/>
        </w:rPr>
        <w:tab/>
        <w:t>D. Salindri, “COENRAAD LAURENS COOLEN SEBAGAI PEMIMPIN ‘KRISTEN JAWA’ Di NGORO KABUPATEN JOMBANG JAWA TIMUR TAHUN 1827-1854,” 2014, [Online]. Available: http://repository.unej.ac.id/handle/123456789/58785.</w:t>
      </w:r>
    </w:p>
    <w:p w14:paraId="3C2F053A"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[31]</w:t>
      </w:r>
      <w:r w:rsidRPr="00771F8B">
        <w:rPr>
          <w:rFonts w:ascii="Calibri Light" w:hAnsi="Calibri Light" w:cs="Calibri Light"/>
          <w:noProof/>
          <w:sz w:val="24"/>
        </w:rPr>
        <w:tab/>
        <w:t xml:space="preserve">S. Frosh, “The Future of Politics and Psychoanalysis,” </w:t>
      </w:r>
      <w:r w:rsidRPr="00771F8B">
        <w:rPr>
          <w:rFonts w:ascii="Calibri Light" w:hAnsi="Calibri Light" w:cs="Calibri Light"/>
          <w:i/>
          <w:iCs/>
          <w:noProof/>
          <w:sz w:val="24"/>
        </w:rPr>
        <w:t>Am. Imago</w:t>
      </w:r>
      <w:r w:rsidRPr="00771F8B">
        <w:rPr>
          <w:rFonts w:ascii="Calibri Light" w:hAnsi="Calibri Light" w:cs="Calibri Light"/>
          <w:noProof/>
          <w:sz w:val="24"/>
        </w:rPr>
        <w:t>, vol. 73, no. 1, pp. 121–128, 2016, doi: https://doi.org/10.1353/aim.2016.0003.</w:t>
      </w:r>
    </w:p>
    <w:p w14:paraId="72E86619"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[32]</w:t>
      </w:r>
      <w:r w:rsidRPr="00771F8B">
        <w:rPr>
          <w:rFonts w:ascii="Calibri Light" w:hAnsi="Calibri Light" w:cs="Calibri Light"/>
          <w:noProof/>
          <w:sz w:val="24"/>
        </w:rPr>
        <w:tab/>
        <w:t xml:space="preserve">R. Jenkins, </w:t>
      </w:r>
      <w:r w:rsidRPr="00771F8B">
        <w:rPr>
          <w:rFonts w:ascii="Calibri Light" w:hAnsi="Calibri Light" w:cs="Calibri Light"/>
          <w:i/>
          <w:iCs/>
          <w:noProof/>
          <w:sz w:val="24"/>
        </w:rPr>
        <w:t>Social Identity</w:t>
      </w:r>
      <w:r w:rsidRPr="00771F8B">
        <w:rPr>
          <w:rFonts w:ascii="Calibri Light" w:hAnsi="Calibri Light" w:cs="Calibri Light"/>
          <w:noProof/>
          <w:sz w:val="24"/>
        </w:rPr>
        <w:t>. London: Routledge, 1996.</w:t>
      </w:r>
    </w:p>
    <w:p w14:paraId="58A1B9BA"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[33]</w:t>
      </w:r>
      <w:r w:rsidRPr="00771F8B">
        <w:rPr>
          <w:rFonts w:ascii="Calibri Light" w:hAnsi="Calibri Light" w:cs="Calibri Light"/>
          <w:noProof/>
          <w:sz w:val="24"/>
        </w:rPr>
        <w:tab/>
        <w:t xml:space="preserve">A. Søgaard, “Identity Theory and Falsifiability,” </w:t>
      </w:r>
      <w:r w:rsidRPr="00771F8B">
        <w:rPr>
          <w:rFonts w:ascii="Calibri Light" w:hAnsi="Calibri Light" w:cs="Calibri Light"/>
          <w:i/>
          <w:iCs/>
          <w:noProof/>
          <w:sz w:val="24"/>
        </w:rPr>
        <w:t>Acta Anal.</w:t>
      </w:r>
      <w:r w:rsidRPr="00771F8B">
        <w:rPr>
          <w:rFonts w:ascii="Calibri Light" w:hAnsi="Calibri Light" w:cs="Calibri Light"/>
          <w:noProof/>
          <w:sz w:val="24"/>
        </w:rPr>
        <w:t>, no. February, 2024, doi: 10.1007/s12136-024-00587-2.</w:t>
      </w:r>
    </w:p>
    <w:p w14:paraId="4F5EFD18"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[34]</w:t>
      </w:r>
      <w:r w:rsidRPr="00771F8B">
        <w:rPr>
          <w:rFonts w:ascii="Calibri Light" w:hAnsi="Calibri Light" w:cs="Calibri Light"/>
          <w:noProof/>
          <w:sz w:val="24"/>
        </w:rPr>
        <w:tab/>
        <w:t xml:space="preserve">R. Subagyo, </w:t>
      </w:r>
      <w:r w:rsidRPr="00771F8B">
        <w:rPr>
          <w:rFonts w:ascii="Calibri Light" w:hAnsi="Calibri Light" w:cs="Calibri Light"/>
          <w:i/>
          <w:iCs/>
          <w:noProof/>
          <w:sz w:val="24"/>
        </w:rPr>
        <w:t>Kepercayaan, Kebatinan, Kerohanian, Kejiwaan dan agama</w:t>
      </w:r>
      <w:r w:rsidRPr="00771F8B">
        <w:rPr>
          <w:rFonts w:ascii="Calibri Light" w:hAnsi="Calibri Light" w:cs="Calibri Light"/>
          <w:noProof/>
          <w:sz w:val="24"/>
        </w:rPr>
        <w:t>. Jakarta: Yayasan Kanisius, 1984.</w:t>
      </w:r>
    </w:p>
    <w:p w14:paraId="0A206A79"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[35]</w:t>
      </w:r>
      <w:r w:rsidRPr="00771F8B">
        <w:rPr>
          <w:rFonts w:ascii="Calibri Light" w:hAnsi="Calibri Light" w:cs="Calibri Light"/>
          <w:noProof/>
          <w:sz w:val="24"/>
        </w:rPr>
        <w:tab/>
        <w:t xml:space="preserve">H. Hadiwijono, </w:t>
      </w:r>
      <w:r w:rsidRPr="00771F8B">
        <w:rPr>
          <w:rFonts w:ascii="Calibri Light" w:hAnsi="Calibri Light" w:cs="Calibri Light"/>
          <w:i/>
          <w:iCs/>
          <w:noProof/>
          <w:sz w:val="24"/>
        </w:rPr>
        <w:t>Kebatinan dan Injil</w:t>
      </w:r>
      <w:r w:rsidRPr="00771F8B">
        <w:rPr>
          <w:rFonts w:ascii="Calibri Light" w:hAnsi="Calibri Light" w:cs="Calibri Light"/>
          <w:noProof/>
          <w:sz w:val="24"/>
        </w:rPr>
        <w:t>. Jakarta: BPK Gunung Mulia, 2009.</w:t>
      </w:r>
    </w:p>
    <w:p w14:paraId="18A154E3"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[36]</w:t>
      </w:r>
      <w:r w:rsidRPr="00771F8B">
        <w:rPr>
          <w:rFonts w:ascii="Calibri Light" w:hAnsi="Calibri Light" w:cs="Calibri Light"/>
          <w:noProof/>
          <w:sz w:val="24"/>
        </w:rPr>
        <w:tab/>
        <w:t xml:space="preserve">W. J. Goode, </w:t>
      </w:r>
      <w:r w:rsidRPr="00771F8B">
        <w:rPr>
          <w:rFonts w:ascii="Calibri Light" w:hAnsi="Calibri Light" w:cs="Calibri Light"/>
          <w:i/>
          <w:iCs/>
          <w:noProof/>
          <w:sz w:val="24"/>
        </w:rPr>
        <w:t>Sosiologi Keluarga</w:t>
      </w:r>
      <w:r w:rsidRPr="00771F8B">
        <w:rPr>
          <w:rFonts w:ascii="Calibri Light" w:hAnsi="Calibri Light" w:cs="Calibri Light"/>
          <w:noProof/>
          <w:sz w:val="24"/>
        </w:rPr>
        <w:t>. Jakarta: Bumi Aksara, 1995.</w:t>
      </w:r>
    </w:p>
    <w:p w14:paraId="00425366"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[37]</w:t>
      </w:r>
      <w:r w:rsidRPr="00771F8B">
        <w:rPr>
          <w:rFonts w:ascii="Calibri Light" w:hAnsi="Calibri Light" w:cs="Calibri Light"/>
          <w:noProof/>
          <w:sz w:val="24"/>
        </w:rPr>
        <w:tab/>
        <w:t xml:space="preserve">A. Jalil, “Pernikahan Beda Agama dalam Perspektif Hukum Islam dan Hukum Positif di Indonesia,” </w:t>
      </w:r>
      <w:r w:rsidRPr="00771F8B">
        <w:rPr>
          <w:rFonts w:ascii="Calibri Light" w:hAnsi="Calibri Light" w:cs="Calibri Light"/>
          <w:i/>
          <w:iCs/>
          <w:noProof/>
          <w:sz w:val="24"/>
        </w:rPr>
        <w:t>Andragogi J. Diklat Tek. Pendidik. dan Keagamaan</w:t>
      </w:r>
      <w:r w:rsidRPr="00771F8B">
        <w:rPr>
          <w:rFonts w:ascii="Calibri Light" w:hAnsi="Calibri Light" w:cs="Calibri Light"/>
          <w:noProof/>
          <w:sz w:val="24"/>
        </w:rPr>
        <w:t>, vol. 6, no. 2, pp. 46–69, 2018, doi: 10.36052/andragogi.v6i2.56.</w:t>
      </w:r>
    </w:p>
    <w:p w14:paraId="0B8615BF"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[38]</w:t>
      </w:r>
      <w:r w:rsidRPr="00771F8B">
        <w:rPr>
          <w:rFonts w:ascii="Calibri Light" w:hAnsi="Calibri Light" w:cs="Calibri Light"/>
          <w:noProof/>
          <w:sz w:val="24"/>
        </w:rPr>
        <w:tab/>
        <w:t xml:space="preserve">A. P. Maulana, “Penipuan Pernikahan Perspektif Hukum Islam (Studi Kasus Putusan Nomor 0375/Pdt.G/2017/Pa Kdi,” </w:t>
      </w:r>
      <w:r w:rsidRPr="00771F8B">
        <w:rPr>
          <w:rFonts w:ascii="Calibri Light" w:hAnsi="Calibri Light" w:cs="Calibri Light"/>
          <w:i/>
          <w:iCs/>
          <w:noProof/>
          <w:sz w:val="24"/>
        </w:rPr>
        <w:t>Zawiyah J. Pemikir. Islam</w:t>
      </w:r>
      <w:r w:rsidRPr="00771F8B">
        <w:rPr>
          <w:rFonts w:ascii="Calibri Light" w:hAnsi="Calibri Light" w:cs="Calibri Light"/>
          <w:noProof/>
          <w:sz w:val="24"/>
        </w:rPr>
        <w:t>, vol. 4, no. 2, pp. 1–18, 2018, doi: http://dx.doi.org/10.31332/zjpi.v4i2.1027.</w:t>
      </w:r>
    </w:p>
    <w:p w14:paraId="31FD01E0"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[39]</w:t>
      </w:r>
      <w:r w:rsidRPr="00771F8B">
        <w:rPr>
          <w:rFonts w:ascii="Calibri Light" w:hAnsi="Calibri Light" w:cs="Calibri Light"/>
          <w:noProof/>
          <w:sz w:val="24"/>
        </w:rPr>
        <w:tab/>
        <w:t xml:space="preserve">B. Schneider, </w:t>
      </w:r>
      <w:r w:rsidRPr="00771F8B">
        <w:rPr>
          <w:rFonts w:ascii="Calibri Light" w:hAnsi="Calibri Light" w:cs="Calibri Light"/>
          <w:i/>
          <w:iCs/>
          <w:noProof/>
          <w:sz w:val="24"/>
        </w:rPr>
        <w:t>Handbook of the Sociology of Education in the 21st Century</w:t>
      </w:r>
      <w:r w:rsidRPr="00771F8B">
        <w:rPr>
          <w:rFonts w:ascii="Calibri Light" w:hAnsi="Calibri Light" w:cs="Calibri Light"/>
          <w:noProof/>
          <w:sz w:val="24"/>
        </w:rPr>
        <w:t>, 2nd ed. Michigan State University: Springer, 2018.</w:t>
      </w:r>
    </w:p>
    <w:p w14:paraId="523DCD26"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[40]</w:t>
      </w:r>
      <w:r w:rsidRPr="00771F8B">
        <w:rPr>
          <w:rFonts w:ascii="Calibri Light" w:hAnsi="Calibri Light" w:cs="Calibri Light"/>
          <w:noProof/>
          <w:sz w:val="24"/>
        </w:rPr>
        <w:tab/>
        <w:t xml:space="preserve">B. Parekh, </w:t>
      </w:r>
      <w:r w:rsidRPr="00771F8B">
        <w:rPr>
          <w:rFonts w:ascii="Calibri Light" w:hAnsi="Calibri Light" w:cs="Calibri Light"/>
          <w:i/>
          <w:iCs/>
          <w:noProof/>
          <w:sz w:val="24"/>
        </w:rPr>
        <w:t>Rethinking Multikulturalism; Keberagaman Budaya dan Teori Politik</w:t>
      </w:r>
      <w:r w:rsidRPr="00771F8B">
        <w:rPr>
          <w:rFonts w:ascii="Calibri Light" w:hAnsi="Calibri Light" w:cs="Calibri Light"/>
          <w:noProof/>
          <w:sz w:val="24"/>
        </w:rPr>
        <w:t>. Yogyakarta: Kanisius, 2008.</w:t>
      </w:r>
    </w:p>
    <w:p w14:paraId="27F41325"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[41]</w:t>
      </w:r>
      <w:r w:rsidRPr="00771F8B">
        <w:rPr>
          <w:rFonts w:ascii="Calibri Light" w:hAnsi="Calibri Light" w:cs="Calibri Light"/>
          <w:noProof/>
          <w:sz w:val="24"/>
        </w:rPr>
        <w:tab/>
        <w:t xml:space="preserve">W. G. Moran, R.T. &amp; Stripp, </w:t>
      </w:r>
      <w:r w:rsidRPr="00771F8B">
        <w:rPr>
          <w:rFonts w:ascii="Calibri Light" w:hAnsi="Calibri Light" w:cs="Calibri Light"/>
          <w:i/>
          <w:iCs/>
          <w:noProof/>
          <w:sz w:val="24"/>
        </w:rPr>
        <w:t>Dynamics of Successful International Business Negotiations.</w:t>
      </w:r>
      <w:r w:rsidRPr="00771F8B">
        <w:rPr>
          <w:rFonts w:ascii="Calibri Light" w:hAnsi="Calibri Light" w:cs="Calibri Light"/>
          <w:noProof/>
          <w:sz w:val="24"/>
        </w:rPr>
        <w:t xml:space="preserve"> Houston,: TX: Gulf Publishing Company, 1991.</w:t>
      </w:r>
    </w:p>
    <w:p w14:paraId="598F36A0"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[42]</w:t>
      </w:r>
      <w:r w:rsidRPr="00771F8B">
        <w:rPr>
          <w:rFonts w:ascii="Calibri Light" w:hAnsi="Calibri Light" w:cs="Calibri Light"/>
          <w:noProof/>
          <w:sz w:val="24"/>
        </w:rPr>
        <w:tab/>
        <w:t xml:space="preserve">J. R. Lussier, R. N., and Hendon, </w:t>
      </w:r>
      <w:r w:rsidRPr="00771F8B">
        <w:rPr>
          <w:rFonts w:ascii="Calibri Light" w:hAnsi="Calibri Light" w:cs="Calibri Light"/>
          <w:i/>
          <w:iCs/>
          <w:noProof/>
          <w:sz w:val="24"/>
        </w:rPr>
        <w:t>Human Resource Mnagement</w:t>
      </w:r>
      <w:r w:rsidRPr="00771F8B">
        <w:rPr>
          <w:rFonts w:ascii="Calibri Light" w:hAnsi="Calibri Light" w:cs="Calibri Light"/>
          <w:noProof/>
          <w:sz w:val="24"/>
        </w:rPr>
        <w:t>, 2nd ed. Canada: Sage Publication, 2016.</w:t>
      </w:r>
    </w:p>
    <w:p w14:paraId="662F7D34"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[43]</w:t>
      </w:r>
      <w:r w:rsidRPr="00771F8B">
        <w:rPr>
          <w:rFonts w:ascii="Calibri Light" w:hAnsi="Calibri Light" w:cs="Calibri Light"/>
          <w:noProof/>
          <w:sz w:val="24"/>
        </w:rPr>
        <w:tab/>
        <w:t xml:space="preserve">C. Benitez-Avila, F. Schuberth, and S. Copeland, “Mastery and social position: factors in negotiating urban social resilience,” </w:t>
      </w:r>
      <w:r w:rsidRPr="00771F8B">
        <w:rPr>
          <w:rFonts w:ascii="Calibri Light" w:hAnsi="Calibri Light" w:cs="Calibri Light"/>
          <w:i/>
          <w:iCs/>
          <w:noProof/>
          <w:sz w:val="24"/>
        </w:rPr>
        <w:t>Humanit. Soc. Sci. Commun.</w:t>
      </w:r>
      <w:r w:rsidRPr="00771F8B">
        <w:rPr>
          <w:rFonts w:ascii="Calibri Light" w:hAnsi="Calibri Light" w:cs="Calibri Light"/>
          <w:noProof/>
          <w:sz w:val="24"/>
        </w:rPr>
        <w:t>, vol. 10, no. 1, 2023, doi: 10.1057/s41599-023-02217-5.</w:t>
      </w:r>
    </w:p>
    <w:p w14:paraId="46E30F01"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[44]</w:t>
      </w:r>
      <w:r w:rsidRPr="00771F8B">
        <w:rPr>
          <w:rFonts w:ascii="Calibri Light" w:hAnsi="Calibri Light" w:cs="Calibri Light"/>
          <w:noProof/>
          <w:sz w:val="24"/>
        </w:rPr>
        <w:tab/>
        <w:t xml:space="preserve">Rogoveanu, Raluca-Nicoleta, “Intercultural negotiations: A cultural approach.,” </w:t>
      </w:r>
      <w:r w:rsidRPr="00771F8B">
        <w:rPr>
          <w:rFonts w:ascii="Calibri Light" w:hAnsi="Calibri Light" w:cs="Calibri Light"/>
          <w:i/>
          <w:iCs/>
          <w:noProof/>
          <w:sz w:val="24"/>
        </w:rPr>
        <w:t>Prof. Commun. Transl. Stud.</w:t>
      </w:r>
      <w:r w:rsidRPr="00771F8B">
        <w:rPr>
          <w:rFonts w:ascii="Calibri Light" w:hAnsi="Calibri Light" w:cs="Calibri Light"/>
          <w:noProof/>
          <w:sz w:val="24"/>
        </w:rPr>
        <w:t>, vol. 3, no. 1, 2010.</w:t>
      </w:r>
    </w:p>
    <w:p w14:paraId="0FC36E69"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[45]</w:t>
      </w:r>
      <w:r w:rsidRPr="00771F8B">
        <w:rPr>
          <w:rFonts w:ascii="Calibri Light" w:hAnsi="Calibri Light" w:cs="Calibri Light"/>
          <w:noProof/>
          <w:sz w:val="24"/>
        </w:rPr>
        <w:tab/>
        <w:t xml:space="preserve">G. Facal, E. Lafaye, and D. M. Astrid, </w:t>
      </w:r>
      <w:r w:rsidRPr="00771F8B">
        <w:rPr>
          <w:rFonts w:ascii="Calibri Light" w:hAnsi="Calibri Light" w:cs="Calibri Light"/>
          <w:i/>
          <w:iCs/>
          <w:noProof/>
          <w:sz w:val="24"/>
        </w:rPr>
        <w:t>The Palgrave Handbook of Political Norms in Southeast Asia</w:t>
      </w:r>
      <w:r w:rsidRPr="00771F8B">
        <w:rPr>
          <w:rFonts w:ascii="Calibri Light" w:hAnsi="Calibri Light" w:cs="Calibri Light"/>
          <w:noProof/>
          <w:sz w:val="24"/>
        </w:rPr>
        <w:t>. 2024.</w:t>
      </w:r>
    </w:p>
    <w:p w14:paraId="576F6BD7"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lastRenderedPageBreak/>
        <w:t>[46]</w:t>
      </w:r>
      <w:r w:rsidRPr="00771F8B">
        <w:rPr>
          <w:rFonts w:ascii="Calibri Light" w:hAnsi="Calibri Light" w:cs="Calibri Light"/>
          <w:noProof/>
          <w:sz w:val="24"/>
        </w:rPr>
        <w:tab/>
        <w:t xml:space="preserve">R. Hamdan, “RELIGIOUS MODERATION IN THE CONTEXT OF ISLAMIC EDUCATION : A MULTIDISCIPLINARY PERSPECTIVE AND ITS APPLICATION IN ISLAMIC,” </w:t>
      </w:r>
      <w:r w:rsidRPr="00771F8B">
        <w:rPr>
          <w:rFonts w:ascii="Calibri Light" w:hAnsi="Calibri Light" w:cs="Calibri Light"/>
          <w:i/>
          <w:iCs/>
          <w:noProof/>
          <w:sz w:val="24"/>
        </w:rPr>
        <w:t>Khazanah J. Stud. Islam dan Hum.</w:t>
      </w:r>
      <w:r w:rsidRPr="00771F8B">
        <w:rPr>
          <w:rFonts w:ascii="Calibri Light" w:hAnsi="Calibri Light" w:cs="Calibri Light"/>
          <w:noProof/>
          <w:sz w:val="24"/>
        </w:rPr>
        <w:t>, vol. 21, no. 1, pp. 59–82, 2023, doi: 10.18592/khazanah.v20i1.8487.</w:t>
      </w:r>
    </w:p>
    <w:p w14:paraId="6888EBB3"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[47]</w:t>
      </w:r>
      <w:r w:rsidRPr="00771F8B">
        <w:rPr>
          <w:rFonts w:ascii="Calibri Light" w:hAnsi="Calibri Light" w:cs="Calibri Light"/>
          <w:noProof/>
          <w:sz w:val="24"/>
        </w:rPr>
        <w:tab/>
        <w:t xml:space="preserve">D. A. Gede Agung, A. M. Nasih, Sumarmi, Idris, and B. Kurniawan, “Local wisdom as a model of interfaith communication in creating religious harmony in Indonesia,” </w:t>
      </w:r>
      <w:r w:rsidRPr="00771F8B">
        <w:rPr>
          <w:rFonts w:ascii="Calibri Light" w:hAnsi="Calibri Light" w:cs="Calibri Light"/>
          <w:i/>
          <w:iCs/>
          <w:noProof/>
          <w:sz w:val="24"/>
        </w:rPr>
        <w:t>Soc. Sci. Humanit. Open</w:t>
      </w:r>
      <w:r w:rsidRPr="00771F8B">
        <w:rPr>
          <w:rFonts w:ascii="Calibri Light" w:hAnsi="Calibri Light" w:cs="Calibri Light"/>
          <w:noProof/>
          <w:sz w:val="24"/>
        </w:rPr>
        <w:t>, vol. 9, no. February, p. 100827, 2024, doi: 10.1016/j.ssaho.2024.100827.</w:t>
      </w:r>
    </w:p>
    <w:p w14:paraId="67C70EA3"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[48]</w:t>
      </w:r>
      <w:r w:rsidRPr="00771F8B">
        <w:rPr>
          <w:rFonts w:ascii="Calibri Light" w:hAnsi="Calibri Light" w:cs="Calibri Light"/>
          <w:noProof/>
          <w:sz w:val="24"/>
        </w:rPr>
        <w:tab/>
        <w:t xml:space="preserve">A. Foppen and J. W. van Saane, “Assessing Religious Leadership: A Scoping Review of Leadership Effectiveness Criteria and Current Trends in the Academic Literature,” </w:t>
      </w:r>
      <w:r w:rsidRPr="00771F8B">
        <w:rPr>
          <w:rFonts w:ascii="Calibri Light" w:hAnsi="Calibri Light" w:cs="Calibri Light"/>
          <w:i/>
          <w:iCs/>
          <w:noProof/>
          <w:sz w:val="24"/>
        </w:rPr>
        <w:t>Pastoral Psychol.</w:t>
      </w:r>
      <w:r w:rsidRPr="00771F8B">
        <w:rPr>
          <w:rFonts w:ascii="Calibri Light" w:hAnsi="Calibri Light" w:cs="Calibri Light"/>
          <w:noProof/>
          <w:sz w:val="24"/>
        </w:rPr>
        <w:t>, vol. 73, no. 1, pp. 1–21, 2024, doi: 10.1007/s11089-023-01113-8.</w:t>
      </w:r>
    </w:p>
    <w:p w14:paraId="5A897089"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[49]</w:t>
      </w:r>
      <w:r w:rsidRPr="00771F8B">
        <w:rPr>
          <w:rFonts w:ascii="Calibri Light" w:hAnsi="Calibri Light" w:cs="Calibri Light"/>
          <w:noProof/>
          <w:sz w:val="24"/>
        </w:rPr>
        <w:tab/>
        <w:t xml:space="preserve">C. W. von Bergen, “Misconstrued tolerance: Issues for multicultural and diversity training,” </w:t>
      </w:r>
      <w:r w:rsidRPr="00771F8B">
        <w:rPr>
          <w:rFonts w:ascii="Calibri Light" w:hAnsi="Calibri Light" w:cs="Calibri Light"/>
          <w:i/>
          <w:iCs/>
          <w:noProof/>
          <w:sz w:val="24"/>
        </w:rPr>
        <w:t>Development and Learning in Organisations</w:t>
      </w:r>
      <w:r w:rsidRPr="00771F8B">
        <w:rPr>
          <w:rFonts w:ascii="Calibri Light" w:hAnsi="Calibri Light" w:cs="Calibri Light"/>
          <w:noProof/>
          <w:sz w:val="24"/>
        </w:rPr>
        <w:t>, vol. 27, no. 2. pp. 9–12, Feb. 2013, doi: 10.1108/14777281311302021.</w:t>
      </w:r>
    </w:p>
    <w:p w14:paraId="65AF1222"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[50]</w:t>
      </w:r>
      <w:r w:rsidRPr="00771F8B">
        <w:rPr>
          <w:rFonts w:ascii="Calibri Light" w:hAnsi="Calibri Light" w:cs="Calibri Light"/>
          <w:noProof/>
          <w:sz w:val="24"/>
        </w:rPr>
        <w:tab/>
        <w:t xml:space="preserve">T. Miftah, </w:t>
      </w:r>
      <w:r w:rsidRPr="00771F8B">
        <w:rPr>
          <w:rFonts w:ascii="Calibri Light" w:hAnsi="Calibri Light" w:cs="Calibri Light"/>
          <w:i/>
          <w:iCs/>
          <w:noProof/>
          <w:sz w:val="24"/>
        </w:rPr>
        <w:t>Pembinaan Organisasi, proses dianosa dan intervensi, Manajemen Kepemimpinan</w:t>
      </w:r>
      <w:r w:rsidRPr="00771F8B">
        <w:rPr>
          <w:rFonts w:ascii="Calibri Light" w:hAnsi="Calibri Light" w:cs="Calibri Light"/>
          <w:noProof/>
          <w:sz w:val="24"/>
        </w:rPr>
        <w:t>. Yogyakarta: Gaya Media, 2010.</w:t>
      </w:r>
    </w:p>
    <w:p w14:paraId="08577E71"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[51]</w:t>
      </w:r>
      <w:r w:rsidRPr="00771F8B">
        <w:rPr>
          <w:rFonts w:ascii="Calibri Light" w:hAnsi="Calibri Light" w:cs="Calibri Light"/>
          <w:noProof/>
          <w:sz w:val="24"/>
        </w:rPr>
        <w:tab/>
        <w:t xml:space="preserve">T. Meynhardt, J. Steuber, and M. Feser, “The Leipzig Leadership Model: Measuring leadership orientations,” </w:t>
      </w:r>
      <w:r w:rsidRPr="00771F8B">
        <w:rPr>
          <w:rFonts w:ascii="Calibri Light" w:hAnsi="Calibri Light" w:cs="Calibri Light"/>
          <w:i/>
          <w:iCs/>
          <w:noProof/>
          <w:sz w:val="24"/>
        </w:rPr>
        <w:t>Curr. Psychol.</w:t>
      </w:r>
      <w:r w:rsidRPr="00771F8B">
        <w:rPr>
          <w:rFonts w:ascii="Calibri Light" w:hAnsi="Calibri Light" w:cs="Calibri Light"/>
          <w:noProof/>
          <w:sz w:val="24"/>
        </w:rPr>
        <w:t>, vol. 43, no. 10, pp. 9005–9024, 2024, doi: 10.1007/s12144-023-04873-x.</w:t>
      </w:r>
    </w:p>
    <w:p w14:paraId="1F9A7198" w14:textId="77777777" w:rsidR="00771F8B" w:rsidRPr="00771F8B" w:rsidRDefault="00771F8B" w:rsidP="00771F8B">
      <w:pPr>
        <w:widowControl w:val="0"/>
        <w:adjustRightInd w:val="0"/>
        <w:spacing w:before="120" w:after="120"/>
        <w:ind w:left="640" w:hanging="640"/>
        <w:rPr>
          <w:rFonts w:ascii="Calibri Light" w:hAnsi="Calibri Light" w:cs="Calibri Light"/>
          <w:noProof/>
          <w:sz w:val="24"/>
        </w:rPr>
      </w:pPr>
      <w:r w:rsidRPr="00771F8B">
        <w:rPr>
          <w:rFonts w:ascii="Calibri Light" w:hAnsi="Calibri Light" w:cs="Calibri Light"/>
          <w:noProof/>
          <w:sz w:val="24"/>
        </w:rPr>
        <w:t>[52]</w:t>
      </w:r>
      <w:r w:rsidRPr="00771F8B">
        <w:rPr>
          <w:rFonts w:ascii="Calibri Light" w:hAnsi="Calibri Light" w:cs="Calibri Light"/>
          <w:noProof/>
          <w:sz w:val="24"/>
        </w:rPr>
        <w:tab/>
        <w:t xml:space="preserve">D. Gebert, S. Boerner, and D. Chatterjee, “Do religious differences matter? An analysis in India,” </w:t>
      </w:r>
      <w:r w:rsidRPr="00771F8B">
        <w:rPr>
          <w:rFonts w:ascii="Calibri Light" w:hAnsi="Calibri Light" w:cs="Calibri Light"/>
          <w:i/>
          <w:iCs/>
          <w:noProof/>
          <w:sz w:val="24"/>
        </w:rPr>
        <w:t>Team Perform. Manag.</w:t>
      </w:r>
      <w:r w:rsidRPr="00771F8B">
        <w:rPr>
          <w:rFonts w:ascii="Calibri Light" w:hAnsi="Calibri Light" w:cs="Calibri Light"/>
          <w:noProof/>
          <w:sz w:val="24"/>
        </w:rPr>
        <w:t>, vol. 17, no. 3, pp. 224–240, Jun. 2011, doi: 10.1108/13527591111143736.</w:t>
      </w:r>
    </w:p>
    <w:p w14:paraId="0304A512" w14:textId="77777777" w:rsidR="006538D6" w:rsidRPr="00540F02" w:rsidRDefault="00771F8B"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7816FC">
      <w:headerReference w:type="even" r:id="rId13"/>
      <w:headerReference w:type="default" r:id="rId14"/>
      <w:footerReference w:type="even" r:id="rId15"/>
      <w:footerReference w:type="default" r:id="rId16"/>
      <w:headerReference w:type="first" r:id="rId17"/>
      <w:footerReference w:type="first" r:id="rId18"/>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FD4856" w14:textId="77777777" w:rsidR="001773EC" w:rsidRDefault="001773EC">
      <w:r>
        <w:separator/>
      </w:r>
    </w:p>
  </w:endnote>
  <w:endnote w:type="continuationSeparator" w:id="0">
    <w:p w14:paraId="5EEE4851" w14:textId="77777777" w:rsidR="001773EC" w:rsidRDefault="00177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2216F" w14:textId="7745FD2E" w:rsidR="00122F5F" w:rsidRPr="00540F02" w:rsidRDefault="00D720FE"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3F0D81FE" wp14:editId="7D1705C9">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175B709"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0D81FE"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14:paraId="1175B709"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3FB96263"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0F218" w14:textId="552DA42C" w:rsidR="0008220C" w:rsidRPr="00540F02" w:rsidRDefault="00D720FE"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440BCDA" wp14:editId="3BB62170">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B34A054"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0BCDA"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14:paraId="2B34A054"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66742BC7"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20910" w14:textId="1CDDEC18" w:rsidR="00965E3F" w:rsidRPr="0008220C" w:rsidRDefault="00D720FE"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5389C8AB" wp14:editId="4444C247">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7616BDE"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89C8AB"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14:paraId="07616BDE"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0412ADDE"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76681A" w14:textId="77777777" w:rsidR="001773EC" w:rsidRDefault="001773EC">
      <w:r>
        <w:separator/>
      </w:r>
    </w:p>
  </w:footnote>
  <w:footnote w:type="continuationSeparator" w:id="0">
    <w:p w14:paraId="54D581BD" w14:textId="77777777" w:rsidR="001773EC" w:rsidRDefault="001773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A4A98" w14:textId="3EBC6915" w:rsidR="00122F5F" w:rsidRDefault="00D720FE" w:rsidP="00122F5F">
    <w:pPr>
      <w:pStyle w:val="Header"/>
    </w:pPr>
    <w:r>
      <w:rPr>
        <w:noProof/>
      </w:rPr>
      <mc:AlternateContent>
        <mc:Choice Requires="wps">
          <w:drawing>
            <wp:anchor distT="0" distB="0" distL="114300" distR="114300" simplePos="0" relativeHeight="251656192" behindDoc="1" locked="0" layoutInCell="1" allowOverlap="1" wp14:anchorId="100C0447" wp14:editId="4471043D">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2DAF8"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CC70CF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0C0447"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" filled="f" stroked="f">
              <v:textbox inset="0,0,0,0">
                <w:txbxContent>
                  <w:p w14:paraId="11F2DAF8"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CC70CF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80CD130" wp14:editId="7169B656">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C1655"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CD130"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" filled="f" stroked="f">
              <v:textbox inset="0,0,0,0">
                <w:txbxContent>
                  <w:p w14:paraId="58EC1655"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5EC1FD85" wp14:editId="3C8CE6F7">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410B8"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C1FD85"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" filled="f" stroked="f">
              <v:textbox inset="0,0,0,0">
                <w:txbxContent>
                  <w:p w14:paraId="496410B8"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5327C469" wp14:editId="6CC83169">
          <wp:extent cx="1094105" cy="504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105" cy="504190"/>
                  </a:xfrm>
                  <a:prstGeom prst="rect">
                    <a:avLst/>
                  </a:prstGeom>
                  <a:noFill/>
                  <a:ln>
                    <a:noFill/>
                  </a:ln>
                </pic:spPr>
              </pic:pic>
            </a:graphicData>
          </a:graphic>
        </wp:inline>
      </w:drawing>
    </w:r>
  </w:p>
  <w:p w14:paraId="516C6277" w14:textId="77777777" w:rsidR="00122F5F" w:rsidRDefault="00122F5F" w:rsidP="00122F5F">
    <w:pPr>
      <w:pStyle w:val="Header"/>
      <w:rPr>
        <w:sz w:val="16"/>
        <w:szCs w:val="16"/>
      </w:rPr>
    </w:pPr>
  </w:p>
  <w:p w14:paraId="460A4061" w14:textId="77777777" w:rsidR="00AA4AE4" w:rsidRDefault="00AA4AE4" w:rsidP="00122F5F">
    <w:pPr>
      <w:pStyle w:val="Header"/>
      <w:rPr>
        <w:sz w:val="16"/>
        <w:szCs w:val="16"/>
      </w:rPr>
    </w:pPr>
  </w:p>
  <w:p w14:paraId="1254A3AE"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DAAB4" w14:textId="312CDD83" w:rsidR="00540F02" w:rsidRDefault="00D720FE" w:rsidP="00540F02">
    <w:pPr>
      <w:pStyle w:val="Header"/>
    </w:pPr>
    <w:r>
      <w:rPr>
        <w:noProof/>
      </w:rPr>
      <mc:AlternateContent>
        <mc:Choice Requires="wps">
          <w:drawing>
            <wp:anchor distT="0" distB="0" distL="114300" distR="114300" simplePos="0" relativeHeight="251658240" behindDoc="1" locked="0" layoutInCell="1" allowOverlap="1" wp14:anchorId="37A6DBF8" wp14:editId="4B450064">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C483E"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5BC6098"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A6DBF8"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" filled="f" stroked="f">
              <v:textbox inset="0,0,0,0">
                <w:txbxContent>
                  <w:p w14:paraId="698C483E"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5BC6098"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17517B2F" wp14:editId="377ED99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3D96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17B2F"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" filled="f" stroked="f">
              <v:textbox inset="0,0,0,0">
                <w:txbxContent>
                  <w:p w14:paraId="33B3D96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2BEF757E" wp14:editId="08AC511D">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B3741"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EF757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" filled="f" stroked="f">
              <v:textbox inset="0,0,0,0">
                <w:txbxContent>
                  <w:p w14:paraId="418B3741"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1C7B3E30" wp14:editId="1D5F5BDC">
          <wp:extent cx="1094105" cy="5041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105" cy="504190"/>
                  </a:xfrm>
                  <a:prstGeom prst="rect">
                    <a:avLst/>
                  </a:prstGeom>
                  <a:noFill/>
                  <a:ln>
                    <a:noFill/>
                  </a:ln>
                </pic:spPr>
              </pic:pic>
            </a:graphicData>
          </a:graphic>
        </wp:inline>
      </w:drawing>
    </w:r>
  </w:p>
  <w:p w14:paraId="451A8C9D" w14:textId="77777777" w:rsidR="00540F02" w:rsidRDefault="00540F02" w:rsidP="00540F02">
    <w:pPr>
      <w:pStyle w:val="Header"/>
      <w:rPr>
        <w:sz w:val="16"/>
        <w:szCs w:val="16"/>
      </w:rPr>
    </w:pPr>
  </w:p>
  <w:p w14:paraId="269138FB" w14:textId="77777777" w:rsidR="00540F02" w:rsidRDefault="00540F02" w:rsidP="00540F02">
    <w:pPr>
      <w:pStyle w:val="Header"/>
      <w:rPr>
        <w:sz w:val="16"/>
        <w:szCs w:val="16"/>
      </w:rPr>
    </w:pPr>
  </w:p>
  <w:p w14:paraId="2C43B5C6"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88555" w14:textId="15924D4A" w:rsidR="00FF1D30" w:rsidRDefault="00D720FE">
    <w:pPr>
      <w:pStyle w:val="Header"/>
    </w:pPr>
    <w:r>
      <w:rPr>
        <w:noProof/>
      </w:rPr>
      <mc:AlternateContent>
        <mc:Choice Requires="wps">
          <w:drawing>
            <wp:anchor distT="0" distB="0" distL="114300" distR="114300" simplePos="0" relativeHeight="251652096" behindDoc="1" locked="0" layoutInCell="1" allowOverlap="1" wp14:anchorId="4299A6ED" wp14:editId="22D9B8C6">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DA382"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F36A158"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9A6ED"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" filled="f" stroked="f">
              <v:textbox inset="0,0,0,0">
                <w:txbxContent>
                  <w:p w14:paraId="5DBDA382"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F36A158"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1BA5A0A0" wp14:editId="7470FDAC">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D8C2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A5A0A0"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" filled="f" stroked="f">
              <v:textbox inset="0,0,0,0">
                <w:txbxContent>
                  <w:p w14:paraId="78DD8C2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3C0FDB63" wp14:editId="78AC1947">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94C51"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FDB63"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" filled="f" stroked="f">
              <v:textbox inset="0,0,0,0">
                <w:txbxContent>
                  <w:p w14:paraId="3B494C51"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476046D2" wp14:editId="5FDB09A8">
          <wp:extent cx="1094105" cy="5041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105" cy="504190"/>
                  </a:xfrm>
                  <a:prstGeom prst="rect">
                    <a:avLst/>
                  </a:prstGeom>
                  <a:noFill/>
                  <a:ln>
                    <a:noFill/>
                  </a:ln>
                </pic:spPr>
              </pic:pic>
            </a:graphicData>
          </a:graphic>
        </wp:inline>
      </w:drawing>
    </w:r>
  </w:p>
  <w:p w14:paraId="598FCE64" w14:textId="77777777" w:rsidR="00FF1D30" w:rsidRDefault="00FF1D30">
    <w:pPr>
      <w:pStyle w:val="Header"/>
      <w:rPr>
        <w:sz w:val="16"/>
        <w:szCs w:val="16"/>
      </w:rPr>
    </w:pPr>
  </w:p>
  <w:p w14:paraId="7CEDBB39" w14:textId="77777777" w:rsidR="00FF1D30" w:rsidRDefault="00FF1D30">
    <w:pPr>
      <w:pStyle w:val="Header"/>
      <w:rPr>
        <w:sz w:val="16"/>
        <w:szCs w:val="16"/>
      </w:rPr>
    </w:pPr>
  </w:p>
  <w:p w14:paraId="4734854C"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2"/>
  </w:num>
  <w:num w:numId="5">
    <w:abstractNumId w:val="21"/>
  </w:num>
  <w:num w:numId="6">
    <w:abstractNumId w:val="20"/>
  </w:num>
  <w:num w:numId="7">
    <w:abstractNumId w:val="27"/>
  </w:num>
  <w:num w:numId="8">
    <w:abstractNumId w:val="15"/>
  </w:num>
  <w:num w:numId="9">
    <w:abstractNumId w:val="23"/>
  </w:num>
  <w:num w:numId="10">
    <w:abstractNumId w:val="24"/>
  </w:num>
  <w:num w:numId="11">
    <w:abstractNumId w:val="11"/>
  </w:num>
  <w:num w:numId="12">
    <w:abstractNumId w:val="18"/>
  </w:num>
  <w:num w:numId="13">
    <w:abstractNumId w:val="7"/>
  </w:num>
  <w:num w:numId="14">
    <w:abstractNumId w:val="0"/>
  </w:num>
  <w:num w:numId="15">
    <w:abstractNumId w:val="28"/>
  </w:num>
  <w:num w:numId="16">
    <w:abstractNumId w:val="19"/>
  </w:num>
  <w:num w:numId="17">
    <w:abstractNumId w:val="26"/>
  </w:num>
  <w:num w:numId="18">
    <w:abstractNumId w:val="25"/>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C4D9D"/>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773EC"/>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20DA"/>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31A"/>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71F8B"/>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412F1"/>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2069"/>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20FE"/>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3E1B"/>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2A0BA2"/>
  <w14:defaultImageDpi w14:val="0"/>
  <w15:docId w15:val="{18A5E2BC-8AB2-414A-8DF2-36176539F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reativecommons.org/licenses/by/4.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9AB7E-750D-4825-AE56-A9D577860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21099</Words>
  <Characters>119215</Characters>
  <Application>Microsoft Office Word</Application>
  <DocSecurity>0</DocSecurity>
  <Lines>1779</Lines>
  <Paragraphs>375</Paragraphs>
  <ScaleCrop>false</ScaleCrop>
  <Company>UIN Malang</Company>
  <LinksUpToDate>false</LinksUpToDate>
  <CharactersWithSpaces>139939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alwee</cp:lastModifiedBy>
  <cp:revision>3</cp:revision>
  <cp:lastPrinted>2008-11-01T04:52:00Z</cp:lastPrinted>
  <dcterms:created xsi:type="dcterms:W3CDTF">2025-03-23T06:37:00Z</dcterms:created>
  <dcterms:modified xsi:type="dcterms:W3CDTF">2025-03-23T06:37:00Z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f5c1c03e9ba4f9f27764d05587a676ba89dd8c889a270b80acb01224e9c43f6e</vt:lpwstr>
  </property>
  <property fmtid="{D5CDD505-2E9C-101B-9397-08002B2CF9AE}" pid="3" name="Mendeley Recent Style Id 0_1">
    <vt:lpwstr>http://www.zotero.org/styles/apa</vt:lpwstr>
  </property>
  <property fmtid="{D5CDD505-2E9C-101B-9397-08002B2CF9AE}" pid="4" name="Mendeley Recent Style Name 0_1">
    <vt:lpwstr>American Psychological Association 7th edition</vt:lpwstr>
  </property>
  <property fmtid="{D5CDD505-2E9C-101B-9397-08002B2CF9AE}" pid="5" name="Mendeley Recent Style Id 1_1">
    <vt:lpwstr>http://www.zotero.org/styles/american-sociological-association</vt:lpwstr>
  </property>
  <property fmtid="{D5CDD505-2E9C-101B-9397-08002B2CF9AE}" pid="6" name="Mendeley Recent Style Name 1_1">
    <vt:lpwstr>American Sociological Association 6th edition</vt:lpwstr>
  </property>
  <property fmtid="{D5CDD505-2E9C-101B-9397-08002B2CF9AE}" pid="7" name="Mendeley Recent Style Id 2_1">
    <vt:lpwstr>http://www.zotero.org/styles/chicago-author-date</vt:lpwstr>
  </property>
  <property fmtid="{D5CDD505-2E9C-101B-9397-08002B2CF9AE}" pid="8" name="Mendeley Recent Style Name 2_1">
    <vt:lpwstr>Chicago Manual of Style 17th edition (author-date)</vt:lpwstr>
  </property>
  <property fmtid="{D5CDD505-2E9C-101B-9397-08002B2CF9AE}" pid="9" name="Mendeley Recent Style Id 3_1">
    <vt:lpwstr>http://www.zotero.org/styles/chicago-fullnote-bibliography</vt:lpwstr>
  </property>
  <property fmtid="{D5CDD505-2E9C-101B-9397-08002B2CF9AE}" pid="10" name="Mendeley Recent Style Name 3_1">
    <vt:lpwstr>Chicago Manual of Style 17th edition (full note)</vt:lpwstr>
  </property>
  <property fmtid="{D5CDD505-2E9C-101B-9397-08002B2CF9AE}" pid="11" name="Mendeley Recent Style Id 4_1">
    <vt:lpwstr>http://www.zotero.org/styles/chicago-note-bibliography</vt:lpwstr>
  </property>
  <property fmtid="{D5CDD505-2E9C-101B-9397-08002B2CF9AE}" pid="12" name="Mendeley Recent Style Name 4_1">
    <vt:lpwstr>Chicago Manual of Style 17th edition (note)</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http://www.zotero.org/styles/modern-language-association</vt:lpwstr>
  </property>
  <property fmtid="{D5CDD505-2E9C-101B-9397-08002B2CF9AE}" pid="16" name="Mendeley Recent Style Name 6_1">
    <vt:lpwstr>Modern Language Association 9th edition</vt:lpwstr>
  </property>
  <property fmtid="{D5CDD505-2E9C-101B-9397-08002B2CF9AE}" pid="17" name="Mendeley Recent Style Id 7_1">
    <vt:lpwstr>http://www.zotero.org/styles/nature</vt:lpwstr>
  </property>
  <property fmtid="{D5CDD505-2E9C-101B-9397-08002B2CF9AE}" pid="18" name="Mendeley Recent Style Name 7_1">
    <vt:lpwstr>Nature</vt:lpwstr>
  </property>
  <property fmtid="{D5CDD505-2E9C-101B-9397-08002B2CF9AE}" pid="19" name="Mendeley Recent Style Id 8_1">
    <vt:lpwstr>http://www.zotero.org/styles/turabian-fullnote-bibliography</vt:lpwstr>
  </property>
  <property fmtid="{D5CDD505-2E9C-101B-9397-08002B2CF9AE}" pid="20" name="Mendeley Recent Style Name 8_1">
    <vt:lpwstr>Turabian 9th edition (full note)</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Citation Style_1">
    <vt:lpwstr>http://www.zotero.org/styles/ieee</vt:lpwstr>
  </property>
  <property fmtid="{D5CDD505-2E9C-101B-9397-08002B2CF9AE}" pid="24" name="Mendeley Document_1">
    <vt:lpwstr>True</vt:lpwstr>
  </property>
  <property fmtid="{D5CDD505-2E9C-101B-9397-08002B2CF9AE}" pid="25" name="Mendeley Unique User Id_1">
    <vt:lpwstr>6a3167d4-ea4a-3d43-b4d5-4a87041c22e5</vt:lpwstr>
  </property>
</Properties>
</file>