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DFC512" w14:textId="77777777" w:rsidR="00DE1E48" w:rsidRPr="00122F5F" w:rsidRDefault="00DE1E48" w:rsidP="00122F5F">
      <w:pPr>
        <w:rPr>
          <w:rFonts w:ascii="Calibri Light" w:hAnsi="Calibri Light" w:cs="Calibri Light"/>
          <w:b/>
          <w:bCs/>
          <w:sz w:val="24"/>
          <w:szCs w:val="24"/>
        </w:rPr>
      </w:pPr>
    </w:p>
    <w:p w14:paraId="5A97F990" w14:textId="4332B345" w:rsidR="00DE1E48" w:rsidRPr="00122F5F" w:rsidRDefault="001D68BC" w:rsidP="001D68BC">
      <w:pPr>
        <w:jc w:val="both"/>
        <w:rPr>
          <w:rFonts w:ascii="Calibri Light" w:hAnsi="Calibri Light" w:cs="Calibri Light"/>
          <w:b/>
          <w:bCs/>
          <w:iCs/>
          <w:sz w:val="28"/>
          <w:szCs w:val="28"/>
          <w:lang w:val="id-ID"/>
        </w:rPr>
      </w:pPr>
      <w:r w:rsidRPr="0052120B">
        <w:rPr>
          <w:rFonts w:ascii="Calibri Light" w:hAnsi="Calibri Light" w:cs="Calibri Light"/>
          <w:b/>
          <w:bCs/>
          <w:sz w:val="28"/>
          <w:szCs w:val="28"/>
        </w:rPr>
        <w:t xml:space="preserve">Legal Review </w:t>
      </w:r>
      <w:r w:rsidR="00315042">
        <w:rPr>
          <w:rFonts w:ascii="Calibri Light" w:hAnsi="Calibri Light" w:cs="Calibri Light"/>
          <w:b/>
          <w:bCs/>
          <w:sz w:val="28"/>
          <w:szCs w:val="28"/>
        </w:rPr>
        <w:t>o</w:t>
      </w:r>
      <w:r w:rsidRPr="0052120B">
        <w:rPr>
          <w:rFonts w:ascii="Calibri Light" w:hAnsi="Calibri Light" w:cs="Calibri Light"/>
          <w:b/>
          <w:bCs/>
          <w:sz w:val="28"/>
          <w:szCs w:val="28"/>
        </w:rPr>
        <w:t xml:space="preserve">f Inclusive Education Policy: </w:t>
      </w:r>
      <w:commentRangeStart w:id="0"/>
      <w:r w:rsidRPr="0052120B">
        <w:rPr>
          <w:rFonts w:ascii="Calibri Light" w:hAnsi="Calibri Light" w:cs="Calibri Light"/>
          <w:b/>
          <w:bCs/>
          <w:sz w:val="28"/>
          <w:szCs w:val="28"/>
        </w:rPr>
        <w:t xml:space="preserve">Systematic Literature Review </w:t>
      </w:r>
      <w:commentRangeEnd w:id="0"/>
      <w:r w:rsidR="008B4676">
        <w:rPr>
          <w:rStyle w:val="CommentReference"/>
        </w:rPr>
        <w:commentReference w:id="0"/>
      </w:r>
      <w:r w:rsidRPr="0052120B">
        <w:rPr>
          <w:rFonts w:ascii="Calibri Light" w:hAnsi="Calibri Light" w:cs="Calibri Light"/>
          <w:b/>
          <w:bCs/>
          <w:sz w:val="28"/>
          <w:szCs w:val="28"/>
        </w:rPr>
        <w:t>2015-2025</w:t>
      </w:r>
    </w:p>
    <w:p w14:paraId="5B32ECE3" w14:textId="77777777" w:rsidR="00DE1E48" w:rsidRPr="00122F5F" w:rsidRDefault="00DE1E48" w:rsidP="00856A11">
      <w:pPr>
        <w:rPr>
          <w:rFonts w:ascii="Calibri Light" w:hAnsi="Calibri Light" w:cs="Calibri Light"/>
          <w:sz w:val="24"/>
          <w:szCs w:val="24"/>
        </w:rPr>
      </w:pPr>
    </w:p>
    <w:p w14:paraId="4BB6A41E"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p>
    <w:p w14:paraId="38C30311"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2C5979CB"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7FA239AF" w14:textId="77777777" w:rsidR="00863A78" w:rsidRPr="00863A78" w:rsidRDefault="00863A78" w:rsidP="00863A78">
      <w:pPr>
        <w:ind w:right="737"/>
        <w:rPr>
          <w:rFonts w:ascii="Calibri Light" w:hAnsi="Calibri Light" w:cs="Calibri Light"/>
          <w:b/>
          <w:bCs/>
        </w:rPr>
      </w:pPr>
    </w:p>
    <w:p w14:paraId="0D8BDFB8" w14:textId="20C334D2" w:rsidR="00863A78" w:rsidRPr="00863A78" w:rsidRDefault="000A2469"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347F05E7" wp14:editId="1A509725">
            <wp:extent cx="255905" cy="255905"/>
            <wp:effectExtent l="0" t="0" r="0" b="0"/>
            <wp:docPr id="16"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5905" cy="25590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4A12541C"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6E74E77E" w14:textId="77777777" w:rsidTr="00540F02">
        <w:tc>
          <w:tcPr>
            <w:tcW w:w="9004" w:type="dxa"/>
            <w:tcBorders>
              <w:left w:val="nil"/>
              <w:right w:val="nil"/>
            </w:tcBorders>
          </w:tcPr>
          <w:p w14:paraId="3C318DD7" w14:textId="77777777" w:rsidR="00863A78" w:rsidRPr="00540F02" w:rsidRDefault="00863A78" w:rsidP="00540F02">
            <w:pPr>
              <w:ind w:right="2"/>
              <w:jc w:val="both"/>
              <w:rPr>
                <w:rFonts w:ascii="Calibri Light" w:hAnsi="Calibri Light" w:cs="Calibri Light"/>
                <w:sz w:val="12"/>
                <w:szCs w:val="12"/>
              </w:rPr>
            </w:pPr>
          </w:p>
          <w:p w14:paraId="541B3883"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12" w:history="1">
              <w:r w:rsidRPr="00540F02">
                <w:rPr>
                  <w:rStyle w:val="Hyperlink"/>
                  <w:rFonts w:ascii="Calibri Light" w:hAnsi="Calibri Light" w:cs="Calibri Light"/>
                </w:rPr>
                <w:t>https://doi.org/10.5758/ijls.2022.1</w:t>
              </w:r>
            </w:hyperlink>
          </w:p>
          <w:p w14:paraId="3353D767" w14:textId="77777777" w:rsidR="00863A78" w:rsidRPr="00540F02" w:rsidRDefault="00863A78" w:rsidP="00540F02">
            <w:pPr>
              <w:ind w:right="2"/>
              <w:jc w:val="both"/>
              <w:rPr>
                <w:rFonts w:ascii="Calibri Light" w:hAnsi="Calibri Light" w:cs="Calibri Light"/>
                <w:color w:val="0462C1"/>
                <w:u w:val="single" w:color="0462C1"/>
              </w:rPr>
            </w:pPr>
          </w:p>
          <w:p w14:paraId="327B4DC8"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3">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3F63B072" w14:textId="77777777" w:rsidR="00863A78" w:rsidRPr="00540F02" w:rsidRDefault="00863A78" w:rsidP="00540F02">
            <w:pPr>
              <w:ind w:right="2"/>
              <w:jc w:val="both"/>
              <w:rPr>
                <w:rFonts w:ascii="Calibri Light" w:hAnsi="Calibri Light" w:cs="Calibri Light"/>
                <w:b/>
                <w:bCs/>
                <w:sz w:val="12"/>
                <w:szCs w:val="12"/>
              </w:rPr>
            </w:pPr>
          </w:p>
        </w:tc>
      </w:tr>
    </w:tbl>
    <w:p w14:paraId="15E1C410" w14:textId="77777777" w:rsidR="00863A78" w:rsidRDefault="00863A78" w:rsidP="00863A78">
      <w:pPr>
        <w:ind w:right="737"/>
        <w:rPr>
          <w:rFonts w:ascii="Calibri Light" w:hAnsi="Calibri Light" w:cs="Calibri Light"/>
          <w:b/>
          <w:bCs/>
          <w:sz w:val="24"/>
          <w:szCs w:val="24"/>
        </w:rPr>
      </w:pPr>
    </w:p>
    <w:p w14:paraId="112B53E3" w14:textId="77777777" w:rsidR="00DE1E48" w:rsidRPr="00FF5E2A" w:rsidRDefault="00A27B34" w:rsidP="00863A78">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FF5E2A" w:rsidRPr="00FF5E2A">
        <w:rPr>
          <w:rFonts w:ascii="Calibri Light" w:hAnsi="Calibri Light" w:cs="Calibri Light"/>
          <w:i/>
          <w:iCs/>
          <w:noProof/>
          <w:color w:val="000000"/>
          <w:sz w:val="24"/>
          <w:szCs w:val="24"/>
        </w:rPr>
        <w:t xml:space="preserve">The birth of quality education will significantly impact the country's development, in line with the national goals of the Indonesian state, namely to educate the nation's life, intelligent, responsible and noble individuals without discrimination students. </w:t>
      </w:r>
      <w:commentRangeStart w:id="1"/>
      <w:r w:rsidR="00FF5E2A" w:rsidRPr="00FF5E2A">
        <w:rPr>
          <w:rFonts w:ascii="Calibri Light" w:hAnsi="Calibri Light" w:cs="Calibri Light"/>
          <w:i/>
          <w:iCs/>
          <w:noProof/>
          <w:color w:val="000000"/>
          <w:sz w:val="24"/>
          <w:szCs w:val="24"/>
        </w:rPr>
        <w:t>So,</w:t>
      </w:r>
      <w:commentRangeEnd w:id="1"/>
      <w:r w:rsidR="00872442">
        <w:rPr>
          <w:rStyle w:val="CommentReference"/>
        </w:rPr>
        <w:commentReference w:id="1"/>
      </w:r>
      <w:r w:rsidR="00FF5E2A" w:rsidRPr="00FF5E2A">
        <w:rPr>
          <w:rFonts w:ascii="Calibri Light" w:hAnsi="Calibri Light" w:cs="Calibri Light"/>
          <w:i/>
          <w:iCs/>
          <w:noProof/>
          <w:color w:val="000000"/>
          <w:sz w:val="24"/>
          <w:szCs w:val="24"/>
        </w:rPr>
        <w:t xml:space="preserve"> binding legal regulations become the basis for implementing inclusive education that is fair and without discrimination. As for these two research questions: how are the legal regulations governing inclusive education in Indonesia and other countries? What are the challenges of implementing inclusive education in Indonesia? Using the systematic literature review research method, with keywords in Indonesian and English, "inclusive education policy" AND "law", and "inclusive education policy" AND "law" AND "Indonesia" in the 2015-2025 period. The results of the study show that in terms of legal regulations, inclusive education in Indonesia is much clearer and more binding compared to Japan, Malaysia, Vietnam, and Myanmar, </w:t>
      </w:r>
      <w:commentRangeStart w:id="2"/>
      <w:r w:rsidR="00FF5E2A" w:rsidRPr="00FF5E2A">
        <w:rPr>
          <w:rFonts w:ascii="Calibri Light" w:hAnsi="Calibri Light" w:cs="Calibri Light"/>
          <w:i/>
          <w:iCs/>
          <w:noProof/>
          <w:color w:val="000000"/>
          <w:sz w:val="24"/>
          <w:szCs w:val="24"/>
        </w:rPr>
        <w:t>only inferior to Finland</w:t>
      </w:r>
      <w:commentRangeEnd w:id="2"/>
      <w:r w:rsidR="00872442">
        <w:rPr>
          <w:rStyle w:val="CommentReference"/>
        </w:rPr>
        <w:commentReference w:id="2"/>
      </w:r>
      <w:r w:rsidR="00FF5E2A" w:rsidRPr="00FF5E2A">
        <w:rPr>
          <w:rFonts w:ascii="Calibri Light" w:hAnsi="Calibri Light" w:cs="Calibri Light"/>
          <w:i/>
          <w:iCs/>
          <w:noProof/>
          <w:color w:val="000000"/>
          <w:sz w:val="24"/>
          <w:szCs w:val="24"/>
        </w:rPr>
        <w:t>. However, Indonesia still has several challenges in implementing inclusive education, such as limited human resources, the need to provide collaboration space for teachers, government and parents, minimal facilities and infrastructure and weak supervision and evaluation.</w:t>
      </w:r>
      <w:r w:rsidR="00334520" w:rsidRPr="00540F02">
        <w:rPr>
          <w:rFonts w:ascii="Calibri Light" w:hAnsi="Calibri Light" w:cs="Calibri Light"/>
          <w:color w:val="A6A6A6"/>
          <w:sz w:val="24"/>
          <w:szCs w:val="24"/>
        </w:rPr>
        <w:t>)</w:t>
      </w:r>
    </w:p>
    <w:p w14:paraId="463DD62D" w14:textId="77777777" w:rsidR="00F1027C" w:rsidRPr="00122F5F" w:rsidRDefault="0095288D" w:rsidP="00FF5E2A">
      <w:pPr>
        <w:ind w:right="737"/>
        <w:jc w:val="both"/>
        <w:rPr>
          <w:rFonts w:ascii="Calibri Light" w:hAnsi="Calibri Light" w:cs="Calibri Light"/>
          <w:i/>
          <w:iCs/>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FF5E2A" w:rsidRPr="00FF5E2A">
        <w:rPr>
          <w:rStyle w:val="shorttext"/>
          <w:rFonts w:ascii="Calibri Light" w:hAnsi="Calibri Light" w:cs="Calibri Light"/>
          <w:i/>
          <w:iCs/>
          <w:sz w:val="24"/>
          <w:szCs w:val="24"/>
          <w:lang w:val="en"/>
        </w:rPr>
        <w:t>Law, Policy, Inclusive Education, human rights</w:t>
      </w:r>
    </w:p>
    <w:p w14:paraId="4D4E445A" w14:textId="77777777" w:rsidR="00F1027C" w:rsidRPr="00122F5F" w:rsidRDefault="00F1027C" w:rsidP="0095288D">
      <w:pPr>
        <w:rPr>
          <w:rFonts w:ascii="Calibri Light" w:hAnsi="Calibri Light" w:cs="Calibri Light"/>
          <w:b/>
          <w:bCs/>
          <w:sz w:val="24"/>
          <w:szCs w:val="24"/>
          <w:lang w:val="id-ID"/>
        </w:rPr>
      </w:pPr>
    </w:p>
    <w:p w14:paraId="4EA11FE3"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14:paraId="16513696" w14:textId="77777777" w:rsidR="00FF5E2A" w:rsidRPr="0083227B" w:rsidRDefault="00FF5E2A" w:rsidP="00003189">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 xml:space="preserve">The development of an ideal civilization in a country can be determined by how much attention it pays to its education system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{"citationID":"GoFDcjYN","properties":{"formattedCitation":"(A. Saputra, 2018)","plainCitation":"(A. Saputra, 2018)","noteIndex":0},"citationItems":[{"id":44400,"uris":["http://zotero.org/users/7621732/items/7X9IEX4R"],"itemData":{"id":44400,"type":"article-journal","abstract":"Education is considered to have a very important role in promoting the civilization of a nation. Good quality education can encourage the creation of a quality society, creative and productive until finally able to achieve welfare. Through this national education system, the government should be able to ensure equal distribution of educational opportunities, as well as the relevance and efficiency of education management to face challenges in line with the changing demands of local, national and global life. The budget allocation system for education in Indonesia is heavily influenced by government policies. Education financing depends on the management of educational institutions, but budget allocations used must conform to national financing standards. Education in Indonesia, implemented in accordance with educational policies that regulate the national education system, as well as the allocation of 20% education funding obtained from the state budget and APBD.","container-title":"Budapest International Research and Critics Institute-Journal (BIRCI-Journal)","DOI":"10.33258/birci.v1i2.19","ISSN":"2615-3076","issue":"2","language":"en","license":"Copyright (c) 2018 Budapest International Research and Critics Institute  (BIRCI-Journal)                  : Humanities and Social Sciences","note":"number: 2","page":"141-147","source":"www.bircu-journal.com","title":"Allocation of Education Budget in Indonesia","volume":"1","author":[{"family":"Saputra","given":"Agung"}],"issued":{"date-parts":[["2018",7,24]]}}}],"schema":"https://github.com/citation-style-language/schema/raw/master/csl-citation.json"}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(A. Saputra, 2018)</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a dimension that pays attention to easy and quality access to education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{"citationID":"NK07bhC6","properties":{"formattedCitation":"(Griffioen et al., 2018)","plainCitation":"(Griffioen et al., 2018)","noteIndex":0},"citationItems":[{"id":44389,"uris":["http://zotero.org/users/7621732/items/F3QB74QI"],"itemData":{"id":44389,"type":"article-journal","abstract":"Student satisfaction gains an increasingly central position in the context of quality measurements. However, student satisfaction can also be stipulated as an important motivational factor for students as learners. This study combines this perspective on student satisfaction with the notion of differences in students’ ability. We hypothesize that differences in ability result in differences in student satisfaction. In line with concepts of high ability education, it is additionally hypothesized that this relation is mediated by educational stimulation—divided in cognitive, creative and professional stimulation—as well as by participation in honour programmes. A structural equation modelling (N = 733) of factors affecting student satisfaction in higher education shows that cognitive, creative and professional stimulation are the largest influencers of bachelor students’ sense of satisfaction. The interrelation between these three aspects of educational stimulation also shows the complexity of higher educational practice, since it suggests that cognitive stimulation cannot be realized without a creative factor, and vice versa. Professional stimulation needs both. Furthermore, the results show that educational stimulation mediates the effect of students’ ability on their educational satisfaction. This implies that changes in education can indeed influence students’ educational satisfaction, especially by providing educational quality. Finally, considering students’ ability level, it is shown that especially cognitively abler students are less easy to satisfy. The combination of educational stimulation and ability suggests that especially the more cognitively able students do not feel themselves sufficiently cognitively or creatively stimulated, and hence are less satisfied in vocational higher education.","container-title":"Higher Education","DOI":"10.1007/s10734-017-0176-3","ISSN":"1573-174X","issue":"5","journalAbbreviation":"High Educ","language":"en","page":"891-907","source":"Springer Link","title":"Are more able students in higher education less easy to satisfy?","volume":"75","author":[{"family":"Griffioen","given":"D. M. E."},{"family":"Doppenberg","given":"J. J."},{"family":"Oostdam","given":"R. J."}],"issued":{"date-parts":[["2018",5,1]]}}}],"schema":"https://github.com/citation-style-language/schema/raw/master/csl-citation.json"}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(Griffioen et al., 2018)</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and evenly distributed so that it can be felt by all elements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{"citationID":"JiyX4mnR","properties":{"formattedCitation":"(Hakim, 2016)","plainCitation":"(Hakim, 2016)","noteIndex":0},"citationItems":[{"id":44387,"uris":["http://zotero.org/users/7621732/items/LW6SDWP7"],"itemData":{"id":44387,"type":"article-journal","abstract":"Pembangunan pendidikan di Indonesia memiliki dua dimensi penting yang sering menjadi permasalahan selama ini yaitu masalah perluasan akses pendidikan dan kedua pemerataan pendidikan. Kedua masalah itu hingga saat ini masih menjadi polemik di dalam pembangunan pendidikan di Indonesia. Banyak faktor yang memengaruhi di dalam pelaksanaan dan pemerataan pendidikan tersebut. Perluasan ditandai dengan mudahnya masyarakat (warga negara) untuk memperoleh pendidikan, sedangkan pemerataan pendidikan adalah suatu kedaan yang sama antara pelaksanaan pendidikan yang dilaksanakan baik yang berada di kota maupun di desa.Kata kunci: pemerataan, akses, pendidikan, rakyat.","container-title":"EduTech: Jurnal Ilmu Pendidikan dan Ilmu Sosial","DOI":"10.30596/edutech.v2i1.575","ISSN":"2442-7063","issue":"1","language":"en","license":"Copyright (c)","note":"number: 1","page":"53-64","source":"jurnal.umsu.ac.id","title":"Pemerataan Akses Pendidikan Bagi Rakyat Sesuai Dengan Amanat Undang-Undang Nomor 20 Tahun 2003 Tentang Sistem Pendidikan Nasional","volume":"2","author":[{"family":"Hakim","given":"Lukman"}],"issued":{"date-parts":[["2016",3,30]]}}}],"schema":"https://github.com/citation-style-language/schema/raw/master/csl-citation.json"}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(Hakim, 2016)</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without distinguishing (discriminating) background, economy. Culture and religion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{"citationID":"zDNCcHHG","properties":{"formattedCitation":"(Rupiah et al., 2024)","plainCitation":"(Rupiah et al., 2024)","noteIndex":0},"citationItems":[{"id":44398,"uris":["http://zotero.org/users/7621732/items/4HDUZXLE"],"itemData":{"id":44398,"type":"article-journal","abstract":"Curriculum in general is a set of plans and arrangements regarding objectives, content and learning materials as well as methods used as guidelines for implementing learning activities to achieve certain educational goals. Islamic religious education is one of the government's efforts to educate the nation's children based on Islamic religious values and noble morals. The aim of this research is to look in more detail at the position of the PAI curriculum in the National Education System Law no. 20 of 2003; three basic principles are used as the basis for PAI: the juridical basis, which consists of an ideal basis, namely the basic philosophy of the State of Pancasila, the first principle, belief in the one, and only God. Structural/constitutional basis, namely constitution (UUD) 1945 Chapter Religious basis, which comes from Al-Qur’an and Hadith. For Muslims, Islamic religious education is mandatory. The psychological basis is the basis related to the psychological aspects of people's lives. The position of Islamic Religious Education in the National Education system is explained in Article 15 of the National Education System Law no. 20 of 2003; in Article 12, section (1) religious education is taught by religious teachers who are in accordance with the students' religion. To fulfill students' rights to religious education, Article 37 paragraph (1) states that the primary and secondary education curriculum must contain religious education, paragraph 2. The higher education curriculum must include religious education, citizenship education, and language. This means that PAI teachers and lecturers have a strong foundation for developing the Islamic Religious Education teaching process in schools/madrasahs and universities","container-title":"IJER (Indonesian Journal of Educational Research)","DOI":"10.30631/ijer.v9i2.325","ISSN":"2541-2159","issue":"2","language":"en","license":"Copyright (c) 2024 Yenita Zuriani Nashrun","note":"number: 2","page":"106-112","source":"ijer.ftk.uinjambi.ac.id","title":"An Analysis of the Islamic Religious Education Curriculum in Religious Schools and Colleges within the Framework of the National Education System Law of 2003","volume":"9","author":[{"family":"Rupiah","given":""},{"family":"Amin","given":"Alfauzan"},{"family":"Suradi","given":"A."},{"family":"Rohimin","given":""}],"issued":{"date-parts":[["2024"]]}}}],"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(Rupiah et al., 2024)</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{"citationID":"sIA24phS","properties":{"formattedCitation":"(VanBalkom, 2010)","plainCitation":"(VanBalkom, 2010)","dontUpdate":true,"noteIndex":0},"citationItems":[{"id":44408,"uris":["http://zotero.org/users/7621732/items/CVWM3UVH"],"itemData":{"id":44408,"type":"article-journal","abstract":"Abstrak\n\t\t\t\t\tPendidikan, yang tidak pernah netral terhadap nilai, terus menjadi kekuatan yang paling dahsyat untuk membentuk generasi warga dunia berikutnya dan memengaruhi arah pembangunan global dan hubungan antaretnis. Ketergantungan global mengharuskan sekolah tidak dapat lagi melayani kebutuhan lokal tanpa pemahaman yang lebih mendalam dan pertimbangan yang cermat tentang dimensi global. Internasionalisasi pendidikan menyerukan perubahan mendasar dalam hakikat pengajaran dan pembelajaran, dari \"menyampaikan kebenaran\" menjadi eksplorasi dan dekonstruksi perspektif dan implikasinya yang liberal namun kritis. Analisis anatomi perspektif berkontribusi pada pengembangan pandangan dunia kosmopolitan yang berupaya memahami orang lain dengan pikiran terbuka dan penuh perhatian. Pada tingkat yang lebih mendalam, hal itu membentuk usaha pendidikan dalam melayani kebaikan bersama yang universal.","container-title":"LEARNing Landscapes","DOI":"10.36510/learnland.v3i2.351","ISSN":"1913-5688","issue":"2","language":"en","license":"Copyright (c)","note":"number: 2","page":"147-154","source":"learninglandscapes.ca","title":"Educational Transformation With a New Global Urgency","volume":"3","author":[{"family":"VanBalkom","given":"W. Duffie"}],"issued":{"date-parts":[["2010",3,2]]}}}],"schema":"https://github.com/citation-style-language/schema/raw/master/csl-citation.json"}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VanBalkom, (2010)</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notes that education is the most powerful force for world citizens because it calls for conveying universal truths and can be accepted by all elements. So that the birth of quality education will be able to have a significant positive impact on the development of the country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{"citationID":"gsHjwwg1","properties":{"formattedCitation":"(Inkiriwang, 2020)","plainCitation":"(Inkiriwang, 2020)","noteIndex":0},"citationItems":[{"id":44390,"uris":["http://zotero.org/users/7621732/items/HTYK5KSD"],"itemData":{"id":44390,"type":"article-journal","abstract":"Tujuan dilakukannya penelitian ini yaitu untuk mengetahui bagaimanakah Aspek Hukum Berkaitan Dengan Penyediaan Fasilitas Pendidikan Menurut UU No. 20 Tahun 2003 Tentang Sistem Pendidikan Nasional dan bagaimanakah Bentuk Kewajiban Negara Dalam Penyediaan Fasilitas Pendidikan Menurut Peraturan PerUndang-Undangan yang dengan metode penelitian hukum normatif disimpulkan: 1. Penyediaan fasilitas pendidikan merupakan kewajiban pemerintah sebagaimana yang diamanatkan melalui Pasal 31 ayat (3) Undang-Undang Dasar 1945 dan secara khusus dalamÂ  UU No. 20 Tahun 2003 Tentang Sistem Pendidikan Nasional. Dalam mengusahakan dan menyelenggarakan satu sistem pendidikan nasional pemerintah Indonesia memprioritaskan anggaran pendidikan sekurang-kurangnya 20% dari APBN dan APBD. Untuk penjaminan dan pengendalian mutu pendidikan dilakukan evaluasi akreditasi dan sertifikasi yang meliputi delapan standar yaitu standar isi, standar proses, standar kompetensi lulusan, standar pendidik dan tenaga kependidikan, standar sarana dan prasarana, standar pengelolaan, standar pembiayaan, dan standar penilaian pendidikan. 2. kewajiban negara dalam bentuk realisasi anggara pendidikan untuk menyediakan penyediaan fasilitas pendidikan, terlebih di sekolah yang berada didaerah yang jauh dari perkotaan, dikarenakan biaya operasional sekolah dianggap belum cukup memenuhi kegiatan dalam proses belajar mengajar. Mengingat bahwa sarana dan prasarana yang tidak lengkap akanÂ  berdampak pada kualitas pendidikan, dan hal ini menjadi tanggung jawab negara, khususnya pemerintah dalam pemenuhan hak atas pendidikan, antara lain sebagai tanggung jawab dalam menyediakan sarana dan prasarana pendidikan.Kata kunci: fasilitas pendidikan; kewajiban negara;","container-title":"LEX PRIVATUM","ISSN":"2337-4942","issue":"2","language":"en-US","license":"Copyright (c) 2020 Array","note":"number: 2","page":"143-153","source":"ejournal.unsrat.ac.id","title":"Kewajiban Negara Dalam Penyediaan Fasilitas Pendidikan Kepada Masyarakat Menurut Undang-Undang Nomor 20 Tahun 2003 Tentang Sistem Pendidkan Nasional","volume":"8","author":[{"family":"Inkiriwang","given":"Rizky Rinaldy"}],"issued":{"date-parts":[["2020",8,3]]}}}],"schema":"https://github.com/citation-style-language/schema/raw/master/csl-citation.json"}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(Inkiriwang, 2020)</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in line with the national goals of the Indonesian state, namely to </w:t>
      </w:r>
      <w:r w:rsidRPr="0083227B">
        <w:rPr>
          <w:rFonts w:ascii="Calibri Light" w:hAnsi="Calibri Light" w:cs="Calibri Light"/>
          <w:sz w:val="24"/>
          <w:szCs w:val="24"/>
        </w:rPr>
        <w:lastRenderedPageBreak/>
        <w:t xml:space="preserve">educate the nation's life, intelligent, responsible and noble individuals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{"citationID":"GmA7yO5v","properties":{"formattedCitation":"(Khunaifi &amp; Matlani, 2019a)","plainCitation":"(Khunaifi &amp; Matlani, 2019a)","noteIndex":0},"citationItems":[{"id":44392,"uris":["http://zotero.org/users/7621732/items/BSHWYULA"],"itemData":{"id":44392,"type":"article-journal","abstract":"AbstrakPendidikan dalam suatu Negara merupakan salah satu bagian terpenting yang selalu mendapatkan perhatian yang cukup serius, pendidikan di indonesia dari waktu kewaktu  mengalami perubahan dan peningkatan secara segnifikan, segala bentuk kebijakan pendidikan akan tertuang dalam sistem pendidikan Nasional, kebijakan tersebut tidak lain merupakan hasil pemikiran dari para tokoh pendidikan dengan tujuan bagaimana sistem pendidikan nasional mampu menyatukan sebuah konsep terhadap kebutuhan masyarakat, maka pendidikan nasional secara kolektif harus mampu melakukan perubahan dengan mewujudkan bangsa yang cerdas dan bermartabat dengan berkemampuan yang luas, spiritual yang tinggi serta mempunyai akhlak yang mulia.Salah satu kebijakan pemerintah yang mendapat kritik dan penolakan oleh elemen masyarakat dan para elit pendidikan adalah UU Sisdiknas tahun 2003 yang memuat tentang sistem pendidikan Nasional, pemerintah pada saat penetapkan undang-undang nomor 20 tahun 2003 dengan serta merta tanpa mengkaji secara mendalam dengan berbagai pertimbangan, sehingga diskriminasi terhadap bangsa indonesia kerap terjadi. Indonesia memiliki asas keadilan yang  hal tersebut harus diperhatikan oleh seluruh pihak pemerintah sebagai pemimpin bangsa, namun dalam muatan UU nomor 20 tahun 2003 terdapat beberapa hal yang tidak sesuai dengan realitas dan merugikan ke satu pihak.  Maka dengan demikian undang-undang Sisdiknas sebagai hasil pemikiran yang di tetapkan sebagai kebijakan pemerintah yang akan mengatur tertang sistem pendidikan nasional di harapkan mampu menyatu dengan masyarakat dan mempunyai prinsip keadilan tanpa diskriminasi.Kata kunci:  Undang-Undang Sisdiknas Nomor 20 Tahun 2003 AbstractEducation in a country is one of the most important parts that always get quite serious attention, education in Indonesia from time to time changes and increases significantly, all forms of education policy will be contained in the National education system, the policy is nothing but the result of the thoughts of the education leaders with the aim of how the national education system is able to unite a concept of the needs of the community, then the national education as a collective must be able to make changes by creating an intelligent and dignified nation with broad, high spiritual abilities and noble character.One of the government policies that have been criticized and rejected by elements of the community and the education elite is the 2003 National Education System Law which contains the National Education System, the government at the time of enacting Law number 20 of 2003, without necessarily reviewing it in depth with a variety of considerations, so that discrimination against the Indonesian nation often occurs. Indonesia has the principle of justice which must be considered by all government parties as the nation's leader, but in the content of Law number 20 of 2003 there are several things that are not in accordance with reality and are detrimental to one party. Therefore the National Education System Law as a result of thought is determined as a government policy that will regulate the national education system. It is expected to be able to unite with the community and have the principle of justice without discrimination.Keywords:   Undang-Undang Sisdiknas Nomor 20 Tahun 2003","container-title":"Jurnal Ilmiah Iqra'","DOI":"10.30984/jii.v13i2.972","ISSN":"2541-2108","issue":"2","language":"en; ina.","license":"Copyright (c) 2019 Jurnal Ilmiah Iqra'","note":"number: 2","page":"81-102","source":"journal.iain-manado.ac.id","title":"Analisis Kritis Undang-Undang Sisdiknas Nomor 20 Tahun 2003","volume":"13","author":[{"family":"Khunaifi","given":"Aan Yusuf"},{"family":"Matlani","given":"Matlani"}],"issued":{"date-parts":[["2019",10,21]]}}}],"schema":"https://github.com/citation-style-language/schema/raw/master/csl-citation.json"}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(Khunaifi &amp; Matlani, 2019a)</w:t>
      </w:r>
      <w:r w:rsidRPr="0083227B">
        <w:rPr>
          <w:rFonts w:ascii="Calibri Light" w:hAnsi="Calibri Light" w:cs="Calibri Light"/>
          <w:sz w:val="24"/>
          <w:szCs w:val="24"/>
        </w:rPr>
        <w:fldChar w:fldCharType="end"/>
      </w:r>
      <w:r w:rsidRPr="0083227B">
        <w:rPr>
          <w:rFonts w:ascii="Calibri Light" w:hAnsi="Calibri Light" w:cs="Calibri Light"/>
          <w:sz w:val="24"/>
          <w:szCs w:val="24"/>
        </w:rPr>
        <w:t>.</w:t>
      </w:r>
    </w:p>
    <w:p w14:paraId="44A7DA47" w14:textId="77777777" w:rsidR="00FF5E2A" w:rsidRPr="0083227B" w:rsidRDefault="00FF5E2A" w:rsidP="00003189">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 xml:space="preserve">Equal education treatment still seems a major challenge for educational institutions worldwide, including Indonesia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{"citationID":"VCLeLJQK","properties":{"formattedCitation":"(Florian, 2008; Haug, 2017)","plainCitation":"(Florian, 2008; Haug, 2017)","noteIndex":0},"citationItems":[{"id":44405,"uris":["http://zotero.org/users/7621732/items/PX3V6SS6"],"itemData":{"id":44405,"type":"article-journal","abstract":"In this article, Lani Florian, Professor of Social and Educational Inclusion at the University of Aberdeen, examines the relationships between ‘special’ and ‘inclusive’ education. She looks at the notion of specialist knowledge among teachers and at the roles adopted by staff working with pupils with ‘additional’ or ‘special’ needs in mainstream settings. She explores the implications of the use of the concept of ‘special needs’– especially in relation to attempts to implement inclusion in practice – and she notes the tensions that arise from these relationships. She goes on to ask a series of questions: How do teachers respond to differences among their pupils? What knowledge do teachers need in order to respond more effectively to diversity in their classrooms? What are the roles of teacher education and ongoing professional development? How can teachers be better prepared to work in mixed groupings of pupils? In seeking answers to these questions, Lani Florian concludes that we should look at educational practices and undertake a thorough examination of how teachers work in their classrooms. She suggests that it is through an examination of ‘the things that teachers can do’ that we will begin to bring meaning to the concept of inclusion.","container-title":"British Journal of Special Education","DOI":"10.1111/j.1467-8578.2008.00402.x","ISSN":"1467-8578","issue":"4","language":"en","license":"© 2008 The Author(s). Journal compilation © 2008 NASEN","note":"_eprint: https://onlinelibrary.wiley.com/doi/pdf/10.1111/j.1467-8578.2008.00402.x","page":"202-208","source":"Wiley Online Library","title":"INCLUSION: Special or inclusive education: future trends","title-short":"INCLUSION","volume":"35","author":[{"family":"Florian","given":"Lani"}],"issued":{"date-parts":[["2008"]]}}},{"id":44402,"uris":["http://zotero.org/users/7621732/items/AXFYYYSR"],"itemData":{"id":44402,"type":"article-journal","abstract":"ABSTRAK","container-title":"Scandinavian Journal of Disability Research","DOI":"10.1080/15017419.2016.1224778","ISSN":"1501-7419","issue":"3","note":"publisher: Taylor &amp; Francis","page":"206-217","source":"tandfonline.com (Atypon)","title":"Understanding inclusive education: ideals and reality","title-short":"Understanding inclusive education","volume":"19","author":[{"family":"Haug","given":"Peder"}],"issued":{"date-parts":[["2017",7,3]]}}}],"schema":"https://github.com/citation-style-language/schema/raw/master/csl-citation.json"}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(Florian, 2008; Haug, 2017)</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One of them is the position of individuals (children) with special needs who should receive the same inclusive education without exception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{"citationID":"wW2C4cqU","properties":{"formattedCitation":"(Lindsay, 2003; Messiou, 2017)","plainCitation":"(Lindsay, 2003; Messiou, 2017)","noteIndex":0},"citationItems":[{"id":44417,"uris":["http://zotero.org/users/7621732/items/9AFTHW3I"],"itemData":{"id":44417,"type":"article-journal","abstract":"The Gulliford Lecture 2002 was given by Professor Geoff Lindsay, Director of the Centre for Educational Development, Appraisal and Research (CEDAR) at the University of Warwick. Professor Lindsay's lecture, on which this paper is based, addressed a number of key topics, including the development of inclusion and inclusive practices; models of special educational needs and disability; and the values that underpin our thinking about these matters. Basing his argument on the research evidence, Professor Lindsay provides a searching critique of prevailing notions about inclusion and of current approaches to research. His conclusions will be of interest to everyone concerned with the education of children and young people with special educational needs.","container-title":"British Journal of Special Education","DOI":"10.1111/1467-8527.00275","ISSN":"1467-8578","issue":"1","language":"en","license":"NASEN 2003","note":"_eprint: https://onlinelibrary.wiley.com/doi/pdf/10.1111/1467-8527.00275","page":"3-12","source":"Wiley Online Library","title":"Inclusive education: a critical perspective","title-short":"Inclusive education","volume":"30","author":[{"family":"Lindsay","given":"Geoff"}],"issued":{"date-parts":[["2003"]]}}},{"id":44419,"uris":["http://zotero.org/users/7621732/items/I9MSJC29"],"itemData":{"id":44419,"type":"article-journal","abstract":"This paper sets out to challenge thinking and practice amongst researchers in the field of inclusive education. It does this based on an analysis of published articles in the International Journal of Inclusive Education between 2005 and 2015, which identified topics and methodologies used in studies of inclusive education. The analysis highlights the fact that most of the studies are only concerned with certain groups of learners and that a limited number make use of collaborative, transformative approaches. It is argued that focusing only on some students, rather than on all, is contrary to the principles of inclusive education. At the same time, given the emphasis of inclusion on enabling the participation for all students, it is argued that more research needs to adopt collaborative approaches that set out to change thinking and practice in the field. Illustrative examples from articles that used such approaches are discussed to highlight their potential benefits.","container-title":"International Journal of Inclusive Education","DOI":"10.1080/13603116.2016.1223184","ISSN":"1360-3116","issue":"2","note":"publisher: Routledge\n_eprint: https://doi.org/10.1080/13603116.2016.1223184","page":"146-159","source":"Taylor and Francis+NEJM","title":"Research in the field of inclusive education: time for a rethink?*","title-short":"Research in the field of inclusive education","volume":"21","author":[{"family":"Messiou","given":"Kyriaki"}],"issued":{"date-parts":[["2017",2,1]]}}}],"schema":"https://github.com/citation-style-language/schema/raw/master/csl-citation.json"}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(Lindsay, 2003; Messiou, 2017)</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starting from learning opportunities in an equal environment to the quality of learning in schools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{"citationID":"kHSnftrS","properties":{"formattedCitation":"(Z. P. Sari et al., 2022)","plainCitation":"(Z. P. Sari et al., 2022)","noteIndex":0},"citationItems":[{"id":44421,"uris":["http://zotero.org/users/7621732/items/JMC6R7YN"],"itemData":{"id":44421,"type":"article-journal","abstract":"Penelitian ini bertujuan untuk menunjukkan faktor-faktor keberhasilan implementasi pendidikan inklusif di Indonesia. Dan apa yang menyebabkan kendala dalam implementasi pendidikan inklusif. Penelitian ini menggunakan kajian pustaka melalui media bacaan dari beberapa jurnal nasional dan internasional dalam 10 tahun terakhir yang memenuhi kriteria. Hasil penelitian menunjukkan bahwa implementasi pendidikan inklusif di Indonesia sudah cukup berhasil di beberapa kota besar. Keberhasilan tersebut dikarenakan beberapa faktor pendukung seperti keberadaan pendidik khusus, manajemen kelas, dan kurikulum. Akan tetapi, masih banyak kota-kota kecil di Indonesia yang masih belum berhasil dikarenakan belum tersedianya fasilitas yang memadai dan minimnya informasi tentang sistem pendidikan inklusif. Pemerintah seharusnya tidak hanya memperhatikan kota-kota besar saja tetapi juga memperhatikan masalah implementasi pendidikan inklusif di kota-kota kecil dan mempermudah melihat data jumlah siswa penyandang disabilitas setiap tahunnya.","container-title":"Jurnal Public Policy","DOI":"10.35308/jpp.v8i4.5420","ISSN":"2502-0528","issue":"4","language":"en","license":"Copyright (c) 2022 Zola Permata Sari, Riska Sarofah, Yusuf Fadli","note":"number: 4","page":"264-269","source":"jurnal.utu.ac.id","title":"The Implementation of Inclusive Education in Indonesia: Challenges and Achievements","title-short":"The Implementation of Inclusive Education in Indonesia","volume":"8","author":[{"family":"Sari","given":"Zola Permata"},{"family":"Sarofah","given":"Riska"},{"family":"Fadli","given":"Yusuf"}],"issued":{"date-parts":[["2022",10,30]]}}}],"schema":"https://github.com/citation-style-language/schema/raw/master/csl-citation.json"}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(Z. P. Sari et al., 2022)</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w:t>
      </w:r>
      <w:commentRangeStart w:id="3"/>
      <w:r w:rsidRPr="0083227B">
        <w:rPr>
          <w:rFonts w:ascii="Calibri Light" w:hAnsi="Calibri Light" w:cs="Calibri Light"/>
          <w:sz w:val="24"/>
          <w:szCs w:val="24"/>
        </w:rPr>
        <w:t xml:space="preserve">however, in written data </w:t>
      </w:r>
      <w:commentRangeEnd w:id="3"/>
      <w:r w:rsidR="00CB6126">
        <w:rPr>
          <w:rStyle w:val="CommentReference"/>
        </w:rPr>
        <w:commentReference w:id="3"/>
      </w:r>
      <w:r w:rsidRPr="0083227B">
        <w:rPr>
          <w:rFonts w:ascii="Calibri Light" w:hAnsi="Calibri Light" w:cs="Calibri Light"/>
          <w:sz w:val="24"/>
          <w:szCs w:val="24"/>
        </w:rPr>
        <w:t xml:space="preserve">about how the commitment of the Indonesian state is present with various policies regulated in regulations. First, Law 20 of 2003 discusses the education system without discrimination and inclusive education services for children with special needs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{"citationID":"kUvaJqUt","properties":{"formattedCitation":"(Irawati &amp; Susetyo, 2017; Khunaifi &amp; Matlani, 2019b)","plainCitation":"(Irawati &amp; Susetyo, 2017; Khunaifi &amp; Matlani, 2019b)","noteIndex":0},"citationItems":[{"id":44415,"uris":["http://zotero.org/users/7621732/items/9JUDI3G3"],"itemData":{"id":44415,"type":"article-journal","abstract":"Pemerintah dan Pemerintah Daerah wajib menjamin tersedianya dana guna terselenggaranya pendidikan bagi setiap warga negara yang berusia tujuh sampai lima belas tahun sesuai Undang-Undang Nomor 20 Tahun 2003 tentang Sistem Pendidikan Nasional. Implementasi dari substansi hukum tersebut urgen diteliti mengingat pendidikan sebagai penentu kualitas sumber daya manusia. Penelitian hukum empiris di Kota Blitar menunjukkan bahwa Pemerintah Kota Blitar dalam kerangka sistem pendidikan nasional, memberlakukan kebijakan APBD Pro Rakyat dengan pendidikan gratis untuk semua jenjang pendidikan di Kota Blitar, dilengkapi penyediaan fasilitas gratis atas sepatu, seragam, buku, alat tulis, bus sekolah, tas, tablet, SPP, uang gedung, uang saku, dan sepeda gratis. Kebijakan pendidikan APBD Pro Rakyat ini, mengalami sejumlah hambatan dari keluarga anak usia sekolah, kekurang memadainya kemampuan pemerintah dalam mengalokasikan anggaran Program Pendidikan Gratis, ketidakmerataan penyebaran lembaga sekolah, dan adanya perusahaaan yang mempekerjaan anak sekolah menengah pertama.","container-title":"Jurnal Supremasi","DOI":"10.35457/supremasi.v7i1.374","ISSN":"2527-3353","issue":"1","language":"en","license":"Copyright (c) 2018 JURNAL SUPREMASI","page":"32-43","source":"ejournal.unisbablitar.ac.id","title":"Implementasi Undang-Undang Nomor 20 Tahun 2003 Tentang Sistem Pendidikan Nasional Di Blitar","volume":"7","author":[{"family":"Irawati","given":"Eni"},{"family":"Susetyo","given":"Weppy"}],"issued":{"date-parts":[["2017",3,10]]}}},{"id":44413,"uris":["http://zotero.org/users/7621732/items/HPESNRF3"],"itemData":{"id":44413,"type":"article-journal","abstract":"AbstrakPendidikan dalam suatu Negara merupakan salah satu bagian terpenting yang selalu mendapatkan perhatian yang cukup serius, pendidikan di indonesia dari waktu kewaktu  mengalami perubahan dan peningkatan secara segnifikan, segala bentuk kebijakan pendidikan akan tertuang dalam sistem pendidikan Nasional, kebijakan tersebut tidak lain merupakan hasil pemikiran dari para tokoh pendidikan dengan tujuan bagaimana sistem pendidikan nasional mampu menyatukan sebuah konsep terhadap kebutuhan masyarakat, maka pendidikan nasional secara kolektif harus mampu melakukan perubahan dengan mewujudkan bangsa yang cerdas dan bermartabat dengan berkemampuan yang luas, spiritual yang tinggi serta mempunyai akhlak yang mulia.Salah satu kebijakan pemerintah yang mendapat kritik dan penolakan oleh elemen masyarakat dan para elit pendidikan adalah UU Sisdiknas tahun 2003 yang memuat tentang sistem pendidikan Nasional, pemerintah pada saat penetapkan undang-undang nomor 20 tahun 2003 dengan serta merta tanpa mengkaji secara mendalam dengan berbagai pertimbangan, sehingga diskriminasi terhadap bangsa indonesia kerap terjadi. Indonesia memiliki asas keadilan yang  hal tersebut harus diperhatikan oleh seluruh pihak pemerintah sebagai pemimpin bangsa, namun dalam muatan UU nomor 20 tahun 2003 terdapat beberapa hal yang tidak sesuai dengan realitas dan merugikan ke satu pihak.  Maka dengan demikian undang-undang Sisdiknas sebagai hasil pemikiran yang di tetapkan sebagai kebijakan pemerintah yang akan mengatur tertang sistem pendidikan nasional di harapkan mampu menyatu dengan masyarakat dan mempunyai prinsip keadilan tanpa diskriminasi.Kata kunci:  Undang-Undang Sisdiknas Nomor 20 Tahun 2003 AbstractEducation in a country is one of the most important parts that always get quite serious attention, education in Indonesia from time to time changes and increases significantly, all forms of education policy will be contained in the National education system, the policy is nothing but the result of the thoughts of the education leaders with the aim of how the national education system is able to unite a concept of the needs of the community, then the national education as a collective must be able to make changes by creating an intelligent and dignified nation with broad, high spiritual abilities and noble character.One of the government policies that have been criticized and rejected by elements of the community and the education elite is the 2003 National Education System Law which contains the National Education System, the government at the time of enacting Law number 20 of 2003, without necessarily reviewing it in depth with a variety of considerations, so that discrimination against the Indonesian nation often occurs. Indonesia has the principle of justice which must be considered by all government parties as the nation's leader, but in the content of Law number 20 of 2003 there are several things that are not in accordance with reality and are detrimental to one party. Therefore the National Education System Law as a result of thought is determined as a government policy that will regulate the national education system. It is expected to be able to unite with the community and have the principle of justice without discrimination.Keywords:   Undang-Undang Sisdiknas Nomor 20 Tahun 2003","container-title":"Jurnal Ilmiah Iqra'","DOI":"10.30984/jii.v13i2.972","ISSN":"2541-2108","issue":"2","language":"en; ina.","license":"Copyright (c) 2019 Jurnal Ilmiah Iqra'","note":"number: 2","page":"81-102","source":"journal.iain-manado.ac.id","title":"Analisis Kritis Undang-Undang Sisdiknas Nomor 20 Tahun 2003","volume":"13","author":[{"family":"Khunaifi","given":"Aan Yusuf"},{"family":"Matlani","given":"Matlani"}],"issued":{"date-parts":[["2019",10,21]]}}}],"schema":"https://github.com/citation-style-language/schema/raw/master/csl-citation.json"}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(Irawati &amp; Susetyo, 2017; Khunaifi &amp; Matlani, 2019b)</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Second, Law 8 of 2016, which discusses the rights of people with disabilities to receive proper education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{"citationID":"GsgWGcxx","properties":{"formattedCitation":"(Ediyanto et al., 2017)","plainCitation":"(Ediyanto et al., 2017)","noteIndex":0},"citationItems":[{"id":44424,"uris":["http://zotero.org/users/7621732/items/E2IX9YZR"],"itemData":{"id":44424,"type":"article-journal","abstract":"Since 2009, Indonesia has an excellent commitment and effort in the field of inclusive education. The government provides equal opportunities in education. Through Centre for Development and Empowerment of Teachers and Education Personnel of Kindergartens and Special Education (PPPPTK TK &amp;amp; PLB), the government provides training and services to teachers in the field of inclusive education and special education. The teacher trainers in PPPPTK TK &amp;amp; PLB are called WidyaIswara. The purpose of this study is to know the implementation of inclusive education in Indonesia from the perspective of WidyaIswara of PPPPTK TK &amp;amp; PLB. The research used qualitative method. This research was conducted on March 2nd, 2017 in PPPPTK TK &amp;amp; PLB located in Bandung, Indonesia. Data were collected using a questionnaire in the interview related to perceptions about special and inclusive education. The interview process used the instrument in interview form to experts that called WidyaIswara with closed-ended questions. A total of 3 Expert in Inclusive Education in PPPPTK participated in this activity. From the findings and discussion of the research, explained about WidyaIswara's perception about: 1) Awareness of students to go to school, 2) Grouping of students with special needs in special and general schools, 3) Distribution of Special Schools in Indonesia, 4) Supporting educational facilities and infrastructure in special and inclusive schools, 5) Teacher in special and inclusive Schools, 6) Learning Activities, 7) Children with special needs after graduation at a level of education, and 8) Government efforts.","container-title":"Indonesian Journal of Disability Studies","DOI":"10.21776/ub.ijds.2017.4.2.3","ISSN":"2654-4148","issue":"2","language":"en","page":"104-116","source":"ijds.ub.ac.id","title":"Inclusive Education in Indonesia from The Perspective of Widyaiswara in Center for Development and Empowerment of Teachers and Education Personnel of Kindergartens and Special Education","volume":"4","author":[{"family":"Ediyanto","given":"Ediyanto"},{"family":"Atika","given":"Iva Nandya"},{"family":"Kawai","given":"Norimune"},{"family":"Prabowo","given":"Edy"}],"issued":{"date-parts":[["2017",12,5]]}}}],"schema":"https://github.com/citation-style-language/schema/raw/master/csl-citation.json"}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(Ediyanto et al., 2017)</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and third, Education Regulation 70 of 2009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{"citationID":"VL9GvWkA","properties":{"formattedCitation":"(Mulyadi, 2017)","plainCitation":"(Mulyadi, 2017)","noteIndex":0},"citationItems":[{"id":44422,"uris":["http://zotero.org/users/7621732/items/CPUF6A5Q"],"itemData":{"id":44422,"type":"article-journal","abstract":"The purpose of this article is to discuss the basic and essential contents of the policy of inclusive education in Indonesia. Inclusive education is the recent worldwide agenda for educational reform toward the no-discrimination in education. Regardless of any condition and circumstances, it is guaranteed that every child has the right for education, as it is also clearly highlighted in the global program of Education for All (EFA). This paper is a content and analytic review on the national policy of inclusive education towards the education for all in Indonesia, i.e the Regulation of National Ministry of Education (PERMENDIKNAS) Number 70 Year 2009. Number of schools implementing the inclusive education policy has significantly increased, supported also by the province and district related regulations. However, the context of the policy of inclusive education as the major guideline for the policy implementation lead to various and even narrowed perspective on the concept of inclusion. Inclusive education is still discussed more in term of learners with disabilities only. Much progress has been made, yet it is still much left to be accomplished to achieve the fundamental and universal rights on education to all society.","container-title":"Policy &amp; Governance Review","DOI":"10.30589/pgr.v1i3.57","ISSN":"2580-4820","issue":"3","language":"en","license":"Copyright (c) 2017","note":"number: 3","page":"201-212","source":"www.journal.iapa.or.id","title":"Policy of Inclusive Education for Education for All in Indonesia","volume":"1","author":[{"family":"Mulyadi","given":"Asal Wahyuni Erlin"}],"issued":{"date-parts":[["2017",9,30]]}}}],"schema":"https://github.com/citation-style-language/schema/raw/master/csl-citation.json"}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(Mulyadi, 2017)</w:t>
      </w:r>
      <w:r w:rsidRPr="0083227B">
        <w:rPr>
          <w:rFonts w:ascii="Calibri Light" w:hAnsi="Calibri Light" w:cs="Calibri Light"/>
          <w:sz w:val="24"/>
          <w:szCs w:val="24"/>
        </w:rPr>
        <w:fldChar w:fldCharType="end"/>
      </w:r>
      <w:r w:rsidRPr="0083227B">
        <w:rPr>
          <w:rFonts w:ascii="Calibri Light" w:hAnsi="Calibri Light" w:cs="Calibri Light"/>
          <w:sz w:val="24"/>
          <w:szCs w:val="24"/>
        </w:rPr>
        <w:t>, which states that schools are obliged to accept children with special needs without discrimination.</w:t>
      </w:r>
    </w:p>
    <w:p w14:paraId="766DC210" w14:textId="77777777" w:rsidR="00FF5E2A" w:rsidRPr="0083227B" w:rsidRDefault="00FF5E2A" w:rsidP="00FF5E2A">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 xml:space="preserve">The many findings of research results that examine various inclusive education policies and their implementation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{"citationID":"uKm0uCt7","properties":{"formattedCitation":"(Sulasmi &amp; Akrim, 2022)","plainCitation":"(Sulasmi &amp; Akrim, 2022)","noteIndex":0},"citationItems":[{"id":44385,"uris":["http://zotero.org/users/7621732/items/E35ZASWP"],"itemData":{"id":44385,"type":"article-journal","container-title":"Talent Development &amp; Excellence","issue":"1","page":"334-342","source":"Google Scholar","title":"Management construction of inclusion education in primary school","volume":"12","author":[{"family":"Sulasmi","given":"Emilda"},{"family":"Akrim","given":"A"}],"issued":{"date-parts":[["2022"]]}}}],"schema":"https://github.com/citation-style-language/schema/raw/master/csl-citation.json"}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(Sulasmi &amp; Akrim, 2022)</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are an effort to achieve equal education without discrimination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{"citationID":"BeiiX4IH","properties":{"formattedCitation":"(Panda et al., 2023)","plainCitation":"(Panda et al., 2023)","noteIndex":0},"citationItems":[{"id":44433,"uris":["http://zotero.org/users/7621732/items/5ESTVLGL"],"itemData":{"id":44433,"type":"article-journal","abstract":"From broader perspective, Inclusive education is an educational model based on universal inclusion of all types of students irrespective of socio-cultural and physiological disadvantages in the same classroom setting. With reference to educational inclusion of physiologically and psychologically disadvantage children, though academic and research world have considered this model as appropriate one and accordingly policy framers have progressed much but It's successful implementation is not barriers free. In research literature though good number of studies have highlighted macro level problems like low funding, inappropriate curricular integration process etc but number of grass root level problems also negatively contribute for successful implementation of this design. In this review paper attempt has made to explore multiple types of problems associated with teachers, institutions and parents in the inclusive educational settings. Finally, a conceptual model has been proposed where broadly all these problems have been categories as structural and psychological.","container-title":"International Journal of Humanities and Social Science","journalAbbreviation":"International Journal of Humanities and Social Science","page":"84-103","source":"ResearchGate","title":"Inclusion of Disabled Children in Normal School: Institution Centric Challenges","title-short":"Inclusion of Disabled Children in Normal School","volume":"4","author":[{"family":"Panda","given":"Omkarshri"},{"family":"Mallik","given":"Partha"},{"family":"Sahoo","given":"Suruchi"}],"issued":{"date-parts":[["2023",2,2]]}}}],"schema":"https://github.com/citation-style-language/schema/raw/master/csl-citation.json"}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(Panda et al., 2023)</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In line with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{"citationID":"C0tDLgxx","properties":{"formattedCitation":"(Notoprayitno, 2019)","plainCitation":"(Notoprayitno, 2019)","dontUpdate":true,"noteIndex":0},"citationItems":[{"id":44098,"uris":["http://zotero.org/users/7621732/items/VDSI5FEN"],"itemData":{"id":44098,"type":"article-journal","container-title":"Padjadjaran Jurnal Ilmu Hukum","DOI":"10.22304/pjih.v6n3.a9","ISSN":"2460-1543","issue":"3","page":"594-616","title":"The Rule of Law for the Right to Inclusive Education in Indonesia","volume":"6","author":[{"family":"Notoprayitno","given":"M.I."}],"issued":{"date-parts":[["2019"]]}}}],"schema":"https://github.com/citation-style-language/schema/raw/master/csl-citation.json"}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Notoprayitno, (2019)</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who said that the Indonesian government has a clear mission in equalizing, respecting and fulfilling the rights of children with special needs (inclusive education) through laws, education regulations and implicitly, there can be regional regulations. This is in line with </w:t>
      </w:r>
      <w:proofErr w:type="spellStart"/>
      <w:r w:rsidRPr="0083227B">
        <w:rPr>
          <w:rFonts w:ascii="Calibri Light" w:hAnsi="Calibri Light" w:cs="Calibri Light"/>
          <w:sz w:val="24"/>
          <w:szCs w:val="24"/>
        </w:rPr>
        <w:t>Emiliyana</w:t>
      </w:r>
      <w:proofErr w:type="spellEnd"/>
      <w:r w:rsidRPr="0083227B">
        <w:rPr>
          <w:rFonts w:ascii="Calibri Light" w:hAnsi="Calibri Light" w:cs="Calibri Light"/>
          <w:sz w:val="24"/>
          <w:szCs w:val="24"/>
        </w:rPr>
        <w:t xml:space="preserve"> et al., who revealed the existence of state regulations on inclusive education synchronized through regent regulation no. 40 of 2017 concerning the certainty of equal services for all students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{"citationID":"YOVNtOBh","properties":{"formattedCitation":"(Emilyana et al., 2024)","plainCitation":"(Emilyana et al., 2024)","noteIndex":0},"citationItems":[{"id":44437,"uris":["http://zotero.org/users/7621732/items/86PGPH44"],"itemData":{"id":44437,"type":"article-journal","container-title":"Jurnal Syntax Admiration","issue":"1","page":"82–90","source":"Google Scholar","title":"Policy Evaluation of Inclusive Education Implementation at SD Negeri Murung Sari 5 Amuntai, Hulu Sungai Utara Regency, South Kalimantan Province","volume":"5","author":[{"family":"Emilyana","given":"Rina"},{"family":"Sukristyanto","given":"Agus"},{"family":"Widodo","given":"Joko"}],"issued":{"date-parts":[["2024"]]}}}],"schema":"https://github.com/citation-style-language/schema/raw/master/csl-citation.json"}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(Emilyana et al., 2024)</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without exception for children with special needs; thus, children will get justice, build self-confidence and make children develop more by adapting to differences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{"citationID":"kPVEQpjW","properties":{"formattedCitation":"(Nisak, 2018)","plainCitation":"(Nisak, 2018)","noteIndex":0},"citationItems":[{"id":44441,"uris":["http://zotero.org/users/7621732/items/ZN2S34NN"],"itemData":{"id":44441,"type":"article-journal","container-title":"Primary Education Journal (PEJ)","issue":"1","page":"98–107","source":"Google Scholar","title":"Analisis Kebijakan Pendidikan Inklusif di Indonesia","volume":"2","author":[{"family":"Nisak","given":"Zeni Hafidhotun"}],"issued":{"date-parts":[["2018"]]}}}],"schema":"https://github.com/citation-style-language/schema/raw/master/csl-citation.json"}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(Nisak, 2018)</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In line with </w:t>
      </w:r>
      <w:proofErr w:type="spellStart"/>
      <w:r w:rsidRPr="0083227B">
        <w:rPr>
          <w:rFonts w:ascii="Calibri Light" w:hAnsi="Calibri Light" w:cs="Calibri Light"/>
          <w:sz w:val="24"/>
          <w:szCs w:val="24"/>
        </w:rPr>
        <w:t>Dewantara</w:t>
      </w:r>
      <w:proofErr w:type="spellEnd"/>
      <w:r w:rsidRPr="0083227B">
        <w:rPr>
          <w:rFonts w:ascii="Calibri Light" w:hAnsi="Calibri Light" w:cs="Calibri Light"/>
          <w:sz w:val="24"/>
          <w:szCs w:val="24"/>
        </w:rPr>
        <w:t xml:space="preserve"> et al., the government's policy on inclusive education is very noble because it can be implemented since early childhood so that it can minimize limitations in children's growth and development and provide space to participate in normal activities with other children, at least preventing the condition from getting worse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{"citationID":"5VtcABwi","properties":{"formattedCitation":"(Dewantara &amp; Kusumastuti, 2020; Fasha &amp; Widowati, 2017; A. Saputra, 2016)","plainCitation":"(Dewantara &amp; Kusumastuti, 2020; Fasha &amp; Widowati, 2017; A. Saputra, 2016)","noteIndex":0},"citationItems":[{"id":44426,"uris":["http://zotero.org/users/7621732/items/ZRJC2QQ5"],"itemData":{"id":44426,"type":"article-journal","abstract":"Abstract: This study aims to evaluate the implementation of inclusive education programs. The method used is a qualitative analysis that is describing and interpreting data from each component evaluated using the CIPP evaluation model (Context, Input, Process, Product). Data sources in this study include the principal, principal teacher, special assistant teacher (GPK), school committee, parents of students and special needs students. Data collection is done by interview, observation, a document study, and documentation. The findings in the context component show that the legal basis for implementing inclusive education is by the prevailing Education System Law in Indonesia. The objectives of inclusive education are by the established formula. The findings of the input component show that there are quite a several ABK inputs in school with a variety of types of disability by the Inclusive Education Law. However, the SDM component especially GPK and infrastructure still need attention to improve and complete it. The findings of the process component show that the process of student acceptance, teaching and learning activities and student assessment have adjusted to the applicable regulations. But there are still students who are not supposed to go to an inclusive school to study at the school. The findings of the product component indicate that there are achievements achieved by inclusive students and the positive impact of implementing inclusive education. This research provides recommendations for the government and schools implementing inclusive education to continue implementing the program and continue to communicate and collaborate with institutions and several related parties in carrying out inclusive education programs to be more optimal.Key Words: Program Evaluation, Inclusive Education, CIPP Model Abstrak: Penelitian ini bertujuan untuk mengevaluasi implementasi program pendidikan inklusif. Metode yang digunakan adalah analisis kualitatif yaitu mendeskripsikan dan memaknai data dari masing-masing komponen yang dievaluasi dengan menggunakan model evaluasi CIPP (Context, Input, Process, Product). Sumber data dalam penelitian ini meliputi kepala sekolah, guru utama, guru pendamping khusus (GPK), komite sekolah, orang tua/wali murid dan siswa ABK. Pengumpulan data dilakukan dengan wawancara, observasi, studi dokumen dan dokumentasi. Hasil temuan pada komponen konteks menunjukkan bahwa landasan hukum penyelenggaraan pendidikan inklusif sudah sesuai dengan Undang-Undang Sistem Pendidikan yang berlaku di Indonesia. Tujuan pendidikan inklusif sudah sesuai dengan rumusan yang telah ditetapkan. Hasil temuan komponen input menunjukkan input ABK yang bersekolah jumlahnya cukup banyak dengan berbagai jenis ketunaannya sesuai yang tercantum pada Undang-Undang Pendidikan Inklusif. Namun pada komponen SDM terutama GPK dan sarana prasarana masih memerlukan perhatian untuk meningkatkan dan melengkapinya. Hasil temuan komponen proses menunjukkan proses penerimaan siswa, kegiatan belajar mengajar dan penilaian siswa telah menyesuaikan dengan peraturan-peraturan yang berlaku. Namun masih ada siswa yang tidak seharusnya masuk di sekolah inklusif menempuh pendidikan di sekolah tersebut. Hasil temuan komponen produk menunjukkan terdapat prestasi yang berhasil diraih oleh siswa inklusif dan dampak positif dari pelaksanaan pendidikan inklusif. Penelitian ini memberikan rekomendasi untuk pemerintah dan pihak sekolah penyelenggara pendidikan inklusif agar tetap melaksanakan program tersebut dan terus berkomunikasi serta berkolaborasi dengan lembaga dan beberapa pihak terkait dalam menjalankan program pendidikan inklusif agar lebih optimal.Kata Kunci: Evaluasi Program, Pendidikan Inklusif, Model CIPP","container-title":"Jurnal Kebijakan dan Pengembangan Pendidikan","DOI":"10.22219/jkpp.v8i1.12066","ISSN":"2337-7615","issue":"1","language":"en","license":"Copyright (c) 2020 Yusuf Juniar Dewantara, Frida Kusumastuti","note":"number: 1","source":"ejournal.umm.ac.id","title":"Evaluasi Kebijakan Program Pendidikan Inklusif Di SDN Betet 1 Kota Kediri","URL":"https://ejournal.umm.ac.id/index.php/jkpp/article/view/12066","volume":"8","author":[{"family":"Dewantara","given":"Yusuf Juniar"},{"family":"Kusumastuti","given":"Frida"}],"accessed":{"date-parts":[["2025",3,1]]},"issued":{"date-parts":[["2020",5,4]]}}},{"id":44447,"uris":["http://zotero.org/users/7621732/items/Q69J946K"],"itemData":{"id":44447,"type":"article-journal","container-title":"Journal of Public Policy and Management Review","issue":"4","page":"300–311","source":"Google Scholar","title":"Evaluasi Kebijakan Penyelenggaraan Pendidikan Inklusif Tingkat Sekolah Dasar di Kecamatan Koja Jakarta Utara (Studi pada Sdn Tugu Utara 11)","volume":"6","author":[{"family":"Fasha","given":"Azizah Febrianti"},{"family":"Widowati","given":"Nina"}],"issued":{"date-parts":[["2017"]]}}},{"id":44442,"uris":["http://zotero.org/users/7621732/items/GF43X8GY"],"itemData":{"id":44442,"type":"article-journal","container-title":"Golden Age: Jurnal Ilmiah Tumbuh Kembang Anak Usia Dini","issue":"3","page":"1–15","source":"Google Scholar","title":"Kebijakan pemerintah terhadap pendidikan inklusif","volume":"1","author":[{"family":"Saputra","given":"Angga"}],"issued":{"date-parts":[["2016"]]}}}],"schema":"https://github.com/citation-style-language/schema/raw/master/csl-citation.json"}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(Dewantara &amp; Kusumastuti, 2020; Fasha &amp; Widowati, 2017; A. Saputra, 2016)</w:t>
      </w:r>
      <w:r w:rsidRPr="0083227B">
        <w:rPr>
          <w:rFonts w:ascii="Calibri Light" w:hAnsi="Calibri Light" w:cs="Calibri Light"/>
          <w:sz w:val="24"/>
          <w:szCs w:val="24"/>
        </w:rPr>
        <w:fldChar w:fldCharType="end"/>
      </w:r>
      <w:r w:rsidRPr="0083227B">
        <w:rPr>
          <w:rFonts w:ascii="Calibri Light" w:hAnsi="Calibri Light" w:cs="Calibri Light"/>
          <w:sz w:val="24"/>
          <w:szCs w:val="24"/>
        </w:rPr>
        <w:t>.</w:t>
      </w:r>
    </w:p>
    <w:p w14:paraId="6BBACBB5" w14:textId="77777777" w:rsidR="00FF5E2A" w:rsidRPr="0083227B" w:rsidRDefault="00FF5E2A" w:rsidP="00003189">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 xml:space="preserve">The importance of government policy as a basis for the implementation of inclusive education in schools has also been conveyed in several parts of the world, such as the enactment of special laws on inclusive education in Finland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{"citationID":"HsK6kqOM","properties":{"formattedCitation":"(Saloviita, 2020)","plainCitation":"(Saloviita, 2020)","noteIndex":0},"citationItems":[{"id":44463,"uris":["http://zotero.org/users/7621732/items/SZ8FLG2K"],"itemData":{"id":44463,"type":"article-journal","abstract":"Positive teacher attitudes are essential for success when children with special educational needs (SEN) are placed into mainstream classrooms. The present study surveyed teachers’ attitudes towards inclusion by using a large national sample and Teachers’ Attitudes towards Inclusion Scale (TAIS). A total of 1,764 Finnish basic-school teachers participated in the e-mail survey. They included 824 classroom teachers, 575 subject teachers and 365 special-education teachers. The classroom teachers scored below and the subject teachers significantly below, the neutral midpoint of the scale. The special-education teachers’ mean scores were above the midpoint. About 20% of teachers were strong opponents of inclusion, and 8% were strong advocates. The attitudes towards inclusion had only weak associations with variables other than the teacher category. Teachers’ work orientation and self-efficacy had low associations with their attitudes towards inclusion. The results illustrate the attitudinal climate of teachers towards inclusion and indicate the existing potential for policy change.","container-title":"Scandinavian Journal of Educational Research","DOI":"10.1080/00313831.2018.1541819","ISSN":"0031-3831","issue":"2","note":"publisher: Routledge\n_eprint: https://doi.org/10.1080/00313831.2018.1541819","page":"270-282","source":"Taylor and Francis+NEJM","title":"Attitudes of Teachers Towards Inclusive Education in Finland","volume":"64","author":[{"family":"Saloviita","given":"Timo"}],"issued":{"date-parts":[["2020",2,23]]}}}],"schema":"https://github.com/citation-style-language/schema/raw/master/csl-citation.json"}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(Saloviita, 2020)</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Ireland, Austria, Spain and the Czech Republic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{"citationID":"i5Z5Rpga","properties":{"formattedCitation":"(Smyth et al., 2014)","plainCitation":"(Smyth et al., 2014)","noteIndex":0},"citationItems":[{"id":44451,"uris":["http://zotero.org/users/7621732/items/RAQVGBCS"],"itemData":{"id":44451,"type":"article-journal","abstract":"This paper seeks to compare the evolution of inclusive education policy in the four countries of an EU-funded research project (QualiTYDES) operating under the shared policy environment of the UN, EU and European Commission. A shared policy cannot of course be assumed to result in common legislative or provisional outcomes at national level. The different sociocultural, political, historical and economic contexts in each country shape its journey towards ‘compliance’ with an international convention (both pre- and post-ratification), and neither the route nor the destination can be assumed to be shared, given the scope for different interpretations of the same texts. This paper places the implementation trajectories of four European countries side by side as they attempt to move towards ‘inclusive’ education systems. Following a brief overview of the international education policy environment relating to the education of people with disabilities, we describe the national education policy responses in Ireland, Austria, Spain and Czech Republic in recent decades, including both legislation pertaining to special educational need and implementation of policies in practice. The comparison highlights the different manifestations of inclusive education current in each country, and also explores the challenges which have arisen as individual countries attempt to align international policy with provision in existing education systems, each with their own legacy interests, pressures and priorities. Examples of ‘gaps’ in this alignment are where learners with disabilities/SEN are likely to be failed, and represent the critical points at which barriers to fully inclusive education arise and negatively impact opportunity over the life course.","container-title":"European Journal of Special Needs Education","DOI":"10.1080/08856257.2014.922797","ISSN":"0885-6257","issue":"4","note":"publisher: Routledge\n_eprint: https://doi.org/10.1080/08856257.2014.922797","page":"433-445","source":"Taylor and Francis+NEJM","title":"Inclusive education in progress: policy evolution in four European countries","title-short":"Inclusive education in progress","volume":"29","author":[{"family":"Smyth","given":"Fiona"},{"family":"Shevlin","given":"Michael"},{"family":"Buchner","given":"Tobias"},{"family":"Biewer","given":"Gottfried"},{"family":"Flynn","given":"Paula"},{"family":"Latimier","given":"Camille"},{"family":"Šiška","given":"Jan"},{"family":"Toboso-Martín","given":"Mario"},{"family":"Rodríguez Díaz","given":"Susana"},{"family":"Ferreira","given":"Miguel A.V."}],"issued":{"date-parts":[["2014",10,2]]}}}],"schema":"https://github.com/citation-style-language/schema/raw/master/csl-citation.json"}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(Smyth et al., 2014)</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Sub-Saharan Africa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{"citationID":"hCdbMfHR","properties":{"formattedCitation":"(Charema, 2010)","plainCitation":"(Charema, 2010)","noteIndex":0},"citationItems":[{"id":44459,"uris":["http://zotero.org/users/7621732/items/5ZPXGR74"],"itemData":{"id":44459,"type":"article-journal","abstract":"The various policy documents that have emerged over time stressed the principles of human rights, social justice, quality education for all, the right to a basic education; equality of opportunity, and re-address of past educational inequalities. This paper gives the background of inclusion and further tries to motivate and suggest how developing countries can move from theory to practice. It looks at inclusive education and its demands, the position of regular schools, a discussion on constraints experienced by developing countries in relation to the demands of inclusion, implications for integration and special schools as well as teacher training.","container-title":"International Journal of Special Education","ISSN":"ISSN-0827-3383","issue":"1","language":"en","note":"publisher: International Journal of Special Education. 2889 Highbury Street, Vancouver, BC V6R 3T7, Canada. Web site: http://www.internationaljournalofspecialeducation.com","page":"87-93","source":"eric.ed.gov","title":"Inclusive Education in Developing Countries in the Sub Saharan Africa: From Theory to Practice.","title-short":"Inclusive Education in Developing Countries in the Sub Saharan Africa","volume":"25","author":[{"family":"Charema","given":"John"}],"issued":{"date-parts":[["2010"]]}}}],"schema":"https://github.com/citation-style-language/schema/raw/master/csl-citation.json"}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(Charema, 2010)</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and Latin America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{"citationID":"97cFhNF0","properties":{"formattedCitation":"(Her &amp; Iles, 2005)","plainCitation":"(Her &amp; Iles, 2005)","noteIndex":0},"citationItems":[{"id":44462,"uris":["http://zotero.org/users/7621732/items/VFZRRNLH"],"itemData":{"id":44462,"type":"chapter","abstract":"In this chapter, we discuss inclusive education in Latin America in the\ncontext of global educational reform initiatives, specifically, the growing\ncommitment","container-title":"Contextualizing Inclusive Education","event-place":"London","ISBN":"978-0-203-60680-3","note":"number-of-pages: 28","publisher":"Routledge","publisher-place":"London","title":"Inclusive Education and Equity in Latin America","author":[{"family":"Her","given":"Todd Fle Tc"},{"family":"Iles","given":"Alfredo J. a Rt"}],"issued":{"date-parts":[["2005"]]}}}],"schema":"https://github.com/citation-style-language/schema/raw/master/csl-citation.json"}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(Her &amp; Iles, 2005)</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In line with Batista et al., Brazil's commitment to inclusive education also emerged from government laws derived from policies and schools as organizing entities must ensure full compliance with policies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{"citationID":"LYU75Tgk","properties":{"formattedCitation":"(Batista et al., 2024)","plainCitation":"(Batista et al., 2024)","noteIndex":0},"citationItems":[{"id":44111,"uris":["http://zotero.org/users/7621732/items/P967E96Z"],"itemData":{"id":44111,"type":"article-journal","container-title":"Teoria E Pratica Em Administracao-Tpa","DOI":"10.22478/ufpb.2238-104X.2024v14n2.67318","ISSN":"2238-104X","issue":"2","title":"Discourse and Practice of Inclusion of People with Disabilities: analysis of a Brazilian case study","URL":"https://www.webofscience.com/api/gateway?GWVersion=2&amp;SrcApp=muhamadarif_07&amp;SrcAuth=WosAPI&amp;KeyUT=WOS:001314108000002&amp;DestLinkType=FullRecord&amp;DestApp=WOS_CPL","volume":"14","author":[{"family":"Batista","given":"Renata Cristina Gomes"},{"family":"Nunes","given":"Thiago Soares"},{"family":"Ferreira","given":"Claudia Aparecida Avelar"},{"family":"Nunes","given":"Simone Costa"}],"issued":{"date-parts":[["2024"]]}}}],"schema":"https://github.com/citation-style-language/schema/raw/master/csl-citation.json"}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(Batista et al., 2024)</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Similar practices also apply in Vietnam and Malaysia, which regulate inclusive education based on state laws as a result of international agreements. However, in practice, inclusive education in Vietnam is still separated at the preschool level, so inclusive education programs in Malaysia are much more running and developing in accordance with the law's mandate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{"citationID":"7ymHbIMr","properties":{"formattedCitation":"(Linh &amp; Azar, 2019)","plainCitation":"(Linh &amp; Azar, 2019)","noteIndex":0},"citationItems":[{"id":43544,"uris":["http://zotero.org/users/7621732/items/AMTCPGUC"],"itemData":{"id":43544,"type":"article-journal","abstract":"… children with special circumstances prescribed by Law Children, students with disabilities in accordance with the provisions of the Disability Law and other regulations law-related10. …","container-title":"Education Quarterly Reviews","issue":"3","note":"publisher: papers.ssrn.com","page":"539-550","title":"A comparative study of the inclusive education policy in Vietnam and Malaysia: Proposed solutions for sustainable development education in Vietnam","volume":"2","author":[{"family":"Linh","given":"PHT"},{"family":"Azar","given":"AS"}],"issued":{"date-parts":[["2019"]]}}}],"schema":"https://github.com/citation-style-language/schema/raw/master/csl-citation.json"}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(Linh &amp; Azar, 2019)</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In addition, Myanmar also optimized inclusive education by updating the law in 2015 to improve the implementation of inclusive </w:t>
      </w:r>
      <w:r w:rsidRPr="0083227B">
        <w:rPr>
          <w:rFonts w:ascii="Calibri Light" w:hAnsi="Calibri Light" w:cs="Calibri Light"/>
          <w:sz w:val="24"/>
          <w:szCs w:val="24"/>
        </w:rPr>
        <w:lastRenderedPageBreak/>
        <w:t xml:space="preserve">education with professional facilities and teachers from primary, secondary and higher education levels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{"citationID":"Bo3wUAXZ","properties":{"formattedCitation":"(Oo &amp; Kawai, 2021)","plainCitation":"(Oo &amp; Kawai, 2021)","noteIndex":0},"citationItems":[{"id":44449,"uris":["http://zotero.org/users/7621732/items/V565ZIPH"],"itemData":{"id":44449,"type":"chapter","abstract":"Improvements in special education and the implementation of inclusive education are a significant focus in Myanmar. Legislation toward these goals was officially enacted in the National Education Law, which was amended in 2015. While the Ministry of Education has adopted a policy of inclusive education, which states that all students with disabilities could attend mainstream school classes, classroom settings are not adequately equipped to support students with disabilities. The Department of Social Welfare does not have an inclusive education program. The department's role is to support the training of schools as a part of special education for such students, providing primary special education via different teaching methods and appropriate therapies for students with disabilities. After students pass the primary education exam, they can join middle school, high school, and higher education levels of inclusive education, which run under the Ministry of Education. All special schools in Myanmar focus their different occupational therapies on enhancing students' physical and mental capabilities and collaborating with outside professionals in relevant areas. The Ministry of Education aims to develop the knowledge and skills of teacher educators and teachers, so they can effectively adopt more inclusive teaching practices. Currently, Myanmar's basic education reforms are being carried out through the National Education Strategic Plan (2016–2021). The ministry is currently working to implement a new 4-year pre-service degree program as well as the Basic Education School Quality Assurance Standards Framework. Such a movement to enhance the quality of teachers became a bridge to collaborate between inclusive and special education within two ministries.","archive_location":"world","container-title":"Instructional Collaboration in International Inclusive Education Contexts","ISBN":"978-1-83982-999-4","language":"en","note":"ISSN: 1479-3636\nDOI: 10.1108/S1479-363620210000017016","page":"167-183","publisher":"Emerald Publishing Limited","source":"www.emerald.com","title":"Collaborations to Promote Inclusive and Special Education in Myanmar","URL":"https://www.emerald.com/insight/content/doi/10.1108/s1479-363620210000017016/full/html","volume":"17","author":[{"family":"Oo","given":"Zun Wai"},{"family":"Kawai","given":"Norimune"}],"accessed":{"date-parts":[["2025",3,2]]},"issued":{"date-parts":[["2021",12,7]]}}}],"schema":"https://github.com/citation-style-language/schema/raw/master/csl-citation.json"}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(Oo &amp; Kawai, 2021)</w:t>
      </w:r>
      <w:r w:rsidRPr="0083227B">
        <w:rPr>
          <w:rFonts w:ascii="Calibri Light" w:hAnsi="Calibri Light" w:cs="Calibri Light"/>
          <w:sz w:val="24"/>
          <w:szCs w:val="24"/>
        </w:rPr>
        <w:fldChar w:fldCharType="end"/>
      </w:r>
      <w:r w:rsidRPr="0083227B">
        <w:rPr>
          <w:rFonts w:ascii="Calibri Light" w:hAnsi="Calibri Light" w:cs="Calibri Light"/>
          <w:sz w:val="24"/>
          <w:szCs w:val="24"/>
        </w:rPr>
        <w:t>.</w:t>
      </w:r>
    </w:p>
    <w:p w14:paraId="7825CE2B" w14:textId="77777777" w:rsidR="00FF5E2A" w:rsidRPr="0083227B" w:rsidRDefault="0083227B" w:rsidP="00003189">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Based on the findings of various policies from the law (laws) on Inclusive Education that are enforced at the global level, there are various challenges and opportunities in the implementation process, so researchers find a space to conduct in-depth research to examine the legal aspects and policies of Inclusive Education in Indonesia and other countries through a systematic literature review approach, researchers have two research questions, namely: how are the legal regulations governing Inclusive Education in Indonesia and other countries? What are the challenges of implementing Inclusive Education in Indonesia? Through two questions, an in-depth study of implementation challenges and comparisons of Inclusive education in other countries will be obtained.</w:t>
      </w:r>
    </w:p>
    <w:p w14:paraId="5D634BB8"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455CB4AD"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commentRangeStart w:id="4"/>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commentRangeEnd w:id="4"/>
      <w:r w:rsidR="00B333A7">
        <w:rPr>
          <w:rStyle w:val="CommentReference"/>
        </w:rPr>
        <w:commentReference w:id="4"/>
      </w:r>
    </w:p>
    <w:p w14:paraId="108C1ABB" w14:textId="77777777" w:rsidR="0083227B" w:rsidRDefault="0083227B" w:rsidP="008C3DC2">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The research method uses a systematic literature review through the collection of research data that has been published in the last ten years (2015-2025) in global publication databases</w:t>
      </w:r>
      <w:r w:rsidR="001D68BC">
        <w:rPr>
          <w:rFonts w:ascii="Calibri Light" w:hAnsi="Calibri Light" w:cs="Calibri Light"/>
          <w:sz w:val="24"/>
          <w:szCs w:val="24"/>
        </w:rPr>
        <w:t xml:space="preserve"> </w:t>
      </w:r>
      <w:r w:rsidR="001D68BC">
        <w:rPr>
          <w:rFonts w:ascii="Calibri Light" w:hAnsi="Calibri Light" w:cs="Calibri Light"/>
          <w:sz w:val="24"/>
          <w:szCs w:val="24"/>
        </w:rPr>
        <w:fldChar w:fldCharType="begin"/>
      </w:r>
      <w:r w:rsidR="001D68BC">
        <w:rPr>
          <w:rFonts w:ascii="Calibri Light" w:hAnsi="Calibri Light" w:cs="Calibri Light"/>
          <w:sz w:val="24"/>
          <w:szCs w:val="24"/>
        </w:rPr>
        <w:instrText xml:space="preserve"> ADDIN ZOTERO_ITEM CSL_CITATION {"citationID":"GN1XP3CH","properties":{"formattedCitation":"(Yusop et al., 2022)","plainCitation":"(Yusop et al., 2022)","noteIndex":0},"citationItems":[{"id":34160,"uris":["http://zotero.org/users/7621732/items/G2TDJBBZ"],"itemData":{"id":34160,"type":"article-journal","abstract":"Technical and vocational education and training (TVET) assessments give precise feedback on whether students have successfully attained learning outcomes. It can improve teaching quality and empower students, educators, and stakeholders to take action. Only a few studies have attempted to review the literature on this topic systematically. The PRISMA (preferred reporting items for systematic reviews and meta-analysis) criteria are used to guide this systematic review, which uses the following three key databases: Web of Science (WoS), Scopus, and Google Scholar. A thorough search of the electronic database utilising keywords and search strings yielded 78 publications published between 2015 and 2021, with 29 studies related to the topic highlighted. The Mixed Methods Appraisal Tool is used to evaluate all of the chosen articles (MMAT). The findings reveal that students’ learning outcomes are frequently examined utilising a competency-based assessment technique in TVET. Competence is used to assess students’ learning results, and it is advised that student competency development be prioritised.","container-title":"Sustainability","DOI":"10.3390/su14095225","ISSN":"2071-1050","issue":"9","language":"en","license":"http://creativecommons.org/licenses/by/3.0/","note":"number: 9\npublisher: Multidisciplinary Digital Publishing Institute","page":"5225","source":"www.mdpi.com","title":"An Assessment Approaches and Learning Outcomes in Technical and Vocational Education: A Systematic Review Using PRISMA","title-short":"An Assessment Approaches and Learning Outcomes in Technical and Vocational Education","volume":"14","author":[{"family":"Yusop","given":"Siti Raudhah M."},{"family":"Rasul","given":"Mohammad Sattar"},{"family":"Mohamad Yasin","given":"Ruhizan"},{"family":"Hashim","given":"Haida Umiera"},{"family":"Jalaludin","given":"Nur Atiqah"}],"issued":{"date-parts":[["2022",1]]}}}],"schema":"https://github.com/citation-style-language/schema/raw/master/csl-citation.json"} </w:instrText>
      </w:r>
      <w:r w:rsidR="001D68BC">
        <w:rPr>
          <w:rFonts w:ascii="Calibri Light" w:hAnsi="Calibri Light" w:cs="Calibri Light"/>
          <w:sz w:val="24"/>
          <w:szCs w:val="24"/>
        </w:rPr>
        <w:fldChar w:fldCharType="separate"/>
      </w:r>
      <w:r w:rsidR="001D68BC" w:rsidRPr="001D68BC">
        <w:rPr>
          <w:rFonts w:ascii="Calibri Light" w:hAnsi="Calibri Light" w:cs="Calibri Light"/>
          <w:sz w:val="24"/>
        </w:rPr>
        <w:t>(Yusop et al., 2022)</w:t>
      </w:r>
      <w:r w:rsidR="001D68BC">
        <w:rPr>
          <w:rFonts w:ascii="Calibri Light" w:hAnsi="Calibri Light" w:cs="Calibri Light"/>
          <w:sz w:val="24"/>
          <w:szCs w:val="24"/>
        </w:rPr>
        <w:fldChar w:fldCharType="end"/>
      </w:r>
      <w:r w:rsidRPr="0083227B">
        <w:rPr>
          <w:rFonts w:ascii="Calibri Light" w:hAnsi="Calibri Light" w:cs="Calibri Light"/>
          <w:sz w:val="24"/>
          <w:szCs w:val="24"/>
        </w:rPr>
        <w:t xml:space="preserve">, namely Scopus, WOS and Google Scholar; in the data search process, the researcher uses keywords that are by three research questions, namely how are the legal regulations governing inclusive education in Indonesia and other countries? and What are the challenges of implementing inclusive education in Indonesia?. Keywords used in English and Indonesian are "inclusive education policy" AND "law", and "inclusive education policy" AND "law" AND "Indonesia" in the publish or perish application version 8. The researcher </w:t>
      </w:r>
      <w:commentRangeStart w:id="5"/>
      <w:r w:rsidRPr="0083227B">
        <w:rPr>
          <w:rFonts w:ascii="Calibri Light" w:hAnsi="Calibri Light" w:cs="Calibri Light"/>
          <w:sz w:val="24"/>
          <w:szCs w:val="24"/>
        </w:rPr>
        <w:t>uses PRISMA analysis in data analysis, which includes three criteria: identification and valid fund screening for in-depth review</w:t>
      </w:r>
      <w:commentRangeEnd w:id="5"/>
      <w:r w:rsidR="00CB6126">
        <w:rPr>
          <w:rStyle w:val="CommentReference"/>
        </w:rPr>
        <w:commentReference w:id="5"/>
      </w:r>
      <w:r w:rsidRPr="0083227B">
        <w:rPr>
          <w:rFonts w:ascii="Calibri Light" w:hAnsi="Calibri Light" w:cs="Calibri Light"/>
          <w:sz w:val="24"/>
          <w:szCs w:val="24"/>
        </w:rPr>
        <w:t>.</w:t>
      </w:r>
    </w:p>
    <w:p w14:paraId="69EA2F27" w14:textId="77777777" w:rsidR="0083227B" w:rsidRPr="0083227B" w:rsidRDefault="0083227B" w:rsidP="0083227B">
      <w:pPr>
        <w:spacing w:before="120" w:after="120"/>
        <w:ind w:left="426"/>
        <w:jc w:val="both"/>
        <w:rPr>
          <w:rFonts w:ascii="Calibri Light" w:hAnsi="Calibri Light" w:cs="Calibri Light"/>
          <w:b/>
          <w:bCs/>
          <w:sz w:val="24"/>
          <w:szCs w:val="24"/>
        </w:rPr>
      </w:pPr>
      <w:r w:rsidRPr="0083227B">
        <w:rPr>
          <w:rFonts w:ascii="Calibri Light" w:hAnsi="Calibri Light" w:cs="Calibri Light"/>
          <w:b/>
          <w:bCs/>
          <w:sz w:val="24"/>
          <w:szCs w:val="24"/>
        </w:rPr>
        <w:t>Inclusion and exclusion</w:t>
      </w:r>
    </w:p>
    <w:p w14:paraId="581FE659" w14:textId="77777777" w:rsidR="0083227B" w:rsidRDefault="0083227B" w:rsidP="0083227B">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At this stage, the researcher applies inclusion and exclusion to avoid bias in searching and analyzing articles</w:t>
      </w:r>
      <w:r w:rsidR="001D68BC">
        <w:rPr>
          <w:rFonts w:ascii="Calibri Light" w:hAnsi="Calibri Light" w:cs="Calibri Light"/>
          <w:sz w:val="24"/>
          <w:szCs w:val="24"/>
        </w:rPr>
        <w:t xml:space="preserve"> </w:t>
      </w:r>
      <w:r w:rsidR="001D68BC">
        <w:rPr>
          <w:rFonts w:ascii="Calibri Light" w:hAnsi="Calibri Light" w:cs="Calibri Light"/>
          <w:sz w:val="24"/>
          <w:szCs w:val="24"/>
        </w:rPr>
        <w:fldChar w:fldCharType="begin"/>
      </w:r>
      <w:r w:rsidR="001D68BC">
        <w:rPr>
          <w:rFonts w:ascii="Calibri Light" w:hAnsi="Calibri Light" w:cs="Calibri Light"/>
          <w:sz w:val="24"/>
          <w:szCs w:val="24"/>
        </w:rPr>
        <w:instrText xml:space="preserve"> ADDIN ZOTERO_ITEM CSL_CITATION {"citationID":"vCcU15PP","properties":{"formattedCitation":"(Donthu et al., 2021)","plainCitation":"(Donthu et al., 2021)","noteIndex":0},"citationItems":[{"id":32837,"uris":["http://zotero.org/users/7621732/items/AKBJRGZU"],"itemData":{"id":32837,"type":"article-journal","container-title":"Journal of business research","note":"publisher: Elsevier","page":"285–296","source":"Google Scholar","title":"How to conduct a bibliometric analysis: An overview and guidelines","title-short":"How to conduct a bibliometric analysis","volume":"133","author":[{"family":"Donthu","given":"Naveen"},{"family":"Kumar","given":"Satish"},{"family":"Mukherjee","given":"Debmalya"},{"family":"Pandey","given":"Nitesh"},{"family":"Lim","given":"Weng Marc"}],"issued":{"date-parts":[["2021"]]}}}],"schema":"https://github.com/citation-style-language/schema/raw/master/csl-citation.json"} </w:instrText>
      </w:r>
      <w:r w:rsidR="001D68BC">
        <w:rPr>
          <w:rFonts w:ascii="Calibri Light" w:hAnsi="Calibri Light" w:cs="Calibri Light"/>
          <w:sz w:val="24"/>
          <w:szCs w:val="24"/>
        </w:rPr>
        <w:fldChar w:fldCharType="separate"/>
      </w:r>
      <w:r w:rsidR="001D68BC" w:rsidRPr="001D68BC">
        <w:rPr>
          <w:rFonts w:ascii="Calibri Light" w:hAnsi="Calibri Light" w:cs="Calibri Light"/>
          <w:sz w:val="24"/>
        </w:rPr>
        <w:t>(Donthu et al., 2021)</w:t>
      </w:r>
      <w:r w:rsidR="001D68BC">
        <w:rPr>
          <w:rFonts w:ascii="Calibri Light" w:hAnsi="Calibri Light" w:cs="Calibri Light"/>
          <w:sz w:val="24"/>
          <w:szCs w:val="24"/>
        </w:rPr>
        <w:fldChar w:fldCharType="end"/>
      </w:r>
      <w:r w:rsidRPr="0083227B">
        <w:rPr>
          <w:rFonts w:ascii="Calibri Light" w:hAnsi="Calibri Light" w:cs="Calibri Light"/>
          <w:sz w:val="24"/>
          <w:szCs w:val="24"/>
        </w:rPr>
        <w:t xml:space="preserve">. The criteria applied include six stages. First, the search for articles is based on themes in accordance with the two research questions, so researchers do not include them. Second, the range of articles included has only been in the last ten years, 2015-2025, because the study's relevance to inclusive education legal regulations is very large. Third, at the search stage, the researcher will determine three global databases as options: Scopus, </w:t>
      </w:r>
      <w:proofErr w:type="spellStart"/>
      <w:r w:rsidRPr="0083227B">
        <w:rPr>
          <w:rFonts w:ascii="Calibri Light" w:hAnsi="Calibri Light" w:cs="Calibri Light"/>
          <w:sz w:val="24"/>
          <w:szCs w:val="24"/>
        </w:rPr>
        <w:t>Wos</w:t>
      </w:r>
      <w:proofErr w:type="spellEnd"/>
      <w:r w:rsidRPr="0083227B">
        <w:rPr>
          <w:rFonts w:ascii="Calibri Light" w:hAnsi="Calibri Light" w:cs="Calibri Light"/>
          <w:sz w:val="24"/>
          <w:szCs w:val="24"/>
        </w:rPr>
        <w:t>, and Google Scholar. Fourth, the language of the articles is accepted in English and Indonesian, so other than that, it is not included in the scope of the study. Fifth, in the process of searching for articles, researchers utilize technology, namely the publish or perish application version 8 with keywords in Indonesian and English, "inclusive education policy" AND "law", and "inclusive education policy" AND "law" AND "Indonesia". Sixth, the data taken results from research in the form of "peer reviewed" journal articles, so book chapters, proceedings and conferences will be automatically excluded from the analysis process. So, other than the five criteria above, it will be included in the research exclusion.</w:t>
      </w:r>
    </w:p>
    <w:p w14:paraId="5AD4D5D9" w14:textId="77777777" w:rsidR="0083227B" w:rsidRPr="0083227B" w:rsidRDefault="0083227B" w:rsidP="0083227B">
      <w:pPr>
        <w:spacing w:before="120" w:after="120"/>
        <w:ind w:left="426"/>
        <w:jc w:val="both"/>
        <w:rPr>
          <w:rFonts w:ascii="Calibri Light" w:hAnsi="Calibri Light" w:cs="Calibri Light"/>
          <w:b/>
          <w:bCs/>
          <w:sz w:val="24"/>
          <w:szCs w:val="24"/>
        </w:rPr>
      </w:pPr>
      <w:r w:rsidRPr="0083227B">
        <w:rPr>
          <w:rFonts w:ascii="Calibri Light" w:hAnsi="Calibri Light" w:cs="Calibri Light"/>
          <w:b/>
          <w:bCs/>
          <w:sz w:val="24"/>
          <w:szCs w:val="24"/>
        </w:rPr>
        <w:t>Data Filtering</w:t>
      </w:r>
    </w:p>
    <w:p w14:paraId="321CC6CA" w14:textId="77777777" w:rsidR="0083227B" w:rsidRPr="00CA5E1E" w:rsidRDefault="0083227B" w:rsidP="0083227B">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 xml:space="preserve">In the process of searching for researcher data through the publish or peris application on </w:t>
      </w:r>
      <w:r w:rsidRPr="00CA5E1E">
        <w:rPr>
          <w:rFonts w:ascii="Calibri Light" w:hAnsi="Calibri Light" w:cs="Calibri Light"/>
          <w:sz w:val="24"/>
          <w:szCs w:val="24"/>
        </w:rPr>
        <w:t>February 2, 2025, with details in the table below:</w:t>
      </w:r>
    </w:p>
    <w:tbl>
      <w:tblPr>
        <w:tblStyle w:val="TableGrid"/>
        <w:tblW w:w="0" w:type="auto"/>
        <w:tblInd w:w="675" w:type="dxa"/>
        <w:tblLook w:val="04A0" w:firstRow="1" w:lastRow="0" w:firstColumn="1" w:lastColumn="0" w:noHBand="0" w:noVBand="1"/>
      </w:tblPr>
      <w:tblGrid>
        <w:gridCol w:w="567"/>
        <w:gridCol w:w="3969"/>
        <w:gridCol w:w="1276"/>
        <w:gridCol w:w="1604"/>
        <w:gridCol w:w="851"/>
      </w:tblGrid>
      <w:tr w:rsidR="0083227B" w:rsidRPr="00CA5E1E" w14:paraId="3D6CCECB" w14:textId="77777777" w:rsidTr="00CA5E1E">
        <w:tc>
          <w:tcPr>
            <w:tcW w:w="567" w:type="dxa"/>
          </w:tcPr>
          <w:p w14:paraId="15030EE0" w14:textId="77777777" w:rsidR="0083227B" w:rsidRPr="00CA5E1E" w:rsidRDefault="0083227B" w:rsidP="002B1EF8">
            <w:pPr>
              <w:jc w:val="both"/>
              <w:rPr>
                <w:rFonts w:ascii="Calibri Light" w:hAnsi="Calibri Light" w:cs="Calibri Light"/>
                <w:b/>
                <w:bCs/>
                <w:sz w:val="24"/>
                <w:szCs w:val="24"/>
                <w:lang w:eastAsia="en-US"/>
              </w:rPr>
            </w:pPr>
            <w:r w:rsidRPr="00CA5E1E">
              <w:rPr>
                <w:rFonts w:ascii="Calibri Light" w:hAnsi="Calibri Light" w:cs="Calibri Light"/>
                <w:b/>
                <w:bCs/>
                <w:sz w:val="24"/>
                <w:szCs w:val="24"/>
                <w:lang w:eastAsia="en-US"/>
              </w:rPr>
              <w:lastRenderedPageBreak/>
              <w:t>No</w:t>
            </w:r>
          </w:p>
        </w:tc>
        <w:tc>
          <w:tcPr>
            <w:tcW w:w="3969" w:type="dxa"/>
          </w:tcPr>
          <w:p w14:paraId="315E5289" w14:textId="77777777" w:rsidR="0083227B" w:rsidRPr="00CA5E1E" w:rsidRDefault="0083227B" w:rsidP="002B1EF8">
            <w:pPr>
              <w:jc w:val="both"/>
              <w:rPr>
                <w:rFonts w:ascii="Calibri Light" w:hAnsi="Calibri Light" w:cs="Calibri Light"/>
                <w:b/>
                <w:bCs/>
                <w:sz w:val="24"/>
                <w:szCs w:val="24"/>
                <w:lang w:eastAsia="en-US"/>
              </w:rPr>
            </w:pPr>
            <w:r w:rsidRPr="00CA5E1E">
              <w:rPr>
                <w:rFonts w:ascii="Calibri Light" w:hAnsi="Calibri Light" w:cs="Calibri Light"/>
                <w:b/>
                <w:bCs/>
                <w:sz w:val="24"/>
                <w:szCs w:val="24"/>
                <w:lang w:eastAsia="en-US"/>
              </w:rPr>
              <w:t>Keywords</w:t>
            </w:r>
          </w:p>
        </w:tc>
        <w:tc>
          <w:tcPr>
            <w:tcW w:w="1276" w:type="dxa"/>
          </w:tcPr>
          <w:p w14:paraId="0A911D3A" w14:textId="77777777" w:rsidR="0083227B" w:rsidRPr="00CA5E1E" w:rsidRDefault="0083227B" w:rsidP="002B1EF8">
            <w:pPr>
              <w:jc w:val="both"/>
              <w:rPr>
                <w:rFonts w:ascii="Calibri Light" w:hAnsi="Calibri Light" w:cs="Calibri Light"/>
                <w:b/>
                <w:bCs/>
                <w:sz w:val="24"/>
                <w:szCs w:val="24"/>
                <w:lang w:eastAsia="en-US"/>
              </w:rPr>
            </w:pPr>
            <w:r w:rsidRPr="00CA5E1E">
              <w:rPr>
                <w:rFonts w:ascii="Calibri Light" w:hAnsi="Calibri Light" w:cs="Calibri Light"/>
                <w:b/>
                <w:bCs/>
                <w:sz w:val="24"/>
                <w:szCs w:val="24"/>
                <w:lang w:eastAsia="en-US"/>
              </w:rPr>
              <w:t>Year</w:t>
            </w:r>
          </w:p>
        </w:tc>
        <w:tc>
          <w:tcPr>
            <w:tcW w:w="1604" w:type="dxa"/>
          </w:tcPr>
          <w:p w14:paraId="7C1AEA2C" w14:textId="77777777" w:rsidR="0083227B" w:rsidRPr="00CA5E1E" w:rsidRDefault="0083227B" w:rsidP="002B1EF8">
            <w:pPr>
              <w:jc w:val="both"/>
              <w:rPr>
                <w:rFonts w:ascii="Calibri Light" w:hAnsi="Calibri Light" w:cs="Calibri Light"/>
                <w:b/>
                <w:bCs/>
                <w:sz w:val="24"/>
                <w:szCs w:val="24"/>
                <w:lang w:eastAsia="en-US"/>
              </w:rPr>
            </w:pPr>
            <w:r w:rsidRPr="00CA5E1E">
              <w:rPr>
                <w:rFonts w:ascii="Calibri Light" w:hAnsi="Calibri Light" w:cs="Calibri Light"/>
                <w:b/>
                <w:bCs/>
                <w:sz w:val="24"/>
                <w:szCs w:val="24"/>
                <w:lang w:eastAsia="en-US"/>
              </w:rPr>
              <w:t>Databased</w:t>
            </w:r>
          </w:p>
        </w:tc>
        <w:tc>
          <w:tcPr>
            <w:tcW w:w="851" w:type="dxa"/>
          </w:tcPr>
          <w:p w14:paraId="2F968B5A" w14:textId="77777777" w:rsidR="0083227B" w:rsidRPr="00CA5E1E" w:rsidRDefault="0083227B" w:rsidP="002B1EF8">
            <w:pPr>
              <w:jc w:val="both"/>
              <w:rPr>
                <w:rFonts w:ascii="Calibri Light" w:hAnsi="Calibri Light" w:cs="Calibri Light"/>
                <w:b/>
                <w:bCs/>
                <w:sz w:val="24"/>
                <w:szCs w:val="24"/>
                <w:lang w:eastAsia="en-US"/>
              </w:rPr>
            </w:pPr>
            <w:r w:rsidRPr="00CA5E1E">
              <w:rPr>
                <w:rFonts w:ascii="Calibri Light" w:hAnsi="Calibri Light" w:cs="Calibri Light"/>
                <w:b/>
                <w:bCs/>
                <w:sz w:val="24"/>
                <w:szCs w:val="24"/>
                <w:lang w:eastAsia="en-US"/>
              </w:rPr>
              <w:t>Count</w:t>
            </w:r>
          </w:p>
        </w:tc>
      </w:tr>
      <w:tr w:rsidR="0083227B" w:rsidRPr="00CA5E1E" w14:paraId="6FD4A4B9" w14:textId="77777777" w:rsidTr="00CA5E1E">
        <w:tc>
          <w:tcPr>
            <w:tcW w:w="567" w:type="dxa"/>
          </w:tcPr>
          <w:p w14:paraId="12460615"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1</w:t>
            </w:r>
          </w:p>
        </w:tc>
        <w:tc>
          <w:tcPr>
            <w:tcW w:w="3969" w:type="dxa"/>
          </w:tcPr>
          <w:p w14:paraId="23642048"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"inclusive education policy" AND "law"</w:t>
            </w:r>
          </w:p>
        </w:tc>
        <w:tc>
          <w:tcPr>
            <w:tcW w:w="1276" w:type="dxa"/>
          </w:tcPr>
          <w:p w14:paraId="53373D07"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2015-2025</w:t>
            </w:r>
          </w:p>
        </w:tc>
        <w:tc>
          <w:tcPr>
            <w:tcW w:w="1604" w:type="dxa"/>
          </w:tcPr>
          <w:p w14:paraId="092D0B57"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Scopus</w:t>
            </w:r>
          </w:p>
        </w:tc>
        <w:tc>
          <w:tcPr>
            <w:tcW w:w="851" w:type="dxa"/>
          </w:tcPr>
          <w:p w14:paraId="2018BB42"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23</w:t>
            </w:r>
          </w:p>
        </w:tc>
      </w:tr>
      <w:tr w:rsidR="0083227B" w:rsidRPr="00CA5E1E" w14:paraId="591756B6" w14:textId="77777777" w:rsidTr="00CA5E1E">
        <w:trPr>
          <w:trHeight w:val="153"/>
        </w:trPr>
        <w:tc>
          <w:tcPr>
            <w:tcW w:w="567" w:type="dxa"/>
          </w:tcPr>
          <w:p w14:paraId="4BC02D90"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w:t>
            </w:r>
          </w:p>
        </w:tc>
        <w:tc>
          <w:tcPr>
            <w:tcW w:w="3969" w:type="dxa"/>
          </w:tcPr>
          <w:p w14:paraId="26A0DDEE"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"inclusive education policy" AND "law"</w:t>
            </w:r>
          </w:p>
        </w:tc>
        <w:tc>
          <w:tcPr>
            <w:tcW w:w="1276" w:type="dxa"/>
          </w:tcPr>
          <w:p w14:paraId="046ECD87"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2015-2025</w:t>
            </w:r>
          </w:p>
        </w:tc>
        <w:tc>
          <w:tcPr>
            <w:tcW w:w="1604" w:type="dxa"/>
          </w:tcPr>
          <w:p w14:paraId="29CF7442"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WOS</w:t>
            </w:r>
          </w:p>
        </w:tc>
        <w:tc>
          <w:tcPr>
            <w:tcW w:w="851" w:type="dxa"/>
          </w:tcPr>
          <w:p w14:paraId="16ABD501"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5</w:t>
            </w:r>
          </w:p>
        </w:tc>
      </w:tr>
      <w:tr w:rsidR="0083227B" w:rsidRPr="00CA5E1E" w14:paraId="020D00E8" w14:textId="77777777" w:rsidTr="00CA5E1E">
        <w:trPr>
          <w:trHeight w:val="153"/>
        </w:trPr>
        <w:tc>
          <w:tcPr>
            <w:tcW w:w="567" w:type="dxa"/>
          </w:tcPr>
          <w:p w14:paraId="6F666BAA"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3</w:t>
            </w:r>
          </w:p>
        </w:tc>
        <w:tc>
          <w:tcPr>
            <w:tcW w:w="3969" w:type="dxa"/>
          </w:tcPr>
          <w:p w14:paraId="473D5A02"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"inclusive education policy" AND "law",</w:t>
            </w:r>
          </w:p>
        </w:tc>
        <w:tc>
          <w:tcPr>
            <w:tcW w:w="1276" w:type="dxa"/>
          </w:tcPr>
          <w:p w14:paraId="17B2E54E"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2015-2025</w:t>
            </w:r>
          </w:p>
        </w:tc>
        <w:tc>
          <w:tcPr>
            <w:tcW w:w="1604" w:type="dxa"/>
          </w:tcPr>
          <w:p w14:paraId="4513AE5D"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 xml:space="preserve">Goggle Scholar </w:t>
            </w:r>
          </w:p>
        </w:tc>
        <w:tc>
          <w:tcPr>
            <w:tcW w:w="851" w:type="dxa"/>
          </w:tcPr>
          <w:p w14:paraId="1F14F523"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401</w:t>
            </w:r>
          </w:p>
        </w:tc>
      </w:tr>
      <w:tr w:rsidR="0083227B" w:rsidRPr="00CA5E1E" w14:paraId="397D228C" w14:textId="77777777" w:rsidTr="00CA5E1E">
        <w:trPr>
          <w:trHeight w:val="153"/>
        </w:trPr>
        <w:tc>
          <w:tcPr>
            <w:tcW w:w="567" w:type="dxa"/>
          </w:tcPr>
          <w:p w14:paraId="47E878CE"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4</w:t>
            </w:r>
          </w:p>
        </w:tc>
        <w:tc>
          <w:tcPr>
            <w:tcW w:w="3969" w:type="dxa"/>
          </w:tcPr>
          <w:p w14:paraId="3C6F5D57"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w:t>
            </w:r>
            <w:proofErr w:type="spellStart"/>
            <w:r w:rsidRPr="00CA5E1E">
              <w:rPr>
                <w:rFonts w:ascii="Calibri Light" w:hAnsi="Calibri Light" w:cs="Calibri Light"/>
                <w:sz w:val="24"/>
                <w:szCs w:val="24"/>
                <w:lang w:eastAsia="en-US"/>
              </w:rPr>
              <w:t>kebijakan</w:t>
            </w:r>
            <w:proofErr w:type="spellEnd"/>
            <w:r w:rsidRPr="00CA5E1E">
              <w:rPr>
                <w:rFonts w:ascii="Calibri Light" w:hAnsi="Calibri Light" w:cs="Calibri Light"/>
                <w:sz w:val="24"/>
                <w:szCs w:val="24"/>
                <w:lang w:eastAsia="en-US"/>
              </w:rPr>
              <w:t xml:space="preserve"> </w:t>
            </w:r>
            <w:proofErr w:type="spellStart"/>
            <w:r w:rsidRPr="00CA5E1E">
              <w:rPr>
                <w:rFonts w:ascii="Calibri Light" w:hAnsi="Calibri Light" w:cs="Calibri Light"/>
                <w:sz w:val="24"/>
                <w:szCs w:val="24"/>
                <w:lang w:eastAsia="en-US"/>
              </w:rPr>
              <w:t>pendidikan</w:t>
            </w:r>
            <w:proofErr w:type="spellEnd"/>
            <w:r w:rsidRPr="00CA5E1E">
              <w:rPr>
                <w:rFonts w:ascii="Calibri Light" w:hAnsi="Calibri Light" w:cs="Calibri Light"/>
                <w:sz w:val="24"/>
                <w:szCs w:val="24"/>
                <w:lang w:eastAsia="en-US"/>
              </w:rPr>
              <w:t xml:space="preserve"> </w:t>
            </w:r>
            <w:proofErr w:type="spellStart"/>
            <w:r w:rsidRPr="00CA5E1E">
              <w:rPr>
                <w:rFonts w:ascii="Calibri Light" w:hAnsi="Calibri Light" w:cs="Calibri Light"/>
                <w:sz w:val="24"/>
                <w:szCs w:val="24"/>
                <w:lang w:eastAsia="en-US"/>
              </w:rPr>
              <w:t>inklusif</w:t>
            </w:r>
            <w:proofErr w:type="spellEnd"/>
            <w:r w:rsidRPr="00CA5E1E">
              <w:rPr>
                <w:rFonts w:ascii="Calibri Light" w:hAnsi="Calibri Light" w:cs="Calibri Light"/>
                <w:sz w:val="24"/>
                <w:szCs w:val="24"/>
                <w:lang w:eastAsia="en-US"/>
              </w:rPr>
              <w:t>" DAN "</w:t>
            </w:r>
            <w:proofErr w:type="spellStart"/>
            <w:r w:rsidRPr="00CA5E1E">
              <w:rPr>
                <w:rFonts w:ascii="Calibri Light" w:hAnsi="Calibri Light" w:cs="Calibri Light"/>
                <w:sz w:val="24"/>
                <w:szCs w:val="24"/>
                <w:lang w:eastAsia="en-US"/>
              </w:rPr>
              <w:t>hukum</w:t>
            </w:r>
            <w:proofErr w:type="spellEnd"/>
            <w:r w:rsidRPr="00CA5E1E">
              <w:rPr>
                <w:rFonts w:ascii="Calibri Light" w:hAnsi="Calibri Light" w:cs="Calibri Light"/>
                <w:sz w:val="24"/>
                <w:szCs w:val="24"/>
                <w:lang w:eastAsia="en-US"/>
              </w:rPr>
              <w:t>" DAN "Indonesia".</w:t>
            </w:r>
          </w:p>
        </w:tc>
        <w:tc>
          <w:tcPr>
            <w:tcW w:w="1276" w:type="dxa"/>
          </w:tcPr>
          <w:p w14:paraId="175CAFAB"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2015-2025</w:t>
            </w:r>
          </w:p>
        </w:tc>
        <w:tc>
          <w:tcPr>
            <w:tcW w:w="1604" w:type="dxa"/>
          </w:tcPr>
          <w:p w14:paraId="59CBFD86"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Goggle Scholar</w:t>
            </w:r>
          </w:p>
        </w:tc>
        <w:tc>
          <w:tcPr>
            <w:tcW w:w="851" w:type="dxa"/>
          </w:tcPr>
          <w:p w14:paraId="01C9E5AF"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281</w:t>
            </w:r>
          </w:p>
        </w:tc>
      </w:tr>
      <w:tr w:rsidR="0083227B" w:rsidRPr="00CA5E1E" w14:paraId="5F253E51" w14:textId="77777777" w:rsidTr="0083227B">
        <w:trPr>
          <w:trHeight w:val="153"/>
        </w:trPr>
        <w:tc>
          <w:tcPr>
            <w:tcW w:w="7416" w:type="dxa"/>
            <w:gridSpan w:val="4"/>
          </w:tcPr>
          <w:p w14:paraId="10A322A4"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Count</w:t>
            </w:r>
          </w:p>
        </w:tc>
        <w:tc>
          <w:tcPr>
            <w:tcW w:w="851" w:type="dxa"/>
          </w:tcPr>
          <w:p w14:paraId="5D74A686"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710</w:t>
            </w:r>
          </w:p>
        </w:tc>
      </w:tr>
    </w:tbl>
    <w:p w14:paraId="32D488E3" w14:textId="77777777" w:rsidR="0083227B" w:rsidRDefault="0083227B" w:rsidP="0083227B">
      <w:pPr>
        <w:spacing w:before="120" w:after="120"/>
        <w:ind w:left="426"/>
        <w:jc w:val="both"/>
        <w:rPr>
          <w:rFonts w:ascii="Calibri Light" w:hAnsi="Calibri Light" w:cs="Calibri Light"/>
          <w:sz w:val="24"/>
          <w:szCs w:val="24"/>
        </w:rPr>
      </w:pPr>
      <w:r w:rsidRPr="00CA5E1E">
        <w:rPr>
          <w:rFonts w:ascii="Calibri Light" w:hAnsi="Calibri Light" w:cs="Calibri Light"/>
          <w:sz w:val="24"/>
          <w:szCs w:val="24"/>
        </w:rPr>
        <w:t>In the table above, the</w:t>
      </w:r>
      <w:r w:rsidRPr="0083227B">
        <w:rPr>
          <w:rFonts w:ascii="Calibri Light" w:hAnsi="Calibri Light" w:cs="Calibri Light"/>
          <w:sz w:val="24"/>
          <w:szCs w:val="24"/>
        </w:rPr>
        <w:t xml:space="preserve"> total findings of the articles are 702. From 702 articles, the researcher will conduct a PRISMA analysis with three stages: identification, screening and inclusion, from the included data and entered into the Zotero application. The data that has been sorted in the Zotero application will be exported in the form of RIS data. The results of the RIS data are re-validated, after which they are entered into the Vos viewers application to determine the distribution and relevance of themes to the research results and obtain results in the form of visualization according to the research keywords.</w:t>
      </w:r>
    </w:p>
    <w:p w14:paraId="1E942FAE" w14:textId="77777777" w:rsidR="0083227B" w:rsidRPr="0083227B" w:rsidRDefault="0083227B" w:rsidP="0083227B">
      <w:pPr>
        <w:spacing w:before="120" w:after="120"/>
        <w:ind w:left="426"/>
        <w:jc w:val="both"/>
        <w:rPr>
          <w:rFonts w:ascii="Calibri Light" w:hAnsi="Calibri Light" w:cs="Calibri Light"/>
          <w:b/>
          <w:bCs/>
          <w:sz w:val="24"/>
          <w:szCs w:val="24"/>
        </w:rPr>
      </w:pPr>
      <w:r w:rsidRPr="0083227B">
        <w:rPr>
          <w:rFonts w:ascii="Calibri Light" w:hAnsi="Calibri Light" w:cs="Calibri Light"/>
          <w:b/>
          <w:bCs/>
          <w:sz w:val="24"/>
          <w:szCs w:val="24"/>
        </w:rPr>
        <w:t>ANALYSIS PRISMA</w:t>
      </w:r>
    </w:p>
    <w:p w14:paraId="35F5D711" w14:textId="77777777" w:rsidR="0083227B" w:rsidRDefault="0083227B" w:rsidP="0083227B">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Analysis prism as an analysis process based on all data obtained in the publish or perish application</w:t>
      </w:r>
      <w:r w:rsidR="001D68BC">
        <w:rPr>
          <w:rFonts w:ascii="Calibri Light" w:hAnsi="Calibri Light" w:cs="Calibri Light"/>
          <w:sz w:val="24"/>
          <w:szCs w:val="24"/>
        </w:rPr>
        <w:t xml:space="preserve"> </w:t>
      </w:r>
      <w:r w:rsidR="001D68BC">
        <w:rPr>
          <w:rFonts w:ascii="Calibri Light" w:hAnsi="Calibri Light" w:cs="Calibri Light"/>
          <w:sz w:val="24"/>
          <w:szCs w:val="24"/>
        </w:rPr>
        <w:fldChar w:fldCharType="begin"/>
      </w:r>
      <w:r w:rsidR="001D68BC">
        <w:rPr>
          <w:rFonts w:ascii="Calibri Light" w:hAnsi="Calibri Light" w:cs="Calibri Light"/>
          <w:sz w:val="24"/>
          <w:szCs w:val="24"/>
        </w:rPr>
        <w:instrText xml:space="preserve"> ADDIN ZOTERO_ITEM CSL_CITATION {"citationID":"XpUdePlu","properties":{"formattedCitation":"(Sugiarto et al., 2022)","plainCitation":"(Sugiarto et al., 2022)","noteIndex":0},"citationItems":[{"id":34223,"uris":["http://zotero.org/users/7621732/items/YWZYZHE6"],"itemData":{"id":34223,"type":"article-journal","abstract":"Higher education institutions’ contributions to environmental conservation are manifested in their commitments to develop Sustainable Campuses. Numerous studies have investigated higher education institutions’ efforts to create Sustainable Campuses. Many studies on Sustainable Campuses have been completed partially. The analysis is carried out on the basis of practices at various campuses around the world. However, a thorough analysis of Sustainable Campuses has so far not been carried out. This is evidenced by the lack of publications on journal database portals related to Sustainable Campuses which are carried out in a systematic literature review. To address this gap, this study provides a systematic and comprehensive review of the literature on Sustainable Campuses. The purpose of this article is to identify various dimensions of implementing Sustainable Campuses from various countries. We use the qualitative systematic review method with the meta-aggregation approach in this study. The results of this study indicate that Sustainable Campus development activities are classified into three aspects such as behavioral, learning and educational tools, and physical facilities. Further, each dimension has several strategies and programs and actions performed by global higher education institutions. The results are also expected to be a motivator and reference for campuses to contribute to environmental conservation through Sustainable Campus programs. The various dimensions of a Sustainable Campus that are mapped out in this research can be used as a reference for realizing a Sustainable Campus for every university campus in various countries.","container-title":"Behavioral Sciences","DOI":"10.3390/bs12050130","ISSN":"2076-328X","issue":"5","language":"en","license":"http://creativecommons.org/licenses/by/3.0/","note":"number: 5\npublisher: Multidisciplinary Digital Publishing Institute","page":"130","source":"www.mdpi.com","title":"A Systematic Review of the Sustainable Campus Concept","volume":"12","author":[{"family":"Sugiarto","given":"Agus"},{"family":"Lee","given":"Cheng-Wen"},{"family":"Huruta","given":"Andrian Dolfriandra"}],"issued":{"date-parts":[["2022",5]]}}}],"schema":"https://github.com/citation-style-language/schema/raw/master/csl-citation.json"} </w:instrText>
      </w:r>
      <w:r w:rsidR="001D68BC">
        <w:rPr>
          <w:rFonts w:ascii="Calibri Light" w:hAnsi="Calibri Light" w:cs="Calibri Light"/>
          <w:sz w:val="24"/>
          <w:szCs w:val="24"/>
        </w:rPr>
        <w:fldChar w:fldCharType="separate"/>
      </w:r>
      <w:r w:rsidR="001D68BC" w:rsidRPr="001D68BC">
        <w:rPr>
          <w:rFonts w:ascii="Calibri Light" w:hAnsi="Calibri Light" w:cs="Calibri Light"/>
          <w:sz w:val="24"/>
        </w:rPr>
        <w:t>(Sugiarto et al., 2022)</w:t>
      </w:r>
      <w:r w:rsidR="001D68BC">
        <w:rPr>
          <w:rFonts w:ascii="Calibri Light" w:hAnsi="Calibri Light" w:cs="Calibri Light"/>
          <w:sz w:val="24"/>
          <w:szCs w:val="24"/>
        </w:rPr>
        <w:fldChar w:fldCharType="end"/>
      </w:r>
      <w:r w:rsidRPr="0083227B">
        <w:rPr>
          <w:rFonts w:ascii="Calibri Light" w:hAnsi="Calibri Light" w:cs="Calibri Light"/>
          <w:sz w:val="24"/>
          <w:szCs w:val="24"/>
        </w:rPr>
        <w:t xml:space="preserve">, in detail, can be seen in the flow </w:t>
      </w:r>
      <w:proofErr w:type="spellStart"/>
      <w:r w:rsidRPr="0083227B">
        <w:rPr>
          <w:rFonts w:ascii="Calibri Light" w:hAnsi="Calibri Light" w:cs="Calibri Light"/>
          <w:sz w:val="24"/>
          <w:szCs w:val="24"/>
        </w:rPr>
        <w:t>chat</w:t>
      </w:r>
      <w:proofErr w:type="spellEnd"/>
      <w:r w:rsidRPr="0083227B">
        <w:rPr>
          <w:rFonts w:ascii="Calibri Light" w:hAnsi="Calibri Light" w:cs="Calibri Light"/>
          <w:sz w:val="24"/>
          <w:szCs w:val="24"/>
        </w:rPr>
        <w:t xml:space="preserve"> below:</w:t>
      </w:r>
    </w:p>
    <w:p w14:paraId="33486B23" w14:textId="77777777" w:rsidR="0083227B" w:rsidRDefault="0083227B" w:rsidP="0083227B">
      <w:pPr>
        <w:spacing w:before="120" w:after="120"/>
        <w:ind w:left="426"/>
        <w:jc w:val="both"/>
        <w:rPr>
          <w:rFonts w:ascii="Calibri Light" w:hAnsi="Calibri Light" w:cs="Calibri Light"/>
          <w:sz w:val="24"/>
          <w:szCs w:val="24"/>
        </w:rPr>
      </w:pPr>
    </w:p>
    <w:p w14:paraId="7C42EDE2" w14:textId="77777777" w:rsidR="0083227B" w:rsidRDefault="0083227B" w:rsidP="0083227B">
      <w:pPr>
        <w:spacing w:before="120" w:after="120"/>
        <w:ind w:left="426"/>
        <w:jc w:val="both"/>
        <w:rPr>
          <w:rFonts w:ascii="Calibri Light" w:hAnsi="Calibri Light" w:cs="Calibri Light"/>
          <w:sz w:val="24"/>
          <w:szCs w:val="24"/>
        </w:rPr>
      </w:pPr>
    </w:p>
    <w:p w14:paraId="2EAD04F1" w14:textId="77777777" w:rsidR="0083227B" w:rsidRDefault="0083227B" w:rsidP="0083227B">
      <w:pPr>
        <w:spacing w:before="120" w:after="120"/>
        <w:ind w:left="426"/>
        <w:jc w:val="both"/>
        <w:rPr>
          <w:rFonts w:ascii="Calibri Light" w:hAnsi="Calibri Light" w:cs="Calibri Light"/>
          <w:sz w:val="24"/>
          <w:szCs w:val="24"/>
        </w:rPr>
      </w:pPr>
    </w:p>
    <w:p w14:paraId="3EA3658C" w14:textId="77777777" w:rsidR="0083227B" w:rsidRDefault="0083227B" w:rsidP="0083227B">
      <w:pPr>
        <w:spacing w:before="120" w:after="120"/>
        <w:ind w:left="426"/>
        <w:jc w:val="both"/>
        <w:rPr>
          <w:rFonts w:ascii="Calibri Light" w:hAnsi="Calibri Light" w:cs="Calibri Light"/>
          <w:sz w:val="24"/>
          <w:szCs w:val="24"/>
        </w:rPr>
      </w:pPr>
    </w:p>
    <w:p w14:paraId="1D7B7717" w14:textId="77777777" w:rsidR="0083227B" w:rsidRDefault="0083227B" w:rsidP="0083227B">
      <w:pPr>
        <w:spacing w:before="120" w:after="120"/>
        <w:ind w:left="426"/>
        <w:jc w:val="both"/>
        <w:rPr>
          <w:rFonts w:ascii="Calibri Light" w:hAnsi="Calibri Light" w:cs="Calibri Light"/>
          <w:sz w:val="24"/>
          <w:szCs w:val="24"/>
        </w:rPr>
      </w:pPr>
    </w:p>
    <w:p w14:paraId="24946EEB" w14:textId="77777777" w:rsidR="0083227B" w:rsidRDefault="0083227B" w:rsidP="0083227B">
      <w:pPr>
        <w:spacing w:before="120" w:after="120"/>
        <w:ind w:left="426"/>
        <w:jc w:val="both"/>
        <w:rPr>
          <w:rFonts w:ascii="Calibri Light" w:hAnsi="Calibri Light" w:cs="Calibri Light"/>
          <w:sz w:val="24"/>
          <w:szCs w:val="24"/>
        </w:rPr>
      </w:pPr>
    </w:p>
    <w:p w14:paraId="6D7004BC" w14:textId="77777777" w:rsidR="0083227B" w:rsidRDefault="0083227B" w:rsidP="0083227B">
      <w:pPr>
        <w:spacing w:before="120" w:after="120"/>
        <w:ind w:left="426"/>
        <w:jc w:val="both"/>
        <w:rPr>
          <w:rFonts w:ascii="Calibri Light" w:hAnsi="Calibri Light" w:cs="Calibri Light"/>
          <w:sz w:val="24"/>
          <w:szCs w:val="24"/>
        </w:rPr>
      </w:pPr>
    </w:p>
    <w:p w14:paraId="7D72988E" w14:textId="77777777" w:rsidR="0083227B" w:rsidRDefault="0083227B" w:rsidP="0083227B">
      <w:pPr>
        <w:spacing w:before="120" w:after="120"/>
        <w:ind w:left="426"/>
        <w:jc w:val="both"/>
        <w:rPr>
          <w:rFonts w:ascii="Calibri Light" w:hAnsi="Calibri Light" w:cs="Calibri Light"/>
          <w:sz w:val="24"/>
          <w:szCs w:val="24"/>
        </w:rPr>
      </w:pPr>
    </w:p>
    <w:p w14:paraId="30536DF5" w14:textId="77777777" w:rsidR="0083227B" w:rsidRDefault="0083227B" w:rsidP="0083227B">
      <w:pPr>
        <w:spacing w:before="120" w:after="120"/>
        <w:ind w:left="426"/>
        <w:jc w:val="both"/>
        <w:rPr>
          <w:rFonts w:ascii="Calibri Light" w:hAnsi="Calibri Light" w:cs="Calibri Light"/>
          <w:sz w:val="24"/>
          <w:szCs w:val="24"/>
        </w:rPr>
      </w:pPr>
    </w:p>
    <w:p w14:paraId="0BAE18EA" w14:textId="77777777" w:rsidR="0083227B" w:rsidRDefault="0083227B" w:rsidP="0083227B">
      <w:pPr>
        <w:spacing w:before="120" w:after="120"/>
        <w:ind w:left="426"/>
        <w:jc w:val="both"/>
        <w:rPr>
          <w:rFonts w:ascii="Calibri Light" w:hAnsi="Calibri Light" w:cs="Calibri Light"/>
          <w:sz w:val="24"/>
          <w:szCs w:val="24"/>
        </w:rPr>
      </w:pPr>
    </w:p>
    <w:p w14:paraId="30FE725F" w14:textId="77777777" w:rsidR="0083227B" w:rsidRDefault="0083227B" w:rsidP="0083227B">
      <w:pPr>
        <w:spacing w:before="120" w:after="120"/>
        <w:ind w:left="426"/>
        <w:jc w:val="both"/>
        <w:rPr>
          <w:rFonts w:ascii="Calibri Light" w:hAnsi="Calibri Light" w:cs="Calibri Light"/>
          <w:sz w:val="24"/>
          <w:szCs w:val="24"/>
        </w:rPr>
      </w:pPr>
    </w:p>
    <w:p w14:paraId="2C76642E" w14:textId="77777777" w:rsidR="0083227B" w:rsidRDefault="0083227B" w:rsidP="0083227B">
      <w:pPr>
        <w:spacing w:before="120" w:after="120"/>
        <w:ind w:left="426"/>
        <w:jc w:val="both"/>
        <w:rPr>
          <w:rFonts w:ascii="Calibri Light" w:hAnsi="Calibri Light" w:cs="Calibri Light"/>
          <w:sz w:val="24"/>
          <w:szCs w:val="24"/>
        </w:rPr>
      </w:pPr>
    </w:p>
    <w:p w14:paraId="54EDFEFE" w14:textId="77777777" w:rsidR="0083227B" w:rsidRDefault="0083227B" w:rsidP="0083227B">
      <w:pPr>
        <w:spacing w:before="120" w:after="120"/>
        <w:ind w:left="426"/>
        <w:jc w:val="both"/>
        <w:rPr>
          <w:rFonts w:ascii="Calibri Light" w:hAnsi="Calibri Light" w:cs="Calibri Light"/>
          <w:sz w:val="24"/>
          <w:szCs w:val="24"/>
        </w:rPr>
      </w:pPr>
    </w:p>
    <w:p w14:paraId="495C3EA6" w14:textId="77777777" w:rsidR="0083227B" w:rsidRDefault="0083227B" w:rsidP="0083227B">
      <w:pPr>
        <w:spacing w:before="120" w:after="120"/>
        <w:ind w:left="426"/>
        <w:jc w:val="both"/>
        <w:rPr>
          <w:rFonts w:ascii="Calibri Light" w:hAnsi="Calibri Light" w:cs="Calibri Light"/>
          <w:sz w:val="24"/>
          <w:szCs w:val="24"/>
        </w:rPr>
      </w:pPr>
    </w:p>
    <w:p w14:paraId="72DC411D" w14:textId="77777777" w:rsidR="0083227B" w:rsidRDefault="0083227B" w:rsidP="0083227B">
      <w:pPr>
        <w:spacing w:before="120" w:after="120"/>
        <w:ind w:left="426"/>
        <w:jc w:val="both"/>
        <w:rPr>
          <w:rFonts w:ascii="Calibri Light" w:hAnsi="Calibri Light" w:cs="Calibri Light"/>
          <w:sz w:val="24"/>
          <w:szCs w:val="24"/>
        </w:rPr>
      </w:pPr>
    </w:p>
    <w:p w14:paraId="06BAFB70" w14:textId="77777777" w:rsidR="0083227B" w:rsidRDefault="0083227B" w:rsidP="0083227B">
      <w:pPr>
        <w:spacing w:before="120" w:after="120"/>
        <w:ind w:left="426"/>
        <w:jc w:val="both"/>
        <w:rPr>
          <w:rFonts w:ascii="Calibri Light" w:hAnsi="Calibri Light" w:cs="Calibri Light"/>
          <w:sz w:val="24"/>
          <w:szCs w:val="24"/>
        </w:rPr>
      </w:pPr>
    </w:p>
    <w:p w14:paraId="4E4C9B94" w14:textId="1CE64CE5" w:rsidR="0083227B" w:rsidRDefault="000A2469" w:rsidP="0083227B">
      <w:pPr>
        <w:spacing w:before="120" w:after="120"/>
        <w:ind w:left="426"/>
        <w:jc w:val="both"/>
        <w:rPr>
          <w:rFonts w:ascii="Calibri Light" w:hAnsi="Calibri Light" w:cs="Calibri Light"/>
          <w:sz w:val="24"/>
          <w:szCs w:val="24"/>
        </w:rPr>
      </w:pPr>
      <w:r>
        <w:rPr>
          <w:noProof/>
        </w:rPr>
        <w:lastRenderedPageBreak/>
        <mc:AlternateContent>
          <mc:Choice Requires="wpg">
            <w:drawing>
              <wp:inline distT="0" distB="0" distL="0" distR="0" wp14:anchorId="08122D7D" wp14:editId="62FC1344">
                <wp:extent cx="4725035" cy="5180965"/>
                <wp:effectExtent l="0" t="0" r="18415" b="19685"/>
                <wp:docPr id="17"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25035" cy="5180965"/>
                          <a:chOff x="0" y="0"/>
                          <a:chExt cx="4848865" cy="5676601"/>
                        </a:xfrm>
                      </wpg:grpSpPr>
                      <wps:wsp>
                        <wps:cNvPr id="18" name="Rectangle 3"/>
                        <wps:cNvSpPr>
                          <a:spLocks noChangeArrowheads="1"/>
                        </wps:cNvSpPr>
                        <wps:spPr bwMode="auto">
                          <a:xfrm>
                            <a:off x="457012" y="349857"/>
                            <a:ext cx="1887220" cy="1243584"/>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47979E8"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Records identified from databases</w:t>
                              </w:r>
                            </w:p>
                            <w:p w14:paraId="43467D3E"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Scopus</w:t>
                              </w:r>
                              <w:r w:rsidRPr="00CA5E1E">
                                <w:rPr>
                                  <w:rFonts w:ascii="Calibri Light" w:hAnsi="Calibri Light" w:cs="Calibri Light"/>
                                  <w:color w:val="000000"/>
                                  <w:sz w:val="18"/>
                                </w:rPr>
                                <w:tab/>
                              </w:r>
                              <w:r w:rsidRPr="00CA5E1E">
                                <w:rPr>
                                  <w:rFonts w:ascii="Calibri Light" w:hAnsi="Calibri Light" w:cs="Calibri Light"/>
                                  <w:color w:val="000000"/>
                                  <w:sz w:val="18"/>
                                </w:rPr>
                                <w:tab/>
                                <w:t>: (n = 15)</w:t>
                              </w:r>
                            </w:p>
                            <w:p w14:paraId="023F83B3"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WOS</w:t>
                              </w:r>
                              <w:r w:rsidRPr="00CA5E1E">
                                <w:rPr>
                                  <w:rFonts w:ascii="Calibri Light" w:hAnsi="Calibri Light" w:cs="Calibri Light"/>
                                  <w:color w:val="000000"/>
                                  <w:sz w:val="18"/>
                                </w:rPr>
                                <w:tab/>
                              </w:r>
                              <w:r w:rsidRPr="00CA5E1E">
                                <w:rPr>
                                  <w:rFonts w:ascii="Calibri Light" w:hAnsi="Calibri Light" w:cs="Calibri Light"/>
                                  <w:color w:val="000000"/>
                                  <w:sz w:val="18"/>
                                </w:rPr>
                                <w:tab/>
                                <w:t>: (n = 5)</w:t>
                              </w:r>
                            </w:p>
                            <w:p w14:paraId="59AC2B24"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Google Scholar</w:t>
                              </w:r>
                              <w:r w:rsidRPr="00CA5E1E">
                                <w:rPr>
                                  <w:rFonts w:ascii="Calibri Light" w:hAnsi="Calibri Light" w:cs="Calibri Light"/>
                                  <w:color w:val="000000"/>
                                  <w:sz w:val="18"/>
                                </w:rPr>
                                <w:tab/>
                                <w:t>: (n = 682)</w:t>
                              </w:r>
                            </w:p>
                            <w:p w14:paraId="3CFFD800" w14:textId="77777777" w:rsidR="0083227B" w:rsidRPr="00CA5E1E" w:rsidRDefault="0083227B" w:rsidP="0083227B">
                              <w:pPr>
                                <w:rPr>
                                  <w:rFonts w:ascii="Calibri Light" w:hAnsi="Calibri Light" w:cs="Calibri Light"/>
                                  <w:color w:val="000000"/>
                                  <w:sz w:val="18"/>
                                </w:rPr>
                              </w:pPr>
                            </w:p>
                            <w:p w14:paraId="3E0E5343" w14:textId="77777777" w:rsidR="0083227B" w:rsidRPr="00CA5E1E" w:rsidRDefault="0083227B" w:rsidP="0083227B">
                              <w:pPr>
                                <w:rPr>
                                  <w:rFonts w:ascii="Calibri Light" w:hAnsi="Calibri Light" w:cs="Calibri Light"/>
                                  <w:color w:val="000000"/>
                                  <w:sz w:val="18"/>
                                </w:rPr>
                              </w:pPr>
                            </w:p>
                          </w:txbxContent>
                        </wps:txbx>
                        <wps:bodyPr rot="0" vert="horz" wrap="square" lIns="91440" tIns="45720" rIns="91440" bIns="45720" anchor="ctr" anchorCtr="0" upright="1">
                          <a:noAutofit/>
                        </wps:bodyPr>
                      </wps:wsp>
                      <wps:wsp>
                        <wps:cNvPr id="19" name="Rectangle 2"/>
                        <wps:cNvSpPr>
                          <a:spLocks noChangeArrowheads="1"/>
                        </wps:cNvSpPr>
                        <wps:spPr bwMode="auto">
                          <a:xfrm>
                            <a:off x="2937819" y="349857"/>
                            <a:ext cx="1887220" cy="1242999"/>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3D2407D"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 xml:space="preserve">Records removed </w:t>
                              </w:r>
                              <w:r w:rsidRPr="00CA5E1E">
                                <w:rPr>
                                  <w:rFonts w:ascii="Calibri Light" w:hAnsi="Calibri Light" w:cs="Calibri Light"/>
                                  <w:i/>
                                  <w:iCs/>
                                  <w:color w:val="000000"/>
                                  <w:sz w:val="18"/>
                                </w:rPr>
                                <w:t>before screening</w:t>
                              </w:r>
                              <w:r w:rsidRPr="00CA5E1E">
                                <w:rPr>
                                  <w:rFonts w:ascii="Calibri Light" w:hAnsi="Calibri Light" w:cs="Calibri Light"/>
                                  <w:color w:val="000000"/>
                                  <w:sz w:val="18"/>
                                </w:rPr>
                                <w:t>:</w:t>
                              </w:r>
                            </w:p>
                            <w:p w14:paraId="5400B481" w14:textId="77777777" w:rsidR="0083227B" w:rsidRPr="00CA5E1E" w:rsidRDefault="0083227B" w:rsidP="0083227B">
                              <w:pPr>
                                <w:ind w:left="284"/>
                                <w:rPr>
                                  <w:rFonts w:ascii="Calibri Light" w:hAnsi="Calibri Light" w:cs="Calibri Light"/>
                                  <w:color w:val="000000"/>
                                  <w:sz w:val="18"/>
                                </w:rPr>
                              </w:pPr>
                              <w:r w:rsidRPr="00CA5E1E">
                                <w:rPr>
                                  <w:rFonts w:ascii="Calibri Light" w:hAnsi="Calibri Light" w:cs="Calibri Light"/>
                                  <w:color w:val="000000"/>
                                  <w:sz w:val="18"/>
                                </w:rPr>
                                <w:t>Records removed for other reasons (n = 39)</w:t>
                              </w:r>
                            </w:p>
                          </w:txbxContent>
                        </wps:txbx>
                        <wps:bodyPr rot="0" vert="horz" wrap="square" lIns="91440" tIns="45720" rIns="91440" bIns="45720" anchor="ctr" anchorCtr="0" upright="1">
                          <a:noAutofit/>
                        </wps:bodyPr>
                      </wps:wsp>
                      <wps:wsp>
                        <wps:cNvPr id="20" name="Rectangle 4"/>
                        <wps:cNvSpPr>
                          <a:spLocks noChangeArrowheads="1"/>
                        </wps:cNvSpPr>
                        <wps:spPr bwMode="auto">
                          <a:xfrm>
                            <a:off x="457012" y="1876507"/>
                            <a:ext cx="1887220" cy="526415"/>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E7B991"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Records screened</w:t>
                              </w:r>
                            </w:p>
                            <w:p w14:paraId="29C6CCF7"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663)</w:t>
                              </w:r>
                            </w:p>
                          </w:txbxContent>
                        </wps:txbx>
                        <wps:bodyPr rot="0" vert="horz" wrap="square" lIns="91440" tIns="45720" rIns="91440" bIns="45720" anchor="ctr" anchorCtr="0" upright="1">
                          <a:noAutofit/>
                        </wps:bodyPr>
                      </wps:wsp>
                      <wps:wsp>
                        <wps:cNvPr id="21" name="Rectangle 5"/>
                        <wps:cNvSpPr>
                          <a:spLocks noChangeArrowheads="1"/>
                        </wps:cNvSpPr>
                        <wps:spPr bwMode="auto">
                          <a:xfrm>
                            <a:off x="2945771" y="1876507"/>
                            <a:ext cx="1887220" cy="526415"/>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321659C"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Records excluded**</w:t>
                              </w:r>
                            </w:p>
                            <w:p w14:paraId="0343C0A8"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297)</w:t>
                              </w:r>
                            </w:p>
                          </w:txbxContent>
                        </wps:txbx>
                        <wps:bodyPr rot="0" vert="horz" wrap="square" lIns="91440" tIns="45720" rIns="91440" bIns="45720" anchor="ctr" anchorCtr="0" upright="1">
                          <a:noAutofit/>
                        </wps:bodyPr>
                      </wps:wsp>
                      <wps:wsp>
                        <wps:cNvPr id="22" name="Rectangle 6"/>
                        <wps:cNvSpPr>
                          <a:spLocks noChangeArrowheads="1"/>
                        </wps:cNvSpPr>
                        <wps:spPr bwMode="auto">
                          <a:xfrm>
                            <a:off x="464964" y="2703443"/>
                            <a:ext cx="1887220" cy="526415"/>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B709445"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Reports sought for retrieval</w:t>
                              </w:r>
                            </w:p>
                            <w:p w14:paraId="58F5102E"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366)</w:t>
                              </w:r>
                            </w:p>
                          </w:txbxContent>
                        </wps:txbx>
                        <wps:bodyPr rot="0" vert="horz" wrap="square" lIns="91440" tIns="45720" rIns="91440" bIns="45720" anchor="ctr" anchorCtr="0" upright="1">
                          <a:noAutofit/>
                        </wps:bodyPr>
                      </wps:wsp>
                      <wps:wsp>
                        <wps:cNvPr id="23" name="Rectangle 7"/>
                        <wps:cNvSpPr>
                          <a:spLocks noChangeArrowheads="1"/>
                        </wps:cNvSpPr>
                        <wps:spPr bwMode="auto">
                          <a:xfrm>
                            <a:off x="2945771" y="2727297"/>
                            <a:ext cx="1887220" cy="526415"/>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4318F1B"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Reports not retrieved</w:t>
                              </w:r>
                            </w:p>
                            <w:p w14:paraId="4C4BB7D4"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152)</w:t>
                              </w:r>
                            </w:p>
                          </w:txbxContent>
                        </wps:txbx>
                        <wps:bodyPr rot="0" vert="horz" wrap="square" lIns="91440" tIns="45720" rIns="91440" bIns="45720" anchor="ctr" anchorCtr="0" upright="1">
                          <a:noAutofit/>
                        </wps:bodyPr>
                      </wps:wsp>
                      <wps:wsp>
                        <wps:cNvPr id="24" name="Rectangle 8"/>
                        <wps:cNvSpPr>
                          <a:spLocks noChangeArrowheads="1"/>
                        </wps:cNvSpPr>
                        <wps:spPr bwMode="auto">
                          <a:xfrm>
                            <a:off x="464964" y="3522427"/>
                            <a:ext cx="1887220" cy="526415"/>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1B50919"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Reports assessed for eligibility</w:t>
                              </w:r>
                            </w:p>
                            <w:p w14:paraId="492AEE08"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214)</w:t>
                              </w:r>
                            </w:p>
                          </w:txbxContent>
                        </wps:txbx>
                        <wps:bodyPr rot="0" vert="horz" wrap="square" lIns="91440" tIns="45720" rIns="91440" bIns="45720" anchor="ctr" anchorCtr="0" upright="1">
                          <a:noAutofit/>
                        </wps:bodyPr>
                      </wps:wsp>
                      <wps:wsp>
                        <wps:cNvPr id="25" name="Rectangle 9"/>
                        <wps:cNvSpPr>
                          <a:spLocks noChangeArrowheads="1"/>
                        </wps:cNvSpPr>
                        <wps:spPr bwMode="auto">
                          <a:xfrm>
                            <a:off x="2961645" y="3522011"/>
                            <a:ext cx="1887220" cy="515979"/>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A90B568"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Reports excluded: (n = 124)</w:t>
                              </w:r>
                            </w:p>
                          </w:txbxContent>
                        </wps:txbx>
                        <wps:bodyPr rot="0" vert="horz" wrap="square" lIns="91440" tIns="45720" rIns="91440" bIns="45720" anchor="ctr" anchorCtr="0" upright="1">
                          <a:noAutofit/>
                        </wps:bodyPr>
                      </wps:wsp>
                      <wps:wsp>
                        <wps:cNvPr id="26" name="Rectangle 13"/>
                        <wps:cNvSpPr>
                          <a:spLocks noChangeArrowheads="1"/>
                        </wps:cNvSpPr>
                        <wps:spPr bwMode="auto">
                          <a:xfrm>
                            <a:off x="441107" y="4818054"/>
                            <a:ext cx="1887220" cy="829280"/>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6CAF11D"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Studies included in review : (n = 68)</w:t>
                              </w:r>
                            </w:p>
                            <w:p w14:paraId="3290981D"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Scopus</w:t>
                              </w:r>
                              <w:r w:rsidRPr="00CA5E1E">
                                <w:rPr>
                                  <w:rFonts w:ascii="Calibri Light" w:hAnsi="Calibri Light" w:cs="Calibri Light"/>
                                  <w:color w:val="000000"/>
                                  <w:sz w:val="18"/>
                                </w:rPr>
                                <w:tab/>
                              </w:r>
                              <w:r w:rsidRPr="00CA5E1E">
                                <w:rPr>
                                  <w:rFonts w:ascii="Calibri Light" w:hAnsi="Calibri Light" w:cs="Calibri Light"/>
                                  <w:color w:val="000000"/>
                                  <w:sz w:val="18"/>
                                </w:rPr>
                                <w:tab/>
                                <w:t>(n = 19)</w:t>
                              </w:r>
                            </w:p>
                            <w:p w14:paraId="70285B50"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Google Scholar</w:t>
                              </w:r>
                              <w:r w:rsidRPr="00CA5E1E">
                                <w:rPr>
                                  <w:rFonts w:ascii="Calibri Light" w:hAnsi="Calibri Light" w:cs="Calibri Light"/>
                                  <w:color w:val="000000"/>
                                  <w:sz w:val="18"/>
                                </w:rPr>
                                <w:tab/>
                                <w:t>(n = 49)</w:t>
                              </w:r>
                            </w:p>
                          </w:txbxContent>
                        </wps:txbx>
                        <wps:bodyPr rot="0" vert="horz" wrap="square" lIns="91440" tIns="45720" rIns="91440" bIns="45720" anchor="ctr" anchorCtr="0" upright="1">
                          <a:noAutofit/>
                        </wps:bodyPr>
                      </wps:wsp>
                      <wps:wsp>
                        <wps:cNvPr id="27" name="Straight Arrow Connector 14"/>
                        <wps:cNvCnPr>
                          <a:cxnSpLocks noChangeShapeType="1"/>
                        </wps:cNvCnPr>
                        <wps:spPr bwMode="auto">
                          <a:xfrm>
                            <a:off x="2357374" y="958794"/>
                            <a:ext cx="563270" cy="0"/>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Straight Arrow Connector 15"/>
                        <wps:cNvCnPr>
                          <a:cxnSpLocks noChangeShapeType="1"/>
                        </wps:cNvCnPr>
                        <wps:spPr bwMode="auto">
                          <a:xfrm>
                            <a:off x="2357374" y="2135587"/>
                            <a:ext cx="563245" cy="0"/>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Straight Arrow Connector 16"/>
                        <wps:cNvCnPr>
                          <a:cxnSpLocks noChangeShapeType="1"/>
                        </wps:cNvCnPr>
                        <wps:spPr bwMode="auto">
                          <a:xfrm>
                            <a:off x="2365325" y="2978426"/>
                            <a:ext cx="563245" cy="0"/>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Straight Arrow Connector 17"/>
                        <wps:cNvCnPr>
                          <a:cxnSpLocks noChangeShapeType="1"/>
                        </wps:cNvCnPr>
                        <wps:spPr bwMode="auto">
                          <a:xfrm>
                            <a:off x="2373277" y="3805361"/>
                            <a:ext cx="563245" cy="0"/>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Flowchart: Alternate Process 29"/>
                        <wps:cNvSpPr>
                          <a:spLocks noChangeArrowheads="1"/>
                        </wps:cNvSpPr>
                        <wps:spPr bwMode="auto">
                          <a:xfrm>
                            <a:off x="464964" y="0"/>
                            <a:ext cx="4345229" cy="262966"/>
                          </a:xfrm>
                          <a:prstGeom prst="flowChartAlternateProcess">
                            <a:avLst/>
                          </a:prstGeom>
                          <a:solidFill>
                            <a:srgbClr val="8064A2"/>
                          </a:solidFill>
                          <a:ln w="25400" algn="ctr">
                            <a:solidFill>
                              <a:srgbClr val="5C4776"/>
                            </a:solidFill>
                            <a:miter lim="800000"/>
                            <a:headEnd/>
                            <a:tailEnd/>
                          </a:ln>
                        </wps:spPr>
                        <wps:txbx>
                          <w:txbxContent>
                            <w:p w14:paraId="646FCE4C" w14:textId="77777777" w:rsidR="0083227B" w:rsidRPr="00CA5E1E" w:rsidRDefault="0083227B" w:rsidP="0083227B">
                              <w:pPr>
                                <w:jc w:val="center"/>
                                <w:rPr>
                                  <w:rFonts w:ascii="Calibri Light" w:hAnsi="Calibri Light" w:cs="Calibri Light"/>
                                  <w:b/>
                                  <w:color w:val="000000"/>
                                  <w:sz w:val="16"/>
                                  <w:szCs w:val="16"/>
                                </w:rPr>
                              </w:pPr>
                              <w:r w:rsidRPr="00CA5E1E">
                                <w:rPr>
                                  <w:rFonts w:ascii="Calibri Light" w:hAnsi="Calibri Light" w:cs="Calibri Light"/>
                                  <w:b/>
                                  <w:color w:val="000000"/>
                                  <w:sz w:val="16"/>
                                  <w:szCs w:val="16"/>
                                </w:rPr>
                                <w:t>Identification of studies via databases Publish or Perish</w:t>
                              </w:r>
                            </w:p>
                          </w:txbxContent>
                        </wps:txbx>
                        <wps:bodyPr rot="0" vert="horz" wrap="square" lIns="91440" tIns="45720" rIns="91440" bIns="45720" anchor="ctr" anchorCtr="0" upright="1">
                          <a:noAutofit/>
                        </wps:bodyPr>
                      </wps:wsp>
                      <wps:wsp>
                        <wps:cNvPr id="32" name="Flowchart: Alternate Process 31"/>
                        <wps:cNvSpPr>
                          <a:spLocks noChangeArrowheads="1"/>
                        </wps:cNvSpPr>
                        <wps:spPr bwMode="auto">
                          <a:xfrm rot="-5400000">
                            <a:off x="-505578" y="834403"/>
                            <a:ext cx="1276985" cy="262890"/>
                          </a:xfrm>
                          <a:prstGeom prst="flowChartAlternateProcess">
                            <a:avLst/>
                          </a:prstGeom>
                          <a:solidFill>
                            <a:srgbClr val="93CDDD"/>
                          </a:solidFill>
                          <a:ln w="25400" algn="ctr">
                            <a:solidFill>
                              <a:srgbClr val="000000"/>
                            </a:solidFill>
                            <a:miter lim="800000"/>
                            <a:headEnd/>
                            <a:tailEnd/>
                          </a:ln>
                        </wps:spPr>
                        <wps:txbx>
                          <w:txbxContent>
                            <w:p w14:paraId="2A1D17CC" w14:textId="77777777" w:rsidR="0083227B" w:rsidRPr="00CA5E1E" w:rsidRDefault="0083227B" w:rsidP="0083227B">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Identification</w:t>
                              </w:r>
                            </w:p>
                          </w:txbxContent>
                        </wps:txbx>
                        <wps:bodyPr rot="0" vert="vert270" wrap="square" lIns="91440" tIns="45720" rIns="91440" bIns="45720" anchor="ctr" anchorCtr="0" upright="1">
                          <a:noAutofit/>
                        </wps:bodyPr>
                      </wps:wsp>
                      <wps:wsp>
                        <wps:cNvPr id="33" name="Flowchart: Alternate Process 32"/>
                        <wps:cNvSpPr>
                          <a:spLocks noChangeArrowheads="1"/>
                        </wps:cNvSpPr>
                        <wps:spPr bwMode="auto">
                          <a:xfrm rot="-5400000">
                            <a:off x="-1262223" y="3139012"/>
                            <a:ext cx="2787335" cy="262890"/>
                          </a:xfrm>
                          <a:prstGeom prst="flowChartAlternateProcess">
                            <a:avLst/>
                          </a:prstGeom>
                          <a:solidFill>
                            <a:srgbClr val="93CDDD"/>
                          </a:solidFill>
                          <a:ln w="25400" algn="ctr">
                            <a:solidFill>
                              <a:srgbClr val="000000"/>
                            </a:solidFill>
                            <a:miter lim="800000"/>
                            <a:headEnd/>
                            <a:tailEnd/>
                          </a:ln>
                        </wps:spPr>
                        <wps:txbx>
                          <w:txbxContent>
                            <w:p w14:paraId="1D6963F2" w14:textId="77777777" w:rsidR="0083227B" w:rsidRPr="00CA5E1E" w:rsidRDefault="0083227B" w:rsidP="0083227B">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Screening</w:t>
                              </w:r>
                            </w:p>
                            <w:p w14:paraId="6F2C04A4" w14:textId="77777777" w:rsidR="0083227B" w:rsidRPr="00CA5E1E" w:rsidRDefault="0083227B" w:rsidP="0083227B">
                              <w:pPr>
                                <w:rPr>
                                  <w:rFonts w:ascii="Calibri Light" w:hAnsi="Calibri Light" w:cs="Calibri Light"/>
                                  <w:b/>
                                  <w:color w:val="000000"/>
                                  <w:sz w:val="18"/>
                                  <w:szCs w:val="18"/>
                                </w:rPr>
                              </w:pPr>
                            </w:p>
                          </w:txbxContent>
                        </wps:txbx>
                        <wps:bodyPr rot="0" vert="vert270" wrap="square" lIns="91440" tIns="45720" rIns="91440" bIns="45720" anchor="ctr" anchorCtr="0" upright="1">
                          <a:noAutofit/>
                        </wps:bodyPr>
                      </wps:wsp>
                      <wps:wsp>
                        <wps:cNvPr id="34" name="Flowchart: Alternate Process 33"/>
                        <wps:cNvSpPr>
                          <a:spLocks noChangeArrowheads="1"/>
                        </wps:cNvSpPr>
                        <wps:spPr bwMode="auto">
                          <a:xfrm rot="-5400000">
                            <a:off x="-295916" y="5104585"/>
                            <a:ext cx="881142" cy="262890"/>
                          </a:xfrm>
                          <a:prstGeom prst="flowChartAlternateProcess">
                            <a:avLst/>
                          </a:prstGeom>
                          <a:solidFill>
                            <a:srgbClr val="93CDDD"/>
                          </a:solidFill>
                          <a:ln w="25400" algn="ctr">
                            <a:solidFill>
                              <a:srgbClr val="000000"/>
                            </a:solidFill>
                            <a:miter lim="800000"/>
                            <a:headEnd/>
                            <a:tailEnd/>
                          </a:ln>
                        </wps:spPr>
                        <wps:txbx>
                          <w:txbxContent>
                            <w:p w14:paraId="4E9F66FE" w14:textId="77777777" w:rsidR="0083227B" w:rsidRPr="00CA5E1E" w:rsidRDefault="0083227B" w:rsidP="0083227B">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Included</w:t>
                              </w:r>
                            </w:p>
                          </w:txbxContent>
                        </wps:txbx>
                        <wps:bodyPr rot="0" vert="vert270" wrap="square" lIns="91440" tIns="45720" rIns="91440" bIns="45720" anchor="ctr" anchorCtr="0" upright="1">
                          <a:noAutofit/>
                        </wps:bodyPr>
                      </wps:wsp>
                      <wps:wsp>
                        <wps:cNvPr id="35" name="Straight Arrow Connector 27"/>
                        <wps:cNvCnPr>
                          <a:cxnSpLocks noChangeShapeType="1"/>
                        </wps:cNvCnPr>
                        <wps:spPr bwMode="auto">
                          <a:xfrm>
                            <a:off x="1304489" y="1590261"/>
                            <a:ext cx="0" cy="281305"/>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Straight Arrow Connector 35"/>
                        <wps:cNvCnPr>
                          <a:cxnSpLocks noChangeShapeType="1"/>
                        </wps:cNvCnPr>
                        <wps:spPr bwMode="auto">
                          <a:xfrm>
                            <a:off x="1304489" y="2417196"/>
                            <a:ext cx="0" cy="281305"/>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Straight Arrow Connector 36"/>
                        <wps:cNvCnPr>
                          <a:cxnSpLocks noChangeShapeType="1"/>
                        </wps:cNvCnPr>
                        <wps:spPr bwMode="auto">
                          <a:xfrm>
                            <a:off x="1312440" y="3228229"/>
                            <a:ext cx="0" cy="281305"/>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Straight Arrow Connector 19"/>
                        <wps:cNvCnPr>
                          <a:cxnSpLocks noChangeShapeType="1"/>
                        </wps:cNvCnPr>
                        <wps:spPr bwMode="auto">
                          <a:xfrm>
                            <a:off x="1304489" y="4055165"/>
                            <a:ext cx="0" cy="746151"/>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08122D7D" id="Group 10" o:spid="_x0000_s1026" style="width:372.05pt;height:407.95pt;mso-position-horizontal-relative:char;mso-position-vertical-relative:line" coordsize="48488,567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">
                <v:rect id="Rectangle 3" o:spid="_x0000_s1027" style="position:absolute;left:4570;top:3498;width:18872;height:12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" filled="f" strokeweight="2pt">
                  <v:textbox>
                    <w:txbxContent>
                      <w:p w14:paraId="047979E8"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Records identified from databases</w:t>
                        </w:r>
                      </w:p>
                      <w:p w14:paraId="43467D3E"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Scopus</w:t>
                        </w:r>
                        <w:r w:rsidRPr="00CA5E1E">
                          <w:rPr>
                            <w:rFonts w:ascii="Calibri Light" w:hAnsi="Calibri Light" w:cs="Calibri Light"/>
                            <w:color w:val="000000"/>
                            <w:sz w:val="18"/>
                          </w:rPr>
                          <w:tab/>
                        </w:r>
                        <w:r w:rsidRPr="00CA5E1E">
                          <w:rPr>
                            <w:rFonts w:ascii="Calibri Light" w:hAnsi="Calibri Light" w:cs="Calibri Light"/>
                            <w:color w:val="000000"/>
                            <w:sz w:val="18"/>
                          </w:rPr>
                          <w:tab/>
                          <w:t>: (n = 15)</w:t>
                        </w:r>
                      </w:p>
                      <w:p w14:paraId="023F83B3"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WOS</w:t>
                        </w:r>
                        <w:r w:rsidRPr="00CA5E1E">
                          <w:rPr>
                            <w:rFonts w:ascii="Calibri Light" w:hAnsi="Calibri Light" w:cs="Calibri Light"/>
                            <w:color w:val="000000"/>
                            <w:sz w:val="18"/>
                          </w:rPr>
                          <w:tab/>
                        </w:r>
                        <w:r w:rsidRPr="00CA5E1E">
                          <w:rPr>
                            <w:rFonts w:ascii="Calibri Light" w:hAnsi="Calibri Light" w:cs="Calibri Light"/>
                            <w:color w:val="000000"/>
                            <w:sz w:val="18"/>
                          </w:rPr>
                          <w:tab/>
                          <w:t>: (n = 5)</w:t>
                        </w:r>
                      </w:p>
                      <w:p w14:paraId="59AC2B24"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Google Scholar</w:t>
                        </w:r>
                        <w:r w:rsidRPr="00CA5E1E">
                          <w:rPr>
                            <w:rFonts w:ascii="Calibri Light" w:hAnsi="Calibri Light" w:cs="Calibri Light"/>
                            <w:color w:val="000000"/>
                            <w:sz w:val="18"/>
                          </w:rPr>
                          <w:tab/>
                          <w:t>: (n = 682)</w:t>
                        </w:r>
                      </w:p>
                      <w:p w14:paraId="3CFFD800" w14:textId="77777777" w:rsidR="0083227B" w:rsidRPr="00CA5E1E" w:rsidRDefault="0083227B" w:rsidP="0083227B">
                        <w:pPr>
                          <w:rPr>
                            <w:rFonts w:ascii="Calibri Light" w:hAnsi="Calibri Light" w:cs="Calibri Light"/>
                            <w:color w:val="000000"/>
                            <w:sz w:val="18"/>
                          </w:rPr>
                        </w:pPr>
                      </w:p>
                      <w:p w14:paraId="3E0E5343" w14:textId="77777777" w:rsidR="0083227B" w:rsidRPr="00CA5E1E" w:rsidRDefault="0083227B" w:rsidP="0083227B">
                        <w:pPr>
                          <w:rPr>
                            <w:rFonts w:ascii="Calibri Light" w:hAnsi="Calibri Light" w:cs="Calibri Light"/>
                            <w:color w:val="000000"/>
                            <w:sz w:val="18"/>
                          </w:rPr>
                        </w:pPr>
                      </w:p>
                    </w:txbxContent>
                  </v:textbox>
                </v:rect>
                <v:rect id="Rectangle 2" o:spid="_x0000_s1028" style="position:absolute;left:29378;top:3498;width:18872;height:12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" filled="f" strokeweight="2pt">
                  <v:textbox>
                    <w:txbxContent>
                      <w:p w14:paraId="23D2407D"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 xml:space="preserve">Records removed </w:t>
                        </w:r>
                        <w:r w:rsidRPr="00CA5E1E">
                          <w:rPr>
                            <w:rFonts w:ascii="Calibri Light" w:hAnsi="Calibri Light" w:cs="Calibri Light"/>
                            <w:i/>
                            <w:iCs/>
                            <w:color w:val="000000"/>
                            <w:sz w:val="18"/>
                          </w:rPr>
                          <w:t>before screening</w:t>
                        </w:r>
                        <w:r w:rsidRPr="00CA5E1E">
                          <w:rPr>
                            <w:rFonts w:ascii="Calibri Light" w:hAnsi="Calibri Light" w:cs="Calibri Light"/>
                            <w:color w:val="000000"/>
                            <w:sz w:val="18"/>
                          </w:rPr>
                          <w:t>:</w:t>
                        </w:r>
                      </w:p>
                      <w:p w14:paraId="5400B481" w14:textId="77777777" w:rsidR="0083227B" w:rsidRPr="00CA5E1E" w:rsidRDefault="0083227B" w:rsidP="0083227B">
                        <w:pPr>
                          <w:ind w:left="284"/>
                          <w:rPr>
                            <w:rFonts w:ascii="Calibri Light" w:hAnsi="Calibri Light" w:cs="Calibri Light"/>
                            <w:color w:val="000000"/>
                            <w:sz w:val="18"/>
                          </w:rPr>
                        </w:pPr>
                        <w:r w:rsidRPr="00CA5E1E">
                          <w:rPr>
                            <w:rFonts w:ascii="Calibri Light" w:hAnsi="Calibri Light" w:cs="Calibri Light"/>
                            <w:color w:val="000000"/>
                            <w:sz w:val="18"/>
                          </w:rPr>
                          <w:t>Records removed for other reasons (n = 39)</w:t>
                        </w:r>
                      </w:p>
                    </w:txbxContent>
                  </v:textbox>
                </v:rect>
                <v:rect id="Rectangle 4" o:spid="_x0000_s1029" style="position:absolute;left:4570;top:18765;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" filled="f" strokeweight="2pt">
                  <v:textbox>
                    <w:txbxContent>
                      <w:p w14:paraId="59E7B991"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Records screened</w:t>
                        </w:r>
                      </w:p>
                      <w:p w14:paraId="29C6CCF7"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663)</w:t>
                        </w:r>
                      </w:p>
                    </w:txbxContent>
                  </v:textbox>
                </v:rect>
                <v:rect id="Rectangle 5" o:spid="_x0000_s1030" style="position:absolute;left:29457;top:18765;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" filled="f" strokeweight="2pt">
                  <v:textbox>
                    <w:txbxContent>
                      <w:p w14:paraId="1321659C"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Records excluded**</w:t>
                        </w:r>
                      </w:p>
                      <w:p w14:paraId="0343C0A8"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297)</w:t>
                        </w:r>
                      </w:p>
                    </w:txbxContent>
                  </v:textbox>
                </v:rect>
                <v:rect id="Rectangle 6" o:spid="_x0000_s1031" style="position:absolute;left:4649;top:27034;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" filled="f" strokeweight="2pt">
                  <v:textbox>
                    <w:txbxContent>
                      <w:p w14:paraId="6B709445"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Reports sought for retrieval</w:t>
                        </w:r>
                      </w:p>
                      <w:p w14:paraId="58F5102E"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366)</w:t>
                        </w:r>
                      </w:p>
                    </w:txbxContent>
                  </v:textbox>
                </v:rect>
                <v:rect id="_x0000_s1032" style="position:absolute;left:29457;top:27272;width:18872;height:52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" filled="f" strokeweight="2pt">
                  <v:textbox>
                    <w:txbxContent>
                      <w:p w14:paraId="14318F1B"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Reports not retrieved</w:t>
                        </w:r>
                      </w:p>
                      <w:p w14:paraId="4C4BB7D4"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152)</w:t>
                        </w:r>
                      </w:p>
                    </w:txbxContent>
                  </v:textbox>
                </v:rect>
                <v:rect id="_x0000_s1033" style="position:absolute;left:4649;top:35224;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" filled="f" strokeweight="2pt">
                  <v:textbox>
                    <w:txbxContent>
                      <w:p w14:paraId="71B50919"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Reports assessed for eligibility</w:t>
                        </w:r>
                      </w:p>
                      <w:p w14:paraId="492AEE08"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214)</w:t>
                        </w:r>
                      </w:p>
                    </w:txbxContent>
                  </v:textbox>
                </v:rect>
                <v:rect id="Rectangle 9" o:spid="_x0000_s1034" style="position:absolute;left:29616;top:35220;width:18872;height:5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" filled="f" strokeweight="2pt">
                  <v:textbox>
                    <w:txbxContent>
                      <w:p w14:paraId="3A90B568"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Reports excluded: (n = 124)</w:t>
                        </w:r>
                      </w:p>
                    </w:txbxContent>
                  </v:textbox>
                </v:rect>
                <v:rect id="Rectangle 13" o:spid="_x0000_s1035" style="position:absolute;left:4411;top:48180;width:18872;height:82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" filled="f" strokeweight="2pt">
                  <v:textbox>
                    <w:txbxContent>
                      <w:p w14:paraId="06CAF11D"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Studies included in review : (n = 68)</w:t>
                        </w:r>
                      </w:p>
                      <w:p w14:paraId="3290981D"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Scopus</w:t>
                        </w:r>
                        <w:r w:rsidRPr="00CA5E1E">
                          <w:rPr>
                            <w:rFonts w:ascii="Calibri Light" w:hAnsi="Calibri Light" w:cs="Calibri Light"/>
                            <w:color w:val="000000"/>
                            <w:sz w:val="18"/>
                          </w:rPr>
                          <w:tab/>
                        </w:r>
                        <w:r w:rsidRPr="00CA5E1E">
                          <w:rPr>
                            <w:rFonts w:ascii="Calibri Light" w:hAnsi="Calibri Light" w:cs="Calibri Light"/>
                            <w:color w:val="000000"/>
                            <w:sz w:val="18"/>
                          </w:rPr>
                          <w:tab/>
                          <w:t>(n = 19)</w:t>
                        </w:r>
                      </w:p>
                      <w:p w14:paraId="70285B50"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Google Scholar</w:t>
                        </w:r>
                        <w:r w:rsidRPr="00CA5E1E">
                          <w:rPr>
                            <w:rFonts w:ascii="Calibri Light" w:hAnsi="Calibri Light" w:cs="Calibri Light"/>
                            <w:color w:val="000000"/>
                            <w:sz w:val="18"/>
                          </w:rPr>
                          <w:tab/>
                          <w:t>(n = 49)</w:t>
                        </w:r>
                      </w:p>
                    </w:txbxContent>
                  </v:textbox>
                </v:rect>
                <v:shapetype id="_x0000_t32" coordsize="21600,21600" o:spt="32" o:oned="t" path="m,l21600,21600e" filled="f">
                  <v:path arrowok="t" fillok="f" o:connecttype="none"/>
                  <o:lock v:ext="edit" shapetype="t"/>
                </v:shapetype>
                <v:shape id="Straight Arrow Connector 14" o:spid="_x0000_s1036" type="#_x0000_t32" style="position:absolute;left:23573;top:9587;width:56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">
                  <v:stroke endarrow="block"/>
                </v:shape>
                <v:shape id="Straight Arrow Connector 15" o:spid="_x0000_s1037" type="#_x0000_t32" style="position:absolute;left:23573;top:21355;width:56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">
                  <v:stroke endarrow="block"/>
                </v:shape>
                <v:shape id="Straight Arrow Connector 16" o:spid="_x0000_s1038" type="#_x0000_t32" style="position:absolute;left:23653;top:29784;width:56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">
                  <v:stroke endarrow="block"/>
                </v:shape>
                <v:shape id="Straight Arrow Connector 17" o:spid="_x0000_s1039" type="#_x0000_t32" style="position:absolute;left:23732;top:38053;width:56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LQZwQAAANsAAAAPAAAAZHJzL2Rvd25yZXYueG1sRE/LisIw&#10;FN0L8w/hDrjT1BFE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JS0tBnBAAAA2wAAAA8AAAAA&#10;AAAAAAAAAAAABwIAAGRycy9kb3ducmV2LnhtbFBLBQYAAAAAAwADALcAAAD1AgAAAAA=&#10;">
                  <v:stroke endarrow="block"/>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29" o:spid="_x0000_s1040" type="#_x0000_t176" style="position:absolute;left:4649;width:43452;height:2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" fillcolor="#8064a2" strokecolor="#5c4776" strokeweight="2pt">
                  <v:textbox>
                    <w:txbxContent>
                      <w:p w14:paraId="646FCE4C" w14:textId="77777777" w:rsidR="0083227B" w:rsidRPr="00CA5E1E" w:rsidRDefault="0083227B" w:rsidP="0083227B">
                        <w:pPr>
                          <w:jc w:val="center"/>
                          <w:rPr>
                            <w:rFonts w:ascii="Calibri Light" w:hAnsi="Calibri Light" w:cs="Calibri Light"/>
                            <w:b/>
                            <w:color w:val="000000"/>
                            <w:sz w:val="16"/>
                            <w:szCs w:val="16"/>
                          </w:rPr>
                        </w:pPr>
                        <w:r w:rsidRPr="00CA5E1E">
                          <w:rPr>
                            <w:rFonts w:ascii="Calibri Light" w:hAnsi="Calibri Light" w:cs="Calibri Light"/>
                            <w:b/>
                            <w:color w:val="000000"/>
                            <w:sz w:val="16"/>
                            <w:szCs w:val="16"/>
                          </w:rPr>
                          <w:t>Identification of studies via databases Publish or Perish</w:t>
                        </w:r>
                      </w:p>
                    </w:txbxContent>
                  </v:textbox>
                </v:shape>
                <v:shape id="Flowchart: Alternate Process 31" o:spid="_x0000_s1041" type="#_x0000_t176" style="position:absolute;left:-5056;top:8343;width:12770;height:262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" fillcolor="#93cddd" strokeweight="2pt">
                  <v:textbox style="layout-flow:vertical;mso-layout-flow-alt:bottom-to-top">
                    <w:txbxContent>
                      <w:p w14:paraId="2A1D17CC" w14:textId="77777777" w:rsidR="0083227B" w:rsidRPr="00CA5E1E" w:rsidRDefault="0083227B" w:rsidP="0083227B">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Identification</w:t>
                        </w:r>
                      </w:p>
                    </w:txbxContent>
                  </v:textbox>
                </v:shape>
                <v:shape id="Flowchart: Alternate Process 32" o:spid="_x0000_s1042" type="#_x0000_t176" style="position:absolute;left:-12623;top:31390;width:27874;height:262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" fillcolor="#93cddd" strokeweight="2pt">
                  <v:textbox style="layout-flow:vertical;mso-layout-flow-alt:bottom-to-top">
                    <w:txbxContent>
                      <w:p w14:paraId="1D6963F2" w14:textId="77777777" w:rsidR="0083227B" w:rsidRPr="00CA5E1E" w:rsidRDefault="0083227B" w:rsidP="0083227B">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Screening</w:t>
                        </w:r>
                      </w:p>
                      <w:p w14:paraId="6F2C04A4" w14:textId="77777777" w:rsidR="0083227B" w:rsidRPr="00CA5E1E" w:rsidRDefault="0083227B" w:rsidP="0083227B">
                        <w:pPr>
                          <w:rPr>
                            <w:rFonts w:ascii="Calibri Light" w:hAnsi="Calibri Light" w:cs="Calibri Light"/>
                            <w:b/>
                            <w:color w:val="000000"/>
                            <w:sz w:val="18"/>
                            <w:szCs w:val="18"/>
                          </w:rPr>
                        </w:pPr>
                      </w:p>
                    </w:txbxContent>
                  </v:textbox>
                </v:shape>
                <v:shape id="Flowchart: Alternate Process 33" o:spid="_x0000_s1043" type="#_x0000_t176" style="position:absolute;left:-2959;top:51045;width:8812;height:262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" fillcolor="#93cddd" strokeweight="2pt">
                  <v:textbox style="layout-flow:vertical;mso-layout-flow-alt:bottom-to-top">
                    <w:txbxContent>
                      <w:p w14:paraId="4E9F66FE" w14:textId="77777777" w:rsidR="0083227B" w:rsidRPr="00CA5E1E" w:rsidRDefault="0083227B" w:rsidP="0083227B">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Included</w:t>
                        </w:r>
                      </w:p>
                    </w:txbxContent>
                  </v:textbox>
                </v:shape>
                <v:shape id="Straight Arrow Connector 27" o:spid="_x0000_s1044" type="#_x0000_t32" style="position:absolute;left:13044;top:15902;width:0;height:28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">
                  <v:stroke endarrow="block"/>
                </v:shape>
                <v:shape id="Straight Arrow Connector 35" o:spid="_x0000_s1045" type="#_x0000_t32" style="position:absolute;left:13044;top:24171;width:0;height:28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">
                  <v:stroke endarrow="block"/>
                </v:shape>
                <v:shape id="Straight Arrow Connector 36" o:spid="_x0000_s1046" type="#_x0000_t32" style="position:absolute;left:13124;top:32282;width:0;height:28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sdkwQAAANsAAAAPAAAAZHJzL2Rvd25yZXYueG1sRE/LisIw&#10;FN0L8w/hDrjT1EFE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Myyx2TBAAAA2wAAAA8AAAAA&#10;AAAAAAAAAAAABwIAAGRycy9kb3ducmV2LnhtbFBLBQYAAAAAAwADALcAAAD1AgAAAAA=&#10;">
                  <v:stroke endarrow="block"/>
                </v:shape>
                <v:shape id="Straight Arrow Connector 19" o:spid="_x0000_s1047" type="#_x0000_t32" style="position:absolute;left:13044;top:40551;width:0;height:74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">
                  <v:stroke endarrow="block"/>
                </v:shape>
                <w10:anchorlock/>
              </v:group>
            </w:pict>
          </mc:Fallback>
        </mc:AlternateContent>
      </w:r>
    </w:p>
    <w:p w14:paraId="6BF956D4" w14:textId="77777777" w:rsidR="0083227B" w:rsidRDefault="0083227B" w:rsidP="0083227B">
      <w:pPr>
        <w:spacing w:before="120" w:after="120"/>
        <w:ind w:left="426"/>
        <w:jc w:val="both"/>
        <w:rPr>
          <w:rFonts w:ascii="Calibri Light" w:hAnsi="Calibri Light" w:cs="Calibri Light"/>
          <w:sz w:val="24"/>
          <w:szCs w:val="24"/>
        </w:rPr>
      </w:pPr>
    </w:p>
    <w:p w14:paraId="5784E997" w14:textId="77777777" w:rsidR="0083227B" w:rsidRDefault="0083227B" w:rsidP="0083227B">
      <w:pPr>
        <w:spacing w:before="120" w:after="120"/>
        <w:ind w:left="426"/>
        <w:jc w:val="both"/>
        <w:rPr>
          <w:rFonts w:ascii="Calibri Light" w:hAnsi="Calibri Light" w:cs="Calibri Light"/>
          <w:sz w:val="24"/>
          <w:szCs w:val="24"/>
        </w:rPr>
      </w:pPr>
    </w:p>
    <w:p w14:paraId="21023952" w14:textId="77777777" w:rsidR="0083227B" w:rsidRDefault="0083227B" w:rsidP="0083227B">
      <w:pPr>
        <w:spacing w:before="120" w:after="120"/>
        <w:ind w:left="426"/>
        <w:jc w:val="both"/>
        <w:rPr>
          <w:rFonts w:ascii="Calibri Light" w:hAnsi="Calibri Light" w:cs="Calibri Light"/>
          <w:sz w:val="24"/>
          <w:szCs w:val="24"/>
        </w:rPr>
      </w:pPr>
    </w:p>
    <w:p w14:paraId="6D5DD51B" w14:textId="77777777" w:rsidR="0083227B" w:rsidRDefault="0083227B" w:rsidP="0083227B">
      <w:pPr>
        <w:spacing w:before="120" w:after="120"/>
        <w:ind w:left="426"/>
        <w:jc w:val="both"/>
        <w:rPr>
          <w:rFonts w:ascii="Calibri Light" w:hAnsi="Calibri Light" w:cs="Calibri Light"/>
          <w:sz w:val="24"/>
          <w:szCs w:val="24"/>
        </w:rPr>
      </w:pPr>
    </w:p>
    <w:p w14:paraId="43C5503D" w14:textId="77777777" w:rsidR="0083227B" w:rsidRDefault="0083227B" w:rsidP="0083227B">
      <w:pPr>
        <w:spacing w:before="120" w:after="120"/>
        <w:ind w:left="426"/>
        <w:jc w:val="both"/>
        <w:rPr>
          <w:rFonts w:ascii="Calibri Light" w:hAnsi="Calibri Light" w:cs="Calibri Light"/>
          <w:sz w:val="24"/>
          <w:szCs w:val="24"/>
        </w:rPr>
      </w:pPr>
    </w:p>
    <w:p w14:paraId="03A40F80" w14:textId="77777777" w:rsidR="0083227B" w:rsidRDefault="0083227B" w:rsidP="0083227B">
      <w:pPr>
        <w:spacing w:before="120" w:after="120"/>
        <w:ind w:left="426"/>
        <w:jc w:val="both"/>
        <w:rPr>
          <w:rFonts w:ascii="Calibri Light" w:hAnsi="Calibri Light" w:cs="Calibri Light"/>
          <w:sz w:val="24"/>
          <w:szCs w:val="24"/>
        </w:rPr>
      </w:pPr>
    </w:p>
    <w:p w14:paraId="47F36516" w14:textId="77777777" w:rsidR="0083227B" w:rsidRDefault="0083227B" w:rsidP="0083227B">
      <w:pPr>
        <w:spacing w:before="120" w:after="120"/>
        <w:ind w:left="426"/>
        <w:jc w:val="both"/>
        <w:rPr>
          <w:rFonts w:ascii="Calibri Light" w:hAnsi="Calibri Light" w:cs="Calibri Light"/>
          <w:sz w:val="24"/>
          <w:szCs w:val="24"/>
        </w:rPr>
      </w:pPr>
    </w:p>
    <w:p w14:paraId="5F79D0AF" w14:textId="77777777" w:rsidR="0083227B" w:rsidRDefault="0083227B" w:rsidP="0083227B">
      <w:pPr>
        <w:spacing w:before="120" w:after="120"/>
        <w:ind w:left="426"/>
        <w:jc w:val="both"/>
        <w:rPr>
          <w:rFonts w:ascii="Calibri Light" w:hAnsi="Calibri Light" w:cs="Calibri Light"/>
          <w:sz w:val="24"/>
          <w:szCs w:val="24"/>
        </w:rPr>
      </w:pPr>
    </w:p>
    <w:p w14:paraId="5F47C5A7" w14:textId="77777777" w:rsidR="0083227B" w:rsidRDefault="0083227B" w:rsidP="0083227B">
      <w:pPr>
        <w:spacing w:before="120" w:after="120"/>
        <w:ind w:left="426"/>
        <w:jc w:val="both"/>
        <w:rPr>
          <w:rFonts w:ascii="Calibri Light" w:hAnsi="Calibri Light" w:cs="Calibri Light"/>
          <w:sz w:val="24"/>
          <w:szCs w:val="24"/>
        </w:rPr>
      </w:pPr>
    </w:p>
    <w:p w14:paraId="5F769013" w14:textId="77777777" w:rsidR="0083227B" w:rsidRDefault="0083227B" w:rsidP="0083227B">
      <w:pPr>
        <w:spacing w:before="120" w:after="120"/>
        <w:ind w:left="426"/>
        <w:jc w:val="both"/>
        <w:rPr>
          <w:rFonts w:ascii="Calibri Light" w:hAnsi="Calibri Light" w:cs="Calibri Light"/>
          <w:sz w:val="24"/>
          <w:szCs w:val="24"/>
        </w:rPr>
      </w:pPr>
    </w:p>
    <w:p w14:paraId="62822522" w14:textId="77777777" w:rsidR="0083227B" w:rsidRDefault="0083227B" w:rsidP="0083227B">
      <w:pPr>
        <w:spacing w:before="120" w:after="120"/>
        <w:ind w:left="426"/>
        <w:jc w:val="both"/>
        <w:rPr>
          <w:rFonts w:ascii="Calibri Light" w:hAnsi="Calibri Light" w:cs="Calibri Light"/>
          <w:sz w:val="24"/>
          <w:szCs w:val="24"/>
        </w:rPr>
      </w:pPr>
    </w:p>
    <w:p w14:paraId="35D76956" w14:textId="77777777" w:rsidR="0083227B" w:rsidRDefault="0083227B" w:rsidP="0083227B">
      <w:pPr>
        <w:spacing w:before="120" w:after="120"/>
        <w:ind w:left="426"/>
        <w:jc w:val="both"/>
        <w:rPr>
          <w:rFonts w:ascii="Calibri Light" w:hAnsi="Calibri Light" w:cs="Calibri Light"/>
          <w:sz w:val="24"/>
          <w:szCs w:val="24"/>
        </w:rPr>
      </w:pPr>
    </w:p>
    <w:p w14:paraId="23F0D5DF" w14:textId="77777777" w:rsidR="0083227B" w:rsidRDefault="0083227B" w:rsidP="0083227B">
      <w:pPr>
        <w:spacing w:before="120" w:after="120"/>
        <w:ind w:left="426"/>
        <w:jc w:val="both"/>
        <w:rPr>
          <w:rFonts w:ascii="Calibri Light" w:hAnsi="Calibri Light" w:cs="Calibri Light"/>
          <w:sz w:val="24"/>
          <w:szCs w:val="24"/>
        </w:rPr>
      </w:pPr>
    </w:p>
    <w:p w14:paraId="69498661" w14:textId="77777777" w:rsidR="0083227B" w:rsidRDefault="0083227B" w:rsidP="0083227B">
      <w:pPr>
        <w:spacing w:before="120" w:after="120"/>
        <w:ind w:left="426"/>
        <w:jc w:val="both"/>
        <w:rPr>
          <w:rFonts w:ascii="Calibri Light" w:hAnsi="Calibri Light" w:cs="Calibri Light"/>
          <w:sz w:val="24"/>
          <w:szCs w:val="24"/>
        </w:rPr>
      </w:pPr>
    </w:p>
    <w:p w14:paraId="44B5242F" w14:textId="77777777" w:rsidR="0083227B" w:rsidRDefault="0083227B" w:rsidP="0083227B">
      <w:pPr>
        <w:spacing w:before="120" w:after="120"/>
        <w:ind w:left="426"/>
        <w:jc w:val="both"/>
        <w:rPr>
          <w:rFonts w:ascii="Calibri Light" w:hAnsi="Calibri Light" w:cs="Calibri Light"/>
          <w:sz w:val="24"/>
          <w:szCs w:val="24"/>
        </w:rPr>
      </w:pPr>
    </w:p>
    <w:p w14:paraId="7439FCF5" w14:textId="77777777" w:rsidR="0083227B" w:rsidRDefault="0083227B" w:rsidP="0083227B">
      <w:pPr>
        <w:spacing w:before="120" w:after="120"/>
        <w:ind w:left="426"/>
        <w:jc w:val="both"/>
        <w:rPr>
          <w:rFonts w:ascii="Calibri Light" w:hAnsi="Calibri Light" w:cs="Calibri Light"/>
          <w:sz w:val="24"/>
          <w:szCs w:val="24"/>
        </w:rPr>
      </w:pPr>
    </w:p>
    <w:p w14:paraId="6FAA33B2" w14:textId="77777777" w:rsidR="0083227B" w:rsidRDefault="0083227B" w:rsidP="0083227B">
      <w:pPr>
        <w:spacing w:before="120" w:after="120"/>
        <w:ind w:left="426"/>
        <w:jc w:val="both"/>
        <w:rPr>
          <w:rFonts w:ascii="Calibri Light" w:hAnsi="Calibri Light" w:cs="Calibri Light"/>
          <w:sz w:val="24"/>
          <w:szCs w:val="24"/>
        </w:rPr>
      </w:pPr>
    </w:p>
    <w:p w14:paraId="6F8E14B2" w14:textId="77777777" w:rsidR="0083227B" w:rsidRDefault="0083227B" w:rsidP="0083227B">
      <w:pPr>
        <w:spacing w:before="120" w:after="120"/>
        <w:ind w:left="426"/>
        <w:jc w:val="both"/>
        <w:rPr>
          <w:rFonts w:ascii="Calibri Light" w:hAnsi="Calibri Light" w:cs="Calibri Light"/>
          <w:sz w:val="24"/>
          <w:szCs w:val="24"/>
        </w:rPr>
      </w:pPr>
    </w:p>
    <w:p w14:paraId="38BCD332" w14:textId="77777777" w:rsidR="0083227B" w:rsidRDefault="0083227B" w:rsidP="0083227B">
      <w:pPr>
        <w:spacing w:before="120" w:after="120"/>
        <w:ind w:left="426"/>
        <w:jc w:val="both"/>
        <w:rPr>
          <w:rFonts w:ascii="Calibri Light" w:hAnsi="Calibri Light" w:cs="Calibri Light"/>
          <w:sz w:val="24"/>
          <w:szCs w:val="24"/>
        </w:rPr>
      </w:pPr>
    </w:p>
    <w:p w14:paraId="3EFEF99C" w14:textId="77777777" w:rsidR="0083227B" w:rsidRDefault="0083227B" w:rsidP="0083227B">
      <w:pPr>
        <w:spacing w:before="120" w:after="120"/>
        <w:ind w:left="426"/>
        <w:jc w:val="both"/>
        <w:rPr>
          <w:rFonts w:ascii="Calibri Light" w:hAnsi="Calibri Light" w:cs="Calibri Light"/>
          <w:sz w:val="24"/>
          <w:szCs w:val="24"/>
        </w:rPr>
      </w:pPr>
    </w:p>
    <w:p w14:paraId="56BAA458" w14:textId="77777777" w:rsidR="0083227B" w:rsidRDefault="0083227B" w:rsidP="0083227B">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 xml:space="preserve">From the results of the prism analysis, </w:t>
      </w:r>
      <w:commentRangeStart w:id="6"/>
      <w:r w:rsidRPr="0083227B">
        <w:rPr>
          <w:rFonts w:ascii="Calibri Light" w:hAnsi="Calibri Light" w:cs="Calibri Light"/>
          <w:sz w:val="24"/>
          <w:szCs w:val="24"/>
        </w:rPr>
        <w:t xml:space="preserve">the researcher obtained 88 appropriate and complete "full paper" articles with the final details, articles from Scopus 19 and Google Scholar 19, </w:t>
      </w:r>
      <w:proofErr w:type="spellStart"/>
      <w:r w:rsidRPr="0083227B">
        <w:rPr>
          <w:rFonts w:ascii="Calibri Light" w:hAnsi="Calibri Light" w:cs="Calibri Light"/>
          <w:sz w:val="24"/>
          <w:szCs w:val="24"/>
        </w:rPr>
        <w:t>totalling</w:t>
      </w:r>
      <w:proofErr w:type="spellEnd"/>
      <w:r w:rsidRPr="0083227B">
        <w:rPr>
          <w:rFonts w:ascii="Calibri Light" w:hAnsi="Calibri Light" w:cs="Calibri Light"/>
          <w:sz w:val="24"/>
          <w:szCs w:val="24"/>
        </w:rPr>
        <w:t xml:space="preserve"> 68 articles</w:t>
      </w:r>
      <w:commentRangeEnd w:id="6"/>
      <w:r w:rsidR="00CB6126">
        <w:rPr>
          <w:rStyle w:val="CommentReference"/>
        </w:rPr>
        <w:commentReference w:id="6"/>
      </w:r>
      <w:r w:rsidRPr="0083227B">
        <w:rPr>
          <w:rFonts w:ascii="Calibri Light" w:hAnsi="Calibri Light" w:cs="Calibri Light"/>
          <w:sz w:val="24"/>
          <w:szCs w:val="24"/>
        </w:rPr>
        <w:t>. Furthermore, the researcher will reveal the details and depth in the sub-chapter of the research results.</w:t>
      </w:r>
    </w:p>
    <w:p w14:paraId="513FB988" w14:textId="77777777" w:rsidR="0083227B" w:rsidRDefault="0083227B" w:rsidP="00334792">
      <w:pPr>
        <w:spacing w:before="120" w:after="120"/>
        <w:rPr>
          <w:rFonts w:ascii="Calibri Light" w:hAnsi="Calibri Light" w:cs="Calibri Light"/>
          <w:b/>
          <w:sz w:val="24"/>
          <w:szCs w:val="24"/>
          <w:lang w:val="id-ID"/>
        </w:rPr>
      </w:pPr>
    </w:p>
    <w:p w14:paraId="14BD7006"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p>
    <w:p w14:paraId="427F52F2" w14:textId="77777777" w:rsidR="0083227B" w:rsidRDefault="0083227B" w:rsidP="0083227B">
      <w:pPr>
        <w:spacing w:before="120" w:after="120"/>
        <w:ind w:left="440" w:right="-1" w:hanging="14"/>
        <w:jc w:val="both"/>
        <w:rPr>
          <w:rFonts w:ascii="Calibri Light" w:hAnsi="Calibri Light" w:cs="Calibri Light"/>
          <w:sz w:val="24"/>
          <w:szCs w:val="24"/>
        </w:rPr>
      </w:pPr>
      <w:r w:rsidRPr="0083227B">
        <w:rPr>
          <w:rFonts w:ascii="Calibri Light" w:hAnsi="Calibri Light" w:cs="Calibri Light"/>
          <w:sz w:val="24"/>
          <w:szCs w:val="24"/>
        </w:rPr>
        <w:t>The research results from the PRISMA analysis can be classified according to the research questions. how are the legal regulations governing Inclusive Education in Indonesia and other countries? What are the challenges of implementing Inclusive Education in Indonesia? From the research questions above, the researcher collected articles through the Zotero application and exported RIS data then from the RIS data collection, the researcher entered it into the Vos Viewers application to get a visualization of the relationship between 88 articles from the analysis results, in the image below:</w:t>
      </w:r>
    </w:p>
    <w:p w14:paraId="299DF3AB" w14:textId="3A208F50" w:rsidR="0083227B" w:rsidRDefault="000A2469" w:rsidP="0083227B">
      <w:pPr>
        <w:spacing w:before="120" w:after="120"/>
        <w:ind w:left="440" w:right="-1" w:hanging="14"/>
        <w:jc w:val="both"/>
        <w:rPr>
          <w:rFonts w:ascii="Calibri Light" w:hAnsi="Calibri Light" w:cs="Calibri Light"/>
          <w:sz w:val="24"/>
          <w:szCs w:val="24"/>
        </w:rPr>
      </w:pPr>
      <w:r>
        <w:rPr>
          <w:noProof/>
        </w:rPr>
        <w:drawing>
          <wp:inline distT="0" distB="0" distL="0" distR="0" wp14:anchorId="3C67BB39" wp14:editId="3DF3233C">
            <wp:extent cx="3215005" cy="2038350"/>
            <wp:effectExtent l="0" t="0" r="4445" b="0"/>
            <wp:docPr id="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15005" cy="2038350"/>
                    </a:xfrm>
                    <a:prstGeom prst="rect">
                      <a:avLst/>
                    </a:prstGeom>
                    <a:noFill/>
                    <a:ln>
                      <a:noFill/>
                    </a:ln>
                  </pic:spPr>
                </pic:pic>
              </a:graphicData>
            </a:graphic>
          </wp:inline>
        </w:drawing>
      </w:r>
    </w:p>
    <w:p w14:paraId="68B016A8" w14:textId="77777777" w:rsidR="0083227B" w:rsidRDefault="0083227B" w:rsidP="0083227B">
      <w:pPr>
        <w:pStyle w:val="ListParagraph"/>
        <w:spacing w:after="0" w:line="240" w:lineRule="auto"/>
        <w:ind w:left="284"/>
        <w:jc w:val="center"/>
        <w:rPr>
          <w:rFonts w:ascii="Calibri Light" w:hAnsi="Calibri Light" w:cs="Calibri Light"/>
          <w:sz w:val="24"/>
          <w:szCs w:val="24"/>
        </w:rPr>
      </w:pPr>
      <w:r w:rsidRPr="0083227B">
        <w:rPr>
          <w:rFonts w:ascii="Calibri Light" w:hAnsi="Calibri Light" w:cs="Calibri Light"/>
          <w:b/>
          <w:bCs/>
          <w:i/>
          <w:iCs/>
          <w:sz w:val="24"/>
          <w:szCs w:val="24"/>
        </w:rPr>
        <w:t>Figure 1:</w:t>
      </w:r>
      <w:r w:rsidRPr="0083227B">
        <w:rPr>
          <w:rFonts w:ascii="Calibri Light" w:hAnsi="Calibri Light" w:cs="Calibri Light"/>
          <w:sz w:val="24"/>
          <w:szCs w:val="24"/>
        </w:rPr>
        <w:t xml:space="preserve"> Relevance of research themes from the results of vosviewer visualization</w:t>
      </w:r>
    </w:p>
    <w:p w14:paraId="46621581" w14:textId="77777777" w:rsidR="0083227B" w:rsidRDefault="0083227B" w:rsidP="0083227B">
      <w:pPr>
        <w:spacing w:before="120" w:after="120"/>
        <w:ind w:left="440" w:right="-1" w:hanging="14"/>
        <w:jc w:val="both"/>
        <w:rPr>
          <w:rFonts w:ascii="Calibri Light" w:hAnsi="Calibri Light" w:cs="Calibri Light"/>
          <w:sz w:val="24"/>
          <w:szCs w:val="24"/>
        </w:rPr>
      </w:pPr>
      <w:r w:rsidRPr="0083227B">
        <w:rPr>
          <w:rFonts w:ascii="Calibri Light" w:hAnsi="Calibri Light" w:cs="Calibri Light"/>
          <w:sz w:val="24"/>
          <w:szCs w:val="24"/>
        </w:rPr>
        <w:t>Figure 1 shows the relationship between the many research results examining inclusive education policies and amendments directly studied in Indonesia. In addition, there is a relationship with several other countries that focus on studying inclusive education policies, such as Vietnam, the Philippines, and Finland. Meanwhile, if seen from the distribution of research publications in Figure 2</w:t>
      </w:r>
    </w:p>
    <w:p w14:paraId="3BDFD3F9" w14:textId="57CCCE6D" w:rsidR="0083227B" w:rsidRDefault="000A2469" w:rsidP="0083227B">
      <w:pPr>
        <w:spacing w:before="120" w:after="120"/>
        <w:ind w:left="440" w:right="-1" w:hanging="14"/>
        <w:jc w:val="both"/>
        <w:rPr>
          <w:rFonts w:ascii="Calibri Light" w:hAnsi="Calibri Light" w:cs="Calibri Light"/>
          <w:sz w:val="24"/>
          <w:szCs w:val="24"/>
        </w:rPr>
      </w:pPr>
      <w:r>
        <w:rPr>
          <w:noProof/>
        </w:rPr>
        <w:lastRenderedPageBreak/>
        <w:drawing>
          <wp:inline distT="0" distB="0" distL="0" distR="0" wp14:anchorId="728656FD" wp14:editId="58D1D485">
            <wp:extent cx="3359150" cy="21336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59150" cy="2133600"/>
                    </a:xfrm>
                    <a:prstGeom prst="rect">
                      <a:avLst/>
                    </a:prstGeom>
                    <a:noFill/>
                  </pic:spPr>
                </pic:pic>
              </a:graphicData>
            </a:graphic>
          </wp:inline>
        </w:drawing>
      </w:r>
      <w:r>
        <w:rPr>
          <w:noProof/>
        </w:rPr>
        <w:drawing>
          <wp:anchor distT="0" distB="0" distL="114300" distR="114300" simplePos="0" relativeHeight="251662336" behindDoc="0" locked="0" layoutInCell="1" allowOverlap="1" wp14:anchorId="26C42D96" wp14:editId="65780A05">
            <wp:simplePos x="0" y="0"/>
            <wp:positionH relativeFrom="margin">
              <wp:posOffset>2094230</wp:posOffset>
            </wp:positionH>
            <wp:positionV relativeFrom="paragraph">
              <wp:posOffset>9457690</wp:posOffset>
            </wp:positionV>
            <wp:extent cx="3364230" cy="2132330"/>
            <wp:effectExtent l="0" t="0" r="0" b="0"/>
            <wp:wrapNone/>
            <wp:docPr id="3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64230" cy="21323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4D3D6B2" w14:textId="77777777" w:rsidR="0083227B" w:rsidRDefault="0083227B" w:rsidP="0083227B">
      <w:pPr>
        <w:spacing w:before="120" w:after="120"/>
        <w:ind w:left="440" w:right="-1" w:hanging="14"/>
        <w:jc w:val="both"/>
        <w:rPr>
          <w:rFonts w:ascii="Calibri Light" w:hAnsi="Calibri Light" w:cs="Calibri Light"/>
          <w:sz w:val="24"/>
          <w:szCs w:val="24"/>
        </w:rPr>
      </w:pPr>
    </w:p>
    <w:p w14:paraId="116626AB" w14:textId="77777777" w:rsidR="0083227B" w:rsidRDefault="006C7F74" w:rsidP="006C7F74">
      <w:pPr>
        <w:spacing w:before="120" w:after="120"/>
        <w:ind w:right="-1"/>
        <w:jc w:val="center"/>
        <w:rPr>
          <w:rFonts w:ascii="Calibri Light" w:hAnsi="Calibri Light" w:cs="Calibri Light"/>
          <w:sz w:val="24"/>
          <w:szCs w:val="24"/>
        </w:rPr>
      </w:pPr>
      <w:r w:rsidRPr="006C7F74">
        <w:rPr>
          <w:rFonts w:ascii="Calibri Light" w:hAnsi="Calibri Light" w:cs="Calibri Light"/>
          <w:b/>
          <w:bCs/>
          <w:i/>
          <w:iCs/>
          <w:sz w:val="24"/>
          <w:szCs w:val="24"/>
        </w:rPr>
        <w:t>Figure 2:</w:t>
      </w:r>
      <w:r w:rsidRPr="006C7F74">
        <w:rPr>
          <w:rFonts w:ascii="Calibri Light" w:hAnsi="Calibri Light" w:cs="Calibri Light"/>
          <w:sz w:val="24"/>
          <w:szCs w:val="24"/>
        </w:rPr>
        <w:t xml:space="preserve"> distribution of research results based on year of publication</w:t>
      </w:r>
    </w:p>
    <w:p w14:paraId="16E62904" w14:textId="77777777" w:rsidR="0083227B" w:rsidRDefault="006C7F74" w:rsidP="0083227B">
      <w:pPr>
        <w:spacing w:before="120" w:after="120"/>
        <w:ind w:left="440" w:right="-1" w:hanging="14"/>
        <w:jc w:val="both"/>
        <w:rPr>
          <w:rFonts w:ascii="Calibri Light" w:hAnsi="Calibri Light" w:cs="Calibri Light"/>
          <w:sz w:val="24"/>
          <w:szCs w:val="24"/>
        </w:rPr>
      </w:pPr>
      <w:r w:rsidRPr="006C7F74">
        <w:rPr>
          <w:rFonts w:ascii="Calibri Light" w:hAnsi="Calibri Light" w:cs="Calibri Light"/>
          <w:sz w:val="24"/>
          <w:szCs w:val="24"/>
        </w:rPr>
        <w:t>Figure 2 shows that the published research results are dominated by the 2022-2024 period regarding inclusive education policies in Indonesia. Hence, the urgency of the study in this study is very relevant amidst the important issue of the government paying attention to decent education, starting from the legal basis, policies and implementation processes that meet the standards of facilities and infrastructure and educators (teachers) who are by their expertise, the researcher explains in more detail in the three sub-studies below</w:t>
      </w:r>
      <w:r>
        <w:rPr>
          <w:rFonts w:ascii="Calibri Light" w:hAnsi="Calibri Light" w:cs="Calibri Light"/>
          <w:sz w:val="24"/>
          <w:szCs w:val="24"/>
        </w:rPr>
        <w:t>.</w:t>
      </w:r>
    </w:p>
    <w:p w14:paraId="16C04F74" w14:textId="77777777" w:rsidR="006C7F74" w:rsidRDefault="006C7F74" w:rsidP="0083227B">
      <w:pPr>
        <w:spacing w:before="120" w:after="120"/>
        <w:ind w:left="440" w:right="-1" w:hanging="14"/>
        <w:jc w:val="both"/>
        <w:rPr>
          <w:rFonts w:ascii="Calibri Light" w:hAnsi="Calibri Light" w:cs="Calibri Light"/>
          <w:sz w:val="24"/>
          <w:szCs w:val="24"/>
        </w:rPr>
      </w:pPr>
    </w:p>
    <w:p w14:paraId="6AB4D62D" w14:textId="77777777" w:rsidR="0083227B" w:rsidRPr="006C7F74" w:rsidRDefault="006C7F74" w:rsidP="0083227B">
      <w:pPr>
        <w:spacing w:before="120" w:after="120"/>
        <w:ind w:left="440" w:right="-1" w:hanging="14"/>
        <w:jc w:val="both"/>
        <w:rPr>
          <w:rFonts w:ascii="Calibri Light" w:hAnsi="Calibri Light" w:cs="Calibri Light"/>
          <w:b/>
          <w:bCs/>
          <w:sz w:val="24"/>
          <w:szCs w:val="24"/>
        </w:rPr>
      </w:pPr>
      <w:r w:rsidRPr="006C7F74">
        <w:rPr>
          <w:rFonts w:ascii="Calibri Light" w:hAnsi="Calibri Light" w:cs="Calibri Light"/>
          <w:b/>
          <w:bCs/>
          <w:sz w:val="24"/>
          <w:szCs w:val="24"/>
        </w:rPr>
        <w:t>Legal Regulation of Inclusive Education in Indonesia and Other Countries</w:t>
      </w:r>
    </w:p>
    <w:p w14:paraId="36896FAA" w14:textId="77777777" w:rsidR="006B0510" w:rsidRPr="006C7F74" w:rsidRDefault="006C7F74" w:rsidP="006C7F74">
      <w:pPr>
        <w:spacing w:before="120" w:after="120"/>
        <w:ind w:left="440" w:right="-1" w:hanging="14"/>
        <w:jc w:val="both"/>
        <w:rPr>
          <w:rFonts w:ascii="Calibri Light" w:hAnsi="Calibri Light" w:cs="Calibri Light"/>
          <w:sz w:val="24"/>
          <w:szCs w:val="24"/>
        </w:rPr>
      </w:pPr>
      <w:r w:rsidRPr="006C7F74">
        <w:rPr>
          <w:rFonts w:ascii="Calibri Light" w:hAnsi="Calibri Light" w:cs="Calibri Light"/>
          <w:sz w:val="24"/>
          <w:szCs w:val="24"/>
        </w:rPr>
        <w:t xml:space="preserve">Legal regulations governing inclusive education in Indonesia are based on the need to create an education pattern that can humanize humans </w:t>
      </w:r>
      <w:r>
        <w:fldChar w:fldCharType="begin"/>
      </w:r>
      <w:r>
        <w:instrText xml:space="preserve"> ADDIN ZOTERO_ITEM CSL_CITATION {"citationID":"24EBa4kT","properties":{"formattedCitation":"(Arthur &amp; Chen, 2023)","plainCitation":"(Arthur &amp; Chen, 2023)","noteIndex":0},"citationItems":[{"id":44478,"uris":["http://zotero.org/users/7621732/items/WLPTIC9M"],"itemData":{"id":44478,"type":"chapter","abstract":"This chapter provides an overview of the inclusive education policies in Ghana and how these policies were developed toward fulfilling the 2030 Sustainable Development Goal Number 4. We start the chapter by introducing Ghana's demographics and awareness in disability, as well as the historical background in inclusive education. Next, we address the current state of Ghana's inclusive education by sharing the current policies and infrastructure that transforms special education schools into resource centers, promotes a learner-friendly environment, and serves as the legal foundation for private and public schools to implement inclusive education for all children. We further discuss the challenges imposed by the recent wave of the COVID pandemic on inclusive education, and the initiatives Ghana leadership enacted to provide a continuum of inclusive services for all children. We then conclude the chapter with implications and recommendations to stakeholders.","archive_location":"world","container-title":"Progress Toward Agenda 2030","ISBN":"978-1-80455-509-5","language":"en","note":"ISSN: 1479-3636\nDOI: 10.1108/S1479-363620230000021005","page":"59-77","publisher":"Emerald Publishing Limited","source":"www.emerald.com","title":"Inclusive Education in Ghana: The Past, Present, and Future","title-short":"Inclusive Education in Ghana","URL":"https://www.emerald.com/insight/content/doi/10.1108/s1479-363620230000021005/full/html","volume":"21","author":[{"family":"Arthur","given":"Jennifer"},{"family":"Chen","given":"Ching-I."}],"accessed":{"date-parts":[["2025",3,4]]},"issued":{"date-parts":[["2023",9,20]]}}}],"schema":"https://github.com/citation-style-language/schema/raw/master/csl-citation.json"} </w:instrText>
      </w:r>
      <w:r>
        <w:fldChar w:fldCharType="separate"/>
      </w:r>
      <w:r w:rsidRPr="002B46A7">
        <w:rPr>
          <w:rFonts w:ascii="Calibri" w:hAnsi="Calibri" w:cs="Calibri"/>
        </w:rPr>
        <w:t>(Arthur &amp; Chen, 2023)</w:t>
      </w:r>
      <w:r>
        <w:fldChar w:fldCharType="end"/>
      </w:r>
      <w:r>
        <w:t xml:space="preserve">, </w:t>
      </w:r>
      <w:r w:rsidRPr="006C7F74">
        <w:rPr>
          <w:rFonts w:ascii="Calibri Light" w:hAnsi="Calibri Light" w:cs="Calibri Light"/>
          <w:sz w:val="24"/>
          <w:szCs w:val="24"/>
        </w:rPr>
        <w:t xml:space="preserve">namely fostering a spirit of mutual respect for diversity </w:t>
      </w:r>
      <w:r>
        <w:fldChar w:fldCharType="begin"/>
      </w:r>
      <w:r>
        <w:instrText xml:space="preserve"> ADDIN ZOTERO_ITEM CSL_CITATION {"citationID":"fGiFTLwk","properties":{"formattedCitation":"(Kaizu &amp; Tamaki, 2024)","plainCitation":"(Kaizu &amp; Tamaki, 2024)","noteIndex":0},"citationItems":[{"id":44466,"uris":["http://zotero.org/users/7621732/items/PSTGQI2V"],"itemData":{"id":44466,"type":"article-journal","abstract":"Inclusive education in Japan was developed on the foundation of special needs education (SNE), which began in the early 2000s. There are various arguments as to whether the current multi-track system of SNE extending from segregated special needs schools to general education classrooms will lead to inclusive education, which is the goal of the Convention on the Rights of Persons with Disabilities. This study focuses on the movement for system reform of the SNE and examines its current status and challenges. It also discusses recent policy trends in general education classrooms that have affected the promotion of inclusive education. Furthermore, while making a global comparison using Organisation for Economic Co-operation and Development (OECD) data, this paper highlights Japan’s advantages and challenges in achieving inclusive education. Finally, it examines the conditions for realizing a new Japanese-style inclusive education.","container-title":"Remedial and Special Education","DOI":"10.1177/07419325241240061","ISSN":"0741-9325","issue":"6","language":"en","note":"publisher: SAGE Publications Inc","page":"369-379","source":"SAGE Journals","title":"Current Issues and Future Directions of Inclusive Education in Japan","volume":"45","author":[{"family":"Kaizu","given":"Akiko"},{"family":"Tamaki","given":"Munehisa"}],"issued":{"date-parts":[["2024",12,1]]}}}],"schema":"https://github.com/citation-style-language/schema/raw/master/csl-citation.json"} </w:instrText>
      </w:r>
      <w:r>
        <w:fldChar w:fldCharType="separate"/>
      </w:r>
      <w:r w:rsidRPr="002B46A7">
        <w:rPr>
          <w:rFonts w:ascii="Calibri" w:hAnsi="Calibri" w:cs="Calibri"/>
        </w:rPr>
        <w:t>(Kaizu &amp; Tamaki, 2024)</w:t>
      </w:r>
      <w:r>
        <w:fldChar w:fldCharType="end"/>
      </w:r>
      <w:r>
        <w:t xml:space="preserve"> </w:t>
      </w:r>
      <w:r w:rsidRPr="006C7F74">
        <w:rPr>
          <w:rFonts w:ascii="Calibri Light" w:hAnsi="Calibri Light" w:cs="Calibri Light"/>
          <w:sz w:val="24"/>
          <w:szCs w:val="24"/>
        </w:rPr>
        <w:t xml:space="preserve">and the shortcomings of other individuals </w:t>
      </w:r>
      <w:r>
        <w:fldChar w:fldCharType="begin"/>
      </w:r>
      <w:r>
        <w:instrText xml:space="preserve"> ADDIN ZOTERO_ITEM CSL_CITATION {"citationID":"VGvMDpvT","properties":{"formattedCitation":"(Notoprayitno, 2019)","plainCitation":"(Notoprayitno, 2019)","noteIndex":0},"citationItems":[{"id":44098,"uris":["http://zotero.org/users/7621732/items/VDSI5FEN"],"itemData":{"id":44098,"type":"article-journal","container-title":"Padjadjaran Jurnal Ilmu Hukum","DOI":"10.22304/pjih.v6n3.a9","ISSN":"2460-1543","issue":"3","page":"594-616","title":"The Rule of Law for the Right to Inclusive Education in Indonesia","volume":"6","author":[{"family":"Notoprayitno","given":"M.I."}],"issued":{"date-parts":[["2019"]]}}}],"schema":"https://github.com/citation-style-language/schema/raw/master/csl-citation.json"} </w:instrText>
      </w:r>
      <w:r>
        <w:fldChar w:fldCharType="separate"/>
      </w:r>
      <w:r w:rsidRPr="002B46A7">
        <w:rPr>
          <w:rFonts w:ascii="Calibri" w:hAnsi="Calibri" w:cs="Calibri"/>
        </w:rPr>
        <w:t>(Notoprayitno, 2019)</w:t>
      </w:r>
      <w:r>
        <w:fldChar w:fldCharType="end"/>
      </w:r>
      <w:r>
        <w:t xml:space="preserve"> </w:t>
      </w:r>
      <w:r w:rsidRPr="006C7F74">
        <w:rPr>
          <w:rFonts w:ascii="Calibri Light" w:hAnsi="Calibri Light" w:cs="Calibri Light"/>
          <w:sz w:val="24"/>
          <w:szCs w:val="24"/>
        </w:rPr>
        <w:t xml:space="preserve">The Indonesian government has issued several applicable laws and policies based on these conditions. For example, the existence of a law that the government has revoked, namely Law No. 4 of 1997, </w:t>
      </w:r>
      <w:commentRangeStart w:id="7"/>
      <w:r w:rsidRPr="006C7F74">
        <w:rPr>
          <w:rFonts w:ascii="Calibri Light" w:hAnsi="Calibri Light" w:cs="Calibri Light"/>
          <w:sz w:val="24"/>
          <w:szCs w:val="24"/>
        </w:rPr>
        <w:t xml:space="preserve">which examines people with disabilities </w:t>
      </w:r>
      <w:r>
        <w:fldChar w:fldCharType="begin"/>
      </w:r>
      <w:r>
        <w:instrText xml:space="preserve"> ADDIN ZOTERO_ITEM CSL_CITATION {"citationID":"P2niusMq","properties":{"formattedCitation":"(Syarif, 2024)","plainCitation":"(Syarif, 2024)","noteIndex":0},"citationItems":[{"id":43292,"uris":["http://zotero.org/users/7621732/items/34IRRSB6"],"itemData":{"id":43292,"type":"article-journal","abstract":"… tentang Kebijakan Pendidikan Inklusif di Indonesia terkait … dalam implementasi kebijakan pendidikan inklusif di sekolah … implementasi pendidikan inklusif di Indonesia?”. Setelah …","container-title":"Jurnal Pemikiran Dan Pengembangan Pembelajaran","issue":"3","note":"publisher: ejournal-jp3.com","page":"852-864","title":"Analisis Kebijakan Pendidikan Inklusif di Indonesia: Tantangan dan Peluang dalam Implementasi di Sekolah Menengah","volume":"6","author":[{"family":"Syarif","given":"R"}],"issued":{"date-parts":[["2024"]]}}}],"schema":"https://github.com/citation-style-language/schema/raw/master/csl-citation.json"} </w:instrText>
      </w:r>
      <w:r>
        <w:fldChar w:fldCharType="separate"/>
      </w:r>
      <w:r w:rsidRPr="00277FFA">
        <w:rPr>
          <w:rFonts w:ascii="Calibri" w:hAnsi="Calibri" w:cs="Calibri"/>
        </w:rPr>
        <w:t>(Syarif, 2024)</w:t>
      </w:r>
      <w:r>
        <w:fldChar w:fldCharType="end"/>
      </w:r>
      <w:r>
        <w:t xml:space="preserve">, </w:t>
      </w:r>
      <w:r w:rsidRPr="006C7F74">
        <w:rPr>
          <w:rFonts w:ascii="Calibri Light" w:hAnsi="Calibri Light" w:cs="Calibri Light"/>
          <w:sz w:val="24"/>
          <w:szCs w:val="24"/>
        </w:rPr>
        <w:t xml:space="preserve">although in general, Law No. 4 of 1997 is the embryo of the birth of all discussions about people with disabilities. Therefore, the discussion related to the legal regulations of inclusive education is more appropriate to use Law No. 8 of 2016 </w:t>
      </w:r>
      <w:commentRangeEnd w:id="7"/>
      <w:r w:rsidR="00360125">
        <w:rPr>
          <w:rStyle w:val="CommentReference"/>
        </w:rPr>
        <w:commentReference w:id="7"/>
      </w:r>
      <w:r w:rsidRPr="006C7F74">
        <w:rPr>
          <w:rFonts w:ascii="Calibri Light" w:hAnsi="Calibri Light" w:cs="Calibri Light"/>
          <w:sz w:val="24"/>
          <w:szCs w:val="24"/>
        </w:rPr>
        <w:t xml:space="preserve">as the main study material because it discusses the policy on inclusive education in detail </w:t>
      </w:r>
      <w:r>
        <w:fldChar w:fldCharType="begin"/>
      </w:r>
      <w:r>
        <w:instrText xml:space="preserve"> ADDIN ZOTERO_ITEM CSL_CITATION {"citationID":"AZRAQjl5","properties":{"formattedCitation":"(Ristiyanti &amp; Muqowim, 2023)","plainCitation":"(Ristiyanti &amp; Muqowim, 2023)","noteIndex":0},"citationItems":[{"id":43938,"uris":["http://zotero.org/users/7621732/items/RNXA6V94"],"itemData":{"id":43938,"type":"article-journal","abstract":"… is a manifestation of the enactment of Law no. 8 of 2016 [2]. … the population with disabilities in Indonesia which is quite large… of international inclusive education policy and individuals …","container-title":"JP (Jurnal Pendidikan): Teori dan Praktik","issue":"1","note":"publisher: journal.unesa.ac.id","page":"16-21","title":"Policy of Acceptance of Students with Disabilities in Inclusion Schools","volume":"8","author":[{"family":"Ristiyanti","given":"S"},{"family":"Muqowim","given":"M"}],"issued":{"date-parts":[["2023"]]}}}],"schema":"https://github.com/citation-style-language/schema/raw/master/csl-citation.json"} </w:instrText>
      </w:r>
      <w:r>
        <w:fldChar w:fldCharType="separate"/>
      </w:r>
      <w:r w:rsidRPr="002B46A7">
        <w:rPr>
          <w:rFonts w:ascii="Calibri" w:hAnsi="Calibri" w:cs="Calibri"/>
        </w:rPr>
        <w:t>(Ristiyanti &amp; Muqowim, 2023)</w:t>
      </w:r>
      <w:r>
        <w:fldChar w:fldCharType="end"/>
      </w:r>
      <w:r>
        <w:t>.</w:t>
      </w:r>
    </w:p>
    <w:p w14:paraId="518D9523" w14:textId="77777777" w:rsidR="006C7F74" w:rsidRDefault="006C7F74" w:rsidP="006C7F74">
      <w:pPr>
        <w:spacing w:before="120" w:after="120"/>
        <w:ind w:left="440" w:right="-1" w:hanging="14"/>
        <w:jc w:val="both"/>
      </w:pPr>
      <w:r w:rsidRPr="006C7F74">
        <w:rPr>
          <w:rFonts w:ascii="Calibri Light" w:hAnsi="Calibri Light" w:cs="Calibri Light"/>
          <w:sz w:val="24"/>
          <w:szCs w:val="24"/>
        </w:rPr>
        <w:t xml:space="preserve">However, before the enactment of Law No. 8 of 2016. Legal regulations related to inclusive education were born from Law No. 20 of 2003 concerning the national education system, which contains instructions on </w:t>
      </w:r>
      <w:proofErr w:type="spellStart"/>
      <w:r w:rsidRPr="006C7F74">
        <w:rPr>
          <w:rFonts w:ascii="Calibri Light" w:hAnsi="Calibri Light" w:cs="Calibri Light"/>
          <w:sz w:val="24"/>
          <w:szCs w:val="24"/>
        </w:rPr>
        <w:t>organising</w:t>
      </w:r>
      <w:proofErr w:type="spellEnd"/>
      <w:r w:rsidRPr="006C7F74">
        <w:rPr>
          <w:rFonts w:ascii="Calibri Light" w:hAnsi="Calibri Light" w:cs="Calibri Light"/>
          <w:sz w:val="24"/>
          <w:szCs w:val="24"/>
        </w:rPr>
        <w:t xml:space="preserve"> education with equal rights towards quality education in Indonesia. Jannah et al. stated that the presence of this law is proof that the government is directly present in the community because the state must provide fair, decent and equitable education </w:t>
      </w:r>
      <w:r>
        <w:fldChar w:fldCharType="begin"/>
      </w:r>
      <w:r>
        <w:instrText xml:space="preserve"> ADDIN ZOTERO_ITEM CSL_CITATION {"citationID":"2hi0vdNN","properties":{"formattedCitation":"(Jannah &amp; Hermanto, 2022; N. Saputra et al., 2025)","plainCitation":"(Jannah &amp; Hermanto, 2022; N. Saputra et al., 2025)","noteIndex":0},"citationItems":[{"id":43600,"uris":["http://zotero.org/users/7621732/items/GV7YQUFY"],"itemData":{"id":43600,"type":"article-journal","abstract":"… Indonesia started to organize inclusive education since the … 1) How was the inclusive education policy implemented at the … schools in Magetan Regency, Indonesia. Teachers at the …","container-title":"Jurnal Prima Edukasia","issue":"2","note":"publisher: scholar.archive.org","page":"171-179","title":"Implementation of inclusive education at elementary schools during the Covid-19 pandemic","volume":"10","author":[{"family":"Jannah","given":"Irradhiatul"},{"family":"Hermanto","given":"Hermanto"}],"issued":{"date-parts":[["2022"]]}}},{"id":43910,"uris":["http://zotero.org/users/7621732/items/CMDWV3HS"],"itemData":{"id":43910,"type":"article-journal","abstract":"… in Indonesia is recorded at 22.97 million people, or around 8.5% of the total population. Indonesia, … This law is a strong proof of the presence of inclusive education in the community. …","container-title":"Perspektif Administrasi Publik dan hukum","issue":"1","note":"publisher: ejournal.appisi.or.id","page":"136-149","title":"Implementation Of Inclusive Education Policy At The High School/Vocational School (State) Level In Jombang Regency","volume":"2","author":[{"family":"Saputra","given":"NHI"},{"family":"Ferriswara","given":"D"},{"family":"Albab","given":"U"},{"literal":"Kamariyah"}],"issued":{"date-parts":[["2025"]]}}}],"schema":"https://github.com/citation-style-language/schema/raw/master/csl-citation.json"} </w:instrText>
      </w:r>
      <w:r>
        <w:fldChar w:fldCharType="separate"/>
      </w:r>
      <w:r w:rsidRPr="0076470E">
        <w:rPr>
          <w:rFonts w:ascii="Calibri" w:hAnsi="Calibri" w:cs="Calibri"/>
        </w:rPr>
        <w:t>(Jannah &amp; Hermanto, 2022; N. Saputra et al., 2025)</w:t>
      </w:r>
      <w:r>
        <w:fldChar w:fldCharType="end"/>
      </w:r>
      <w:r>
        <w:t xml:space="preserve">. </w:t>
      </w:r>
      <w:r w:rsidRPr="006C7F74">
        <w:rPr>
          <w:rFonts w:ascii="Calibri Light" w:hAnsi="Calibri Light" w:cs="Calibri Light"/>
          <w:sz w:val="24"/>
          <w:szCs w:val="24"/>
        </w:rPr>
        <w:t xml:space="preserve">In line with </w:t>
      </w:r>
      <w:proofErr w:type="spellStart"/>
      <w:r w:rsidRPr="006C7F74">
        <w:rPr>
          <w:rFonts w:ascii="Calibri Light" w:hAnsi="Calibri Light" w:cs="Calibri Light"/>
          <w:sz w:val="24"/>
          <w:szCs w:val="24"/>
        </w:rPr>
        <w:t>Syarif</w:t>
      </w:r>
      <w:proofErr w:type="spellEnd"/>
      <w:r w:rsidRPr="006C7F74">
        <w:rPr>
          <w:rFonts w:ascii="Calibri Light" w:hAnsi="Calibri Light" w:cs="Calibri Light"/>
          <w:sz w:val="24"/>
          <w:szCs w:val="24"/>
        </w:rPr>
        <w:t xml:space="preserve"> et al., who also provides the view that the mandate of Law No. 20 of 2003 is that the state must be present and act fairly for all Indonesian people in providing educational facilities without exception to children with special needs in the form of inclusive education from early childhood education, elementary, middle and high levels </w:t>
      </w:r>
      <w:r>
        <w:fldChar w:fldCharType="begin"/>
      </w:r>
      <w:r>
        <w:instrText xml:space="preserve"> ADDIN ZOTERO_ITEM CSL_CITATION {"citationID":"I4joMsKw","properties":{"formattedCitation":"(Syarif, 2024)","plainCitation":"(Syarif, 2024)","noteIndex":0},"citationItems":[{"id":43292,"uris":["http://zotero.org/users/7621732/items/34IRRSB6"],"itemData":{"id":43292,"type":"article-journal","abstract":"… tentang Kebijakan Pendidikan Inklusif di Indonesia terkait … dalam implementasi kebijakan pendidikan inklusif di sekolah … implementasi pendidikan inklusif di Indonesia?”. Setelah …","container-title":"Jurnal Pemikiran Dan Pengembangan Pembelajaran","issue":"3","note":"publisher: ejournal-jp3.com","page":"852-864","title":"Analisis Kebijakan Pendidikan Inklusif di Indonesia: Tantangan dan Peluang dalam Implementasi di Sekolah Menengah","volume":"6","author":[{"family":"Syarif","given":"R"}],"issued":{"date-parts":[["2024"]]}}}],"schema":"https://github.com/citation-style-language/schema/raw/master/csl-citation.json"} </w:instrText>
      </w:r>
      <w:r>
        <w:fldChar w:fldCharType="separate"/>
      </w:r>
      <w:r w:rsidRPr="0076470E">
        <w:rPr>
          <w:rFonts w:ascii="Calibri" w:hAnsi="Calibri" w:cs="Calibri"/>
        </w:rPr>
        <w:t>(Syarif, 2024)</w:t>
      </w:r>
      <w:r>
        <w:fldChar w:fldCharType="end"/>
      </w:r>
      <w:r>
        <w:t xml:space="preserve">. </w:t>
      </w:r>
      <w:r w:rsidRPr="006C7F74">
        <w:rPr>
          <w:rFonts w:ascii="Calibri Light" w:hAnsi="Calibri Light" w:cs="Calibri Light"/>
          <w:sz w:val="24"/>
          <w:szCs w:val="24"/>
        </w:rPr>
        <w:t xml:space="preserve">Attention </w:t>
      </w:r>
      <w:r w:rsidRPr="006C7F74">
        <w:rPr>
          <w:rFonts w:ascii="Calibri Light" w:hAnsi="Calibri Light" w:cs="Calibri Light"/>
          <w:sz w:val="24"/>
          <w:szCs w:val="24"/>
        </w:rPr>
        <w:lastRenderedPageBreak/>
        <w:t xml:space="preserve">to the field of education is also a mandate of the 1945 Law, Article 28 C paragraph 1, namely that every citizen has the right to develop themselves and fulfil basic needs, such as education, technological knowledge, culture and art, to achieve quality in the welfare of life </w:t>
      </w:r>
      <w:r>
        <w:fldChar w:fldCharType="begin"/>
      </w:r>
      <w:r>
        <w:instrText xml:space="preserve"> ADDIN ZOTERO_ITEM CSL_CITATION {"citationID":"nrMub0kj","properties":{"formattedCitation":"(U. Rosari et al., 2023)","plainCitation":"(U. Rosari et al., 2023)","noteIndex":0},"citationItems":[{"id":43260,"uris":["http://zotero.org/users/7621732/items/NDASIG87"],"itemData":{"id":43260,"type":"article-journal","abstract":"… saja yang mempengaruhi implementasi kebijakan pendidikan inklusif di Kota Surabaya. … Secara normatif, hukum telah menentukan bahwa anak berkebutuhan khusus berhak untuk …","container-title":"Soetomo Administrasi Publik","issue":"2","note":"publisher: ejournal.unitomo.ac.id","page":"81-94","title":"Implementasi Kebijakan Pendidikan Inklusi di Kota Surabaya","volume":"1","author":[{"family":"Rosari","given":"US"},{"family":"Albab","given":"U"},{"literal":"S Suroso"}],"issued":{"date-parts":[["2023"]]}}}],"schema":"https://github.com/citation-style-language/schema/raw/master/csl-citation.json"} </w:instrText>
      </w:r>
      <w:r>
        <w:fldChar w:fldCharType="separate"/>
      </w:r>
      <w:r w:rsidRPr="009B0831">
        <w:rPr>
          <w:rFonts w:ascii="Calibri" w:hAnsi="Calibri" w:cs="Calibri"/>
        </w:rPr>
        <w:t>(U. Rosari et al., 2023)</w:t>
      </w:r>
      <w:r>
        <w:fldChar w:fldCharType="end"/>
      </w:r>
      <w:r>
        <w:t>.</w:t>
      </w:r>
    </w:p>
    <w:p w14:paraId="3F9F4B63" w14:textId="77777777" w:rsidR="006C7F74" w:rsidRDefault="006C7F74" w:rsidP="006C7F74">
      <w:pPr>
        <w:spacing w:before="120" w:after="120"/>
        <w:ind w:left="440" w:right="-1" w:hanging="14"/>
        <w:jc w:val="both"/>
      </w:pPr>
      <w:r w:rsidRPr="006C7F74">
        <w:rPr>
          <w:rFonts w:ascii="Calibri Light" w:hAnsi="Calibri Light" w:cs="Calibri Light"/>
          <w:sz w:val="24"/>
          <w:szCs w:val="24"/>
        </w:rPr>
        <w:t xml:space="preserve">Another legal guideline that is the basis for the optimal implementation of inclusive education is the existence of Law No. 8 of 2016, which explains specifically about people with disabilities, as expressed by Achmad et al that the purpose of the birth of Law No. 8 of 2016 is that the state wants to create an inclusive environment for people with disabilities so that they can participate fully in life, education, social, economic and political in Indonesia </w:t>
      </w:r>
      <w:r>
        <w:fldChar w:fldCharType="begin"/>
      </w:r>
      <w:r>
        <w:instrText xml:space="preserve"> ADDIN ZOTERO_ITEM CSL_CITATION {"citationID":"ibGw74bR","properties":{"formattedCitation":"(Achmad, 2023; Khoiriyah et al., 2024)","plainCitation":"(Achmad, 2023; Khoiriyah et al., 2024)","dontUpdate":true,"noteIndex":0},"citationItems":[{"id":43732,"uris":["http://zotero.org/users/7621732/items/5Z9TB8BS"],"itemData":{"id":43732,"type":"article-journal","abstract":"… the effects of inclusive education policy in Indonesia in order to … literature pertaining to inclusive education policy on children with … Law Number 20 of 2003, which regulates Indonesia's …","container-title":"Al-Ishlah: Jurnal Pendidikan","issue":"4","note":"publisher: journal.staihubbulwathan.id","page":"4288-4297","title":"Implications of inclusive education policy in guaranteeing the rights of children with special needs","volume":"15","author":[{"family":"Achmad","given":"W"}],"issued":{"date-parts":[["2023"]]}}},{"id":43913,"uris":["http://zotero.org/users/7621732/items/JY32UYZQ"],"itemData":{"id":43913,"type":"article-journal","abstract":"… implements inclusive education is Indonesia. Therefore, Indonesia has legislation that guarantees the implementation of inclusive education as stipulated in Law Number 20 of 2003 …","container-title":"EDUKASIA: Jurnal Pendidikan dan Pembelajaran","issue":"1","note":"publisher: jurnaledukasia.org","page":"851-858","title":"Analysis of Inclusive Education Policy Implementation in Developing Countries","volume":"5","author":[{"family":"Khoiriyah","given":"U"},{"family":"Karwanto","given":"K"},{"family":"Setyowati","given":"S"},{"family":"Khamidi","given":"Amrozi"}],"issued":{"date-parts":[["2024"]]}}}],"schema":"https://github.com/citation-style-language/schema/raw/master/csl-citation.json"} </w:instrText>
      </w:r>
      <w:r>
        <w:fldChar w:fldCharType="separate"/>
      </w:r>
      <w:r>
        <w:t xml:space="preserve"> </w:t>
      </w:r>
      <w:r w:rsidRPr="00706E13">
        <w:rPr>
          <w:rFonts w:ascii="Calibri" w:hAnsi="Calibri" w:cs="Calibri"/>
        </w:rPr>
        <w:t>(Achmad, 2023; Khoiriyah et al., 2024)</w:t>
      </w:r>
      <w:r>
        <w:fldChar w:fldCharType="end"/>
      </w:r>
      <w:r>
        <w:t xml:space="preserve">. </w:t>
      </w:r>
      <w:proofErr w:type="spellStart"/>
      <w:r w:rsidRPr="006C7F74">
        <w:rPr>
          <w:rFonts w:ascii="Calibri Light" w:hAnsi="Calibri Light" w:cs="Calibri Light"/>
          <w:sz w:val="24"/>
          <w:szCs w:val="24"/>
        </w:rPr>
        <w:t>Notoprayitno</w:t>
      </w:r>
      <w:proofErr w:type="spellEnd"/>
      <w:r w:rsidRPr="006C7F74">
        <w:rPr>
          <w:rFonts w:ascii="Calibri Light" w:hAnsi="Calibri Light" w:cs="Calibri Light"/>
          <w:sz w:val="24"/>
          <w:szCs w:val="24"/>
        </w:rPr>
        <w:t xml:space="preserve"> et al. provide the view that the birth of the above law is a basis for establishing special schools (SLB) and inclusive schools </w:t>
      </w:r>
      <w:r>
        <w:fldChar w:fldCharType="begin"/>
      </w:r>
      <w:r>
        <w:instrText xml:space="preserve"> ADDIN ZOTERO_ITEM CSL_CITATION {"citationID":"rcpCAmU3","properties":{"formattedCitation":"(Notoprayitno, 2019)","plainCitation":"(Notoprayitno, 2019)","noteIndex":0},"citationItems":[{"id":44098,"uris":["http://zotero.org/users/7621732/items/VDSI5FEN"],"itemData":{"id":44098,"type":"article-journal","container-title":"Padjadjaran Jurnal Ilmu Hukum","DOI":"10.22304/pjih.v6n3.a9","ISSN":"2460-1543","issue":"3","page":"594-616","title":"The Rule of Law for the Right to Inclusive Education in Indonesia","volume":"6","author":[{"family":"Notoprayitno","given":"M.I."}],"issued":{"date-parts":[["2019"]]}}}],"schema":"https://github.com/citation-style-language/schema/raw/master/csl-citation.json"} </w:instrText>
      </w:r>
      <w:r>
        <w:fldChar w:fldCharType="separate"/>
      </w:r>
      <w:r w:rsidRPr="00FA18F3">
        <w:rPr>
          <w:rFonts w:ascii="Calibri" w:hAnsi="Calibri" w:cs="Calibri"/>
        </w:rPr>
        <w:t>(Notoprayitno, 2019)</w:t>
      </w:r>
      <w:r>
        <w:fldChar w:fldCharType="end"/>
      </w:r>
      <w:r>
        <w:t xml:space="preserve">, </w:t>
      </w:r>
      <w:r w:rsidRPr="006C7F74">
        <w:rPr>
          <w:rFonts w:ascii="Calibri Light" w:hAnsi="Calibri Light" w:cs="Calibri Light"/>
          <w:sz w:val="24"/>
          <w:szCs w:val="24"/>
        </w:rPr>
        <w:t xml:space="preserve">which in the regulation of the Minister of Public Works and Public Housing No. 14 / PRT / M / 2017 accessibility of children with special needs is infrastructure, starting from buildings, stair lifts, escalators, sinks and toilets for children </w:t>
      </w:r>
      <w:r>
        <w:fldChar w:fldCharType="begin"/>
      </w:r>
      <w:r>
        <w:instrText xml:space="preserve"> ADDIN ZOTERO_ITEM CSL_CITATION {"citationID":"UFJNG5nc","properties":{"formattedCitation":"(Fahruddin &amp; Alfiyatin, 2024; Utomo, 2019)","plainCitation":"(Fahruddin &amp; Alfiyatin, 2024; Utomo, 2019)","noteIndex":0},"citationItems":[{"id":43972,"uris":["http://zotero.org/users/7621732/items/FXFV9ADB"],"itemData":{"id":43972,"type":"article-journal","abstract":"… Higher education in Indonesia has a crucial role in shaping human resources who are … Programs and Policies This study found that the inclusive education policy at IAI Al-Khairat …","container-title":"SABILUNA Journal: Education and Management","issue":"1","note":"publisher: badruddininstitut.or.id","page":"24-36","title":"Inclusive Campus Education: Building Accessibility and Quality for All Students at IAI Al-Khairat Pamekasan","volume":"1","author":[{"family":"Fahruddin","given":"AH"},{"family":"Alfiyatin","given":"Y"}],"issued":{"date-parts":[["2024"]]}}},{"id":43666,"uris":["http://zotero.org/users/7621732/items/MQXQR7CF"],"itemData":{"id":43666,"type":"article-journal","abstract":"… In line with this, Indonesia basically has a policy that regulates the establishment of buildings and buildings, which includes Law No. 28 of 2002 concerning Building Buildings which …","container-title":"Journal of ICSAR","issue":"2","note":"publisher: core.ac.uk","page":"41-47","title":"The accessibility analysis for the special needs students in lambung Mangkurat","volume":"3","author":[{"family":"Utomo","given":"U"}],"issued":{"date-parts":[["2019"]]}}}],"schema":"https://github.com/citation-style-language/schema/raw/master/csl-citation.json"} </w:instrText>
      </w:r>
      <w:r>
        <w:fldChar w:fldCharType="separate"/>
      </w:r>
      <w:r w:rsidRPr="005131D0">
        <w:rPr>
          <w:rFonts w:ascii="Calibri" w:hAnsi="Calibri" w:cs="Calibri"/>
        </w:rPr>
        <w:t>(Fahruddin &amp; Alfiyatin, 2024; Utomo, 2019)</w:t>
      </w:r>
      <w:r>
        <w:fldChar w:fldCharType="end"/>
      </w:r>
      <w:r>
        <w:t>.</w:t>
      </w:r>
    </w:p>
    <w:p w14:paraId="5D1BEF7A" w14:textId="77777777" w:rsidR="006C7F74" w:rsidRDefault="006C7F74" w:rsidP="006C7F74">
      <w:pPr>
        <w:spacing w:before="120" w:after="120"/>
        <w:ind w:left="440" w:right="-1" w:hanging="14"/>
        <w:jc w:val="both"/>
        <w:rPr>
          <w:rFonts w:ascii="Calibri Light" w:hAnsi="Calibri Light" w:cs="Calibri Light"/>
          <w:sz w:val="24"/>
          <w:szCs w:val="24"/>
        </w:rPr>
      </w:pPr>
      <w:r w:rsidRPr="006C7F74">
        <w:rPr>
          <w:rFonts w:ascii="Calibri Light" w:hAnsi="Calibri Light" w:cs="Calibri Light"/>
          <w:sz w:val="24"/>
          <w:szCs w:val="24"/>
        </w:rPr>
        <w:t xml:space="preserve">Furthermore, the legally binding law is derived from the policy made by the Minister of National Education, </w:t>
      </w:r>
      <w:proofErr w:type="spellStart"/>
      <w:r w:rsidRPr="006C7F74">
        <w:rPr>
          <w:rFonts w:ascii="Calibri Light" w:hAnsi="Calibri Light" w:cs="Calibri Light"/>
          <w:sz w:val="24"/>
          <w:szCs w:val="24"/>
        </w:rPr>
        <w:t>Permendiknas</w:t>
      </w:r>
      <w:proofErr w:type="spellEnd"/>
      <w:r w:rsidRPr="006C7F74">
        <w:rPr>
          <w:rFonts w:ascii="Calibri Light" w:hAnsi="Calibri Light" w:cs="Calibri Light"/>
          <w:sz w:val="24"/>
          <w:szCs w:val="24"/>
        </w:rPr>
        <w:t xml:space="preserve"> No. 70 of 2009, which regulates inclusive education for all students </w:t>
      </w:r>
      <w:r>
        <w:fldChar w:fldCharType="begin"/>
      </w:r>
      <w:r>
        <w:instrText xml:space="preserve"> ADDIN ZOTERO_ITEM CSL_CITATION {"citationID":"P4t7XEY2","properties":{"formattedCitation":"(Agustina &amp; Rahaju, 2021)","plainCitation":"(Agustina &amp; Rahaju, 2021)","noteIndex":0},"citationItems":[{"id":43106,"uris":["http://zotero.org/users/7621732/items/IK296PCE"],"itemData":{"id":43106,"type":"article-journal","abstract":"… yang telah menerima berbagai perhargaan dalam pendidikan inklusif Kota Surabaya tidak luput dari permasalahan yang dihadapi dalam pelaksanaan kebijakan pendidikan inklusif …","container-title":"Publika","issue":"3","note":"publisher: ejournal.unesa.ac.id","page":"109-124","title":"Evaluasi penyelenggaraan pendidikan inklusif di Kota Surabaya","volume":"9","author":[{"family":"Agustina","given":"RS"},{"family":"Rahaju","given":"T"}],"issued":{"date-parts":[["2021"]]}}}],"schema":"https://github.com/citation-style-language/schema/raw/master/csl-citation.json"} </w:instrText>
      </w:r>
      <w:r>
        <w:fldChar w:fldCharType="separate"/>
      </w:r>
      <w:r w:rsidRPr="004A48DC">
        <w:rPr>
          <w:rFonts w:ascii="Calibri" w:hAnsi="Calibri" w:cs="Calibri"/>
        </w:rPr>
        <w:t>(Agustina &amp; Rahaju, 2021)</w:t>
      </w:r>
      <w:r>
        <w:fldChar w:fldCharType="end"/>
      </w:r>
      <w:r>
        <w:t xml:space="preserve">; </w:t>
      </w:r>
      <w:r w:rsidRPr="006C7F74">
        <w:rPr>
          <w:rFonts w:ascii="Calibri Light" w:hAnsi="Calibri Light" w:cs="Calibri Light"/>
          <w:sz w:val="24"/>
          <w:szCs w:val="24"/>
        </w:rPr>
        <w:t xml:space="preserve">disabilities, special talents/above average intelligence by ensuring facilities, curriculum and teachers that are by needs </w:t>
      </w:r>
      <w:r>
        <w:fldChar w:fldCharType="begin"/>
      </w:r>
      <w:r>
        <w:instrText xml:space="preserve"> ADDIN ZOTERO_ITEM CSL_CITATION {"citationID":"Db8qcbAM","properties":{"formattedCitation":"(Fahruddin &amp; Alfiyatin, 2024; Ferizaldi &amp; Fazlina, 2020)","plainCitation":"(Fahruddin &amp; Alfiyatin, 2024; Ferizaldi &amp; Fazlina, 2020)","noteIndex":0},"citationItems":[{"id":43972,"uris":["http://zotero.org/users/7621732/items/FXFV9ADB"],"itemData":{"id":43972,"type":"article-journal","abstract":"… Higher education in Indonesia has a crucial role in shaping human resources who are … Programs and Policies This study found that the inclusive education policy at IAI Al-Khairat …","container-title":"SABILUNA Journal: Education and Management","issue":"1","note":"publisher: badruddininstitut.or.id","page":"24-36","title":"Inclusive Campus Education: Building Accessibility and Quality for All Students at IAI Al-Khairat Pamekasan","volume":"1","author":[{"family":"Fahruddin","given":"AH"},{"family":"Alfiyatin","given":"Y"}],"issued":{"date-parts":[["2024"]]}}},{"id":43166,"uris":["http://zotero.org/users/7621732/items/FJ2HKVW4"],"itemData":{"id":43166,"type":"article-journal","abstract":"… Sulitnya diterima murid disabilitas di sekolah dikarenakan saat ini kurangnya komunikasi dalam penyampain isi kebijakan pendidikan inklusif di kabupaten Bireuen. Rencana aksi …","container-title":"Asia-Pacific Journal of Public Policy","issue":"2","note":"publisher: journal.stianasional.ac.id","page":"150=160","title":"Implementasi Program Pendidikan Inklusif di Kabupaten Bireuen","volume":"6","author":[{"family":"Ferizaldi","given":"F"},{"family":"Fazlina","given":"F"}],"issued":{"date-parts":[["2020"]]}}}],"schema":"https://github.com/citation-style-language/schema/raw/master/csl-citation.json"} </w:instrText>
      </w:r>
      <w:r>
        <w:fldChar w:fldCharType="separate"/>
      </w:r>
      <w:r w:rsidRPr="004A48DC">
        <w:rPr>
          <w:rFonts w:ascii="Calibri" w:hAnsi="Calibri" w:cs="Calibri"/>
        </w:rPr>
        <w:t>(Fahruddin &amp; Alfiyatin, 2024; Ferizaldi &amp; Fazlina, 2020)</w:t>
      </w:r>
      <w:r>
        <w:fldChar w:fldCharType="end"/>
      </w:r>
      <w:r w:rsidRPr="006C7F74">
        <w:rPr>
          <w:rFonts w:ascii="Calibri Light" w:hAnsi="Calibri Light" w:cs="Calibri Light"/>
          <w:sz w:val="24"/>
          <w:szCs w:val="24"/>
        </w:rPr>
        <w:t xml:space="preserve">, in the regulations it is stated that each district/city must appoint at least one inclusive school along with its supporting facilities. </w:t>
      </w:r>
      <w:proofErr w:type="spellStart"/>
      <w:r w:rsidRPr="006C7F74">
        <w:rPr>
          <w:rFonts w:ascii="Calibri Light" w:hAnsi="Calibri Light" w:cs="Calibri Light"/>
          <w:sz w:val="24"/>
          <w:szCs w:val="24"/>
        </w:rPr>
        <w:t>Gustaman</w:t>
      </w:r>
      <w:proofErr w:type="spellEnd"/>
      <w:r w:rsidRPr="006C7F74">
        <w:rPr>
          <w:rFonts w:ascii="Calibri Light" w:hAnsi="Calibri Light" w:cs="Calibri Light"/>
          <w:sz w:val="24"/>
          <w:szCs w:val="24"/>
        </w:rPr>
        <w:t xml:space="preserve"> et al. reinforce that the birth of </w:t>
      </w:r>
      <w:proofErr w:type="spellStart"/>
      <w:r w:rsidRPr="006C7F74">
        <w:rPr>
          <w:rFonts w:ascii="Calibri Light" w:hAnsi="Calibri Light" w:cs="Calibri Light"/>
          <w:sz w:val="24"/>
          <w:szCs w:val="24"/>
        </w:rPr>
        <w:t>Permendiknas</w:t>
      </w:r>
      <w:proofErr w:type="spellEnd"/>
      <w:r w:rsidRPr="006C7F74">
        <w:rPr>
          <w:rFonts w:ascii="Calibri Light" w:hAnsi="Calibri Light" w:cs="Calibri Light"/>
          <w:sz w:val="24"/>
          <w:szCs w:val="24"/>
        </w:rPr>
        <w:t xml:space="preserve"> No. 70 of 2009 is the basis that education is born for all because the progress of a nation can be seen from the laws and policies implemented in the implementation of education </w:t>
      </w:r>
      <w:r>
        <w:fldChar w:fldCharType="begin"/>
      </w:r>
      <w:r>
        <w:instrText xml:space="preserve"> ADDIN ZOTERO_ITEM CSL_CITATION {"citationID":"OyJBI0vB","properties":{"formattedCitation":"(Gustaman et al., 2025)","plainCitation":"(Gustaman et al., 2025)","noteIndex":0},"citationItems":[{"id":43369,"uris":["http://zotero.org/users/7621732/items/2CINKHH9"],"itemData":{"id":43369,"type":"article-journal","abstract":"… Pemerintah juga memiliki peran strategis dalam mendukung kebijakan pendidikan inklusif melalui regulasi yang progresif, pendanaan yang memadai, serta penyediaan fasilitas dan …","container-title":"Jurnal Education and development","issue":"1","note":"publisher: journal.ipts.ac.id","page":"660-666","title":"Implementasi Pendidikan Inklusif Dalam Mewujudkan Sekolah Ramah Anak","volume":"13","author":[{"family":"Gustaman","given":"RF"},{"family":"Gandi","given":"A"},{"family":"Ratnaningsih","given":"N"}],"issued":{"date-parts":[["2025"]]}}}],"schema":"https://github.com/citation-style-language/schema/raw/master/csl-citation.json"} </w:instrText>
      </w:r>
      <w:r>
        <w:fldChar w:fldCharType="separate"/>
      </w:r>
      <w:r w:rsidRPr="004A48DC">
        <w:rPr>
          <w:rFonts w:ascii="Calibri" w:hAnsi="Calibri" w:cs="Calibri"/>
        </w:rPr>
        <w:t>(Gustaman et al., 2025)</w:t>
      </w:r>
      <w:r>
        <w:fldChar w:fldCharType="end"/>
      </w:r>
      <w:r>
        <w:t xml:space="preserve">. </w:t>
      </w:r>
      <w:r w:rsidRPr="006C7F74">
        <w:rPr>
          <w:rFonts w:ascii="Calibri Light" w:hAnsi="Calibri Light" w:cs="Calibri Light"/>
          <w:sz w:val="24"/>
          <w:szCs w:val="24"/>
        </w:rPr>
        <w:t xml:space="preserve">So that the next policy is issued in the gubernatorial regulation, such as the example in the East Java Governor's Regulation No. 30 of 2018 concerning the implementation of inclusive education that respects diversity and is non-discriminatory for students in elementary, junior high and secondary schools </w:t>
      </w:r>
      <w:r>
        <w:fldChar w:fldCharType="begin"/>
      </w:r>
      <w:r>
        <w:instrText xml:space="preserve"> ADDIN ZOTERO_ITEM CSL_CITATION {"citationID":"11ZiOYlp","properties":{"formattedCitation":"(Syarif, 2024)","plainCitation":"(Syarif, 2024)","noteIndex":0},"citationItems":[{"id":43292,"uris":["http://zotero.org/users/7621732/items/34IRRSB6"],"itemData":{"id":43292,"type":"article-journal","abstract":"… tentang Kebijakan Pendidikan Inklusif di Indonesia terkait … dalam implementasi kebijakan pendidikan inklusif di sekolah … implementasi pendidikan inklusif di Indonesia?”. Setelah …","container-title":"Jurnal Pemikiran Dan Pengembangan Pembelajaran","issue":"3","note":"publisher: ejournal-jp3.com","page":"852-864","title":"Analisis Kebijakan Pendidikan Inklusif di Indonesia: Tantangan dan Peluang dalam Implementasi di Sekolah Menengah","volume":"6","author":[{"family":"Syarif","given":"R"}],"issued":{"date-parts":[["2024"]]}}}],"schema":"https://github.com/citation-style-language/schema/raw/master/csl-citation.json"} </w:instrText>
      </w:r>
      <w:r>
        <w:fldChar w:fldCharType="separate"/>
      </w:r>
      <w:r w:rsidRPr="00921191">
        <w:rPr>
          <w:rFonts w:ascii="Calibri" w:hAnsi="Calibri" w:cs="Calibri"/>
        </w:rPr>
        <w:t>(Syarif, 2024)</w:t>
      </w:r>
      <w:r>
        <w:fldChar w:fldCharType="end"/>
      </w:r>
      <w:r>
        <w:t xml:space="preserve">. </w:t>
      </w:r>
      <w:r w:rsidRPr="006C7F74">
        <w:rPr>
          <w:rFonts w:ascii="Calibri Light" w:hAnsi="Calibri Light" w:cs="Calibri Light"/>
          <w:sz w:val="24"/>
          <w:szCs w:val="24"/>
        </w:rPr>
        <w:t xml:space="preserve">the regulation will be followed up in each district/city, such as in the Decree of the Mayor of Surabaya Number 188.45/79/436.1.2/2019, Regional Regulation Number 3 of 2015 of Padang City </w:t>
      </w:r>
      <w:r>
        <w:fldChar w:fldCharType="begin"/>
      </w:r>
      <w:r>
        <w:instrText xml:space="preserve"> ADDIN ZOTERO_ITEM CSL_CITATION {"citationID":"MCSFAgxq","properties":{"formattedCitation":"(D. Y. Sabrina &amp; Erianjoni, 2019)","plainCitation":"(D. Y. Sabrina &amp; Erianjoni, 2019)","noteIndex":0},"citationItems":[{"id":44492,"uris":["http://zotero.org/users/7621732/items/9ESKHRMI"],"itemData":{"id":44492,"type":"article-journal","container-title":"Jurnal Perspektif","issue":"2","page":"52–59","source":"Google Scholar","title":"Implementasi Peraturan Daerah Nomor 3 Tahun 2015 Tentang Pemenuhan dan Perlindungan Hak-Hak Penyandang Disabilitas di Kota Padang","volume":"2","author":[{"family":"Sabrina","given":"Dio Yoan"},{"family":"Erianjoni","given":"Erianjoni"}],"issued":{"date-parts":[["2019"]]}}}],"schema":"https://github.com/citation-style-language/schema/raw/master/csl-citation.json"} </w:instrText>
      </w:r>
      <w:r>
        <w:fldChar w:fldCharType="separate"/>
      </w:r>
      <w:r w:rsidRPr="00962A06">
        <w:rPr>
          <w:rFonts w:ascii="Calibri" w:hAnsi="Calibri" w:cs="Calibri"/>
        </w:rPr>
        <w:t>(D. Y. Sabrina &amp; Erianjoni, 2019)</w:t>
      </w:r>
      <w:r>
        <w:fldChar w:fldCharType="end"/>
      </w:r>
      <w:r>
        <w:t xml:space="preserve">, </w:t>
      </w:r>
      <w:proofErr w:type="spellStart"/>
      <w:r w:rsidRPr="006C7F74">
        <w:rPr>
          <w:rFonts w:ascii="Calibri Light" w:hAnsi="Calibri Light" w:cs="Calibri Light"/>
          <w:sz w:val="24"/>
          <w:szCs w:val="24"/>
        </w:rPr>
        <w:t>Jombang</w:t>
      </w:r>
      <w:proofErr w:type="spellEnd"/>
      <w:r w:rsidRPr="006C7F74">
        <w:rPr>
          <w:rFonts w:ascii="Calibri Light" w:hAnsi="Calibri Light" w:cs="Calibri Light"/>
          <w:sz w:val="24"/>
          <w:szCs w:val="24"/>
        </w:rPr>
        <w:t xml:space="preserve"> Regency (N. Saputra et al., 2025), </w:t>
      </w:r>
      <w:proofErr w:type="spellStart"/>
      <w:r w:rsidRPr="006C7F74">
        <w:rPr>
          <w:rFonts w:ascii="Calibri Light" w:hAnsi="Calibri Light" w:cs="Calibri Light"/>
          <w:sz w:val="24"/>
          <w:szCs w:val="24"/>
        </w:rPr>
        <w:t>Situbondo</w:t>
      </w:r>
      <w:proofErr w:type="spellEnd"/>
      <w:r w:rsidRPr="006C7F74">
        <w:rPr>
          <w:rFonts w:ascii="Calibri Light" w:hAnsi="Calibri Light" w:cs="Calibri Light"/>
          <w:sz w:val="24"/>
          <w:szCs w:val="24"/>
        </w:rPr>
        <w:t xml:space="preserve"> (</w:t>
      </w:r>
      <w:proofErr w:type="spellStart"/>
      <w:r w:rsidRPr="006C7F74">
        <w:rPr>
          <w:rFonts w:ascii="Calibri Light" w:hAnsi="Calibri Light" w:cs="Calibri Light"/>
          <w:sz w:val="24"/>
          <w:szCs w:val="24"/>
        </w:rPr>
        <w:t>Yuliyanto</w:t>
      </w:r>
      <w:proofErr w:type="spellEnd"/>
      <w:r w:rsidRPr="006C7F74">
        <w:rPr>
          <w:rFonts w:ascii="Calibri Light" w:hAnsi="Calibri Light" w:cs="Calibri Light"/>
          <w:sz w:val="24"/>
          <w:szCs w:val="24"/>
        </w:rPr>
        <w:t xml:space="preserve">, 2023) which reveals the policy of implementing inclusive education </w:t>
      </w:r>
      <w:r>
        <w:fldChar w:fldCharType="begin"/>
      </w:r>
      <w:r>
        <w:instrText xml:space="preserve"> ADDIN ZOTERO_ITEM CSL_CITATION {"citationID":"WZ1T12UT","properties":{"formattedCitation":"(A. P. Sari &amp; Soeskandi, 2021, 2022)","plainCitation":"(A. P. Sari &amp; Soeskandi, 2021, 2022)","noteIndex":0},"citationItems":[{"id":44486,"uris":["http://zotero.org/users/7621732/items/6GGEI7J6"],"itemData":{"id":44486,"type":"paper-conference","container-title":"Seminar Nasional-Kota Ramah Hak Asasi Manusia","page":"33–43","source":"Google Scholar","title":"Perlindungan Hukum Terhadap Hak Disabilitas Dalam Aksesibilitas di Tata Ruang Publik Kota Surabaya","volume":"1","author":[{"family":"Sari","given":"Amelia Puspita"},{"family":"Soeskandi","given":"Hari"}],"issued":{"date-parts":[["2021"]]}}},{"id":44482,"uris":["http://zotero.org/users/7621732/items/VUXUSYSU"],"itemData":{"id":44482,"type":"article-journal","abstract":"Tujuan penetitian ini adalah untuk menemukan kepastian hukum terkait dengan belum terjamin sepenunya mengenai hak hak disabilitas di kota Surabaya. Dengan menggunakan metode penelitian normatif yang mana dengan menelaah kembali peraturan peraturan mengenai hak aksesibilitas bagi disabilitas di kota Surabaya. Melalui konsep yang peneliti buat, peneliti ingin menjabarkan dan menggamarkan makna kepastian hukum terhadap hak aksesibilitas bagi disabilitas, yang mana mengacu peran pemerintah kota Surabaya serta ketiadaan sanksi bagi pemerintah selaku pelaksana sekaligus penyelenggara pengadaan hak untuk kaum disabilitas. Permasalahan mengenai hak kemudahan bagi disabilitas terletak pada pelaksaanaan hak aksesibilitas bagi disabilitas di kota Surabaya yang tidak merata, yang mana pembangunan aksesibilitas bagi disabilitas hanya terdapat pada tempat tempat tertentu seperti ; Museum Pendidikan, Masjid Al-Akbar, Trotoar Gubeng Kertajaya, Gedung Pemerintah Kota, dan Taman Bicara. Yang mana dapat di ketahui bahwa disabilitas di kota Surabaya tidak hanya terletak di pusat kota namun di seluruh wilayah kota Surabaya termasuk wilayah wilayah pinggiran.","archive_location":"Indonesia","container-title":"COURT REVIEW: Jurnal Penelitian Hukum","DOI":"10.69957/cr.v2i03.220","ISSN":"2776-1916","issue":"03","language":"en","license":"Copyright (c) 2022 Amelia Puspita Sari; Hari Soeskandi","note":"number: 03","page":"35-46","source":"aksiologi.org","title":"Hak Disabilitas Dalam Aksesibilitas Ruang Publik Di Kota Surabaya","volume":"2","author":[{"family":"Sari","given":"Amelia Puspita"},{"family":"Soeskandi","given":"Hari"}],"issued":{"date-parts":[["2022",5,5]]}}}],"schema":"https://github.com/citation-style-language/schema/raw/master/csl-citation.json"} </w:instrText>
      </w:r>
      <w:r>
        <w:fldChar w:fldCharType="separate"/>
      </w:r>
      <w:bookmarkStart w:id="8" w:name="_Hlk192441945"/>
      <w:r w:rsidRPr="00781580">
        <w:rPr>
          <w:rFonts w:ascii="Calibri" w:hAnsi="Calibri" w:cs="Calibri"/>
        </w:rPr>
        <w:t>(A. P. Sari &amp; Soeskandi, 2021, 2022</w:t>
      </w:r>
      <w:bookmarkEnd w:id="8"/>
      <w:r w:rsidRPr="00781580">
        <w:rPr>
          <w:rFonts w:ascii="Calibri" w:hAnsi="Calibri" w:cs="Calibri"/>
        </w:rPr>
        <w:t>)</w:t>
      </w:r>
      <w:r>
        <w:fldChar w:fldCharType="end"/>
      </w:r>
      <w:r>
        <w:t xml:space="preserve"> </w:t>
      </w:r>
      <w:r w:rsidRPr="006C7F74">
        <w:rPr>
          <w:rFonts w:ascii="Calibri Light" w:hAnsi="Calibri Light" w:cs="Calibri Light"/>
          <w:sz w:val="24"/>
          <w:szCs w:val="24"/>
        </w:rPr>
        <w:t>and the provision of alternative services for children who have not been able to attend formal education through open schools.</w:t>
      </w:r>
    </w:p>
    <w:p w14:paraId="13BF0559" w14:textId="77777777" w:rsidR="006C7F74" w:rsidRDefault="006C7F74" w:rsidP="006C7F74">
      <w:pPr>
        <w:spacing w:before="120" w:after="120"/>
        <w:ind w:left="440" w:right="-1" w:hanging="14"/>
        <w:jc w:val="both"/>
      </w:pPr>
      <w:r w:rsidRPr="006C7F74">
        <w:rPr>
          <w:rFonts w:ascii="Calibri Light" w:hAnsi="Calibri Light" w:cs="Calibri Light"/>
          <w:sz w:val="24"/>
          <w:szCs w:val="24"/>
        </w:rPr>
        <w:t xml:space="preserve">Legal regulations in implementing inclusive education also apply in other countries </w:t>
      </w:r>
      <w:r>
        <w:fldChar w:fldCharType="begin"/>
      </w:r>
      <w:r>
        <w:instrText xml:space="preserve"> ADDIN ZOTERO_ITEM CSL_CITATION {"citationID":"diukAOzk","properties":{"formattedCitation":"(Kusters et al., 2021)","plainCitation":"(Kusters et al., 2021)","noteIndex":0},"citationItems":[{"id":44496,"uris":["http://zotero.org/users/7621732/items/RNSG2RWA"],"itemData":{"id":44496,"type":"article-journal","container-title":"South Eastern European Journal of Public Health","issue":"1","note":"publisher: Jacobs Verlag","page":"1-11","source":"Google Scholar","title":"Addressing ableism in inclusive education policies: a policy brief outlining Italy, Poland, the Netherlands and the United Kingdom","title-short":"Addressing ableism in inclusive education policies","volume":"3","author":[{"family":"Kusters","given":"Joni"},{"family":"Millner","given":"Mareike Annemarie"},{"family":"Omelyanovskaya","given":"Karina"},{"family":"Tangerli","given":"Mehmet Mikail"},{"family":"Laszewska","given":"Agata"},{"family":"Kessel","given":"Robin","non-dropping-particle":"van"}],"issued":{"date-parts":[["2021"]]}}}],"schema":"https://github.com/citation-style-language/schema/raw/master/csl-citation.json"} </w:instrText>
      </w:r>
      <w:r>
        <w:fldChar w:fldCharType="separate"/>
      </w:r>
      <w:r w:rsidRPr="00477057">
        <w:rPr>
          <w:rFonts w:ascii="Calibri" w:hAnsi="Calibri" w:cs="Calibri"/>
        </w:rPr>
        <w:t>(Kusters et al., 2021)</w:t>
      </w:r>
      <w:r>
        <w:fldChar w:fldCharType="end"/>
      </w:r>
      <w:r>
        <w:t xml:space="preserve">, </w:t>
      </w:r>
      <w:r w:rsidRPr="006C7F74">
        <w:rPr>
          <w:rFonts w:ascii="Calibri Light" w:hAnsi="Calibri Light" w:cs="Calibri Light"/>
          <w:sz w:val="24"/>
          <w:szCs w:val="24"/>
        </w:rPr>
        <w:t xml:space="preserve">such as Japan, which maintains the human rights of its citizens to pursue proper education without discrimination </w:t>
      </w:r>
      <w:r>
        <w:fldChar w:fldCharType="begin"/>
      </w:r>
      <w:r>
        <w:instrText xml:space="preserve"> ADDIN ZOTERO_ITEM CSL_CITATION {"citationID":"VO4cXMGf","properties":{"formattedCitation":"(Yoshitoshi et al., 2024)","plainCitation":"(Yoshitoshi et al., 2024)","noteIndex":0},"citationItems":[{"id":44465,"uris":["http://zotero.org/users/7621732/items/C86LG4MZ"],"itemData":{"id":44465,"type":"article-journal","abstract":"Article 24 of the CRPD guarantees inclusive education as a fundamental human right. In Japan, the education policy has shifted from a segregated education to an inclusive one with the ratification of the CRPD. However, recent lawsuits on children with disabilities and their school placement/attendance reveal such policy changes are not reflected in practice. In this article, we reviewed notable court cases in Japan to investigate how Japanese courts interpreted the reform of the legal system. We divide the article into two parts: Firstly, we describe the history of Japanese education reform. Secondly, we discuss the court cases with regard to Japanese education system reform and the schooling of children with disabilities over three time periods. Our findings show that the court continues to make judicial decisions based on the old notion of segregated education and fails to recognize or even understand that inclusive education is a fundamental human right. Inclusive education should be a human right, but many countries, including Japan, still have school systems where students are segregated.The history of changes in laws on Japanese schooling system is explained.This study analyzed the main purports of legal cases about school attendance of children with disabilities in Japan and its changes over time.This study found that the court’s decisions made after the changes in laws to schooling system in Japan still did not adequately reflect its philosophy of inclusive education as a human right.The study recommends that it is necessary to have open discussions about ‘inclusive education’ as a human right. Inclusive education should be a human right, but many countries, including Japan, still have school systems where students are segregated. The history of changes in laws on Japanese schooling system is explained. This study analyzed the main purports of legal cases about school attendance of children with disabilities in Japan and its changes over time. This study found that the court’s decisions made after the changes in laws to schooling system in Japan still did not adequately reflect its philosophy of inclusive education as a human right. The study recommends that it is necessary to have open discussions about ‘inclusive education’ as a human right.","container-title":"Disability &amp; Society","DOI":"10.1080/09687599.2022.2157705","ISSN":"0968-7599","issue":"6","note":"publisher: Routledge\n_eprint: https://doi.org/10.1080/09687599.2022.2157705","page":"1423-1442","source":"Taylor and Francis+NEJM","title":"Judicial barriers to inclusive education as a human right: An analysis of relevant legal cases in Japan","title-short":"Judicial barriers to inclusive education as a human right","volume":"39","author":[{"family":"Yoshitoshi","given":"Munehisa"},{"family":"Horiguchi","given":"Goro"},{"family":"Takahashi","given":"Kiriko"}],"issued":{"date-parts":[["2024",7,2]]}}}],"schema":"https://github.com/citation-style-language/schema/raw/master/csl-citation.json"} </w:instrText>
      </w:r>
      <w:r>
        <w:fldChar w:fldCharType="separate"/>
      </w:r>
      <w:r w:rsidRPr="005435E3">
        <w:rPr>
          <w:rFonts w:ascii="Calibri" w:hAnsi="Calibri" w:cs="Calibri"/>
        </w:rPr>
        <w:t>(Yoshitoshi et al., 2024)</w:t>
      </w:r>
      <w:r>
        <w:fldChar w:fldCharType="end"/>
      </w:r>
      <w:r>
        <w:t xml:space="preserve"> </w:t>
      </w:r>
      <w:r w:rsidRPr="006C7F74">
        <w:rPr>
          <w:rFonts w:ascii="Calibri Light" w:hAnsi="Calibri Light" w:cs="Calibri Light"/>
          <w:sz w:val="24"/>
          <w:szCs w:val="24"/>
        </w:rPr>
        <w:t xml:space="preserve">According to the law, Japan still enforces special schools for disabilities better known as Special Needs Schools/SNS) as per the law in the Fundamental Law of Education (1947, revised 2006) and the School Education Law (1947, revised 2007), which regulates equitable education. However, after the 2014 conference on the rights of persons with disabilities </w:t>
      </w:r>
      <w:r>
        <w:fldChar w:fldCharType="begin"/>
      </w:r>
      <w:r>
        <w:instrText xml:space="preserve"> ADDIN ZOTERO_ITEM CSL_CITATION {"citationID":"EkqWnRJ0","properties":{"formattedCitation":"(Yoshitoshi &amp; Takahashi, 2023)","plainCitation":"(Yoshitoshi &amp; Takahashi, 2023)","noteIndex":0},"citationItems":[{"id":44468,"uris":["http://zotero.org/users/7621732/items/9RLN9CED"],"itemData":{"id":44468,"type":"article-journal","abstract":"This paper begins by providing a history of Japanese law pertaining to special education and its change towards a more inclusive education with the ratification of United Nations Conventions of the Rights of People with Disabilities. With the changes in laws, more children with constant medical care needs in Japan have the opportunity to attend mainstream schools. The recent court case, Kosuge v. Kanagawa prefecture and Kawasaki city, ruled against a child with medical care needs to attend mainstream school and made the judgment that a special needs school (tokubetsushien gakkō) is the appropriate placement for the child based on the child’s disability type and degree of disability rather than needs and regardless of the wishes of the child’s parents. This paper explores the case judgement and discusses where Japanese special education laws fall short similar to that of the US system based on Individuals with Disabilities Education Act. We suggest the need to keep inclusion as the basic human rights aligned with the Article 24 of the UNCRPD rather than focusing on the continuum of education principle in IDEA, and operationalise the law into practice to make integration of children with disabilities, including children with constant medical care needs, into mainstream education schools.","container-title":"International Journal of Inclusive Education","DOI":"10.1080/13603116.2021.1888322","ISSN":"1360-3116","issue":"11","note":"publisher: Routledge\n_eprint: https://doi.org/10.1080/13603116.2021.1888322","page":"1257-1271","source":"Taylor and Francis+NEJM","title":"A critical analysis of court decision on mainstream school attendance of a child with medical care needs in Japan: a long way towards inclusive education","title-short":"A critical analysis of court decision on mainstream school attendance of a child with medical care needs in Japan","volume":"27","author":[{"family":"Yoshitoshi","given":"Munehisa"},{"family":"Takahashi","given":"Kiriko"}],"issued":{"date-parts":[["2023",9,19]]}}}],"schema":"https://github.com/citation-style-language/schema/raw/master/csl-citation.json"} </w:instrText>
      </w:r>
      <w:r>
        <w:fldChar w:fldCharType="separate"/>
      </w:r>
      <w:r w:rsidRPr="00FC28E1">
        <w:rPr>
          <w:rFonts w:ascii="Calibri" w:hAnsi="Calibri" w:cs="Calibri"/>
        </w:rPr>
        <w:t>(Yoshitoshi &amp; Takahashi, 2023)</w:t>
      </w:r>
      <w:r>
        <w:fldChar w:fldCharType="end"/>
      </w:r>
      <w:r>
        <w:t>,</w:t>
      </w:r>
      <w:r w:rsidRPr="006C7F74">
        <w:rPr>
          <w:rFonts w:ascii="Calibri Light" w:hAnsi="Calibri Light" w:cs="Calibri Light"/>
          <w:sz w:val="24"/>
          <w:szCs w:val="24"/>
        </w:rPr>
        <w:t xml:space="preserve"> Japan has undergone renewal by strengthening its commitment to space for persons with disabilities to pursue education in formal education (inclusive education) by considering the expertise of accompanying teachers and curriculum modifications </w:t>
      </w:r>
      <w:r>
        <w:fldChar w:fldCharType="begin"/>
      </w:r>
      <w:r>
        <w:instrText xml:space="preserve"> ADDIN ZOTERO_ITEM CSL_CITATION {"citationID":"wiLINCsT","properties":{"formattedCitation":"(Kaizu &amp; Tamaki, 2024; Moberg et al., 2020; Nagano &amp; Weinberg, 2012)","plainCitation":"(Kaizu &amp; Tamaki, 2024; Moberg et al., 2020; Nagano &amp; Weinberg, 2012)","noteIndex":0},"citationItems":[{"id":44466,"uris":["http://zotero.org/users/7621732/items/PSTGQI2V"],"itemData":{"id":44466,"type":"article-journal","abstract":"Inclusive education in Japan was developed on the foundation of special needs education (SNE), which began in the early 2000s. There are various arguments as to whether the current multi-track system of SNE extending from segregated special needs schools to general education classrooms will lead to inclusive education, which is the goal of the Convention on the Rights of Persons with Disabilities. This study focuses on the movement for system reform of the SNE and examines its current status and challenges. It also discusses recent policy trends in general education classrooms that have affected the promotion of inclusive education. Furthermore, while making a global comparison using Organisation for Economic Co-operation and Development (OECD) data, this paper highlights Japan’s advantages and challenges in achieving inclusive education. Finally, it examines the conditions for realizing a new Japanese-style inclusive education.","container-title":"Remedial and Special Education","DOI":"10.1177/07419325241240061","ISSN":"0741-9325","issue":"6","language":"en","note":"publisher: SAGE Publications Inc","page":"369-379","source":"SAGE Journals","title":"Current Issues and Future Directions of Inclusive Education in Japan","volume":"45","author":[{"family":"Kaizu","given":"Akiko"},{"family":"Tamaki","given":"Munehisa"}],"issued":{"date-parts":[["2024",12,1]]}}},{"id":44467,"uris":["http://zotero.org/users/7621732/items/M9ZCFEC4"],"itemData":{"id":44467,"type":"article-journal","abstract":"The aim of this study was to analyse and compare teachers’ attitudes towards inclusive education in two culturally different countries: Finland and Japan. A sample of 362 Finnish and 1518 Japanese teachers participated in this survey. The teachers’ attitudes varied and were rather critical. The Finnish teachers were more worried about teachers’ efficacy when implementing inclusion, particularly when teaching students with intellectual disabilities or emotional and behavioural problems. The Japanese teachers had a more positive view on the benefits of inclusion for disabled or non-disabled students. Because Finnish schools emphasise the effectiveness of special education, the Finnish teachers in this study were more critical than the Japanese teachers of the idea that the efficacy discourse justifies the need for inclusive education. The findings support the idea that, to improve the universal understanding of inclusive education, more research should be done to analyse how inclusive education developments are realised in different cultural and historical contexts.","container-title":"European Journal of Special Needs Education","DOI":"10.1080/08856257.2019.1615800","ISSN":"0885-6257","issue":"1","note":"publisher: Routledge\n_eprint: https://doi.org/10.1080/08856257.2019.1615800","page":"100-114","source":"Taylor and Francis+NEJM","title":"Struggling for inclusive education in Japan and Finland: teachers’ attitudes towards inclusive education","title-short":"Struggling for inclusive education in Japan and Finland","volume":"35","author":[{"family":"Moberg","given":"Sakari"},{"family":"Muta","given":"Etsuko"},{"family":"Korenaga","given":"Kanako"},{"family":"Kuorelahti","given":"Matti"},{"family":"Savolainen","given":"Hannu"}],"issued":{"date-parts":[["2020",1,1]]}}},{"id":44469,"uris":["http://zotero.org/users/7621732/items/R6WDCZFN"],"itemData":{"id":44469,"type":"article-journal","abstract":"Japan faces an educational challenge even after the start of a new special education system (Tokubetsushienkyouiku). This article addresses the legal framework of the special education system in Japan and analyzes the issues needed to be addressed to reinforce the inclusion of children with disabilities in public regular school settings. The analysis uses published documents, including journal and newspaper articles, government notifications, government data, and court rulings, available through university library databases in Japan and the United States. Articles and court cases selected for review were those that highlighted legal issues in special education related to inclusion of children with disabilities in public regular school settings as well as the underlying philosophies of the legal decisions. Three Japanese cases involving students placement in regular schools were reviewed for comparative analysis to depict the differences in standards and underpinning philosophies in the two countries. This article argues that the U.S. special education system can provide some implications for the Japanese special education system. (Contains 4 tables.)","container-title":"International Journal of Special Education","ISSN":"0827-3383","issue":"1","language":"en","note":"ERIC Number: EJ979720","page":"128-143","source":"ERIC","title":"The Legal Framework for Inclusion of Students with Disabilities: A Comparative Analysis of Japan and the United States","title-short":"The Legal Framework for Inclusion of Students with Disabilities","volume":"27","author":[{"family":"Nagano","given":"Mayumi"},{"family":"Weinberg","given":"Lois A."}],"issued":{"date-parts":[["2012"]]}}}],"schema":"https://github.com/citation-style-language/schema/raw/master/csl-citation.json"} </w:instrText>
      </w:r>
      <w:r>
        <w:fldChar w:fldCharType="separate"/>
      </w:r>
      <w:r w:rsidRPr="00FC28E1">
        <w:rPr>
          <w:rFonts w:ascii="Calibri" w:hAnsi="Calibri" w:cs="Calibri"/>
        </w:rPr>
        <w:t>(Kaizu &amp; Tamaki, 2024; Moberg et al., 2020; Nagano &amp; Weinberg, 2012)</w:t>
      </w:r>
      <w:r>
        <w:fldChar w:fldCharType="end"/>
      </w:r>
      <w:r>
        <w:t>.</w:t>
      </w:r>
    </w:p>
    <w:p w14:paraId="223CDBA2" w14:textId="77777777" w:rsidR="006C7F74" w:rsidRPr="006C7F74" w:rsidRDefault="006C7F74" w:rsidP="006C7F74">
      <w:pPr>
        <w:spacing w:before="120" w:after="120"/>
        <w:ind w:left="440" w:right="-1" w:hanging="14"/>
        <w:jc w:val="both"/>
        <w:rPr>
          <w:rFonts w:ascii="Calibri Light" w:hAnsi="Calibri Light" w:cs="Calibri Light"/>
          <w:sz w:val="24"/>
          <w:szCs w:val="24"/>
        </w:rPr>
      </w:pPr>
      <w:r w:rsidRPr="006C7F74">
        <w:rPr>
          <w:rFonts w:ascii="Calibri Light" w:hAnsi="Calibri Light" w:cs="Calibri Light"/>
          <w:sz w:val="24"/>
          <w:szCs w:val="24"/>
        </w:rPr>
        <w:lastRenderedPageBreak/>
        <w:t xml:space="preserve">Legal regulations in inclusive education also apply in Malaysia through the Education Act 1996 and the Persons with Disabilities Act 2008, in addition to government support prohibiting schools from rejecting children with special needs with the Zero Reject Policy concept, which is evidence of a concrete solution in eliminating inequality in education. Meanwhile, in Vietnam, through the Education Law 2005 and the Law on Persons with Disabilities 2010 and Myanmar </w:t>
      </w:r>
      <w:r>
        <w:fldChar w:fldCharType="begin"/>
      </w:r>
      <w:r>
        <w:instrText xml:space="preserve"> ADDIN ZOTERO_ITEM CSL_CITATION {"citationID":"ur7hsRJo","properties":{"formattedCitation":"(Tonegawa, 2022a)","plainCitation":"(Tonegawa, 2022a)","noteIndex":0},"citationItems":[{"id":43528,"uris":["http://zotero.org/users/7621732/items/KCV9AXFM"],"itemData":{"id":43528,"type":"article-journal","abstract":"… Inclusive education is regarded as one of the global agendas of education; in recent years, many countries have implemented an inclusive education policy. This case study aimed to …","container-title":"International Journal of Instruction","issue":"1","note":"publisher: e-iji.net","page":"365-380","title":"Contextualization of inclusive education: Education for children with disabilities in Myanmar","volume":"15","author":[{"family":"Tonegawa","given":"Y"}],"issued":{"date-parts":[["2022"]]}}}],"schema":"https://github.com/citation-style-language/schema/raw/master/csl-citation.json"} </w:instrText>
      </w:r>
      <w:r>
        <w:fldChar w:fldCharType="separate"/>
      </w:r>
      <w:bookmarkStart w:id="9" w:name="_Hlk192442083"/>
      <w:r w:rsidRPr="00F33CE6">
        <w:rPr>
          <w:rFonts w:ascii="Calibri" w:hAnsi="Calibri" w:cs="Calibri"/>
        </w:rPr>
        <w:t>(Tonegawa, 2022a</w:t>
      </w:r>
      <w:bookmarkEnd w:id="9"/>
      <w:r w:rsidRPr="00F33CE6">
        <w:rPr>
          <w:rFonts w:ascii="Calibri" w:hAnsi="Calibri" w:cs="Calibri"/>
        </w:rPr>
        <w:t>)</w:t>
      </w:r>
      <w:r>
        <w:fldChar w:fldCharType="end"/>
      </w:r>
      <w:r>
        <w:t xml:space="preserve"> </w:t>
      </w:r>
      <w:r w:rsidRPr="006C7F74">
        <w:rPr>
          <w:rFonts w:ascii="Calibri Light" w:hAnsi="Calibri Light" w:cs="Calibri Light"/>
          <w:sz w:val="24"/>
          <w:szCs w:val="24"/>
        </w:rPr>
        <w:t xml:space="preserve">regulations, both have a clear legal framework for implementing inclusive education </w:t>
      </w:r>
      <w:r>
        <w:fldChar w:fldCharType="begin"/>
      </w:r>
      <w:r>
        <w:instrText xml:space="preserve"> ADDIN ZOTERO_ITEM CSL_CITATION {"citationID":"rvtFGr0u","properties":{"formattedCitation":"(Linh &amp; Azar, 2019)","plainCitation":"(Linh &amp; Azar, 2019)","noteIndex":0},"citationItems":[{"id":43544,"uris":["http://zotero.org/users/7621732/items/AMTCPGUC"],"itemData":{"id":43544,"type":"article-journal","abstract":"… children with special circumstances prescribed by Law Children, students with disabilities in accordance with the provisions of the Disability Law and other regulations law-related10. …","container-title":"Education Quarterly Reviews","issue":"3","note":"publisher: papers.ssrn.com","page":"539-550","title":"A comparative study of the inclusive education policy in Vietnam and Malaysia: Proposed solutions for sustainable development education in Vietnam","volume":"2","author":[{"family":"Linh","given":"PHT"},{"family":"Azar","given":"AS"}],"issued":{"date-parts":[["2019"]]}}}],"schema":"https://github.com/citation-style-language/schema/raw/master/csl-citation.json"} </w:instrText>
      </w:r>
      <w:r>
        <w:fldChar w:fldCharType="separate"/>
      </w:r>
      <w:r w:rsidRPr="00F420C0">
        <w:rPr>
          <w:rFonts w:ascii="Calibri" w:hAnsi="Calibri" w:cs="Calibri"/>
        </w:rPr>
        <w:t>(Linh &amp; Azar, 2019)</w:t>
      </w:r>
      <w:r>
        <w:fldChar w:fldCharType="end"/>
      </w:r>
      <w:r>
        <w:t xml:space="preserve">. </w:t>
      </w:r>
      <w:r w:rsidRPr="006C7F74">
        <w:rPr>
          <w:rFonts w:ascii="Calibri Light" w:hAnsi="Calibri Light" w:cs="Calibri Light"/>
          <w:sz w:val="24"/>
          <w:szCs w:val="24"/>
        </w:rPr>
        <w:t xml:space="preserve">Although not as good as Finland, which legally has the best inclusive education system in the world through the Basic Education Act 1998 and the Non-Discrimination Act 2014, all schools accept students with special needs without discrimination because they receive special support from the government generally to specific </w:t>
      </w:r>
      <w:r>
        <w:fldChar w:fldCharType="begin"/>
      </w:r>
      <w:r>
        <w:instrText xml:space="preserve"> ADDIN ZOTERO_ITEM CSL_CITATION {"citationID":"F3wWges1","properties":{"formattedCitation":"(Lempinen, 2017)","plainCitation":"(Lempinen, 2017)","noteIndex":0},"citationItems":[{"id":44487,"uris":["http://zotero.org/users/7621732/items/K94268YA"],"itemData":{"id":44487,"type":"article-journal","abstract":"New education laws that emphasize inclusive ideology were recently introduced to the Finnish educational system. In this study, I examine whether these laws provide more inclusive practices and assess whether the changes in the laws meet the views of the participants on education. Semi-structured interviews with parents, teachers and assistants of three children with attention-deficit/hyperactivity disorder (age: 6–8 years) were conducted around the period of transfer from kindergarten to schools in three municipalities. The official municipality websites were examined to find types of classrooms offered. The results showed that classrooms did not meet all expectations of the participants and were not satisfactorily inclusive. To enable structure and safety, the classrooms should be smaller (in the catchment area school) and should include pupils with and without special education support to learn from and support each other. The importance of one-to-one interaction with professional staff was also emphasized. In conclusion, the effect of the new laws could be seen through varying and to some extent unequal organizing of special educational support in the municipalities.","container-title":"Scandinavian Journal of Disability Research","DOI":"10.1080/15017419.2016.1182942","ISSN":"1501-7419","issue":"3","note":"publisher: Taylor &amp; Francis\n_eprint: https://doi.org/10.1080/15017419.2016.1182942","page":"194-205","source":"Taylor and Francis+NEJM","title":"Towards inclusive schooling policies in Finland: a multiple-case study from policy to practice","title-short":"Towards inclusive schooling policies in Finland","volume":"19","author":[{"family":"Lempinen","given":"Sonia"}],"issued":{"date-parts":[["2017",7,3]]}}}],"schema":"https://github.com/citation-style-language/schema/raw/master/csl-citation.json"} </w:instrText>
      </w:r>
      <w:r>
        <w:fldChar w:fldCharType="separate"/>
      </w:r>
      <w:r w:rsidRPr="001133A4">
        <w:rPr>
          <w:rFonts w:ascii="Calibri" w:hAnsi="Calibri" w:cs="Calibri"/>
        </w:rPr>
        <w:t>(Lempinen, 2017)</w:t>
      </w:r>
      <w:r>
        <w:fldChar w:fldCharType="end"/>
      </w:r>
      <w:r>
        <w:t xml:space="preserve">; </w:t>
      </w:r>
      <w:r w:rsidRPr="006C7F74">
        <w:rPr>
          <w:rFonts w:ascii="Calibri Light" w:hAnsi="Calibri Light" w:cs="Calibri Light"/>
          <w:sz w:val="24"/>
          <w:szCs w:val="24"/>
        </w:rPr>
        <w:t xml:space="preserve">such as; special training for inclusive education teachers </w:t>
      </w:r>
      <w:r>
        <w:fldChar w:fldCharType="begin"/>
      </w:r>
      <w:r>
        <w:instrText xml:space="preserve"> ADDIN ZOTERO_ITEM CSL_CITATION {"citationID":"iFSIWTH2","properties":{"formattedCitation":"(Grynova &amp; Kalinichenko, 2018; Smyth et al., 2014)","plainCitation":"(Grynova &amp; Kalinichenko, 2018; Smyth et al., 2014)","noteIndex":0},"citationItems":[{"id":44454,"uris":["http://zotero.org/users/7621732/items/3WU2RE5E"],"itemData":{"id":44454,"type":"article-journal","container-title":"Порівняльна професійна педагогіка","issue":"8 (2)","note":"publisher: Національна академія педагогічних наук України, Інститут педагогічної освіти …","page":"28–34","source":"Google Scholar","title":"Trends in inclusive education in the USA and Canada","author":[{"family":"Grynova","given":"Maryna"},{"family":"Kalinichenko","given":"Iryna"}],"issued":{"date-parts":[["2018"]]}}},{"id":44451,"uris":["http://zotero.org/users/7621732/items/RAQVGBCS"],"itemData":{"id":44451,"type":"article-journal","abstract":"This paper seeks to compare the evolution of inclusive education policy in the four countries of an EU-funded research project (QualiTYDES) operating under the shared policy environment of the UN, EU and European Commission. A shared policy cannot of course be assumed to result in common legislative or provisional outcomes at national level. The different sociocultural, political, historical and economic contexts in each country shape its journey towards ‘compliance’ with an international convention (both pre- and post-ratification), and neither the route nor the destination can be assumed to be shared, given the scope for different interpretations of the same texts. This paper places the implementation trajectories of four European countries side by side as they attempt to move towards ‘inclusive’ education systems. Following a brief overview of the international education policy environment relating to the education of people with disabilities, we describe the national education policy responses in Ireland, Austria, Spain and Czech Republic in recent decades, including both legislation pertaining to special educational need and implementation of policies in practice. The comparison highlights the different manifestations of inclusive education current in each country, and also explores the challenges which have arisen as individual countries attempt to align international policy with provision in existing education systems, each with their own legacy interests, pressures and priorities. Examples of ‘gaps’ in this alignment are where learners with disabilities/SEN are likely to be failed, and represent the critical points at which barriers to fully inclusive education arise and negatively impact opportunity over the life course.","container-title":"European Journal of Special Needs Education","DOI":"10.1080/08856257.2014.922797","ISSN":"0885-6257","issue":"4","note":"publisher: Routledge\n_eprint: https://doi.org/10.1080/08856257.2014.922797","page":"433-445","source":"Taylor and Francis+NEJM","title":"Inclusive education in progress: policy evolution in four European countries","title-short":"Inclusive education in progress","volume":"29","author":[{"family":"Smyth","given":"Fiona"},{"family":"Shevlin","given":"Michael"},{"family":"Buchner","given":"Tobias"},{"family":"Biewer","given":"Gottfried"},{"family":"Flynn","given":"Paula"},{"family":"Latimier","given":"Camille"},{"family":"Šiška","given":"Jan"},{"family":"Toboso-Martín","given":"Mario"},{"family":"Rodríguez Díaz","given":"Susana"},{"family":"Ferreira","given":"Miguel A.V."}],"issued":{"date-parts":[["2014",10,2]]}}}],"schema":"https://github.com/citation-style-language/schema/raw/master/csl-citation.json"} </w:instrText>
      </w:r>
      <w:r>
        <w:fldChar w:fldCharType="separate"/>
      </w:r>
      <w:r w:rsidRPr="00477057">
        <w:rPr>
          <w:rFonts w:ascii="Calibri" w:hAnsi="Calibri" w:cs="Calibri"/>
        </w:rPr>
        <w:t>(Grynova &amp; Kalinichenko, 2018; Smyth et al., 2014)</w:t>
      </w:r>
      <w:r>
        <w:fldChar w:fldCharType="end"/>
      </w:r>
      <w:r>
        <w:t xml:space="preserve">, </w:t>
      </w:r>
      <w:r w:rsidRPr="006C7F74">
        <w:rPr>
          <w:rFonts w:ascii="Calibri Light" w:hAnsi="Calibri Light" w:cs="Calibri Light"/>
          <w:sz w:val="24"/>
          <w:szCs w:val="24"/>
        </w:rPr>
        <w:t xml:space="preserve">flexible curriculum </w:t>
      </w:r>
      <w:r>
        <w:fldChar w:fldCharType="begin"/>
      </w:r>
      <w:r>
        <w:instrText xml:space="preserve"> ADDIN ZOTERO_ITEM CSL_CITATION {"citationID":"BZD23fSO","properties":{"formattedCitation":"(Chaudhary &amp; Syal, 2022a)","plainCitation":"(Chaudhary &amp; Syal, 2022a)","noteIndex":0},"citationItems":[{"id":44494,"uris":["http://zotero.org/users/7621732/items/VMWPMB8I"],"itemData":{"id":44494,"type":"article-journal","container-title":"Indian Journal of Distance Education","issue":"3","note":"publisher: Panjab University, Chandigarh (India","page":"63","source":"Google Scholar","title":"Inclusive Education: ChallengesFaced by Teachers in Mainstreaming Children with Special Needs","title-short":"Inclusive Education","volume":"23","author":[{"family":"Chaudhary","given":"Reena"},{"family":"Syal","given":"Yashna"}],"issued":{"date-parts":[["2022"]]}}}],"schema":"https://github.com/citation-style-language/schema/raw/master/csl-citation.json"} </w:instrText>
      </w:r>
      <w:r>
        <w:fldChar w:fldCharType="separate"/>
      </w:r>
      <w:r w:rsidRPr="00477057">
        <w:rPr>
          <w:rFonts w:ascii="Calibri" w:hAnsi="Calibri" w:cs="Calibri"/>
        </w:rPr>
        <w:t>(Chaudhary &amp; Syal, 2022a)</w:t>
      </w:r>
      <w:r>
        <w:fldChar w:fldCharType="end"/>
      </w:r>
      <w:r>
        <w:t xml:space="preserve"> </w:t>
      </w:r>
      <w:r w:rsidRPr="006C7F74">
        <w:rPr>
          <w:rFonts w:ascii="Calibri Light" w:hAnsi="Calibri Light" w:cs="Calibri Light"/>
          <w:sz w:val="24"/>
          <w:szCs w:val="24"/>
        </w:rPr>
        <w:t xml:space="preserve">and learning methods that adapt to students' needs </w:t>
      </w:r>
      <w:r>
        <w:fldChar w:fldCharType="begin"/>
      </w:r>
      <w:r>
        <w:instrText xml:space="preserve"> ADDIN ZOTERO_ITEM CSL_CITATION {"citationID":"dvT8SUeA","properties":{"formattedCitation":"(Pesonen et al., 2015)","plainCitation":"(Pesonen et al., 2015)","noteIndex":0},"citationItems":[{"id":44489,"uris":["http://zotero.org/users/7621732/items/ULFNAQXR"],"itemData":{"id":44489,"type":"article-journal","abstract":"This article examines the implementation of new special education legislation in Finland among students with significant disabilities. The data consist of a nationwide survey and field observations. In the analysis, a policy implementation framework is utilized as a theoretical lens. The findings suggest that schools and municipalities that had participated in long-term development projects had more capacity and willingness to reform special education practices substantially, suggesting that learning in one policy area can transfer to other domains across multiple levels of national and local governments. The key findings highlight the significance of professional trust as a policy instrument in implementation.","container-title":"Educational Policy","DOI":"10.1177/0895904814556754","ISSN":"0895-9048","issue":"1","language":"en","note":"publisher: SAGE Publications Inc","page":"162-178","source":"SAGE Journals","title":"The Implementation of New Special Education Legislation in Finland","volume":"29","author":[{"family":"Pesonen","given":"Henri"},{"family":"Itkonen","given":"Tiina"},{"family":"Jahnukainen","given":"Markku"},{"family":"Kontu","given":"Elina"},{"family":"Kokko","given":"Tiina"},{"family":"Ojala","given":"Terhi"},{"family":"Pirttimaa","given":"Raija"}],"issued":{"date-parts":[["2015",1,1]]}}}],"schema":"https://github.com/citation-style-language/schema/raw/master/csl-citation.json"} </w:instrText>
      </w:r>
      <w:r>
        <w:fldChar w:fldCharType="separate"/>
      </w:r>
      <w:r w:rsidRPr="001133A4">
        <w:rPr>
          <w:rFonts w:ascii="Calibri" w:hAnsi="Calibri" w:cs="Calibri"/>
        </w:rPr>
        <w:t>(Pesonen et al., 2015)</w:t>
      </w:r>
      <w:r>
        <w:fldChar w:fldCharType="end"/>
      </w:r>
      <w:r>
        <w:t>.</w:t>
      </w:r>
    </w:p>
    <w:p w14:paraId="13C2A774" w14:textId="77777777" w:rsidR="006C7F74" w:rsidRDefault="006C7F74" w:rsidP="006C7F74">
      <w:pPr>
        <w:spacing w:before="120" w:after="120"/>
        <w:ind w:left="440" w:right="-1" w:hanging="14"/>
        <w:jc w:val="both"/>
        <w:rPr>
          <w:rFonts w:ascii="Calibri Light" w:hAnsi="Calibri Light" w:cs="Calibri Light"/>
          <w:sz w:val="24"/>
          <w:szCs w:val="24"/>
        </w:rPr>
      </w:pPr>
    </w:p>
    <w:p w14:paraId="2D9EB933" w14:textId="77777777" w:rsidR="00112CC2" w:rsidRPr="00112CC2" w:rsidRDefault="00112CC2" w:rsidP="006C7F74">
      <w:pPr>
        <w:spacing w:before="120" w:after="120"/>
        <w:ind w:left="440" w:right="-1" w:hanging="14"/>
        <w:jc w:val="both"/>
        <w:rPr>
          <w:rFonts w:ascii="Calibri Light" w:hAnsi="Calibri Light" w:cs="Calibri Light"/>
          <w:b/>
          <w:bCs/>
          <w:sz w:val="24"/>
          <w:szCs w:val="24"/>
        </w:rPr>
      </w:pPr>
      <w:r w:rsidRPr="00112CC2">
        <w:rPr>
          <w:rFonts w:ascii="Calibri Light" w:hAnsi="Calibri Light" w:cs="Calibri Light"/>
          <w:b/>
          <w:bCs/>
          <w:sz w:val="24"/>
          <w:szCs w:val="24"/>
        </w:rPr>
        <w:t>Challenges of Implementing Inclusive Education in Indonesia</w:t>
      </w:r>
    </w:p>
    <w:p w14:paraId="3D33ABE0" w14:textId="77777777" w:rsidR="006C7F74" w:rsidRPr="00112CC2" w:rsidRDefault="00112CC2" w:rsidP="00112CC2">
      <w:pPr>
        <w:spacing w:before="120" w:after="120"/>
        <w:ind w:left="440" w:right="-1" w:hanging="14"/>
        <w:jc w:val="both"/>
        <w:rPr>
          <w:rFonts w:ascii="Calibri Light" w:hAnsi="Calibri Light" w:cs="Calibri Light"/>
          <w:sz w:val="24"/>
          <w:szCs w:val="24"/>
        </w:rPr>
      </w:pPr>
      <w:commentRangeStart w:id="10"/>
      <w:r w:rsidRPr="00112CC2">
        <w:rPr>
          <w:rFonts w:ascii="Calibri Light" w:hAnsi="Calibri Light" w:cs="Calibri Light"/>
          <w:sz w:val="24"/>
          <w:szCs w:val="24"/>
        </w:rPr>
        <w:t xml:space="preserve">The birth of measurable laws from the state and the issuance of policies from the government on inclusive education do not automatically implement inclusive education in Indonesia optimally </w:t>
      </w:r>
      <w:commentRangeEnd w:id="10"/>
      <w:r w:rsidR="008A1EFE">
        <w:rPr>
          <w:rStyle w:val="CommentReference"/>
        </w:rPr>
        <w:commentReference w:id="10"/>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{"citationID":"9hDOBqfZ","properties":{"formattedCitation":"(Little et al., 2022; Yuliyanto, 2023; Zain, 2022)","plainCitation":"(Little et al., 2022; Yuliyanto, 2023; Zain, 2022)","noteIndex":0},"citationItems":[{"id":43506,"uris":["http://zotero.org/users/7621732/items/BNWS27SC"],"itemData":{"id":43506,"type":"article-journal","abstract":"… on all governments to employ an inclusive education policy that supported the enrolment of all … All students in this case study from a primary school in Indonesia designated as ‘inclusive’ …","container-title":"International journal of disability development and education","DOI":"10.1080/1034912X.2020.1837352","issue":"6","note":"publisher: Taylor &amp;Francis","page":"2074-2093","title":"Social inclusion through the eyes of the student: Perspectives from students with disabilities on friendship and acceptance","volume":"69","author":[{"family":"Little","given":"C"},{"family":"DeLeeuw","given":"RR"},{"family":"Andriana","given":"E"},{"literal":"..."}],"issued":{"date-parts":[["2022"]]}}},{"id":43380,"uris":["http://zotero.org/users/7621732/items/MS6NFPTC"],"itemData":{"id":43380,"type":"article-journal","abstract":"… Hal yang dialami kabupaten Situbondo dalam pelaksanaan kebijakan pendidikan inklusif. Implementasi kebijakan adalah salah satu tahap kebijakan publik, antara pembentukan …","container-title":"Soetomo Magister Ilmu Administrasi","issue":"2","note":"publisher: ejournal.unitomo.ac.id","page":"169-176","title":"Implementasi Penyelenggaraan Pendidikan Inklusif Di Kabupaten Situbondo","volume":"1","author":[{"family":"Yuliyanto","given":"Y"}],"issued":{"date-parts":[["2023"]]}}},{"id":43952,"uris":["http://zotero.org/users/7621732/items/EVNZWJ5E"],"itemData":{"id":43952,"type":"article-journal","abstract":"… of inclusive education in regular schools in Indonesia along with the challenges and advantages in … and equitable implementation of inclusive education in regular schools in Indonesia. …","container-title":"JPI (Jurnal Pendidikan Inklusi)","issue":"1","note":"publisher: journal.unesa.ac.id","page":"82","title":"Implementation of Inclusive Education in Regular School: Narrative Literature Review","volume":"5","author":[{"family":"Zain","given":"ZF"}],"issued":{"date-parts":[["2022"]]}}}],"schema":"https://github.com/citation-style-language/schema/raw/master/csl-citation.json"}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(Little et al., 2022; Yuliyanto, 2023; Zain, 2022)</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Sabrina et al. revealed how solid the existence of laws (statutes) in Indonesia is, which is the basis for inclusive education and its derivatives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{"citationID":"U2bVruNQ","properties":{"formattedCitation":"(Faragher et al., 2021; Lahesti et al., 2023; D. Sabrina &amp; Erianjoni, 2019)","plainCitation":"(Faragher et al., 2021; Lahesti et al., 2023; D. Sabrina &amp; Erianjoni, 2019)","noteIndex":0},"citationItems":[{"id":44480,"uris":["http://zotero.org/users/7621732/items/LQRPSI9E"],"itemData":{"id":44480,"type":"article-journal","abstract":"Across Asia, countries have signed the UNCRPD and to a greater or lesser extent are pursuing inclusive education (IE). In this article, we present case studies from Singapore, Indonesia, Philippines, and China analyzing them for common themes around the education of students intellectual and developmental disabilities (IDD), and noting commonalities, challenges, and emerging issues. While the definition of IE (being the philosophy, process and practice of welcoming, valuing and supporting all learners in general education environments) and the conceptual distinction between integration and segregation are clear in the UNCRPD and subsequent comments, the terminology used in some of the countries is inconsistent with these definitions. This makes interpretation of reports from government instrumentalities difficult. In some cases, misuse of terminology allows justification of practices that are contrary to the UNCRPD. Terminology differences coupled with challenges of finding data related to the education of children with IDD, if the data exist, make a regional analysis of progress towards IE complex. In our paper, we have drawn on previous reviews and reports to discuss common issues and make suggestions for ways forward. Our findings add to the few other reviews from Asia on IE and draw attention to the continuing need for improved access to any education at all for learners with IDD. Provision of IE is caught up in dilemmas in the region about teacher preparation and professional learning, and how to provide specialist support in inclusive settings. School structure decisions including staffing provision and class sizes affect the education outcomes of students with IDD. School leadership, with the fundamental role of translating policy into practice, is critical for the development of IE and must be aligned with system and country priorities. Collaboration across the region has the potential to share best practice and continue to improve the educational opportunities for learners with IDD.","container-title":"Journal of Policy and Practice in Intellectual Disabilities","DOI":"10.1111/jppi.12369","ISSN":"1741-1130","issue":"1","language":"en","license":"© 2020 International Association for the Scientific Study of Intellectual and Developmental Disabilities and Wiley Periodicals LLC","note":"_eprint: https://onlinelibrary.wiley.com/doi/pdf/10.1111/jppi.12369","page":"23-35","source":"Wiley Online Library","title":"Inclusive Education in Asia: Insights From Some Country Case Studies","title-short":"Inclusive Education in Asia","volume":"18","author":[{"family":"Faragher","given":"Rhonda"},{"family":"Chen","given":"Mo"},{"family":"Miranda","given":"Lucena"},{"family":"Poon","given":"Kenneth"},{"literal":"Rumiati"},{"family":"Chang","given":"Feng-Ru"},{"family":"Chen","given":"Holly"}],"issued":{"date-parts":[["2021"]]}}},{"id":43256,"uris":["http://zotero.org/users/7621732/items/VCJ6EHDZ"],"itemData":{"id":43256,"type":"article-journal","abstract":"… Fakta yang peneliti dapatkan dalam pengimplementasian kebijakan pendidikan inklusif adalah kurangnya sarana dan prasarana pendukung dan kurangnya tenaga pendidik. …","container-title":"Eksekusi: Jurnal Ilmu Hukum dan Administrasi Negara","issue":"3","note":"publisher: journal-stiayappimakassar.ac.id","page":"250-262","title":"Implementasi Kebijakan Pendidikan Inklusif: Studi Kasus SMP Negeri 15 Tanjungpinang","volume":"1","author":[{"family":"Lahesti","given":"E"},{"family":"Akhyary","given":"E"},{"family":"Hendrayady","given":"A"}],"issued":{"date-parts":[["2023"]]}}},{"id":43170,"uris":["http://zotero.org/users/7621732/items/NXUUX7GZ"],"itemData":{"id":43170,"type":"article-journal","abstract":"Penelitian ini bertujuan untuk mengetahui implementasi Peraturan Daerah Nomor 3 Tahun 2015 tentang pemenuhan dan perlindungan hak-hak penyandang disabilitas di Kota Padang…","container-title":"Jurnal Perspektif","issue":"Query date: 2025-02-26 18:53:38","note":"publisher: perspektif.ppj.unp.ac.id","title":"Implementasi Peraturan Daerah Nomor 3 Tahun 2015 Tentang Pemenuhan dan Perlindungan Hak-Hak Penyandang Disabilitas di Kota Padang","URL":"https://perspektif.ppj.unp.ac.id/index.php/perspektif/article/view/66","author":[{"family":"Sabrina","given":"DY"},{"family":"Erianjoni","given":"E"}],"issued":{"date-parts":[["2019"]]}}}],"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(Faragher et al., 2021; Lahesti et al., 2023; D. Sabrina &amp; Erianjoni, 2019)</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However, if intensive monitoring and assistance are not carried out accompanied by periodic evaluations, the implementation process will be less than optimal. Several findings on the implementation of inclusive education at the elementary school level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{"citationID":"4E9D6dbV","properties":{"formattedCitation":"(Fasha &amp; Widowati, 2017; Munajah et al., 2021; Nugroho &amp; Mareza, 2016; Romadhon et al., 2021; Wijaya &amp; Supena, 2023)","plainCitation":"(Fasha &amp; Widowati, 2017; Munajah et al., 2021; Nugroho &amp; Mareza, 2016; Romadhon et al., 2021; Wijaya &amp; Supena, 2023)","noteIndex":0},"citationItems":[{"id":44447,"uris":["http://zotero.org/users/7621732/items/Q69J946K"],"itemData":{"id":44447,"type":"article-journal","container-title":"Journal of Public Policy and Management Review","issue":"4","page":"300–311","source":"Google Scholar","title":"Evaluasi Kebijakan Penyelenggaraan Pendidikan Inklusif Tingkat Sekolah Dasar di Kecamatan Koja Jakarta Utara (Studi pada Sdn Tugu Utara 11)","volume":"6","author":[{"family":"Fasha","given":"Azizah Febrianti"},{"family":"Widowati","given":"Nina"}],"issued":{"date-parts":[["2017"]]}}},{"id":43074,"uris":["http://zotero.org/users/7621732/items/4UI7A5Q3"],"itemData":{"id":43074,"type":"article-journal","abstract":"Sekolah Dasar dengan program pendidikan inklusi menjadi sebuah tantangan tersendiri bagi kepala sekolah dan guru di lembaga pendidikan. Pendidikan inklusi di sekolah dasar …","container-title":"Jurnal Basicedu","issue":"1","note":"publisher: neliti.com","page":"1183 - 1190","title":"Implementasi Kebijakan Pendidikan Inklusi di Sekolah Dasar","volume":"5","author":[{"family":"Munajah","given":"R"},{"family":"Marini","given":"A"},{"family":"Sumantri","given":"MS"}],"issued":{"date-parts":[["2021"]]}}},{"id":43078,"uris":["http://zotero.org/users/7621732/items/IQDLPQMS"],"itemData":{"id":43078,"type":"article-journal","abstract":"Setiap warga negara mempunyai hak yang sama untuk memperoleh pendidikan yang bermutu. Warga negara yang memiliki kelainan fisik, emosional, mental, intelektual atau sosial …","container-title":"Jurnal Pendidikan Dasar PerKhasa","issue":"2","note":"publisher: neliti.com","page":"145-156","title":"Model dan Strategi Pembelajaran Anak Berkebutuhan Khusus dalam Setting Pendidikan Inklusi","volume":"2","author":[{"family":"Nugroho","given":"A"},{"family":"Mareza","given":"L"}],"issued":{"date-parts":[["2016"]]}}},{"id":44431,"uris":["http://zotero.org/users/7621732/items/RIPP2NQD"],"itemData":{"id":44431,"type":"article-journal","container-title":"Jurnal Elementaria Edukasia","issue":"1","page":"109–115","source":"Google Scholar","title":"Kebijakan pendidikan inklusi sebuah solusi di sekolah dasar","volume":"4","author":[{"family":"Romadhon","given":"Muhamad"},{"family":"Marini","given":"Arita"},{"family":"Sumantri","given":"Mohamad Syarif"}],"issued":{"date-parts":[["2021"]]}}},{"id":43082,"uris":["http://zotero.org/users/7621732/items/2YVDXBH5"],"itemData":{"id":43082,"type":"article-journal","abstract":"Penelitian ini bertujuan untuk mengetahui implementasi program pendidikan inklusi serta aktifitas dukungan sekolah dan guru kepada siswa ABK dalam layanan pendidikan inklusi …","container-title":"Jurnal Educatio","issue":"1","note":"publisher: ejournal.unma.ac.id","page":"347-357","title":"Implementasi program pendidikan inklusi pada sekolah dasar di kota serang","volume":"9","author":[{"family":"Wijaya","given":"S"},{"family":"Supena","given":"A"}],"issued":{"date-parts":[["2023"]]}}}],"schema":"https://github.com/citation-style-language/schema/raw/master/csl-citation.json"}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(Fasha &amp; Widowati, 2017; Munajah et al., 2021; Nugroho &amp; Mareza, 2016; Romadhon et al., 2021; Wijaya &amp; Supena, 2023)</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special schools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{"citationID":"CnqiSoZN","properties":{"formattedCitation":"(Perdana et al., 2024)","plainCitation":"(Perdana et al., 2024)","noteIndex":0},"citationItems":[{"id":44490,"uris":["http://zotero.org/users/7621732/items/WTDSXDRU"],"itemData":{"id":44490,"type":"article-journal","container-title":"Jurnal Ilmiah Ekonomi, Manajemen, Bisnis Dan Akuntansi","issue":"4","page":"309–316","source":"Google Scholar","title":"Analisis Penerapan Perencanaan Sekolah Luar Biasa Negeri jember Berdasarkan Permendikbudristek Nomor 47 Tahun 2023","volume":"1","author":[{"family":"Perdana","given":"Devtian Putera"},{"family":"Nuriyati","given":"Mudhi"},{"family":"Abelia","given":"Septianti Putri"},{"family":"Dharmawan","given":"Tedy"},{"family":"Ma’rufah","given":"Risa Habibatul"},{"family":"Simanjorang","given":"Andreas Rivaldo"},{"family":"Hamsyah","given":"Farhat Wildat"}],"issued":{"date-parts":[["2024"]]}}}],"schema":"https://github.com/citation-style-language/schema/raw/master/csl-citation.json"}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(Perdana et al., 2024)</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and secondary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{"citationID":"qLdYZ6ZN","properties":{"formattedCitation":"(Syarif, 2024)","plainCitation":"(Syarif, 2024)","noteIndex":0},"citationItems":[{"id":43292,"uris":["http://zotero.org/users/7621732/items/34IRRSB6"],"itemData":{"id":43292,"type":"article-journal","abstract":"… tentang Kebijakan Pendidikan Inklusif di Indonesia terkait … dalam implementasi kebijakan pendidikan inklusif di sekolah … implementasi pendidikan inklusif di Indonesia?”. Setelah …","container-title":"Jurnal Pemikiran Dan Pengembangan Pembelajaran","issue":"3","note":"publisher: ejournal-jp3.com","page":"852-864","title":"Analisis Kebijakan Pendidikan Inklusif di Indonesia: Tantangan dan Peluang dalam Implementasi di Sekolah Menengah","volume":"6","author":[{"family":"Syarif","given":"R"}],"issued":{"date-parts":[["2024"]]}}}],"schema":"https://github.com/citation-style-language/schema/raw/master/csl-citation.json"}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(Syarif, 2024)</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and higher education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{"citationID":"sezfBNUm","properties":{"formattedCitation":"(Huda &amp; Syihabuddin, 2024)","plainCitation":"(Huda &amp; Syihabuddin, 2024)","noteIndex":0},"citationItems":[{"id":43918,"uris":["http://zotero.org/users/7621732/items/D2QDHL9F"],"itemData":{"id":43918,"type":"article-journal","abstract":"… Education Policy and Leadership in Indonesia, \"education is … with special needs in Indonesia has increased, even though … to analyze the inclusive education policy system with a case …","container-title":"Risalah, Jurnal Pendidikan Dan Studi Islam","issue":"4","note":"publisher: jurnal.faiunwir.ac.id","page":"1625-1635","title":"Policy Analysis of Inclusive-Based Education: Case Study of UIN Sunan Kalijaga","volume":"10","author":[{"family":"Huda","given":"LLN"},{"family":"Syihabuddin","given":"M"}],"issued":{"date-parts":[["2024"]]}}}],"schema":"https://github.com/citation-style-language/schema/raw/master/csl-citation.json"}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(Huda &amp; Syihabuddin, 2024)</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still leave various homework to be completed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{"citationID":"7OQ8Vifz","properties":{"formattedCitation":"(Jannata et al., 2024; Lestari et al., 2024; Moberg et al., 2020)","plainCitation":"(Jannata et al., 2024; Lestari et al., 2024; Moberg et al., 2020)","noteIndex":0},"citationItems":[{"id":43992,"uris":["http://zotero.org/users/7621732/items/BIQP6JBF"],"itemData":{"id":43992,"type":"article-journal","abstract":"… Diseño Deportivo Nacional de Indonesia en la implementación … e internacionales muestran que Indonesia ha experimentado … profundos para el grupo de Indonesia occidental es 389,…","container-title":"Federación Española de Asociaciones de Docentes de Educación Física (FEADEF)","issue":"1","note":"publisher: dialnet.unirioja.es","page":"18-24","title":"Implementation of two policies in physical education in Indonesia: structural equiting model analysis","volume":"57","author":[{"family":"Jannata","given":"T"},{"family":"Sumaryanto","given":"S"},{"family":"Hadi","given":"S"},{"family":"Setiawan","given":"C"}],"issued":{"date-parts":[["2024"]]}}},{"id":44427,"uris":["http://zotero.org/users/7621732/items/DEI6KWY2"],"itemData":{"id":44427,"type":"article-journal","container-title":"Jurnal Ilmiah Teunuleh","issue":"3","page":"153–161","source":"Google Scholar","title":"Challenges and Solutions in Implementing Inclusive Education at UPT State Elementary School 067250 Medan","volume":"5","author":[{"family":"Lestari","given":"Nila"},{"family":"Widiyarti","given":"Gemala"},{"family":"Siregar","given":"Nurhafni"},{"family":"Sari","given":"Dwi Novita"}],"issued":{"date-parts":[["2024"]]}}},{"id":44467,"uris":["http://zotero.org/users/7621732/items/M9ZCFEC4"],"itemData":{"id":44467,"type":"article-journal","abstract":"The aim of this study was to analyse and compare teachers’ attitudes towards inclusive education in two culturally different countries: Finland and Japan. A sample of 362 Finnish and 1518 Japanese teachers participated in this survey. The teachers’ attitudes varied and were rather critical. The Finnish teachers were more worried about teachers’ efficacy when implementing inclusion, particularly when teaching students with intellectual disabilities or emotional and behavioural problems. The Japanese teachers had a more positive view on the benefits of inclusion for disabled or non-disabled students. Because Finnish schools emphasise the effectiveness of special education, the Finnish teachers in this study were more critical than the Japanese teachers of the idea that the efficacy discourse justifies the need for inclusive education. The findings support the idea that, to improve the universal understanding of inclusive education, more research should be done to analyse how inclusive education developments are realised in different cultural and historical contexts.","container-title":"European Journal of Special Needs Education","DOI":"10.1080/08856257.2019.1615800","ISSN":"0885-6257","issue":"1","note":"publisher: Routledge\n_eprint: https://doi.org/10.1080/08856257.2019.1615800","page":"100-114","source":"Taylor and Francis+NEJM","title":"Struggling for inclusive education in Japan and Finland: teachers’ attitudes towards inclusive education","title-short":"Struggling for inclusive education in Japan and Finland","volume":"35","author":[{"family":"Moberg","given":"Sakari"},{"family":"Muta","given":"Etsuko"},{"family":"Korenaga","given":"Kanako"},{"family":"Kuorelahti","given":"Matti"},{"family":"Savolainen","given":"Hannu"}],"issued":{"date-parts":[["2020",1,1]]}}}],"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(Jannata et al., 2024; Lestari et al., 2024; Moberg et al., 2020)</w:t>
      </w:r>
      <w:r w:rsidRPr="00112CC2">
        <w:rPr>
          <w:rFonts w:ascii="Calibri Light" w:hAnsi="Calibri Light" w:cs="Calibri Light"/>
          <w:sz w:val="24"/>
          <w:szCs w:val="24"/>
        </w:rPr>
        <w:fldChar w:fldCharType="end"/>
      </w:r>
      <w:r w:rsidRPr="00112CC2">
        <w:rPr>
          <w:rFonts w:ascii="Calibri Light" w:hAnsi="Calibri Light" w:cs="Calibri Light"/>
          <w:sz w:val="24"/>
          <w:szCs w:val="24"/>
        </w:rPr>
        <w:t>. Several real challenges must be the attention of the state and government in optimizing inclusive education, as follows:</w:t>
      </w:r>
    </w:p>
    <w:p w14:paraId="02557BC2" w14:textId="77777777" w:rsidR="00112CC2" w:rsidRPr="00112CC2" w:rsidRDefault="00112CC2" w:rsidP="00112CC2">
      <w:pPr>
        <w:spacing w:before="120" w:after="120"/>
        <w:ind w:left="440" w:right="-1" w:hanging="14"/>
        <w:jc w:val="both"/>
        <w:rPr>
          <w:rFonts w:ascii="Calibri Light" w:hAnsi="Calibri Light" w:cs="Calibri Light"/>
          <w:sz w:val="24"/>
          <w:szCs w:val="24"/>
        </w:rPr>
      </w:pPr>
      <w:r w:rsidRPr="00112CC2">
        <w:rPr>
          <w:rFonts w:ascii="Calibri Light" w:hAnsi="Calibri Light" w:cs="Calibri Light"/>
          <w:sz w:val="24"/>
          <w:szCs w:val="24"/>
        </w:rPr>
        <w:t xml:space="preserve">First, limited human resources, namely the lack of assistant teachers who have the qualifications according to the needs of schools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{"citationID":"cWKSnEkS","properties":{"formattedCitation":"(Munajah et al., 2021; U. S. Rosari et al., 2023; Rosyidi, 2023)","plainCitation":"(Munajah et al., 2021; U. S. Rosari et al., 2023; Rosyidi, 2023)","noteIndex":0},"citationItems":[{"id":43074,"uris":["http://zotero.org/users/7621732/items/4UI7A5Q3"],"itemData":{"id":43074,"type":"article-journal","abstract":"Sekolah Dasar dengan program pendidikan inklusi menjadi sebuah tantangan tersendiri bagi kepala sekolah dan guru di lembaga pendidikan. Pendidikan inklusi di sekolah dasar …","container-title":"Jurnal Basicedu","issue":"1","note":"publisher: neliti.com","page":"1183 - 1190","title":"Implementasi Kebijakan Pendidikan Inklusi di Sekolah Dasar","volume":"5","author":[{"family":"Munajah","given":"R"},{"family":"Marini","given":"A"},{"family":"Sumantri","given":"MS"}],"issued":{"date-parts":[["2021"]]}}},{"id":44473,"uris":["http://zotero.org/users/7621732/items/IA8LJXXL"],"itemData":{"id":44473,"type":"article-journal","container-title":"Soetomo Administrasi Publik","issue":"2","page":"81–94","source":"Google Scholar","title":"Implementasi Kebijakan Pendidikan Inklusi di Kota Surabaya","volume":"1","author":[{"family":"Rosari","given":"Ursula Susanti"},{"family":"Albab","given":"Ulul"},{"family":"Suroso","given":"Suroso"}],"issued":{"date-parts":[["2023"]]}}},{"id":43656,"uris":["http://zotero.org/users/7621732/items/ANAQ7DF7"],"itemData":{"id":43656,"type":"article-journal","abstract":"… of the education systems in Indonesia. This system provides … In Indonesia, the first support system in the implementation of … These include Law No. 20 of 2003 concerning the national …","container-title":"Journal of ICSAR","issue":"2","note":"publisher: core.ac.uk","page":"2548-8600","title":"Inclusive School Policies: A Literature Study of Implementation Dilemmas","volume":"7","author":[{"family":"Rosyidi","given":"RA"}],"issued":{"date-parts":[["2023"]]}}}],"schema":"https://github.com/citation-style-language/schema/raw/master/csl-citation.json"}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(Munajah et al., 2021; U. S. Rosari et al., 2023; Rosyidi, 2023)</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Indah et al. noted that the availability of teachers with appropriate competency backgrounds is very minimal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{"citationID":"z8PcMxRB","properties":{"formattedCitation":"(Indah, 2022; Khaerunisa, 2023; Wijaya &amp; Supena, 2023)","plainCitation":"(Indah, 2022; Khaerunisa, 2023; Wijaya &amp; Supena, 2023)","noteIndex":0},"citationItems":[{"id":44076,"uris":["http://zotero.org/users/7621732/items/HT4STZX6"],"itemData":{"id":44076,"type":"article-journal","abstract":"… Today, the face of education in Indonesia is changing as a result of the Covid-19 pandemic. … hit countries in the world, including Indonesia. The government has issued different policies …","container-title":"Jurnal Sosiologi Dialektika","issue":"1","note":"publisher: e-journal.unair.ac.id","page":"50-59","title":"Social discourse in the power of distance learning implementation during the Covid-19 pandemic Wacana sosial dalam kuasa implementasi pembelajaran …","volume":"17","author":[{"family":"Indah","given":"PDP"}],"issued":{"date-parts":[["2022"]]}}},{"id":43128,"uris":["http://zotero.org/users/7621732/items/RJDPSQHL"],"itemData":{"id":43128,"type":"article-journal","abstract":"… ) pembentukan nilai-nilai luhur dan keimanan tidak sepenuhnya membantu dan ketaqwaan kepada Tuhan Yang Maha Esa bagi setiap siswa atau siswi Itu diwajibkan oleh hukum, dan …","container-title":"Karimah Tauhid","issue":"5","note":"publisher: ojs.unida.ac.id","page":"2234-2244","title":"Pembelajaran Inklusif: Membangun Kesetaraan di Dalam Kelas pada Masa Pencabutan PPKM","volume":"2","author":[{"family":"Khaerunisa","given":"H"}],"issued":{"date-parts":[["2023"]]}}},{"id":43082,"uris":["http://zotero.org/users/7621732/items/2YVDXBH5"],"itemData":{"id":43082,"type":"article-journal","abstract":"Penelitian ini bertujuan untuk mengetahui implementasi program pendidikan inklusi serta aktifitas dukungan sekolah dan guru kepada siswa ABK dalam layanan pendidikan inklusi …","container-title":"Jurnal Educatio","issue":"1","note":"publisher: ejournal.unma.ac.id","page":"347-357","title":"Implementasi program pendidikan inklusi pada sekolah dasar di kota serang","volume":"9","author":[{"family":"Wijaya","given":"S"},{"family":"Supena","given":"A"}],"issued":{"date-parts":[["2023"]]}}}],"schema":"https://github.com/citation-style-language/schema/raw/master/csl-citation.json"}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(Indah, 2022; Khaerunisa, 2023; Wijaya &amp; Supena, 2023)</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thus hampering the inclusive education process, such as the difficulty of identifying initial assessments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{"citationID":"hG4RE17r","properties":{"formattedCitation":"(Lahesti et al., 2023)","plainCitation":"(Lahesti et al., 2023)","noteIndex":0},"citationItems":[{"id":43256,"uris":["http://zotero.org/users/7621732/items/VCJ6EHDZ"],"itemData":{"id":43256,"type":"article-journal","abstract":"… Fakta yang peneliti dapatkan dalam pengimplementasian kebijakan pendidikan inklusif adalah kurangnya sarana dan prasarana pendukung dan kurangnya tenaga pendidik. …","container-title":"Eksekusi: Jurnal Ilmu Hukum dan Administrasi Negara","issue":"3","note":"publisher: journal-stiayappimakassar.ac.id","page":"250-262","title":"Implementasi Kebijakan Pendidikan Inklusif: Studi Kasus SMP Negeri 15 Tanjungpinang","volume":"1","author":[{"family":"Lahesti","given":"E"},{"family":"Akhyary","given":"E"},{"family":"Hendrayady","given":"A"}],"issued":{"date-parts":[["2023"]]}}}],"schema":"https://github.com/citation-style-language/schema/raw/master/csl-citation.json"}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(Lahesti et al., 2023)</w:t>
      </w:r>
      <w:r w:rsidRPr="00112CC2">
        <w:rPr>
          <w:rFonts w:ascii="Calibri Light" w:hAnsi="Calibri Light" w:cs="Calibri Light"/>
          <w:sz w:val="24"/>
          <w:szCs w:val="24"/>
        </w:rPr>
        <w:fldChar w:fldCharType="end"/>
      </w:r>
      <w:r w:rsidRPr="00112CC2">
        <w:rPr>
          <w:rFonts w:ascii="Calibri Light" w:hAnsi="Calibri Light" w:cs="Calibri Light"/>
          <w:sz w:val="24"/>
          <w:szCs w:val="24"/>
        </w:rPr>
        <w:t>, not understanding inclusive learning planning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{"citationID":"u6FDNOgb","properties":{"formattedCitation":"(Emilyana et al., 2024; Gustaman et al., 2025)","plainCitation":"(Emilyana et al., 2024; Gustaman et al., 2025)","noteIndex":0},"citationItems":[{"id":44437,"uris":["http://zotero.org/users/7621732/items/86PGPH44"],"itemData":{"id":44437,"type":"article-journal","container-title":"Jurnal Syntax Admiration","issue":"1","page":"82–90","source":"Google Scholar","title":"Policy Evaluation of Inclusive Education Implementation at SD Negeri Murung Sari 5 Amuntai, Hulu Sungai Utara Regency, South Kalimantan Province","volume":"5","author":[{"family":"Emilyana","given":"Rina"},{"family":"Sukristyanto","given":"Agus"},{"family":"Widodo","given":"Joko"}],"issued":{"date-parts":[["2024"]]}}},{"id":43369,"uris":["http://zotero.org/users/7621732/items/2CINKHH9"],"itemData":{"id":43369,"type":"article-journal","abstract":"… Pemerintah juga memiliki peran strategis dalam mendukung kebijakan pendidikan inklusif melalui regulasi yang progresif, pendanaan yang memadai, serta penyediaan fasilitas dan …","container-title":"Jurnal Education and development","issue":"1","note":"publisher: journal.ipts.ac.id","page":"660-666","title":"Implementasi Pendidikan Inklusif Dalam Mewujudkan Sekolah Ramah Anak","volume":"13","author":[{"family":"Gustaman","given":"RF"},{"family":"Gandi","given":"A"},{"family":"Ratnaningsih","given":"N"}],"issued":{"date-parts":[["2025"]]}}}],"schema":"https://github.com/citation-style-language/schema/raw/master/csl-citation.json"}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w:t>
      </w:r>
      <w:proofErr w:type="spellStart"/>
      <w:r w:rsidRPr="00112CC2">
        <w:rPr>
          <w:rFonts w:ascii="Calibri Light" w:hAnsi="Calibri Light" w:cs="Calibri Light"/>
          <w:sz w:val="24"/>
          <w:szCs w:val="24"/>
        </w:rPr>
        <w:t>Emilyana</w:t>
      </w:r>
      <w:proofErr w:type="spellEnd"/>
      <w:r w:rsidRPr="00112CC2">
        <w:rPr>
          <w:rFonts w:ascii="Calibri Light" w:hAnsi="Calibri Light" w:cs="Calibri Light"/>
          <w:sz w:val="24"/>
          <w:szCs w:val="24"/>
        </w:rPr>
        <w:t xml:space="preserve"> et al., 2024; Gustaman et al., 2025)</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and the finding of teachers who still do not understand the implementation of inclusive learning in the classroom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{"citationID":"IA67WoYz","properties":{"formattedCitation":"(Melinda et al., 2025)","plainCitation":"(Melinda et al., 2025)","noteIndex":0},"citationItems":[{"id":43368,"uris":["http://zotero.org/users/7621732/items/SJ8E6ATI"],"itemData":{"id":43368,"type":"article-journal","abstract":"… Kebijakan ini memberikan landasan hukum dan arahan bagi sekolah untuk mengadopsi … Meskipun terdapat kemajuan dalam kebijakan pendidikan inklusif, masih adanya tantangan …","container-title":"Harmoni Pendidikan : Jurnal Ilmu Pendidikan","issue":"1","note":"publisher: journal.lpkd.or.id","page":"337-343","title":"Pendidikan Inklusif: Tantangan dan Peluang dalam Implementasinya di Indonesia","volume":"2","author":[{"family":"Melinda","given":"R"},{"family":"Suriansyah","given":"A"},{"family":"Refianti","given":"WR"}],"issued":{"date-parts":[["2025"]]}}}],"schema":"https://github.com/citation-style-language/schema/raw/master/csl-citation.json"}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(Melinda et al., 2025)</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In line with </w:t>
      </w:r>
      <w:proofErr w:type="spellStart"/>
      <w:r w:rsidRPr="00112CC2">
        <w:rPr>
          <w:rFonts w:ascii="Calibri Light" w:hAnsi="Calibri Light" w:cs="Calibri Light"/>
          <w:sz w:val="24"/>
          <w:szCs w:val="24"/>
        </w:rPr>
        <w:t>Ferizaldi</w:t>
      </w:r>
      <w:proofErr w:type="spellEnd"/>
      <w:r w:rsidRPr="00112CC2">
        <w:rPr>
          <w:rFonts w:ascii="Calibri Light" w:hAnsi="Calibri Light" w:cs="Calibri Light"/>
          <w:sz w:val="24"/>
          <w:szCs w:val="24"/>
        </w:rPr>
        <w:t xml:space="preserve"> et al., who expressed that because their qualifications do not match the needs, </w:t>
      </w:r>
      <w:commentRangeStart w:id="11"/>
      <w:r w:rsidRPr="00112CC2">
        <w:rPr>
          <w:rFonts w:ascii="Calibri Light" w:hAnsi="Calibri Light" w:cs="Calibri Light"/>
          <w:sz w:val="24"/>
          <w:szCs w:val="24"/>
        </w:rPr>
        <w:t>they produce ordinary teachers</w:t>
      </w:r>
      <w:commentRangeEnd w:id="11"/>
      <w:r w:rsidR="003F19EF">
        <w:rPr>
          <w:rStyle w:val="CommentReference"/>
        </w:rPr>
        <w:commentReference w:id="11"/>
      </w:r>
      <w:r w:rsidRPr="00112CC2">
        <w:rPr>
          <w:rFonts w:ascii="Calibri Light" w:hAnsi="Calibri Light" w:cs="Calibri Light"/>
          <w:sz w:val="24"/>
          <w:szCs w:val="24"/>
        </w:rPr>
        <w:t xml:space="preserve"> (Perdana et al., 2024) and still use simple methods and do not use special tools in learning for children with disabilities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{"citationID":"A3kijyo9","properties":{"formattedCitation":"(Ferizaldi &amp; Fazlina, 2020; Jannata et al., 2024)","plainCitation":"(Ferizaldi &amp; Fazlina, 2020; Jannata et al., 2024)","noteIndex":0},"citationItems":[{"id":43166,"uris":["http://zotero.org/users/7621732/items/FJ2HKVW4"],"itemData":{"id":43166,"type":"article-journal","abstract":"… Sulitnya diterima murid disabilitas di sekolah dikarenakan saat ini kurangnya komunikasi dalam penyampain isi kebijakan pendidikan inklusif di kabupaten Bireuen. Rencana aksi …","container-title":"Asia-Pacific Journal of Public Policy","issue":"2","note":"publisher: journal.stianasional.ac.id","page":"150=160","title":"Implementasi Program Pendidikan Inklusif di Kabupaten Bireuen","volume":"6","author":[{"family":"Ferizaldi","given":"F"},{"family":"Fazlina","given":"F"}],"issued":{"date-parts":[["2020"]]}}},{"id":43992,"uris":["http://zotero.org/users/7621732/items/BIQP6JBF"],"itemData":{"id":43992,"type":"article-journal","abstract":"… Diseño Deportivo Nacional de Indonesia en la implementación … e internacionales muestran que Indonesia ha experimentado … profundos para el grupo de Indonesia occidental es 389,…","container-title":"Federación Española de Asociaciones de Docentes de Educación Física (FEADEF)","issue":"1","note":"publisher: dialnet.unirioja.es","page":"18-24","title":"Implementation of two policies in physical education in Indonesia: structural equiting model analysis","volume":"57","author":[{"family":"Jannata","given":"T"},{"family":"Sumaryanto","given":"S"},{"family":"Hadi","given":"S"},{"family":"Setiawan","given":"C"}],"issued":{"date-parts":[["2024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(Ferizaldi &amp; Fazlina, 2020; Jannata et al., 2024)</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The above conditions indicate that the government must provide appropriate and fast solutions, such as providing special </w:t>
      </w:r>
      <w:r w:rsidRPr="00112CC2">
        <w:rPr>
          <w:rFonts w:ascii="Calibri Light" w:hAnsi="Calibri Light" w:cs="Calibri Light"/>
          <w:sz w:val="24"/>
          <w:szCs w:val="24"/>
        </w:rPr>
        <w:lastRenderedPageBreak/>
        <w:t xml:space="preserve">education for teachers who are beyond qualifications </w:t>
      </w:r>
      <w:commentRangeStart w:id="12"/>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{"citationID":"k9PBBPAO","properties":{"formattedCitation":"(Chaudhary &amp; Syal, 2022b; Dewantara &amp; Kusumastuti, 2020; Faragher et al., 2021; Lestari et al., 2024)","plainCitation":"(Chaudhary &amp; Syal, 2022b; Dewantara &amp; Kusumastuti, 2020; Faragher et al., 2021; Lestari et al., 2024)","noteIndex":0},"citationItems":[{"id":43975,"uris":["http://zotero.org/users/7621732/items/ZQ4ZI9IH"],"itemData":{"id":43975,"type":"article-journal","abstract":"… Thus it can be concluded that challenges faced by teachers were the result of lack of proper training of the teachers and lack of proper execution of inclusive education policy. The …","container-title":"Indian Journal of Distance Education","issue":"Query date: 2025-02-26 19:07:06","note":"publisher: ijde.puchd.ac.in","title":"Inclusive Education: ChallengesFaced by Teachers in Mainstreaming Children with Special Needs","URL":"https://ijde.puchd.ac.in/issues/ijde-vol-xiv-xv.pdf#page=67","author":[{"family":"Chaudhary","given":"R"},{"family":"Syal","given":"Y"}],"issued":{"date-parts":[["2022"]]}}},{"id":44426,"uris":["http://zotero.org/users/7621732/items/ZRJC2QQ5"],"itemData":{"id":44426,"type":"article-journal","abstract":"Abstract: This study aims to evaluate the implementation of inclusive education programs. The method used is a qualitative analysis that is describing and interpreting data from each component evaluated using the CIPP evaluation model (Context, Input, Process, Product). Data sources in this study include the principal, principal teacher, special assistant teacher (GPK), school committee, parents of students and special needs students. Data collection is done by interview, observation, a document study, and documentation. The findings in the context component show that the legal basis for implementing inclusive education is by the prevailing Education System Law in Indonesia. The objectives of inclusive education are by the established formula. The findings of the input component show that there are quite a several ABK inputs in school with a variety of types of disability by the Inclusive Education Law. However, the SDM component especially GPK and infrastructure still need attention to improve and complete it. The findings of the process component show that the process of student acceptance, teaching and learning activities and student assessment have adjusted to the applicable regulations. But there are still students who are not supposed to go to an inclusive school to study at the school. The findings of the product component indicate that there are achievements achieved by inclusive students and the positive impact of implementing inclusive education. This research provides recommendations for the government and schools implementing inclusive education to continue implementing the program and continue to communicate and collaborate with institutions and several related parties in carrying out inclusive education programs to be more optimal.Key Words: Program Evaluation, Inclusive Education, CIPP Model Abstrak: Penelitian ini bertujuan untuk mengevaluasi implementasi program pendidikan inklusif. Metode yang digunakan adalah analisis kualitatif yaitu mendeskripsikan dan memaknai data dari masing-masing komponen yang dievaluasi dengan menggunakan model evaluasi CIPP (Context, Input, Process, Product). Sumber data dalam penelitian ini meliputi kepala sekolah, guru utama, guru pendamping khusus (GPK), komite sekolah, orang tua/wali murid dan siswa ABK. Pengumpulan data dilakukan dengan wawancara, observasi, studi dokumen dan dokumentasi. Hasil temuan pada komponen konteks menunjukkan bahwa landasan hukum penyelenggaraan pendidikan inklusif sudah sesuai dengan Undang-Undang Sistem Pendidikan yang berlaku di Indonesia. Tujuan pendidikan inklusif sudah sesuai dengan rumusan yang telah ditetapkan. Hasil temuan komponen input menunjukkan input ABK yang bersekolah jumlahnya cukup banyak dengan berbagai jenis ketunaannya sesuai yang tercantum pada Undang-Undang Pendidikan Inklusif. Namun pada komponen SDM terutama GPK dan sarana prasarana masih memerlukan perhatian untuk meningkatkan dan melengkapinya. Hasil temuan komponen proses menunjukkan proses penerimaan siswa, kegiatan belajar mengajar dan penilaian siswa telah menyesuaikan dengan peraturan-peraturan yang berlaku. Namun masih ada siswa yang tidak seharusnya masuk di sekolah inklusif menempuh pendidikan di sekolah tersebut. Hasil temuan komponen produk menunjukkan terdapat prestasi yang berhasil diraih oleh siswa inklusif dan dampak positif dari pelaksanaan pendidikan inklusif. Penelitian ini memberikan rekomendasi untuk pemerintah dan pihak sekolah penyelenggara pendidikan inklusif agar tetap melaksanakan program tersebut dan terus berkomunikasi serta berkolaborasi dengan lembaga dan beberapa pihak terkait dalam menjalankan program pendidikan inklusif agar lebih optimal.Kata Kunci: Evaluasi Program, Pendidikan Inklusif, Model CIPP","container-title":"Jurnal Kebijakan dan Pengembangan Pendidikan","DOI":"10.22219/jkpp.v8i1.12066","ISSN":"2337-7615","issue":"1","language":"en","license":"Copyright (c) 2020 Yusuf Juniar Dewantara, Frida Kusumastuti","note":"number: 1","source":"ejournal.umm.ac.id","title":"Evaluasi Kebijakan Program Pendidikan Inklusif Di SDN Betet 1 Kota Kediri","URL":"https://ejournal.umm.ac.id/index.php/jkpp/article/view/12066","volume":"8","author":[{"family":"Dewantara","given":"Yusuf Juniar"},{"family":"Kusumastuti","given":"Frida"}],"accessed":{"date-parts":[["2025",3,1]]},"issued":{"date-parts":[["2020",5,4]]}}},{"id":44480,"uris":["http://zotero.org/users/7621732/items/LQRPSI9E"],"itemData":{"id":44480,"type":"article-journal","abstract":"Across Asia, countries have signed the UNCRPD and to a greater or lesser extent are pursuing inclusive education (IE). In this article, we present case studies from Singapore, Indonesia, Philippines, and China analyzing them for common themes around the education of students intellectual and developmental disabilities (IDD), and noting commonalities, challenges, and emerging issues. While the definition of IE (being the philosophy, process and practice of welcoming, valuing and supporting all learners in general education environments) and the conceptual distinction between integration and segregation are clear in the UNCRPD and subsequent comments, the terminology used in some of the countries is inconsistent with these definitions. This makes interpretation of reports from government instrumentalities difficult. In some cases, misuse of terminology allows justification of practices that are contrary to the UNCRPD. Terminology differences coupled with challenges of finding data related to the education of children with IDD, if the data exist, make a regional analysis of progress towards IE complex. In our paper, we have drawn on previous reviews and reports to discuss common issues and make suggestions for ways forward. Our findings add to the few other reviews from Asia on IE and draw attention to the continuing need for improved access to any education at all for learners with IDD. Provision of IE is caught up in dilemmas in the region about teacher preparation and professional learning, and how to provide specialist support in inclusive settings. School structure decisions including staffing provision and class sizes affect the education outcomes of students with IDD. School leadership, with the fundamental role of translating policy into practice, is critical for the development of IE and must be aligned with system and country priorities. Collaboration across the region has the potential to share best practice and continue to improve the educational opportunities for learners with IDD.","container-title":"Journal of Policy and Practice in Intellectual Disabilities","DOI":"10.1111/jppi.12369","ISSN":"1741-1130","issue":"1","language":"en","license":"© 2020 International Association for the Scientific Study of Intellectual and Developmental Disabilities and Wiley Periodicals LLC","note":"_eprint: https://onlinelibrary.wiley.com/doi/pdf/10.1111/jppi.12369","page":"23-35","source":"Wiley Online Library","title":"Inclusive Education in Asia: Insights From Some Country Case Studies","title-short":"Inclusive Education in Asia","volume":"18","author":[{"family":"Faragher","given":"Rhonda"},{"family":"Chen","given":"Mo"},{"family":"Miranda","given":"Lucena"},{"family":"Poon","given":"Kenneth"},{"literal":"Rumiati"},{"family":"Chang","given":"Feng-Ru"},{"family":"Chen","given":"Holly"}],"issued":{"date-parts":[["2021"]]}}},{"id":44427,"uris":["http://zotero.org/users/7621732/items/DEI6KWY2"],"itemData":{"id":44427,"type":"article-journal","container-title":"Jurnal Ilmiah Teunuleh","issue":"3","page":"153–161","source":"Google Scholar","title":"Challenges and Solutions in Implementing Inclusive Education at UPT State Elementary School 067250 Medan","volume":"5","author":[{"family":"Lestari","given":"Nila"},{"family":"Widiyarti","given":"Gemala"},{"family":"Siregar","given":"Nurhafni"},{"family":"Sari","given":"Dwi Novita"}],"issued":{"date-parts":[["2024"]]}}}],"schema":"https://github.com/citation-style-language/schema/raw/master/csl-citation.json"}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(Chaudhary &amp; Syal, 2022b; Dewantara &amp; Kusumastuti, 2020; Faragher et al., 2021; Lestari et al., 2024)</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w:t>
      </w:r>
      <w:commentRangeEnd w:id="12"/>
      <w:r w:rsidR="001870EF">
        <w:rPr>
          <w:rStyle w:val="CommentReference"/>
        </w:rPr>
        <w:commentReference w:id="12"/>
      </w:r>
      <w:r w:rsidRPr="00112CC2">
        <w:rPr>
          <w:rFonts w:ascii="Calibri Light" w:hAnsi="Calibri Light" w:cs="Calibri Light"/>
          <w:sz w:val="24"/>
          <w:szCs w:val="24"/>
        </w:rPr>
        <w:t xml:space="preserve">and providing training for teachers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{"citationID":"OpcjspWf","properties":{"formattedCitation":"(Lempinen, 2017; Moberg et al., 2020; Nasir et al., 2025)","plainCitation":"(Lempinen, 2017; Moberg et al., 2020; Nasir et al., 2025)","noteIndex":0},"citationItems":[{"id":44487,"uris":["http://zotero.org/users/7621732/items/K94268YA"],"itemData":{"id":44487,"type":"article-journal","abstract":"New education laws that emphasize inclusive ideology were recently introduced to the Finnish educational system. In this study, I examine whether these laws provide more inclusive practices and assess whether the changes in the laws meet the views of the participants on education. Semi-structured interviews with parents, teachers and assistants of three children with attention-deficit/hyperactivity disorder (age: 6–8 years) were conducted around the period of transfer from kindergarten to schools in three municipalities. The official municipality websites were examined to find types of classrooms offered. The results showed that classrooms did not meet all expectations of the participants and were not satisfactorily inclusive. To enable structure and safety, the classrooms should be smaller (in the catchment area school) and should include pupils with and without special education support to learn from and support each other. The importance of one-to-one interaction with professional staff was also emphasized. In conclusion, the effect of the new laws could be seen through varying and to some extent unequal organizing of special educational support in the municipalities.","container-title":"Scandinavian Journal of Disability Research","DOI":"10.1080/15017419.2016.1182942","ISSN":"1501-7419","issue":"3","note":"publisher: Taylor &amp; Francis\n_eprint: https://doi.org/10.1080/15017419.2016.1182942","page":"194-205","source":"Taylor and Francis+NEJM","title":"Towards inclusive schooling policies in Finland: a multiple-case study from policy to practice","title-short":"Towards inclusive schooling policies in Finland","volume":"19","author":[{"family":"Lempinen","given":"Sonia"}],"issued":{"date-parts":[["2017",7,3]]}}},{"id":44467,"uris":["http://zotero.org/users/7621732/items/M9ZCFEC4"],"itemData":{"id":44467,"type":"article-journal","abstract":"The aim of this study was to analyse and compare teachers’ attitudes towards inclusive education in two culturally different countries: Finland and Japan. A sample of 362 Finnish and 1518 Japanese teachers participated in this survey. The teachers’ attitudes varied and were rather critical. The Finnish teachers were more worried about teachers’ efficacy when implementing inclusion, particularly when teaching students with intellectual disabilities or emotional and behavioural problems. The Japanese teachers had a more positive view on the benefits of inclusion for disabled or non-disabled students. Because Finnish schools emphasise the effectiveness of special education, the Finnish teachers in this study were more critical than the Japanese teachers of the idea that the efficacy discourse justifies the need for inclusive education. The findings support the idea that, to improve the universal understanding of inclusive education, more research should be done to analyse how inclusive education developments are realised in different cultural and historical contexts.","container-title":"European Journal of Special Needs Education","DOI":"10.1080/08856257.2019.1615800","ISSN":"0885-6257","issue":"1","note":"publisher: Routledge\n_eprint: https://doi.org/10.1080/08856257.2019.1615800","page":"100-114","source":"Taylor and Francis+NEJM","title":"Struggling for inclusive education in Japan and Finland: teachers’ attitudes towards inclusive education","title-short":"Struggling for inclusive education in Japan and Finland","volume":"35","author":[{"family":"Moberg","given":"Sakari"},{"family":"Muta","given":"Etsuko"},{"family":"Korenaga","given":"Kanako"},{"family":"Kuorelahti","given":"Matti"},{"family":"Savolainen","given":"Hannu"}],"issued":{"date-parts":[["2020",1,1]]}}},{"id":43944,"uris":["http://zotero.org/users/7621732/items/REPAVMC3"],"itemData":{"id":43944,"type":"article-journal","abstract":"… the implementation of inclusive education in Indonesia still faces various challenges. Several … How is the inclusive education policy implemented in your school? 2. What are the biggest …","container-title":"Journal of Education and (JET)","issue":"1","note":"publisher: jet.or.id","page":"59-78","title":"Inclusive Education in the Merdeka Belajar Era: Lessons from Focus Group Discussions","volume":"6","author":[{"family":"Nasir","given":"N"},{"family":"Abubakar","given":"A"},{"family":"Rasid","given":"R"},{"family":"Fatmawati","given":"T"},{"family":"Bagea","given":"I"}],"issued":{"date-parts":[["2025"]]}}}],"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(Lempinen, 2017; Moberg et al., 2020; Nasir et al., 2025)</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Because with good qualifications and expertise in human resources, inclusive education will run optimally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{"citationID":"YaVgKbZX","properties":{"formattedCitation":"(Yoshitoshi et al., 2024)","plainCitation":"(Yoshitoshi et al., 2024)","noteIndex":0},"citationItems":[{"id":44465,"uris":["http://zotero.org/users/7621732/items/C86LG4MZ"],"itemData":{"id":44465,"type":"article-journal","abstract":"Article 24 of the CRPD guarantees inclusive education as a fundamental human right. In Japan, the education policy has shifted from a segregated education to an inclusive one with the ratification of the CRPD. However, recent lawsuits on children with disabilities and their school placement/attendance reveal such policy changes are not reflected in practice. In this article, we reviewed notable court cases in Japan to investigate how Japanese courts interpreted the reform of the legal system. We divide the article into two parts: Firstly, we describe the history of Japanese education reform. Secondly, we discuss the court cases with regard to Japanese education system reform and the schooling of children with disabilities over three time periods. Our findings show that the court continues to make judicial decisions based on the old notion of segregated education and fails to recognize or even understand that inclusive education is a fundamental human right. Inclusive education should be a human right, but many countries, including Japan, still have school systems where students are segregated.The history of changes in laws on Japanese schooling system is explained.This study analyzed the main purports of legal cases about school attendance of children with disabilities in Japan and its changes over time.This study found that the court’s decisions made after the changes in laws to schooling system in Japan still did not adequately reflect its philosophy of inclusive education as a human right.The study recommends that it is necessary to have open discussions about ‘inclusive education’ as a human right. Inclusive education should be a human right, but many countries, including Japan, still have school systems where students are segregated. The history of changes in laws on Japanese schooling system is explained. This study analyzed the main purports of legal cases about school attendance of children with disabilities in Japan and its changes over time. This study found that the court’s decisions made after the changes in laws to schooling system in Japan still did not adequately reflect its philosophy of inclusive education as a human right. The study recommends that it is necessary to have open discussions about ‘inclusive education’ as a human right.","container-title":"Disability &amp; Society","DOI":"10.1080/09687599.2022.2157705","ISSN":"0968-7599","issue":"6","note":"publisher: Routledge\n_eprint: https://doi.org/10.1080/09687599.2022.2157705","page":"1423-1442","source":"Taylor and Francis+NEJM","title":"Judicial barriers to inclusive education as a human right: An analysis of relevant legal cases in Japan","title-short":"Judicial barriers to inclusive education as a human right","volume":"39","author":[{"family":"Yoshitoshi","given":"Munehisa"},{"family":"Horiguchi","given":"Goro"},{"family":"Takahashi","given":"Kiriko"}],"issued":{"date-parts":[["2024",7,2]]}}}],"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(Yoshitoshi et al., 2024)</w:t>
      </w:r>
      <w:r w:rsidRPr="00112CC2">
        <w:rPr>
          <w:rFonts w:ascii="Calibri Light" w:hAnsi="Calibri Light" w:cs="Calibri Light"/>
          <w:sz w:val="24"/>
          <w:szCs w:val="24"/>
        </w:rPr>
        <w:fldChar w:fldCharType="end"/>
      </w:r>
      <w:r w:rsidRPr="00112CC2">
        <w:rPr>
          <w:rFonts w:ascii="Calibri Light" w:hAnsi="Calibri Light" w:cs="Calibri Light"/>
          <w:sz w:val="24"/>
          <w:szCs w:val="24"/>
        </w:rPr>
        <w:t>.</w:t>
      </w:r>
    </w:p>
    <w:p w14:paraId="24796A9D" w14:textId="77777777" w:rsidR="00112CC2" w:rsidRPr="00112CC2" w:rsidRDefault="00112CC2" w:rsidP="00112CC2">
      <w:pPr>
        <w:spacing w:before="120" w:after="120"/>
        <w:ind w:left="440" w:right="-1" w:hanging="14"/>
        <w:jc w:val="both"/>
        <w:rPr>
          <w:rFonts w:ascii="Calibri Light" w:hAnsi="Calibri Light" w:cs="Calibri Light"/>
          <w:color w:val="FF0000"/>
          <w:sz w:val="24"/>
          <w:szCs w:val="24"/>
        </w:rPr>
      </w:pPr>
      <w:r w:rsidRPr="00112CC2">
        <w:rPr>
          <w:rFonts w:ascii="Calibri Light" w:hAnsi="Calibri Light" w:cs="Calibri Light"/>
          <w:sz w:val="24"/>
          <w:szCs w:val="24"/>
        </w:rPr>
        <w:t xml:space="preserve">Second is the need to provide collaboration space for teachers, the government and parents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{"citationID":"P0WfmBzp","properties":{"formattedCitation":"(Panda et al., 2023; Saloviita, 2020; Zain, 2022)","plainCitation":"(Panda et al., 2023; Saloviita, 2020; Zain, 2022)","noteIndex":0},"citationItems":[{"id":44433,"uris":["http://zotero.org/users/7621732/items/5ESTVLGL"],"itemData":{"id":44433,"type":"article-journal","abstract":"From broader perspective, Inclusive education is an educational model based on universal inclusion of all types of students irrespective of socio-cultural and physiological disadvantages in the same classroom setting. With reference to educational inclusion of physiologically and psychologically disadvantage children, though academic and research world have considered this model as appropriate one and accordingly policy framers have progressed much but It's successful implementation is not barriers free. In research literature though good number of studies have highlighted macro level problems like low funding, inappropriate curricular integration process etc but number of grass root level problems also negatively contribute for successful implementation of this design. In this review paper attempt has made to explore multiple types of problems associated with teachers, institutions and parents in the inclusive educational settings. Finally, a conceptual model has been proposed where broadly all these problems have been categories as structural and psychological.","container-title":"International Journal of Humanities and Social Science","journalAbbreviation":"International Journal of Humanities and Social Science","page":"84-103","source":"ResearchGate","title":"Inclusion of Disabled Children in Normal School: Institution Centric Challenges","title-short":"Inclusion of Disabled Children in Normal School","volume":"4","author":[{"family":"Panda","given":"Omkarshri"},{"family":"Mallik","given":"Partha"},{"family":"Sahoo","given":"Suruchi"}],"issued":{"date-parts":[["2023",2,2]]}}},{"id":44463,"uris":["http://zotero.org/users/7621732/items/SZ8FLG2K"],"itemData":{"id":44463,"type":"article-journal","abstract":"Positive teacher attitudes are essential for success when children with special educational needs (SEN) are placed into mainstream classrooms. The present study surveyed teachers’ attitudes towards inclusion by using a large national sample and Teachers’ Attitudes towards Inclusion Scale (TAIS). A total of 1,764 Finnish basic-school teachers participated in the e-mail survey. They included 824 classroom teachers, 575 subject teachers and 365 special-education teachers. The classroom teachers scored below and the subject teachers significantly below, the neutral midpoint of the scale. The special-education teachers’ mean scores were above the midpoint. About 20% of teachers were strong opponents of inclusion, and 8% were strong advocates. The attitudes towards inclusion had only weak associations with variables other than the teacher category. Teachers’ work orientation and self-efficacy had low associations with their attitudes towards inclusion. The results illustrate the attitudinal climate of teachers towards inclusion and indicate the existing potential for policy change.","container-title":"Scandinavian Journal of Educational Research","DOI":"10.1080/00313831.2018.1541819","ISSN":"0031-3831","issue":"2","note":"publisher: Routledge\n_eprint: https://doi.org/10.1080/00313831.2018.1541819","page":"270-282","source":"Taylor and Francis+NEJM","title":"Attitudes of Teachers Towards Inclusive Education in Finland","volume":"64","author":[{"family":"Saloviita","given":"Timo"}],"issued":{"date-parts":[["2020",2,23]]}}},{"id":43952,"uris":["http://zotero.org/users/7621732/items/EVNZWJ5E"],"itemData":{"id":43952,"type":"article-journal","abstract":"… of inclusive education in regular schools in Indonesia along with the challenges and advantages in … and equitable implementation of inclusive education in regular schools in Indonesia. …","container-title":"JPI (Jurnal Pendidikan Inklusi)","issue":"1","note":"publisher: journal.unesa.ac.id","page":"82","title":"Implementation of Inclusive Education in Regular School: Narrative Literature Review","volume":"5","author":[{"family":"Zain","given":"ZF"}],"issued":{"date-parts":[["2022"]]}}}],"schema":"https://github.com/citation-style-language/schema/raw/master/csl-citation.json"}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(Panda et al., 2023; Saloviita, 2020; Zain, 2022)</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Without good collaboration, implementing inclusive education is just an impossible dream to realize. Third, the challenge of implementing inclusive education is that many schools still lack facilities and infrastructure that are to the needs of students with special needs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{"citationID":"JA7zbrt2","properties":{"formattedCitation":"(Ristiyanti &amp; Muqowim, 2023; Somad et al., 2024; Yuwono &amp; Supratiwi, 2025)","plainCitation":"(Ristiyanti &amp; Muqowim, 2023; Somad et al., 2024; Yuwono &amp; Supratiwi, 2025)","noteIndex":0},"citationItems":[{"id":43938,"uris":["http://zotero.org/users/7621732/items/RNXA6V94"],"itemData":{"id":43938,"type":"article-journal","abstract":"… is a manifestation of the enactment of Law no. 8 of 2016 [2]. … the population with disabilities in Indonesia which is quite large… of international inclusive education policy and individuals …","container-title":"JP (Jurnal Pendidikan): Teori dan Praktik","issue":"1","note":"publisher: journal.unesa.ac.id","page":"16-21","title":"Policy of Acceptance of Students with Disabilities in Inclusion Schools","volume":"8","author":[{"family":"Ristiyanti","given":"S"},{"family":"Muqowim","given":"M"}],"issued":{"date-parts":[["2023"]]}}},{"id":44429,"uris":["http://zotero.org/users/7621732/items/782Y333I"],"itemData":{"id":44429,"type":"article-journal","container-title":"JMKSP (Jurnal Manajemen, Kepemimpinan, dan Supervisi Pendidikan)","issue":"2","page":"1024–1035","source":"Google Scholar","title":"Inclusive Education for Special Needs Students in Indonesia: A Review of Policies, Practices and Challenges","title-short":"Inclusive Education for Special Needs Students in Indonesia","volume":"9","author":[{"family":"Somad","given":"Abdul"},{"family":"Haryanto","given":"Sigit"},{"family":"Darsinah","given":"Darsinah"}],"issued":{"date-parts":[["2024"]]}}},{"id":44439,"uris":["http://zotero.org/users/7621732/items/5IPUSSZ6"],"itemData":{"id":44439,"type":"article-journal","container-title":"Multidisciplinary Science Journal","issue":"5","page":"2025227–2025227","source":"Google Scholar","title":"Empowering the academic dignity through inclusive education for students with disabilities","volume":"7","author":[{"family":"Yuwono","given":"Joko"},{"family":"Supratiwi","given":"Mahardika"}],"issued":{"date-parts":[["2025"]]}}}],"schema":"https://github.com/citation-style-language/schema/raw/master/csl-citation.json"}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(Ristiyanti &amp; Muqowim, 2023; Somad et al., 2024; Yuwono &amp; Supratiwi, 2025)</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so funding is needed in the development of facilities and infrastructure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{"citationID":"TwnXkcXp","properties":{"formattedCitation":"(Agustina &amp; Rahaju, 2021; Jannah &amp; Hermanto, 2022; Ristiyanti &amp; Muqowim, 2023; Somad et al., 2024)","plainCitation":"(Agustina &amp; Rahaju, 2021; Jannah &amp; Hermanto, 2022; Ristiyanti &amp; Muqowim, 2023; Somad et al., 2024)","noteIndex":0},"citationItems":[{"id":43106,"uris":["http://zotero.org/users/7621732/items/IK296PCE"],"itemData":{"id":43106,"type":"article-journal","abstract":"… yang telah menerima berbagai perhargaan dalam pendidikan inklusif Kota Surabaya tidak luput dari permasalahan yang dihadapi dalam pelaksanaan kebijakan pendidikan inklusif …","container-title":"Publika","issue":"3","note":"publisher: ejournal.unesa.ac.id","page":"109-124","title":"Evaluasi penyelenggaraan pendidikan inklusif di Kota Surabaya","volume":"9","author":[{"family":"Agustina","given":"RS"},{"family":"Rahaju","given":"T"}],"issued":{"date-parts":[["2021"]]}}},{"id":43600,"uris":["http://zotero.org/users/7621732/items/GV7YQUFY"],"itemData":{"id":43600,"type":"article-journal","abstract":"… Indonesia started to organize inclusive education since the … 1) How was the inclusive education policy implemented at the … schools in Magetan Regency, Indonesia. Teachers at the …","container-title":"Jurnal Prima Edukasia","issue":"2","note":"publisher: scholar.archive.org","page":"171-179","title":"Implementation of inclusive education at elementary schools during the Covid-19 pandemic","volume":"10","author":[{"family":"Jannah","given":"Irradhiatul"},{"family":"Hermanto","given":"Hermanto"}],"issued":{"date-parts":[["2022"]]}}},{"id":43938,"uris":["http://zotero.org/users/7621732/items/RNXA6V94"],"itemData":{"id":43938,"type":"article-journal","abstract":"… is a manifestation of the enactment of Law no. 8 of 2016 [2]. … the population with disabilities in Indonesia which is quite large… of international inclusive education policy and individuals …","container-title":"JP (Jurnal Pendidikan): Teori dan Praktik","issue":"1","note":"publisher: journal.unesa.ac.id","page":"16-21","title":"Policy of Acceptance of Students with Disabilities in Inclusion Schools","volume":"8","author":[{"family":"Ristiyanti","given":"S"},{"family":"Muqowim","given":"M"}],"issued":{"date-parts":[["2023"]]}}},{"id":44429,"uris":["http://zotero.org/users/7621732/items/782Y333I"],"itemData":{"id":44429,"type":"article-journal","container-title":"JMKSP (Jurnal Manajemen, Kepemimpinan, dan Supervisi Pendidikan)","issue":"2","page":"1024–1035","source":"Google Scholar","title":"Inclusive Education for Special Needs Students in Indonesia: A Review of Policies, Practices and Challenges","title-short":"Inclusive Education for Special Needs Students in Indonesia","volume":"9","author":[{"family":"Somad","given":"Abdul"},{"family":"Haryanto","given":"Sigit"},{"family":"Darsinah","given":"Darsinah"}],"issued":{"date-parts":[["2024"]]}}}],"schema":"https://github.com/citation-style-language/schema/raw/master/csl-citation.json"}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(Agustina &amp; Rahaju, 2021; Jannah &amp; Hermanto, 2022; Ristiyanti &amp; Muqowim, 2023; Somad et al., 2024)</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In line with Arias et al that infrastructure is an urgent challenge for schools after the lack of human resources (teachers), such as the availability of accessibility and special learning devices for people with disabilities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{"citationID":"4PzvDNQV","properties":{"formattedCitation":"(Arias et al., 2023; Dewantara &amp; Kusumastuti, 2020; Emilyana et al., 2024; Ferizaldi &amp; Fazlina, 2020; Fionita &amp; Nurjannah, 2024; Gustaman et al., 2025; Munajah et al., 2021)","plainCitation":"(Arias et al., 2023; Dewantara &amp; Kusumastuti, 2020; Emilyana et al., 2024; Ferizaldi &amp; Fazlina, 2020; Fionita &amp; Nurjannah, 2024; Gustaman et al., 2025; Munajah et al., 2021)","noteIndex":0},"citationItems":[{"id":44435,"uris":["http://zotero.org/users/7621732/items/3832KCIW"],"itemData":{"id":44435,"type":"article-journal","container-title":"International Journal of Research in Education and Science","issue":"2","note":"publisher: ERIC","page":"512–534","source":"Google Scholar","title":"Challenges and Implementation of Inclusive Education in Selected Asian Countries: A Meta-Synthesis.","title-short":"Challenges and Implementation of Inclusive Education in Selected Asian Countries","volume":"9","author":[{"family":"Arias","given":"Cyd R."},{"family":"Calago","given":"Christine Nicole S."},{"family":"Calungsod","given":"Hanzehl Fritz B."},{"family":"Delica","given":"Mikaellah A."},{"family":"Fullo","given":"Mary Eloisa"},{"family":"Cabanilla Jr","given":"Angelito B."}],"issued":{"date-parts":[["2023"]]}}},{"id":44426,"uris":["http://zotero.org/users/7621732/items/ZRJC2QQ5"],"itemData":{"id":44426,"type":"article-journal","abstract":"Abstract: This study aims to evaluate the implementation of inclusive education programs. The method used is a qualitative analysis that is describing and interpreting data from each component evaluated using the CIPP evaluation model (Context, Input, Process, Product). Data sources in this study include the principal, principal teacher, special assistant teacher (GPK), school committee, parents of students and special needs students. Data collection is done by interview, observation, a document study, and documentation. The findings in the context component show that the legal basis for implementing inclusive education is by the prevailing Education System Law in Indonesia. The objectives of inclusive education are by the established formula. The findings of the input component show that there are quite a several ABK inputs in school with a variety of types of disability by the Inclusive Education Law. However, the SDM component especially GPK and infrastructure still need attention to improve and complete it. The findings of the process component show that the process of student acceptance, teaching and learning activities and student assessment have adjusted to the applicable regulations. But there are still students who are not supposed to go to an inclusive school to study at the school. The findings of the product component indicate that there are achievements achieved by inclusive students and the positive impact of implementing inclusive education. This research provides recommendations for the government and schools implementing inclusive education to continue implementing the program and continue to communicate and collaborate with institutions and several related parties in carrying out inclusive education programs to be more optimal.Key Words: Program Evaluation, Inclusive Education, CIPP Model Abstrak: Penelitian ini bertujuan untuk mengevaluasi implementasi program pendidikan inklusif. Metode yang digunakan adalah analisis kualitatif yaitu mendeskripsikan dan memaknai data dari masing-masing komponen yang dievaluasi dengan menggunakan model evaluasi CIPP (Context, Input, Process, Product). Sumber data dalam penelitian ini meliputi kepala sekolah, guru utama, guru pendamping khusus (GPK), komite sekolah, orang tua/wali murid dan siswa ABK. Pengumpulan data dilakukan dengan wawancara, observasi, studi dokumen dan dokumentasi. Hasil temuan pada komponen konteks menunjukkan bahwa landasan hukum penyelenggaraan pendidikan inklusif sudah sesuai dengan Undang-Undang Sistem Pendidikan yang berlaku di Indonesia. Tujuan pendidikan inklusif sudah sesuai dengan rumusan yang telah ditetapkan. Hasil temuan komponen input menunjukkan input ABK yang bersekolah jumlahnya cukup banyak dengan berbagai jenis ketunaannya sesuai yang tercantum pada Undang-Undang Pendidikan Inklusif. Namun pada komponen SDM terutama GPK dan sarana prasarana masih memerlukan perhatian untuk meningkatkan dan melengkapinya. Hasil temuan komponen proses menunjukkan proses penerimaan siswa, kegiatan belajar mengajar dan penilaian siswa telah menyesuaikan dengan peraturan-peraturan yang berlaku. Namun masih ada siswa yang tidak seharusnya masuk di sekolah inklusif menempuh pendidikan di sekolah tersebut. Hasil temuan komponen produk menunjukkan terdapat prestasi yang berhasil diraih oleh siswa inklusif dan dampak positif dari pelaksanaan pendidikan inklusif. Penelitian ini memberikan rekomendasi untuk pemerintah dan pihak sekolah penyelenggara pendidikan inklusif agar tetap melaksanakan program tersebut dan terus berkomunikasi serta berkolaborasi dengan lembaga dan beberapa pihak terkait dalam menjalankan program pendidikan inklusif agar lebih optimal.Kata Kunci: Evaluasi Program, Pendidikan Inklusif, Model CIPP","container-title":"Jurnal Kebijakan dan Pengembangan Pendidikan","DOI":"10.22219/jkpp.v8i1.12066","ISSN":"2337-7615","issue":"1","language":"en","license":"Copyright (c) 2020 Yusuf Juniar Dewantara, Frida Kusumastuti","note":"number: 1","source":"ejournal.umm.ac.id","title":"Evaluasi Kebijakan Program Pendidikan Inklusif Di SDN Betet 1 Kota Kediri","URL":"https://ejournal.umm.ac.id/index.php/jkpp/article/view/12066","volume":"8","author":[{"family":"Dewantara","given":"Yusuf Juniar"},{"family":"Kusumastuti","given":"Frida"}],"accessed":{"date-parts":[["2025",3,1]]},"issued":{"date-parts":[["2020",5,4]]}}},{"id":44437,"uris":["http://zotero.org/users/7621732/items/86PGPH44"],"itemData":{"id":44437,"type":"article-journal","container-title":"Jurnal Syntax Admiration","issue":"1","page":"82–90","source":"Google Scholar","title":"Policy Evaluation of Inclusive Education Implementation at SD Negeri Murung Sari 5 Amuntai, Hulu Sungai Utara Regency, South Kalimantan Province","volume":"5","author":[{"family":"Emilyana","given":"Rina"},{"family":"Sukristyanto","given":"Agus"},{"family":"Widodo","given":"Joko"}],"issued":{"date-parts":[["2024"]]}}},{"id":43166,"uris":["http://zotero.org/users/7621732/items/FJ2HKVW4"],"itemData":{"id":43166,"type":"article-journal","abstract":"… Sulitnya diterima murid disabilitas di sekolah dikarenakan saat ini kurangnya komunikasi dalam penyampain isi kebijakan pendidikan inklusif di kabupaten Bireuen. Rencana aksi …","container-title":"Asia-Pacific Journal of Public Policy","issue":"2","note":"publisher: journal.stianasional.ac.id","page":"150=160","title":"Implementasi Program Pendidikan Inklusif di Kabupaten Bireuen","volume":"6","author":[{"family":"Ferizaldi","given":"F"},{"family":"Fazlina","given":"F"}],"issued":{"date-parts":[["2020"]]}}},{"id":43156,"uris":["http://zotero.org/users/7621732/items/SBF27DNE"],"itemData":{"id":43156,"type":"article-journal","abstract":"Tujuan dari penelitian ini untuk memberikan informasi tentang bagaimana implementasi pendidikan inklusif sebagai perubahan paradigma pendidikan di Indonesia dapat terjalankan. …","container-title":"Jurnal Bintang Pendidikan Indonesia","issue":"2","note":"publisher: ejurnal.stie-trianandra.ac.id","page":"302-311","title":"Implementasi Pendidikan Inklusif Sebagai Perubahan Paradigma Pendidikan Di Indonesia","volume":"2","author":[{"family":"Fionita","given":"W"},{"family":"Nurjannah","given":"E"}],"issued":{"date-parts":[["2024"]]}}},{"id":43369,"uris":["http://zotero.org/users/7621732/items/2CINKHH9"],"itemData":{"id":43369,"type":"article-journal","abstract":"… Pemerintah juga memiliki peran strategis dalam mendukung kebijakan pendidikan inklusif melalui regulasi yang progresif, pendanaan yang memadai, serta penyediaan fasilitas dan …","container-title":"Jurnal Education and development","issue":"1","note":"publisher: journal.ipts.ac.id","page":"660-666","title":"Implementasi Pendidikan Inklusif Dalam Mewujudkan Sekolah Ramah Anak","volume":"13","author":[{"family":"Gustaman","given":"RF"},{"family":"Gandi","given":"A"},{"family":"Ratnaningsih","given":"N"}],"issued":{"date-parts":[["2025"]]}}},{"id":43074,"uris":["http://zotero.org/users/7621732/items/4UI7A5Q3"],"itemData":{"id":43074,"type":"article-journal","abstract":"Sekolah Dasar dengan program pendidikan inklusi menjadi sebuah tantangan tersendiri bagi kepala sekolah dan guru di lembaga pendidikan. Pendidikan inklusi di sekolah dasar …","container-title":"Jurnal Basicedu","issue":"1","note":"publisher: neliti.com","page":"1183 - 1190","title":"Implementasi Kebijakan Pendidikan Inklusi di Sekolah Dasar","volume":"5","author":[{"family":"Munajah","given":"R"},{"family":"Marini","given":"A"},{"family":"Sumantri","given":"MS"}],"issued":{"date-parts":[["2021"]]}}}],"schema":"https://github.com/citation-style-language/schema/raw/master/csl-citation.json"}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(Arias et al., 2023; Dewantara &amp; Kusumastuti, 2020; Emilyana et al., 2024; Ferizaldi &amp; Fazlina, 2020; Fionita &amp; Nurjannah, 2024; Gustaman et al., 2025; Munajah et al., 2021)</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So coordination is needed with various parties, starting from policy-implementing institutions and government policymakers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{"citationID":"2eGg8UYU","properties":{"formattedCitation":"(Maulida et al., 2023; Melinda et al., 2025; Munajah et al., 2021; D. Y. Sabrina &amp; Erianjoni, 2019; Syarif, 2024)","plainCitation":"(Maulida et al., 2023; Melinda et al., 2025; Munajah et al., 2021; D. Y. Sabrina &amp; Erianjoni, 2019; Syarif, 2024)","noteIndex":0},"citationItems":[{"id":44471,"uris":["http://zotero.org/users/7621732/items/AIPT4BVM"],"itemData":{"id":44471,"type":"article-journal","container-title":"Journal of Public Policy and Management Review","issue":"2","page":"188–204","source":"Google Scholar","title":"Implementasi perwal no. 76 tahun 2020 tentang penyelenggaraan pendidikan inklusif di SD negeri pekunden kota semarang","volume":"12","author":[{"family":"Maulida","given":"Shofia"},{"family":"Maesaroh","given":"Maesaroh"},{"family":"Widowati","given":"Nina"}],"issued":{"date-parts":[["2023"]]}}},{"id":43368,"uris":["http://zotero.org/users/7621732/items/SJ8E6ATI"],"itemData":{"id":43368,"type":"article-journal","abstract":"… Kebijakan ini memberikan landasan hukum dan arahan bagi sekolah untuk mengadopsi … Meskipun terdapat kemajuan dalam kebijakan pendidikan inklusif, masih adanya tantangan …","container-title":"Harmoni Pendidikan : Jurnal Ilmu Pendidikan","issue":"1","note":"publisher: journal.lpkd.or.id","page":"337-343","title":"Pendidikan Inklusif: Tantangan dan Peluang dalam Implementasinya di Indonesia","volume":"2","author":[{"family":"Melinda","given":"R"},{"family":"Suriansyah","given":"A"},{"family":"Refianti","given":"WR"}],"issued":{"date-parts":[["2025"]]}}},{"id":43074,"uris":["http://zotero.org/users/7621732/items/4UI7A5Q3"],"itemData":{"id":43074,"type":"article-journal","abstract":"Sekolah Dasar dengan program pendidikan inklusi menjadi sebuah tantangan tersendiri bagi kepala sekolah dan guru di lembaga pendidikan. Pendidikan inklusi di sekolah dasar …","container-title":"Jurnal Basicedu","issue":"1","note":"publisher: neliti.com","page":"1183 - 1190","title":"Implementasi Kebijakan Pendidikan Inklusi di Sekolah Dasar","volume":"5","author":[{"family":"Munajah","given":"R"},{"family":"Marini","given":"A"},{"family":"Sumantri","given":"MS"}],"issued":{"date-parts":[["2021"]]}}},{"id":44492,"uris":["http://zotero.org/users/7621732/items/9ESKHRMI"],"itemData":{"id":44492,"type":"article-journal","container-title":"Jurnal Perspektif","issue":"2","page":"52–59","source":"Google Scholar","title":"Implementasi Peraturan Daerah Nomor 3 Tahun 2015 Tentang Pemenuhan dan Perlindungan Hak-Hak Penyandang Disabilitas di Kota Padang","volume":"2","author":[{"family":"Sabrina","given":"Dio Yoan"},{"family":"Erianjoni","given":"Erianjoni"}],"issued":{"date-parts":[["2019"]]}}},{"id":43292,"uris":["http://zotero.org/users/7621732/items/34IRRSB6"],"itemData":{"id":43292,"type":"article-journal","abstract":"… tentang Kebijakan Pendidikan Inklusif di Indonesia terkait … dalam implementasi kebijakan pendidikan inklusif di sekolah … implementasi pendidikan inklusif di Indonesia?”. Setelah …","container-title":"Jurnal Pemikiran Dan Pengembangan Pembelajaran","issue":"3","note":"publisher: ejournal-jp3.com","page":"852-864","title":"Analisis Kebijakan Pendidikan Inklusif di Indonesia: Tantangan dan Peluang dalam Implementasi di Sekolah Menengah","volume":"6","author":[{"family":"Syarif","given":"R"}],"issued":{"date-parts":[["2024"]]}}}],"schema":"https://github.com/citation-style-language/schema/raw/master/csl-citation.json"}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(Maulida et al., 2023; Melinda et al., 2025; Munajah et al., 2021; D. Y. Sabrina &amp; Erianjoni, 2019; Syarif, 2024)</w:t>
      </w:r>
      <w:r w:rsidRPr="00112CC2">
        <w:rPr>
          <w:rFonts w:ascii="Calibri Light" w:hAnsi="Calibri Light" w:cs="Calibri Light"/>
          <w:sz w:val="24"/>
          <w:szCs w:val="24"/>
        </w:rPr>
        <w:fldChar w:fldCharType="end"/>
      </w:r>
      <w:r w:rsidRPr="00112CC2">
        <w:rPr>
          <w:rFonts w:ascii="Calibri Light" w:hAnsi="Calibri Light" w:cs="Calibri Light"/>
          <w:sz w:val="24"/>
          <w:szCs w:val="24"/>
        </w:rPr>
        <w:t>.</w:t>
      </w:r>
    </w:p>
    <w:p w14:paraId="60FBD829" w14:textId="77777777" w:rsidR="00112CC2" w:rsidRDefault="00112CC2" w:rsidP="00112CC2">
      <w:pPr>
        <w:spacing w:before="120" w:after="120"/>
        <w:ind w:left="440" w:right="-1" w:hanging="14"/>
        <w:jc w:val="both"/>
        <w:rPr>
          <w:rFonts w:ascii="Calibri Light" w:hAnsi="Calibri Light" w:cs="Calibri Light"/>
          <w:sz w:val="24"/>
          <w:szCs w:val="24"/>
        </w:rPr>
      </w:pPr>
      <w:r w:rsidRPr="00112CC2">
        <w:rPr>
          <w:rFonts w:ascii="Calibri Light" w:hAnsi="Calibri Light" w:cs="Calibri Light"/>
          <w:sz w:val="24"/>
          <w:szCs w:val="24"/>
        </w:rPr>
        <w:t xml:space="preserve">The fourth challenge in the implementation of inclusive education is the still weak supervision and evaluation because school findings are still minimal in implementing character education optimally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{"citationID":"lZRtzGVK","properties":{"formattedCitation":"(Alfikri et al., 2022; Dewantara &amp; Kusumastuti, 2020)","plainCitation":"(Alfikri et al., 2022; Dewantara &amp; Kusumastuti, 2020)","noteIndex":0},"citationItems":[{"id":44443,"uris":["http://zotero.org/users/7621732/items/EDZ3X9NY"],"itemData":{"id":44443,"type":"article-journal","container-title":"Journal of Syntax Literate","issue":"6","source":"Google Scholar","title":"Analisis Kebijakan Pendidikan Inklusi","URL":"https://www.academia.edu/download/87455845/UAS._Jurnal_Farhan_Alfikri.pdf","volume":"7","author":[{"family":"Alfikri","given":"Farhan"},{"family":"Khodijah","given":"Nyayu"},{"family":"Suryana","given":"Ermis"}],"accessed":{"date-parts":[["2025",3,1]]},"issued":{"date-parts":[["2022"]]}}},{"id":44426,"uris":["http://zotero.org/users/7621732/items/ZRJC2QQ5"],"itemData":{"id":44426,"type":"article-journal","abstract":"Abstract: This study aims to evaluate the implementation of inclusive education programs. The method used is a qualitative analysis that is describing and interpreting data from each component evaluated using the CIPP evaluation model (Context, Input, Process, Product). Data sources in this study include the principal, principal teacher, special assistant teacher (GPK), school committee, parents of students and special needs students. Data collection is done by interview, observation, a document study, and documentation. The findings in the context component show that the legal basis for implementing inclusive education is by the prevailing Education System Law in Indonesia. The objectives of inclusive education are by the established formula. The findings of the input component show that there are quite a several ABK inputs in school with a variety of types of disability by the Inclusive Education Law. However, the SDM component especially GPK and infrastructure still need attention to improve and complete it. The findings of the process component show that the process of student acceptance, teaching and learning activities and student assessment have adjusted to the applicable regulations. But there are still students who are not supposed to go to an inclusive school to study at the school. The findings of the product component indicate that there are achievements achieved by inclusive students and the positive impact of implementing inclusive education. This research provides recommendations for the government and schools implementing inclusive education to continue implementing the program and continue to communicate and collaborate with institutions and several related parties in carrying out inclusive education programs to be more optimal.Key Words: Program Evaluation, Inclusive Education, CIPP Model Abstrak: Penelitian ini bertujuan untuk mengevaluasi implementasi program pendidikan inklusif. Metode yang digunakan adalah analisis kualitatif yaitu mendeskripsikan dan memaknai data dari masing-masing komponen yang dievaluasi dengan menggunakan model evaluasi CIPP (Context, Input, Process, Product). Sumber data dalam penelitian ini meliputi kepala sekolah, guru utama, guru pendamping khusus (GPK), komite sekolah, orang tua/wali murid dan siswa ABK. Pengumpulan data dilakukan dengan wawancara, observasi, studi dokumen dan dokumentasi. Hasil temuan pada komponen konteks menunjukkan bahwa landasan hukum penyelenggaraan pendidikan inklusif sudah sesuai dengan Undang-Undang Sistem Pendidikan yang berlaku di Indonesia. Tujuan pendidikan inklusif sudah sesuai dengan rumusan yang telah ditetapkan. Hasil temuan komponen input menunjukkan input ABK yang bersekolah jumlahnya cukup banyak dengan berbagai jenis ketunaannya sesuai yang tercantum pada Undang-Undang Pendidikan Inklusif. Namun pada komponen SDM terutama GPK dan sarana prasarana masih memerlukan perhatian untuk meningkatkan dan melengkapinya. Hasil temuan komponen proses menunjukkan proses penerimaan siswa, kegiatan belajar mengajar dan penilaian siswa telah menyesuaikan dengan peraturan-peraturan yang berlaku. Namun masih ada siswa yang tidak seharusnya masuk di sekolah inklusif menempuh pendidikan di sekolah tersebut. Hasil temuan komponen produk menunjukkan terdapat prestasi yang berhasil diraih oleh siswa inklusif dan dampak positif dari pelaksanaan pendidikan inklusif. Penelitian ini memberikan rekomendasi untuk pemerintah dan pihak sekolah penyelenggara pendidikan inklusif agar tetap melaksanakan program tersebut dan terus berkomunikasi serta berkolaborasi dengan lembaga dan beberapa pihak terkait dalam menjalankan program pendidikan inklusif agar lebih optimal.Kata Kunci: Evaluasi Program, Pendidikan Inklusif, Model CIPP","container-title":"Jurnal Kebijakan dan Pengembangan Pendidikan","DOI":"10.22219/jkpp.v8i1.12066","ISSN":"2337-7615","issue":"1","language":"en","license":"Copyright (c) 2020 Yusuf Juniar Dewantara, Frida Kusumastuti","note":"number: 1","source":"ejournal.umm.ac.id","title":"Evaluasi Kebijakan Program Pendidikan Inklusif Di SDN Betet 1 Kota Kediri","URL":"https://ejournal.umm.ac.id/index.php/jkpp/article/view/12066","volume":"8","author":[{"family":"Dewantara","given":"Yusuf Juniar"},{"family":"Kusumastuti","given":"Frida"}],"accessed":{"date-parts":[["2025",3,1]]},"issued":{"date-parts":[["2020",5,4]]}}}],"schema":"https://github.com/citation-style-language/schema/raw/master/csl-citation.json"}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(Alfikri et al., 2022; Dewantara &amp; Kusumastuti, 2020)</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so the existence of supervision from both the government and the private sector is a necessity in order to achieve good inclusive education. </w:t>
      </w:r>
      <w:proofErr w:type="spellStart"/>
      <w:r w:rsidRPr="00112CC2">
        <w:rPr>
          <w:rFonts w:ascii="Calibri Light" w:hAnsi="Calibri Light" w:cs="Calibri Light"/>
          <w:sz w:val="24"/>
          <w:szCs w:val="24"/>
        </w:rPr>
        <w:t>Fionita</w:t>
      </w:r>
      <w:proofErr w:type="spellEnd"/>
      <w:r w:rsidRPr="00112CC2">
        <w:rPr>
          <w:rFonts w:ascii="Calibri Light" w:hAnsi="Calibri Light" w:cs="Calibri Light"/>
          <w:sz w:val="24"/>
          <w:szCs w:val="24"/>
        </w:rPr>
        <w:t xml:space="preserve"> et al. revealed that the existence of consistent supervision and evaluation is the key to the success of inclusive education; one of the main reasons is that if obstacles are found, corrective actions can be taken quickly and appropriately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{"citationID":"0gk3nmKF","properties":{"formattedCitation":"(Fionita &amp; Nurjannah, 2024; Gustaman et al., 2025)","plainCitation":"(Fionita &amp; Nurjannah, 2024; Gustaman et al., 2025)","noteIndex":0},"citationItems":[{"id":43156,"uris":["http://zotero.org/users/7621732/items/SBF27DNE"],"itemData":{"id":43156,"type":"article-journal","abstract":"Tujuan dari penelitian ini untuk memberikan informasi tentang bagaimana implementasi pendidikan inklusif sebagai perubahan paradigma pendidikan di Indonesia dapat terjalankan. …","container-title":"Jurnal Bintang Pendidikan Indonesia","issue":"2","note":"publisher: ejurnal.stie-trianandra.ac.id","page":"302-311","title":"Implementasi Pendidikan Inklusif Sebagai Perubahan Paradigma Pendidikan Di Indonesia","volume":"2","author":[{"family":"Fionita","given":"W"},{"family":"Nurjannah","given":"E"}],"issued":{"date-parts":[["2024"]]}}},{"id":43369,"uris":["http://zotero.org/users/7621732/items/2CINKHH9"],"itemData":{"id":43369,"type":"article-journal","abstract":"… Pemerintah juga memiliki peran strategis dalam mendukung kebijakan pendidikan inklusif melalui regulasi yang progresif, pendanaan yang memadai, serta penyediaan fasilitas dan …","container-title":"Jurnal Education and development","issue":"1","note":"publisher: journal.ipts.ac.id","page":"660-666","title":"Implementasi Pendidikan Inklusif Dalam Mewujudkan Sekolah Ramah Anak","volume":"13","author":[{"family":"Gustaman","given":"RF"},{"family":"Gandi","given":"A"},{"family":"Ratnaningsih","given":"N"}],"issued":{"date-parts":[["2025"]]}}}],"schema":"https://github.com/citation-style-language/schema/raw/master/csl-citation.json"}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(Fionita &amp; Nurjannah, 2024; Gustaman et al., 2025)</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in line with </w:t>
      </w:r>
      <w:proofErr w:type="spellStart"/>
      <w:r w:rsidRPr="00112CC2">
        <w:rPr>
          <w:rFonts w:ascii="Calibri Light" w:hAnsi="Calibri Light" w:cs="Calibri Light"/>
          <w:sz w:val="24"/>
          <w:szCs w:val="24"/>
        </w:rPr>
        <w:t>Khoiriyah</w:t>
      </w:r>
      <w:proofErr w:type="spellEnd"/>
      <w:r w:rsidRPr="00112CC2">
        <w:rPr>
          <w:rFonts w:ascii="Calibri Light" w:hAnsi="Calibri Light" w:cs="Calibri Light"/>
          <w:sz w:val="24"/>
          <w:szCs w:val="24"/>
        </w:rPr>
        <w:t xml:space="preserve"> et al. the task of supervision and evaluation must also be borne by the government as the maker of laws and policies in order to improve systems that are not running optimally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{"citationID":"YgRiYwP6","properties":{"formattedCitation":"(Khoiriyah et al., 2024; Lestari et al., 2024; Maulida et al., 2023)","plainCitation":"(Khoiriyah et al., 2024; Lestari et al., 2024; Maulida et al., 2023)","noteIndex":0},"citationItems":[{"id":43913,"uris":["http://zotero.org/users/7621732/items/JY32UYZQ"],"itemData":{"id":43913,"type":"article-journal","abstract":"… implements inclusive education is Indonesia. Therefore, Indonesia has legislation that guarantees the implementation of inclusive education as stipulated in Law Number 20 of 2003 …","container-title":"EDUKASIA: Jurnal Pendidikan dan Pembelajaran","issue":"1","note":"publisher: jurnaledukasia.org","page":"851-858","title":"Analysis of Inclusive Education Policy Implementation in Developing Countries","volume":"5","author":[{"family":"Khoiriyah","given":"U"},{"family":"Karwanto","given":"K"},{"family":"Setyowati","given":"S"},{"family":"Khamidi","given":"Amrozi"}],"issued":{"date-parts":[["2024"]]}}},{"id":44427,"uris":["http://zotero.org/users/7621732/items/DEI6KWY2"],"itemData":{"id":44427,"type":"article-journal","container-title":"Jurnal Ilmiah Teunuleh","issue":"3","page":"153–161","source":"Google Scholar","title":"Challenges and Solutions in Implementing Inclusive Education at UPT State Elementary School 067250 Medan","volume":"5","author":[{"family":"Lestari","given":"Nila"},{"family":"Widiyarti","given":"Gemala"},{"family":"Siregar","given":"Nurhafni"},{"family":"Sari","given":"Dwi Novita"}],"issued":{"date-parts":[["2024"]]}}},{"id":44471,"uris":["http://zotero.org/users/7621732/items/AIPT4BVM"],"itemData":{"id":44471,"type":"article-journal","container-title":"Journal of Public Policy and Management Review","issue":"2","page":"188–204","source":"Google Scholar","title":"Implementasi perwal no. 76 tahun 2020 tentang penyelenggaraan pendidikan inklusif di SD negeri pekunden kota semarang","volume":"12","author":[{"family":"Maulida","given":"Shofia"},{"family":"Maesaroh","given":"Maesaroh"},{"family":"Widowati","given":"Nina"}],"issued":{"date-parts":[["2023"]]}}}],"schema":"https://github.com/citation-style-language/schema/raw/master/csl-citation.json"}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(Khoiriyah et al., 2024; Lestari et al., 2024; Maulida et al., 2023)</w:t>
      </w:r>
      <w:r w:rsidRPr="00112CC2">
        <w:rPr>
          <w:rFonts w:ascii="Calibri Light" w:hAnsi="Calibri Light" w:cs="Calibri Light"/>
          <w:sz w:val="24"/>
          <w:szCs w:val="24"/>
        </w:rPr>
        <w:fldChar w:fldCharType="end"/>
      </w:r>
      <w:r w:rsidRPr="00112CC2">
        <w:rPr>
          <w:rFonts w:ascii="Calibri Light" w:hAnsi="Calibri Light" w:cs="Calibri Light"/>
          <w:sz w:val="24"/>
          <w:szCs w:val="24"/>
        </w:rPr>
        <w:t>. The existence of four challenges to implementing inclusive education is a space for all parties to find the best solution so that inclusive education can be implemented per the mandate of applicable laws and policies.</w:t>
      </w:r>
    </w:p>
    <w:p w14:paraId="38A0868B" w14:textId="77777777" w:rsidR="001D68BC" w:rsidRPr="00112CC2" w:rsidRDefault="001D68BC" w:rsidP="00112CC2">
      <w:pPr>
        <w:spacing w:before="120" w:after="120"/>
        <w:ind w:left="440" w:right="-1" w:hanging="14"/>
        <w:jc w:val="both"/>
        <w:rPr>
          <w:rFonts w:ascii="Calibri Light" w:hAnsi="Calibri Light" w:cs="Calibri Light"/>
          <w:sz w:val="24"/>
          <w:szCs w:val="24"/>
        </w:rPr>
      </w:pPr>
    </w:p>
    <w:p w14:paraId="015660AF" w14:textId="77777777" w:rsidR="00112CC2" w:rsidRDefault="00112CC2" w:rsidP="00112CC2">
      <w:pPr>
        <w:spacing w:before="120" w:after="120"/>
        <w:ind w:left="440" w:right="-1" w:hanging="14"/>
        <w:jc w:val="both"/>
        <w:rPr>
          <w:rFonts w:ascii="Calibri Light" w:hAnsi="Calibri Light" w:cs="Calibri Light"/>
          <w:b/>
          <w:bCs/>
          <w:sz w:val="24"/>
          <w:szCs w:val="24"/>
        </w:rPr>
      </w:pPr>
      <w:r w:rsidRPr="00CA5E1E">
        <w:rPr>
          <w:rFonts w:ascii="Calibri Light" w:hAnsi="Calibri Light" w:cs="Calibri Light"/>
          <w:b/>
          <w:bCs/>
          <w:sz w:val="24"/>
          <w:szCs w:val="24"/>
        </w:rPr>
        <w:t>Discussion</w:t>
      </w:r>
    </w:p>
    <w:p w14:paraId="69C7D969" w14:textId="77777777" w:rsidR="00112CC2" w:rsidRPr="008A2FA0" w:rsidRDefault="00436963" w:rsidP="00112CC2">
      <w:pPr>
        <w:spacing w:before="120" w:after="120"/>
        <w:ind w:left="440" w:right="-1" w:hanging="14"/>
        <w:jc w:val="both"/>
        <w:rPr>
          <w:rFonts w:ascii="Calibri Light" w:hAnsi="Calibri Light" w:cs="Calibri Light"/>
          <w:sz w:val="24"/>
          <w:szCs w:val="24"/>
        </w:rPr>
      </w:pPr>
      <w:r w:rsidRPr="008A2FA0">
        <w:rPr>
          <w:rFonts w:ascii="Calibri Light" w:hAnsi="Calibri Light" w:cs="Calibri Light"/>
          <w:sz w:val="24"/>
          <w:szCs w:val="24"/>
        </w:rPr>
        <w:t xml:space="preserve">Legal regulations for inclusive education in Indonesia have a clear constitutional basis and do not conflict with the 1945 law in Indonesia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{"citationID":"PkpcuoUB","properties":{"formattedCitation":"(Burns, 2004; Panjaitan, 2021; Patra, 2018)","plainCitation":"(Burns, 2004; Panjaitan, 2021; Patra, 2018)","noteIndex":0},"citationItems":[{"id":44631,"uris":["http://zotero.org/users/7621732/items/3LUEMHUH"],"itemData":{"id":44631,"type":"book","publisher":"KITLV Press Leiden","source":"Google Scholar","title":"The Leiden legacy: Concepts of law in Indonesia","title-short":"The Leiden legacy","URL":"https://www.academia.edu/download/100945431/content-the-leiden-legacy-concepts-of-law-in-indonesia.pdf","author":[{"family":"Burns","given":"Peter"}],"accessed":{"date-parts":[["2025",3,8]]},"issued":{"date-parts":[["2004"]]}}},{"id":44627,"uris":["http://zotero.org/users/7621732/items/R9G6J3ID"],"itemData":{"id":44627,"type":"article-journal","container-title":"International Journal","page":"487","source":"Google Scholar","title":"Legal politics to build a state of happiness: an idea in a state based on the 1945 constitution","title-short":"Legal politics to build a state of happiness","volume":"10","author":[{"family":"Panjaitan","given":"Marojahan JS"}],"issued":{"date-parts":[["2021"]]}}},{"id":44629,"uris":["http://zotero.org/users/7621732/items/BR2XJKXM"],"itemData":{"id":44629,"type":"article-journal","container-title":"Hasanuddin Law Review","issue":"1","page":"88–102","source":"Google Scholar","title":"Arrangement of Relationship between State Institutions through the Fifth Amendment of the 1945 Constitution in Indonesia","volume":"4","author":[{"family":"Patra","given":"Rommy"}],"issued":{"date-parts":[["2018"]]}}}],"schema":"https://github.com/citation-style-language/schema/raw/master/csl-citation.json"}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(Burns, 2004; Panjaitan, 2021; Patra, 2018)</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 Several pieces of evidence show that legally inclusive education in Indonesia is quite effective and positively impacted because it pays attention to several components. </w:t>
      </w:r>
      <w:commentRangeStart w:id="13"/>
      <w:r w:rsidRPr="008A2FA0">
        <w:rPr>
          <w:rFonts w:ascii="Calibri Light" w:hAnsi="Calibri Light" w:cs="Calibri Light"/>
          <w:sz w:val="24"/>
          <w:szCs w:val="24"/>
        </w:rPr>
        <w:t xml:space="preserve">First, human rights </w:t>
      </w:r>
      <w:commentRangeEnd w:id="13"/>
      <w:r w:rsidR="00BD0DDD">
        <w:rPr>
          <w:rStyle w:val="CommentReference"/>
        </w:rPr>
        <w:commentReference w:id="13"/>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{"citationID":"YsjB7z42","properties":{"formattedCitation":"(Irmansyah et al., 2009; Nasution, 1994)","plainCitation":"(Irmansyah et al., 2009; Nasution, 1994)","noteIndex":0},"citationItems":[{"id":44633,"uris":["http://zotero.org/users/7621732/items/8IWY8WE6"],"itemData":{"id":44633,"type":"article-journal","abstract":"Although attention to human rights in Indonesia has been improving over the past decade, the human rights situation of persons with mental disorders is still far from satisfactory. The purpose of this paper is to examine the legal framework for protection of human rights of persons with mental disorder and the extent to which Indonesia's international obligations concerning the right to health are being met.","container-title":"International Journal of Mental Health Systems","DOI":"10.1186/1752-4458-3-14","ISSN":"1752-4458","issue":"1","journalAbbreviation":"Int J Ment Health Syst","language":"en","page":"14","source":"Springer Link","title":"Human rights of persons with mental illness in Indonesia: more than legislation is needed","title-short":"Human rights of persons with mental illness in Indonesia","volume":"3","author":[{"family":"Irmansyah","given":"I."},{"family":"Prasetyo","given":"YA"},{"family":"Minas","given":"H."}],"issued":{"date-parts":[["2009",6,19]]}}},{"id":44635,"uris":["http://zotero.org/users/7621732/items/9LHC6E7X"],"itemData":{"id":44635,"type":"article-journal","container-title":"Journal of Democracy","ISSN":"1086-3214","issue":"3","note":"publisher: Johns Hopkins University Press","page":"114-123","source":"Project MUSE","title":"Defending Human Rights in Indonesia","volume":"5","author":[{"family":"Nasution","given":"Adnan Buyung"}],"issued":{"date-parts":[["1994"]]}}}],"schema":"https://github.com/citation-style-language/schema/raw/master/csl-citation.json"}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w:t>
      </w:r>
      <w:proofErr w:type="spellStart"/>
      <w:r w:rsidR="008A2FA0" w:rsidRPr="008A2FA0">
        <w:rPr>
          <w:rFonts w:ascii="Calibri Light" w:hAnsi="Calibri Light" w:cs="Calibri Light"/>
          <w:sz w:val="24"/>
          <w:szCs w:val="24"/>
        </w:rPr>
        <w:t>Irmansyah</w:t>
      </w:r>
      <w:proofErr w:type="spellEnd"/>
      <w:r w:rsidR="008A2FA0" w:rsidRPr="008A2FA0">
        <w:rPr>
          <w:rFonts w:ascii="Calibri Light" w:hAnsi="Calibri Light" w:cs="Calibri Light"/>
          <w:sz w:val="24"/>
          <w:szCs w:val="24"/>
        </w:rPr>
        <w:t xml:space="preserve"> et al., 2009; Nasution, 1994)</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equal rights between normal and special needs students (without discrimination)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{"citationID":"EFxpOSey","properties":{"formattedCitation":"(Hadiprayitno, 2010; Isra et al., 2017)","plainCitation":"(Hadiprayitno, 2010; Isra et al., 2017)","noteIndex":0},"citationItems":[{"id":44638,"uris":["http://zotero.org/users/7621732/items/529UFNGK"],"itemData":{"id":44638,"type":"article-journal","abstract":"The objective of the article is to examine the human rights enforcement in Indonesian legal and political system. This is done by studying the legal basis of human rights, the process of proliferation of human rights discourse, and the actual controversies of human rights enforcement. The study has the effect of highlighting some of the immense deficits in ensuring that violations are treated under judicial procedure and the protection of human rights is available and accessible for victims. The author inevitably came into a conclusion that the openness of legal and political arenas for human rights discourses is not followed with a tangible impact on the entitlement positions of the people. The problems of the weak institutions and the unenthusiastic enforcement show that, in Indonesia, human rights are formally adopted as a political strategy to avoid substantial implementation.","container-title":"Human Rights Review","DOI":"10.1007/s12142-009-0143-1","ISSN":"1874-6306","issue":"3","journalAbbreviation":"Hum Rights Rev","language":"en","page":"373-399","source":"Springer Link","title":"Defensive Enforcement: Human Rights in Indonesia","title-short":"Defensive Enforcement","volume":"11","author":[{"family":"Hadiprayitno","given":"Irene Istiningsih"}],"issued":{"date-parts":[["2010",9,1]]}}},{"id":44636,"uris":["http://zotero.org/users/7621732/items/55JE2N8P"],"itemData":{"id":44636,"type":"article-journal","abstract":"It has been over 72 years since Indonesia proclaimed her independence on 17 August 1945. However, the 350 years of the Dutch colonization is still impacting the lives of the Indonesian people. The difficulties faced by the Indonesian legal system as the government tries to accommodate adat (custom) and religion principles within the national law and the extent to which this legal mechanism affects the everyday life of the Indonesian people. In a nation where customs and religion are so preeminent, setting up an all-inclusive document meant to be the foundation of the stateâ€™s legal system at the dawn of independence was no easy task. This paper discusses the practice of legal pluralism in Indonesia and its struggle to implement rule of law and human rights principles after a half-century of authoritarian regimes. The study involves socio-legal research drawing on empirical data. Survey research was conducted between September 2014 and February 2015 at Utrecht University, the Netherlands, as well as in 5 cities in Indonesia (Aceh, Bali, Batam, Medan, and Padang) to collect data. The research reveals that legal pluralism is not helping to strengthen the Indonesian legal system, and that the foreignness of the Western law along with the neglect of the Indonesian customary and Islamic laws, totalitarianism and military involvement in politics, corruption within the state apparatus and unsynchronized laws weaken the legal system in Indonesia and hinder its effort to implement rule of law and human rights principles.","container-title":"Hasanuddin Law Review","DOI":"10.20956/halrev.v3i2.1081","ISSN":"2442-9899","issue":"2","language":"en","license":"Copyright (c) 2017 Hasanuddin Law Review","note":"number: 2","page":"117-140","source":"pasca.unhas.ac.id","title":"Rule of Law and Human Rights Challenges in South East Asia: A Case Study of Legal Pluralism in Indonesia","title-short":"Rule of Law and Human Rights Challenges in South East Asia","volume":"3","author":[{"family":"Isra","given":"Saldi"},{"family":"Ferdi","given":"Ferdi"},{"family":"Tegnan","given":"Hilaire"}],"issued":{"date-parts":[["2017",8,12]]}}}],"schema":"https://github.com/citation-style-language/schema/raw/master/csl-citation.json"}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(Hadiprayitno, 2010; Isra et al., 2017)</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 Second, in line with the International Convention (UN) on the rights of persons with </w:t>
      </w:r>
      <w:r w:rsidRPr="008A2FA0">
        <w:rPr>
          <w:rFonts w:ascii="Calibri Light" w:hAnsi="Calibri Light" w:cs="Calibri Light"/>
          <w:sz w:val="24"/>
          <w:szCs w:val="24"/>
        </w:rPr>
        <w:lastRenderedPageBreak/>
        <w:t xml:space="preserve">disabilities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{"citationID":"fcTU8SXI","properties":{"formattedCitation":"(P\\uc0\\u233{}rez-Mac\\uc0\\u237{}as et al., 2022)","plainCitation":"(Pérez-Macías et al., 2022)","noteIndex":0},"citationItems":[{"id":44644,"uris":["http://zotero.org/users/7621732/items/S5ZIY3ZU"],"itemData":{"id":44644,"type":"article-journal","abstract":"Background: There is a significant gap in employment between people with and without disabilities, despite the importance of work in achieving their independence, autonomy, and integration into society. There are several reasons that cause this gap to exist, such as: people with disabilities feel less prepared, there is a stigma or discrimination to hire people with disabilities and the incompatibility of schedules due to medical issues, among others. That is why entrepreneurship emerges as a good option for the integration of people with disabilities in our society, improves their confidence and promotes some of the Sustainable Development Goals set out in the 2030 Agenda. According to existing literature, people with disabilities have certain virtues such as resilience and motivation that favor entrepreneurship. Thus, the purpose of this study is to provide new insights into the variables that determine the entrepreneurial intention of people with disabilities., \nMethods: In order to respond to this objective, an online questionnaire was given to people with disabilities between the ages of 16 and 65 years, residing in diverse regions of Spain. To analyze the results, this study uses Partial Least Squares-Structural Equation Modeling (PLS-SEM) in a sample of 235 people with disabilities in Spain using as a framework Krueger´s improved model, adding resilience as a new variable., \nResults: The results reflect the importance of resilience, the subjective norm, and perceived collective efficacy in the entrepreneurial processes of people with disabilities., \nConclusions: This study contributes to the underdeveloped literature on entrepreneurship in people with disabilities; it provides insights that can have a practical effect on the reduction of the inequality gap between people with and without disabilities making recommendations to clinicians, vocational psychologists, and policymakers; also, this study would advance the achievement of Sustainable Development Goals 8 and 10.","container-title":"F1000Research","DOI":"10.12688/f1000research.113565.1","ISSN":"2046-1402","journalAbbreviation":"F1000Res","note":"PMID: 36128552\nPMCID: PMC9475206","page":"726","source":"PubMed Central","title":"Resilience and entrepreneurial intentions of people with disabilities: in search of the Sustainable Development Goals (SDGs)","title-short":"Resilience and entrepreneurial intentions of people with disabilities","volume":"11","author":[{"family":"Pérez-Macías","given":"Noemí"},{"family":"Fernández-Fernández","given":"José L."},{"family":"Rúa Vieites","given":"Antonio"}],"issued":{"date-parts":[["2022",7,1]]}}}],"schema":"https://github.com/citation-style-language/schema/raw/master/csl-citation.json"}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(Pérez-Macías et al., 2022)</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Sustainable Development Goals (SDGs)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{"citationID":"D2rkdmTn","properties":{"formattedCitation":"(Opoku et al., 2019; Tebbutt et al., 2016)","plainCitation":"(Opoku et al., 2019; Tebbutt et al., 2016)","noteIndex":0},"citationItems":[{"id":44640,"uris":["http://zotero.org/users/7621732/items/ZWGHWM7S"],"itemData":{"id":44640,"type":"article-journal","abstract":"Consistently, it has been reported that persons with disabilities face multiple challenges in societies and thus it is important that deliberate intervention programs are initiated to empower them to overcome exclusion. The United Nations has taken the lead through the Sustainable Development Goals (SDGs) project, which is a framework for assisting countries and donors in their efforts to alleviate poverty. This article documented the experiences of persons with disabilities with respect to global efforts towards poverty reduction via SDGs. Face-to-face interviews were conducted with 48 individuals with disabilities (hearing loss n = 11, visual impairment n = 15, and physical disability n = 22) who were drawn from four districts in the Northern Region of Ghana. Analysis of the interview data revealed common themes related to hardship, poverty, limited access to education, and underemployment. The results indicated that the SDG project engendered little tangible improvement in the lives of persons with disabilities. The need for concerted efforts to address barriers faced by individuals with disabilities is discussed extensively.","container-title":"Sustainable Development","DOI":"10.1002/sd.1899","ISSN":"1099-1719","issue":"1","language":"en","license":"© 2018 John Wiley &amp; Sons, Ltd and ERP Environment","note":"_eprint: https://onlinelibrary.wiley.com/doi/pdf/10.1002/sd.1899","page":"175-182","source":"Wiley Online Library","title":"Poverty alleviation among persons with disabilities via United Nations' sustainable development goals in Ghana: Voices of stakeholders with disabilities","title-short":"Poverty alleviation among persons with disabilities via United Nations' sustainable development goals in Ghana","volume":"27","author":[{"family":"Opoku","given":"Maxwell P."},{"literal":"J-F"},{"family":"Swabey","given":"Karen"},{"family":"Pullen","given":"Darren"},{"family":"Dowden","given":"Tony"}],"issued":{"date-parts":[["2019"]]}}},{"id":44642,"uris":["http://zotero.org/users/7621732/items/DHL96DW5"],"itemData":{"id":44642,"type":"article-journal","abstract":"The Sustainable Development Goals (SDGs) have placed great emphasis on the need for much greater social inclusion, and on making deliberate efforts to reach marginalized groups. People with disabilities are often marginalized through their lack of access to a range of services and opportunities. Assistive products can help people overcome impairments and barriers enabling them to be active, participating and productive members of society. Assistive products are vital for people with disabilities, frailty and chronic illnesses; and for those with mental health problems, and gradual cognitive and physical decline characteristic of aging populations. This paper illustrates how the achievement of each of the 17 SDGs can be facilitated by the use of assistive products. Without promoting the availability of assistive products the SDGs cannot be achieved equitably. We highlight how assistive products can be considered as both a mediator and a moderator of SDG achievement. We also briefly describe how the Global Cooperation on Assistive Technology (GATE) is working to promote greater access to assistive products on a global scale.","container-title":"Globalization and Health","DOI":"10.1186/s12992-016-0220-6","ISSN":"1744-8603","issue":"1","journalAbbreviation":"Global Health","language":"en","page":"79","source":"Springer Link","title":"Assistive products and the Sustainable Development Goals (SDGs)","volume":"12","author":[{"family":"Tebbutt","given":"Emma"},{"family":"Brodmann","given":"Rebecca"},{"family":"Borg","given":"Johan"},{"family":"MacLachlan","given":"Malcolm"},{"family":"Khasnabis","given":"Chapal"},{"family":"Horvath","given":"Robert"}],"issued":{"date-parts":[["2016",11,29]]}}}],"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(Opoku et al., 2019; Tebbutt et al., 2016)</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and the 1994 Salamanca Declaration on Joint Commitment to Overseeing Equitable Inclusive Education. Third, the regulation of inclusive education in Indonesia is clear and binding</w:t>
      </w:r>
      <w:r w:rsidR="008A2FA0" w:rsidRPr="008A2FA0">
        <w:rPr>
          <w:rFonts w:ascii="Calibri Light" w:hAnsi="Calibri Light" w:cs="Calibri Light"/>
          <w:sz w:val="24"/>
          <w:szCs w:val="24"/>
        </w:rPr>
        <w:t xml:space="preserve">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{"citationID":"C45yak7y","properties":{"formattedCitation":"(Rofiah &amp; Suhendri, 2023; Sujarwanto, 2023)","plainCitation":"(Rofiah &amp; Suhendri, 2023; Sujarwanto, 2023)","noteIndex":0},"citationItems":[{"id":44647,"uris":["http://zotero.org/users/7621732/items/CPFLKDAM"],"itemData":{"id":44647,"type":"chapter","abstract":"Sustainable Development Goal 4 (SDG 4), based on the principle of leaving no one behind, ensures that equitable and quality education, as well as inclusion, are available to all, promoting opportunities for those who are disadvantaged and vulnerable including persons with disabilities (PWDs). The Indonesian government has demonstrated a commitment to the rights of PWDs in education. In this chapter, the history, the present, and the future of inclusive education will be presented following the master plan for the development of inclusive education. Strategies including accessibility, reasonable accommodation, and collaboration will be discussed as well as the challenges in implementing inclusive education.","archive_location":"world","container-title":"Progress Toward Agenda 2030","ISBN":"978-1-80455-509-5","language":"en","note":"ISSN: 1479-3636\nDOI: 10.1108/S1479-363620230000021013","page":"191-207","publisher":"Emerald Publishing Limited","source":"www.emerald.com","title":"The Progress of Inclusive Education Toward Agenda 2030 in Indonesia","URL":"https://www.emerald.com/insight/content/doi/10.1108/s1479-363620230000021013/full/html","volume":"21","author":[{"family":"Rofiah","given":"Nurul Hidayati"},{"family":"Suhendri","given":""}],"accessed":{"date-parts":[["2025",3,8]]},"issued":{"date-parts":[["2023",9,20]]}}},{"id":44648,"uris":["http://zotero.org/users/7621732/items/5NBK3PGN"],"itemData":{"id":44648,"type":"chapter","abstract":"Students with special needs in Indonesia can access education in either a special school or an inclusive school. In both systems, there are still many obstacles to ensuring the quality education for students. During the current pandemic crisis, these obstacles are getting worse. Some dramatic changes have been applied to national policies and daily learning practices at schools. Therefore, it is of interest to investigate the current situation of special and inclusive education in Indonesia. The study will be focussed on the ideology about special and inclusive education development, the strength and weaknesses of inclusive and special education programmes, and the strategies or models with which the Indonesian educational system will proceed in a VUCA (volatility, uncertainty, complexity and ambiguity) world.","archive_location":"world","container-title":"Interdisciplinary Perspectives on Special and Inclusive Education in a Volatile, Uncertain, Complex &amp; Ambiguous (Vuca) World","ISBN":"978-1-80382-530-4","language":"en","note":"ISSN: 1479-3636\nDOI: 10.1108/S1479-363620230000020006","page":"89-102","publisher":"Emerald Publishing Limited","source":"www.emerald.com","title":"Inclusive and Special Education Situation in Indonesia and the Paradox of Choice","URL":"https://www.emerald.com/insight/content/doi/10.1108/s1479-363620230000020006/full/html","volume":"20","author":[{"family":"Sujarwanto","given":""}],"accessed":{"date-parts":[["2025",3,8]]},"issued":{"date-parts":[["2023",6,29]]}}}],"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(Rofiah &amp; Suhendri, 2023; Sujarwanto, 2023)</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 starting from the definition, rights, obligations</w:t>
      </w:r>
      <w:r w:rsidR="008A2FA0" w:rsidRPr="008A2FA0">
        <w:rPr>
          <w:rFonts w:ascii="Calibri Light" w:hAnsi="Calibri Light" w:cs="Calibri Light"/>
          <w:sz w:val="24"/>
          <w:szCs w:val="24"/>
        </w:rPr>
        <w:t xml:space="preserve">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{"citationID":"aUnx7d7N","properties":{"formattedCitation":"(Chu-Chang et al., 2013)","plainCitation":"(Chu-Chang et al., 2013)","noteIndex":0},"citationItems":[{"id":44651,"uris":["http://zotero.org/users/7621732/items/XS8XCVFJ"],"itemData":{"id":44651,"type":"book","publisher":"World Bank Publications","source":"Google Scholar","title":"Teacher reform in Indonesia: The role of politics and evidence in policy making","title-short":"Teacher reform in Indonesia","URL":"https://books.google.com/books?hl=en&amp;lr=&amp;id=NfxMAgAAQBAJ&amp;oi=fnd&amp;pg=PP2&amp;dq=inclusive+education+regulations+in+Indonesia+monitoring+and+sanction+system&amp;ots=6qc6aC-7MO&amp;sig=lGCXTCOt8IYVzDXCPc9rBs8cjq0","author":[{"family":"Chu-Chang","given":"Mae"},{"family":"Al-Samarrai","given":"Samer"},{"family":"Shaeffer","given":"Sheldon"},{"family":"Ragatz","given":"Andrew B."},{"family":"De Ree","given":"Joppe"},{"family":"Stevenson","given":"Ritchie"}],"accessed":{"date-parts":[["2025",3,8]]},"issued":{"date-parts":[["2013"]]}}}],"schema":"https://github.com/citation-style-language/schema/raw/master/csl-citation.json"}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(Chu-Chang et al., 2013)</w:t>
      </w:r>
      <w:r w:rsidR="008A2FA0"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monitoring system and sanctions if violations are found. Fourth, support from various parties and adequate facilities and infrastructure should be ensured so that inclusive education can run optimally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{"citationID":"IlFbfy1U","properties":{"formattedCitation":"(Elvira et al., 2024; Mansur et al., 2023)","plainCitation":"(Elvira et al., 2024; Mansur et al., 2023)","noteIndex":0},"citationItems":[{"id":44655,"uris":["http://zotero.org/users/7621732/items/NP2KYB3X"],"itemData":{"id":44655,"type":"article-journal","abstract":"Este estudio utilizó la revisión sistemática de la literatura para investigar las políticas legales hacia la implementación de escuelas inclusivas en PE en términos de desafíos de recursos humanos e infraestructura para estudiantes con necesidades especiales. Los datos se obtuvieron de artículos buscados a través de Google Scholar. La búsqueda se centró en aquellos publicados en revistas indexadas en Scopus publicadas en 2019-2024. Las revistas fueron seleccionadas considerando criterios de inclusión y exclusión. La estrategia de búsqueda se realizó en septiembre de 2024 utilizando las palabras clave: «Legal policy OR policy analysis AND imple-mentation OR application AND inclusive schools OR inclusive education AND Physical Education OR PE AND challenges OR obsta-cles AND human resources OR HR AND facilities OR infrastructure AND students with special needs OR special needs students». Con base en la búsqueda de 2019-2014, se encontraron 17,300 artículos. Además, se revisaron de nuevo en varias etapas y se obtuvieron 16 artículos que se ajustaban al tema y cumplían los requisitos de inclusión. Durante la selección de artículos, este estudio siguió las directrices PRISMA. La conclusión del análisis de la política legal sobre la implantación de escuelas inclusivas en educación física fue que el principal reto reside en los recursos humanos y la infraestructura. Además, la preparación y competencia de los profesores se ve muy afectada por la falta de formación adecuada para tratar con alumnos con necesidades especiales, por lo que es necesaria una formación continua exhaustiva que abarque habilidades pedagógicas, adaptación curricular y Diseño Universal para el Aprendizaje (DUA). Aunque existen políticas que apoyan la inclusión, su aplicación en los PE sigue siendo subóptima, por lo que es necesario reforzar el plan de estudios y los recursos. Otro reto es la falta de infraestructuras de apoyo, especialmente en términos de accesibilidad física e instalaciones especializadas. Se necesitan sinergias entre políticas sólidas, formación del profesorado, mejoras de las infraestructuras y estrategias pedagógicas adaptativas, así como la colaboración de las partes interesadas, para crear entornos de aprendizaje integradores eficaces.\nThis study used the systematic literature reviewto investigate legal policies governinginclusive schools in Physical Education (PE). Particularly, it focused on identifyingchallenges related to human resources and infrastructurein supportingstudents with special needs. Data were obtained from articles searched through Google Scholar.The search was conducted in September 2024 using key-words: \"Legal policy OR policy analysis AND implementation OR application AND inclusive schools OR inclusive education AND Physical Education OR PE AND challenges OR obstacles AND human resources OR HR AND facilities OR infrastructure AND stu-dents with special needs OR special needs students\".During the search, inclusion and exclusion criteria were applied. For example, the search focused on articlespublished in Scopus-indexed journals between2019and 2024. From this initial search,17,300 articles were found.Furthermore, they were screened again in several stages,and 16 articles that fit the theme and met the inclusion require-mentswere yielded. During the article selection, this study followed the PRISMA guidelines. The results showed that the main chal-lenges in governing inclusive schools in PElie in human resources and infrastructure. In addition, the readiness and competence of teachers were greatly affected by the lack of adequate training in dealing with students with special needs. Thus,comprehensive ongoing training is needed to enhance teachers’ pedagogical skills, curriculum adaptation, and Universal Design for Learning (UDL). Although there were policies that support inclusion, their implementation in PE is still suboptimal, requiring strengthening of the curriculum and resources. Another challenge wasthe lack of supportive infrastructure, especially in terms of physical accessibility and specialized facilities. In conclusion, a combination ofstrong policies, teacher training, infrastructure improvements,adaptive teaching strategies, andstakeholder collaboration is needed to create effective,inclusive learning environments.","container-title":"Retos: nuevas tendencias en educación física, deporte y recreación","ISSN":"1988-2041, 1579-1726","issue":"61","language":"eng","note":"publisher: Federación Española de Asociaciones de Docentes de Educación Física (FEADEF)\nsection: Retos: nuevas tendencias en educación física, deporte y recreación","page":"1371-1383","source":"dialnet.unirioja.es","title":"Legal policy analysis of inclusive schools in Physical Education (pe): human resources and infrastructure challenges for students with special needs","title-short":"Legal policy analysis of inclusive schools in Physical Education (pe)","author":[{"family":"Elvira","given":"Elvira"},{"family":"Setyawan","given":"Hendra"},{"family":"Sulistiyo","given":"Sulistiyo"},{"family":"Sabariah","given":"Sabariah"},{"family":"Rufii","given":"Rufii"},{"family":"Harmanto","given":"Harmanto"},{"family":"Safrudin","given":"Safrudin"},{"family":"Nurkadri","given":"Nurkadri"},{"family":"Gontara","given":"Satria Yudi"},{"family":"Arien","given":"Wilasari"},{"family":"Susanto","given":"Susanto"},{"family":"Pavlović","given":"Ratko"}],"issued":{"date-parts":[["2024"]]}}},{"id":44653,"uris":["http://zotero.org/users/7621732/items/VBETJ8SJ"],"itemData":{"id":44653,"type":"article-journal","abstract":"Era of Society 5.0 has had a significant impact on the implementation of education for students in Indonesia, which presents opportunities and challenges for educators in each education unit. One of the education units that feels this impact is inclusive education. Inclusive education learning designs in which there are special assistant teachers have a more dominant social constructivist tendency than those with regular education teachers. The development of the right inclusive education learning design will help children with special needs in achieving their optimal potential development according to their conditions and needs in the community. This study aims to propose inclusive education learning designs that are relevant to Era of Society 5.0 based on national education standards including standard processes, standards for educators, and standards for infrastructure. This study employs a descriptive qualitative study, and. the primary data collection instruments were in the form of observations and interviews, as well as documentation as a secondary data collection instrument. Participants were selected using a purposive sampling technique and they were from five inclusive schools in the province of South Kalimantan. The data analysis technique uses content analysis. The results of the study show that Era of Society 5.0 is in line with the development of inclusive education learning designs and is relevant to the Indonesian national education system which includes standard processes, standards for educators, and standards for infrastructure.","container-title":"Social Sciences","DOI":"10.3390/socsci12010035","ISSN":"2076-0760","issue":"1","language":"en","license":"http://creativecommons.org/licenses/by/3.0/","note":"number: 1\npublisher: Multidisciplinary Digital Publishing Institute","page":"35","source":"www.mdpi.com","title":"Development of Inclusive Education Learning Design in the Era of Society 5.0","volume":"12","author":[{"family":"Mansur","given":"Hamsi"},{"family":"Utama","given":"Agus Hadi"},{"family":"Mohd Yasin","given":"Mohd Hanafi"},{"family":"Sari","given":"Nina Permata"},{"family":"Jamaludin","given":"Khairul Azhar"},{"family":"Pinandhita","given":"Fitra"}],"issued":{"date-parts":[["2023",1]]}}}],"schema":"https://github.com/citation-style-language/schema/raw/master/csl-citation.json"}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(Elvira et al., 2024; Mansur et al., 2023)</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Through the four components above, the government's hopes of implementing equitable, inclusive education can be carried out properly.</w:t>
      </w:r>
    </w:p>
    <w:p w14:paraId="32EC880F" w14:textId="77777777" w:rsidR="00436963" w:rsidRPr="008A2FA0" w:rsidRDefault="00436963" w:rsidP="00112CC2">
      <w:pPr>
        <w:spacing w:before="120" w:after="120"/>
        <w:ind w:left="440" w:right="-1" w:hanging="14"/>
        <w:jc w:val="both"/>
        <w:rPr>
          <w:rFonts w:ascii="Calibri Light" w:hAnsi="Calibri Light" w:cs="Calibri Light"/>
          <w:sz w:val="24"/>
          <w:szCs w:val="24"/>
        </w:rPr>
      </w:pPr>
      <w:r w:rsidRPr="008A2FA0">
        <w:rPr>
          <w:rFonts w:ascii="Calibri Light" w:hAnsi="Calibri Light" w:cs="Calibri Light"/>
          <w:sz w:val="24"/>
          <w:szCs w:val="24"/>
        </w:rPr>
        <w:t xml:space="preserve">As for several legal stages that are running in Indonesia regarding inclusive education, starting from First Law No. 20 of 2003 concerning a fair national education system and recognizing that education is a right for all Indonesian people, </w:t>
      </w:r>
      <w:proofErr w:type="spellStart"/>
      <w:r w:rsidRPr="008A2FA0">
        <w:rPr>
          <w:rFonts w:ascii="Calibri Light" w:hAnsi="Calibri Light" w:cs="Calibri Light"/>
          <w:sz w:val="24"/>
          <w:szCs w:val="24"/>
        </w:rPr>
        <w:t>Kawuryan</w:t>
      </w:r>
      <w:proofErr w:type="spellEnd"/>
      <w:r w:rsidRPr="008A2FA0">
        <w:rPr>
          <w:rFonts w:ascii="Calibri Light" w:hAnsi="Calibri Light" w:cs="Calibri Light"/>
          <w:sz w:val="24"/>
          <w:szCs w:val="24"/>
        </w:rPr>
        <w:t xml:space="preserve"> et al. noted that education in Indonesia as stated in Law No. 20 of 2003 guarantees equality of education with equal access without exception in urban or rural schools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{"citationID":"iCtjeYwF","properties":{"formattedCitation":"(Kawuryan et al., 2021; Supianto et al., 2024)","plainCitation":"(Kawuryan et al., 2021; Supianto et al., 2024)","noteIndex":0},"citationItems":[{"id":44657,"uris":["http://zotero.org/users/7621732/items/JPEUUULZ"],"itemData":{"id":44657,"type":"article-journal","abstract":"Tercapainya kesempatan belajar yang sama bagi semua siswa merupakan tujuan kebijakan utama di semua negara. Semua anak memiliki kesempatan untuk memperoleh pendidikan yang bermutu tinggi. Guru menjadi elemen kunci dalam peningkatan mutu pendidikan dasar dan menengah Tulisan ini disusun berdasarkan informasi data sekunder yang dihimpun dari berbagai sumber, yaitu dokumen kebijakan yang relevan dengan topik penelitian yang masih berlaku di Indonesia, artikel jurnal nasional yang terbit mulai tahun 2010-2020, laporan dari berbagai organisasi pemerintah, yaitu Badan Pusat Statistik dan Kementerian Pendidikan dan Kebudayaan, laporan organisasi internasional, yaitu Worldbank dan UNESCO, surat kabar nasional dan lokal yang terbit mulai tahun 2015-2020, serta situs web. Data-data tersebut ditriangulasi, diteliti, dan dicari bukti-bukti pendukungnya untuk meningkatkan keakuratan penelitian. Secara nasional, kesetaraan pendidikan di Indonesia yang diukur dengan perluasan akses, pemerataan akses, dan pembelajaran bermutu menunjukkan hasil yang menggembirakan, hanya terjadi sedikit ketimpangan antara sekolah di perkotaan dan di pedesaan.","container-title":"International Journal of Instruction","ISSN":"1694-609X","issue":"2","language":"en","note":"publisher: Gate Association for Teaching and Education\nERIC Number: EJ1291222","page":"811-830","source":"ERIC","title":"Teachers Quality and Educational Equality Achievements in Indonesia","volume":"14","author":[{"family":"Kawuryan","given":"Sekar Purbarini"},{"family":"Sayuti","given":"Suminto A."},{"family":"Aman","given":""},{"family":"Dwiningrum","given":"Siti Irene Astuti"}],"issued":{"date-parts":[["2021",4]]}}},{"id":44659,"uris":["http://zotero.org/users/7621732/items/H6ZDJ2M5"],"itemData":{"id":44659,"type":"article-journal","abstract":"Education constitutes a fundamental right for all individuals, irrespective of gender. Despite this, gender-based educational disparities persist globally. This study conducts a comparative analysis of inclusive education programs for women in Indonesia and Malaysia, aiming to elucidate gender challenges in educational access and participation. Employing a qualitative methodology and comparative analysis, this research scrutinizes inclusive policies and initiatives within these nations, delineating their distinctions and commonalities. Data were collected through document reviews, observations, and interviews and subsequently subjected to comparative descriptive analysis. The findings reveal both countries' dedication to enhancing female educational participation. Nonetheless, obstacles such as restricted rural educational access, prevalent gender stereotypes in certain academic disciplines, discrepancies in STEM proficiency, and economic constraints continue to impede progress. To surmount these gender challenges in education, it is imperative to eradicate gender stereotypes, fortify gender-specific policies, broaden educational access, and provide tailored support for women with unique needs. Through collaborative efforts across multiple stakeholders, this study advocates for the establishment of an inclusive, equitable, and gender-fair educational milieu.","container-title":"AL-ISHLAH: Jurnal Pendidikan","DOI":"10.35445/alishlah.v16i2.4477","ISSN":"2597-940X","issue":"2","language":"en","license":"Copyright (c) 2024 Sri Marmoah, Jenny Indrastoeti Siti Poerwanti, Siti Istiyati, Hasan Mahfud, Sukarno Sukarno","note":"number: 2","page":"681-691","source":"journal.staihubbulwathan.id","title":"Comparative Study of Inclusive Education Programs for Women in Indonesia and Malaysia","volume":"16","author":[{"family":"Supianto","given":"Supianto"},{"family":"Marmoah","given":"Sri"},{"family":"Poerwanti","given":"Jenny Indrastoeti Siti"},{"family":"Istiyati","given":"Siti"},{"family":"Sukarno","given":"Sukarno"},{"family":"Mahfud","given":"Hasan"}],"issued":{"date-parts":[["2024",4,4]]}}}],"schema":"https://github.com/citation-style-language/schema/raw/master/csl-citation.json"}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(Kawuryan et al., 2021; Supianto et al., 2024)</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w:t>
      </w:r>
      <w:r w:rsidRPr="008A2FA0">
        <w:rPr>
          <w:rFonts w:ascii="Calibri Light" w:hAnsi="Calibri Light" w:cs="Calibri Light"/>
          <w:sz w:val="24"/>
          <w:szCs w:val="24"/>
        </w:rPr>
        <w:t xml:space="preserve"> Second, Law No. 8 of 2016 regulations for people with disabilities. Nurdin et al. also stated that the birth of this law is proof of legal justice for people with disabilities regarding their rights so that they do not receive discriminatory treatment, especially in obtaining an education</w:t>
      </w:r>
      <w:r w:rsidR="008A2FA0" w:rsidRPr="008A2FA0">
        <w:rPr>
          <w:rFonts w:ascii="Calibri Light" w:hAnsi="Calibri Light" w:cs="Calibri Light"/>
          <w:sz w:val="24"/>
          <w:szCs w:val="24"/>
        </w:rPr>
        <w:t xml:space="preserve">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{"citationID":"RzIR2A7l","properties":{"formattedCitation":"(Nurdin, 2022; Qamariyanti et al., 2024)","plainCitation":"(Nurdin, 2022; Qamariyanti et al., 2024)","noteIndex":0},"citationItems":[{"id":44663,"uris":["http://zotero.org/users/7621732/items/W9QLKA62"],"itemData":{"id":44663,"type":"article-journal","abstract":"As citizens of Indonesia, persons with disabilities constitutionally have the same rights and positions before the law and the government. The state should be directly involved in people's welfare efforts, such as directly providing various forms of basic services, such as education services. The 1945 Constitution guarantees in each of its articles that every citizen has the right to get facilities and special treatment to obtain equal opportunities and benefits in order to achieve equality and justice, so that welfare will be formed for all citizens, have the right to protection from violence and discrimination. . Law Number 8 of 2016 concerning Persons with Disabilities regulates the right to education for persons with disabilities, providing an understanding that Persons with Disabilities need certain treatment, certain treatments, certain facilities, which are then tried to be explained and regulated further in the Law This basically refers to the Convention On The Rights Of Persons with Disabilities which has been ratified in Law Number 19 of 2011.","container-title":"LEGAL BRIEF","ISSN":"2722-4643","issue":"2","language":"en","license":"Copyright (c) 2022 LEGAL BRIEF","note":"number: 2","page":"861-872","source":"www.legal.isha.or.id","title":"Regulation of the Education Rights of Persons with Disabilities in Law Number 8 of 2016 concerning Persons with Disabilities","volume":"11","author":[{"family":"Nurdin","given":"Maharani"}],"issued":{"date-parts":[["2022",4,22]]}}},{"id":44661,"uris":["http://zotero.org/users/7621732/items/55WB2DUJ"],"itemData":{"id":44661,"type":"article-journal","abstract":"Every individual has equal human rights, without discrimination based on physical differences, skin color, race, ethnicity, or beliefs. This also applies to persons with disabilities who have the right to equal treatment. However, persons with disabilities often face discrimination, especially in obtaining employment. Law Number 8 of 2016 on Persons with Disabilities provides legal guarantees for persons with disabilities to obtain protection and fulfillment of their rights. Nevertheless, the implementation of these rights is still not optimal. This study uses a normative method with a statutory approach to analyze the legal protection for persons with disabilities from violence, exploitation, and in terms of employment. The results show that although there is a strong legal basis, its implementation still faces various challenges, such as social stigma, weak law enforcement, and lack of accessibility. Therefore, further efforts are needed to overcome these obstacles to effectively realize legal protection for persons with disabilities.","container-title":"Strata Law Review","DOI":"10.59631/slr.v2i2.232","ISSN":"2986-8114","issue":"2","language":"id","license":"Copyright (c) 2024","note":"number: 2","page":"117-126","source":"journals.stratapersada.com","title":"The Role of Law in Protecting the Rights of Persons with Disabilities","volume":"2","author":[{"family":"Qamariyanti","given":"Yulia"},{"family":"Al-Ghifari","given":"Muhammad Farhan"},{"family":"Farghana","given":"Nur Muhammad Zulyan Farghana"},{"family":"Kasehung","given":"Gloria Stefanna"},{"family":"Irfan","given":"Muhammad"},{"family":"Jannati","given":"Fia"},{"family":"Farizi","given":"Muhammad Refi Al"},{"family":"Zaidir","given":"Firman Dzakir"}],"issued":{"date-parts":[["2024",9,30]]}}}],"schema":"https://github.com/citation-style-language/schema/raw/master/csl-citation.json"}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(Nurdin, 2022; Qamariyanti et al., 2024)</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w:t>
      </w:r>
      <w:r w:rsidRPr="008A2FA0">
        <w:rPr>
          <w:rFonts w:ascii="Calibri Light" w:hAnsi="Calibri Light" w:cs="Calibri Light"/>
          <w:sz w:val="24"/>
          <w:szCs w:val="24"/>
        </w:rPr>
        <w:t xml:space="preserve"> In terms of policy, it already exists in the Minister of National Education Regulation No. 70 of 2009 regulates Inclusive Education for all children; this condition is relevant to the existence of children with special needs with an increasing trend every year</w:t>
      </w:r>
      <w:r w:rsidR="008A2FA0" w:rsidRPr="008A2FA0">
        <w:rPr>
          <w:rFonts w:ascii="Calibri Light" w:hAnsi="Calibri Light" w:cs="Calibri Light"/>
          <w:sz w:val="24"/>
          <w:szCs w:val="24"/>
        </w:rPr>
        <w:t xml:space="preserve">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{"citationID":"ExHjTSDk","properties":{"formattedCitation":"(Efendi, 2018; Efendi et al., 2022)","plainCitation":"(Efendi, 2018; Efendi et al., 2022)","noteIndex":0},"citationItems":[{"id":44665,"uris":["http://zotero.org/users/7621732/items/4ARMKZ32"],"itemData":{"id":44665,"type":"article-journal","container-title":"Journal of ICSAR","issue":"2","page":"142–147","source":"Google Scholar","title":"The implementation of inclusive education in Indonesia for children with special needs: Expectation and reality","title-short":"The implementation of inclusive education in Indonesia for children with special needs","volume":"2","author":[{"family":"Efendi","given":"Mohammad"}],"issued":{"date-parts":[["2018"]]}}},{"id":44673,"uris":["http://zotero.org/users/7621732/items/XF5R4HRF"],"itemData":{"id":44673,"type":"article-journal","abstract":"The objective of the current study is to evaluate inclusive education services in public schools following the issuance of central and local government policies in Indonesia regarding the implementation of inclusive education. This study collected data from 47 teachers' public schools in four cities (Malang, Batu, Solo, Boyolali) in Indonesia through questionnaires and interviews about their perception, identification, curriculum, academic staff, and management in inclusive education. Based on the results and discussions of the current study, it is concluded that the implementation of inclusive education showed a tendency towards a positive direction, especially agreement on the school administration, the provision of student education development records, the use of assessment results for modification of curriculum and learning. However, gradually improvements need to be made to create an inclusive environment, including increasing teachers understanding of the meaning of inclusive, completing student's documentation of developmental records, gathering and evaluating pre-learning according to student characteristics, providing personnel and infrastructure according to the needs of developing the interests and talents of children with needs special needs.","container-title":"International Journal of Instruction","ISSN":"1694-609X","issue":"2","language":"en","note":"publisher: Gate Association for Teaching and Education\nERIC Number: EJ1341764","page":"967-980","source":"ERIC","title":"Inclusive Education for Student with Special Needs at Indonesian Public Schools","volume":"15","author":[{"family":"Efendi","given":"Mohammad"},{"family":"Pradipta","given":"Rizqi Fajar"},{"family":"Dewantoro","given":"Dimas Arif"},{"family":"Ummah","given":"Umi Safiul"},{"family":"Ediyanto","given":"Ediyanto"},{"family":"Yasin","given":"Mohd Hanafi Mohd"}],"issued":{"date-parts":[["2022",4]]}}}],"schema":"https://github.com/citation-style-language/schema/raw/master/csl-citation.json"}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(Efendi, 2018; Efendi et al., 2022)</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w:t>
      </w:r>
      <w:r w:rsidRPr="008A2FA0">
        <w:rPr>
          <w:rFonts w:ascii="Calibri Light" w:hAnsi="Calibri Light" w:cs="Calibri Light"/>
          <w:sz w:val="24"/>
          <w:szCs w:val="24"/>
        </w:rPr>
        <w:t xml:space="preserve"> so that in the Minister of National Education Regulation No. 70 of 2009 it further strengthens the implementation of Inclusive Education starting from the objectives of Education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{"citationID":"vKaTiVxd","properties":{"formattedCitation":"(Yusuf &amp; Yeager, 2011)","plainCitation":"(Yusuf &amp; Yeager, 2011)","noteIndex":0},"citationItems":[{"id":44667,"uris":["http://zotero.org/users/7621732/items/WZUSGA2S"],"itemData":{"id":44667,"type":"article-journal","container-title":"Excellence in Higher Education","issue":"1","page":"1–10","source":"Google Scholar","title":"The implementation of inclusive education for students with special needs in Indonesia","volume":"2","author":[{"family":"Yusuf","given":"Mucawir"},{"family":"Yeager","given":"John L."}],"issued":{"date-parts":[["2011"]]}}}],"schema":"https://github.com/citation-style-language/schema/raw/master/csl-citation.json"}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(Yusuf &amp; Yeager, 2011)</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curriculum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{"citationID":"qG4KDfkM","properties":{"formattedCitation":"(Dewi et al., 2018; Mukminin et al., 2019)","plainCitation":"(Dewi et al., 2018; Mukminin et al., 2019)","noteIndex":0},"citationItems":[{"id":44669,"uris":["http://zotero.org/users/7621732/items/YC563W35"],"itemData":{"id":44669,"type":"article-journal","abstract":"This article discusses quality of sustainable education in Indonesia as developing country by bringing education development case in Tasikmalaya Municipality. As the poorest region in West Java, the complexity of education development couldnt be avoided. Good education plans from central government ain’t guarantee good implementation in local level. Increasing quality of education as goals to create sustainable education not only need good plans and regulations. Implementation is the most important part of creating sustainable education in Indonesia. This research proves that good plans and regulations were not enough to deliver education service standards for community. This research is conducted by qualitative method to describe the education development failure. Tasikmalaya case showed that local government couldn’t provide standard for education service quality as central government created. It reveals that role of local government is important to respond development planning by central government to achieve good quality education as expected. Hence, building capacity of local government can be answer for creating responsive local government.","container-title":"Journal of Social Studies Education Research","ISSN":"1309-9108","issue":"4","journalAbbreviation":"JSSER","language":"scheme=\"ISO639-1\"","note":"number: 4\npublisher: Bülent TARMAN","page":"65-81","source":"dergipark.org.tr","title":"Ensuring Service Quality in Education for Indonesia’s Sustainable Education","volume":"9","author":[{"family":"Dewi","given":"Maya Puspita"},{"family":"Rahmatunnisa","given":"Mudiyati"},{"family":"Sumaryana","given":"Asep"},{"family":"Kristiadi","given":"Jb"}],"issued":{"date-parts":[["2018",10,1]]}}},{"id":44675,"uris":["http://zotero.org/users/7621732/items/DQVJKZVP"],"itemData":{"id":44675,"type":"article-journal","container-title":"CEPS Journal","issue":"2","page":"53–72","source":"Google Scholar","title":"Curriculum reform in Indonesia: Moving from an exclusive to inclusive curriculum","title-short":"Curriculum reform in Indonesia","volume":"9","author":[{"family":"Mukminin","given":"Amirul"},{"family":"Habibi","given":"Akhmad"},{"family":"Prasojo","given":"Lantip Diat"},{"family":"Idi","given":"Abdullah"},{"family":"Hamidah","given":"Afreni"}],"issued":{"date-parts":[["2019"]]}}}],"schema":"https://github.com/citation-style-language/schema/raw/master/csl-citation.json"}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(Dewi et al., 2018; Mukminin et al., 2019)</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materials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{"citationID":"ukiZbFrn","properties":{"formattedCitation":"(Fajarwati, 2017)","plainCitation":"(Fajarwati, 2017)","noteIndex":0},"citationItems":[{"id":44671,"uris":["http://zotero.org/users/7621732/items/5XBH6BY7"],"itemData":{"id":44671,"type":"paper-conference","abstract":"The article entitled Implementation of School Management of Inclusive Education Institutions examines the implementation of school management that provides educational services appropriate to children's learning needs. The school of inclusive education is a manifestation of the implementation of the mandate of Article 5 (1) of the National Education...","DOI":"10.2991/coema-17.2017.15","event-title":"2nd International Conference on Educational Management and Administration (CoEMA 2017)","ISBN":"978-94-6252-378-4","language":"en","note":"ISSN: 2352-5428","page":"85-91","publisher":"Atlantis Press","source":"www.atlantis-press.com","title":"Implementation of School Management Inclusive Education Institutions","URL":"https://www.atlantis-press.com/proceedings/coema-17/25882341","author":[{"family":"Fajarwati","given":"Dian Dian"}],"accessed":{"date-parts":[["2025",3,9]]},"issued":{"date-parts":[["2017",8]]}}}],"schema":"https://github.com/citation-style-language/schema/raw/master/csl-citation.json"}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(Fajarwati, 2017)</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and skills that are by children's needs. In addition, more specifically, regional and local governments also provide regulations on Inclusive Education with the main objective that the implementation process can run optimally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{"citationID":"PPvmVlkk","properties":{"formattedCitation":"(Kustulasari, 2009)","plainCitation":"(Kustulasari, 2009)","noteIndex":0},"citationItems":[{"id":44677,"uris":["http://zotero.org/users/7621732/items/4FEW2778"],"itemData":{"id":44677,"type":"thesis","language":"en","publisher":"The Ohio State University","source":"etd.ohiolink.edu","title":"The International Standard School Project in Indonesia: a Policy Document Analysis","title-short":"The International Standard School Project in Indonesia","URL":"https://etd.ohiolink.edu/acprod/odb_etd/etd/r/1501/10?clear=10&amp;p10_accession_num=osu1242851740","author":[{"family":"Kustulasari","given":"Ag"}],"accessed":{"date-parts":[["2025",3,9]]},"issued":{"date-parts":[["2009"]]}}}],"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(Kustulasari, 2009)</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respect each other and avoid discrimination and stigma </w:t>
      </w:r>
      <w:r w:rsidR="001D68BC">
        <w:rPr>
          <w:rFonts w:ascii="Calibri Light" w:hAnsi="Calibri Light" w:cs="Calibri Light"/>
          <w:sz w:val="24"/>
          <w:szCs w:val="24"/>
        </w:rPr>
        <w:fldChar w:fldCharType="begin"/>
      </w:r>
      <w:r w:rsidR="001D68BC">
        <w:rPr>
          <w:rFonts w:ascii="Calibri Light" w:hAnsi="Calibri Light" w:cs="Calibri Light"/>
          <w:sz w:val="24"/>
          <w:szCs w:val="24"/>
        </w:rPr>
        <w:instrText xml:space="preserve"> ADDIN ZOTERO_ITEM CSL_CITATION {"citationID":"K2UwyiFm","properties":{"formattedCitation":"(Rasmitadila et al., 2021)","plainCitation":"(Rasmitadila et al., 2021)","noteIndex":0},"citationItems":[{"id":44679,"uris":["http://zotero.org/users/7621732/items/P6KNBP8V"],"itemData":{"id":44679,"type":"article-journal","container-title":"International Journal of Special Education","DOI":"10.52291/ijse.2021.36.18","ISSN":"1917-7844","issue":"2","language":"en","page":"53-65","source":"internationalsped.com","title":"Teacher Perceptions of University Mentoring Programs Planning for Inclusive Elementary Schools: A Case Study in Indonesia","title-short":"Teacher Perceptions of University Mentoring Programs Planning for Inclusive Elementary Schools","volume":"36","author":[{"family":"Rasmitadila","given":""},{"family":"Humaira","given":"Megan Asri"},{"family":"Rachmadtullah","given":"Reza"},{"family":"Sesrita","given":"Afrida"},{"family":"Laeli","given":"Sobrul"},{"family":"Muhdiyati","given":"Iyon"},{"family":"Firmansyah","given":"Wilis"}],"issued":{"date-parts":[["2021"]]}}}],"schema":"https://github.com/citation-style-language/schema/raw/master/csl-citation.json"} </w:instrText>
      </w:r>
      <w:r w:rsidR="001D68BC">
        <w:rPr>
          <w:rFonts w:ascii="Calibri Light" w:hAnsi="Calibri Light" w:cs="Calibri Light"/>
          <w:sz w:val="24"/>
          <w:szCs w:val="24"/>
        </w:rPr>
        <w:fldChar w:fldCharType="separate"/>
      </w:r>
      <w:r w:rsidR="008A2FA0" w:rsidRPr="008A2FA0">
        <w:rPr>
          <w:rFonts w:ascii="Calibri Light" w:hAnsi="Calibri Light" w:cs="Calibri Light"/>
          <w:sz w:val="24"/>
          <w:szCs w:val="24"/>
        </w:rPr>
        <w:t>(Rasmitadila et al., 2021)</w:t>
      </w:r>
      <w:r w:rsidR="001D68BC">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so that educational opportunities are shared in a diverse space.</w:t>
      </w:r>
    </w:p>
    <w:p w14:paraId="372C7081" w14:textId="77777777" w:rsidR="00112CC2" w:rsidRPr="008A2FA0" w:rsidRDefault="00436963" w:rsidP="00112CC2">
      <w:pPr>
        <w:spacing w:before="120" w:after="120"/>
        <w:ind w:left="440" w:right="-1" w:hanging="14"/>
        <w:jc w:val="both"/>
        <w:rPr>
          <w:rFonts w:ascii="Calibri Light" w:hAnsi="Calibri Light" w:cs="Calibri Light"/>
          <w:sz w:val="24"/>
          <w:szCs w:val="24"/>
        </w:rPr>
      </w:pPr>
      <w:r w:rsidRPr="008A2FA0">
        <w:rPr>
          <w:rFonts w:ascii="Calibri Light" w:hAnsi="Calibri Light" w:cs="Calibri Light"/>
          <w:sz w:val="24"/>
          <w:szCs w:val="24"/>
        </w:rPr>
        <w:t xml:space="preserve">Indonesia's legal and policy structures are more established than other countries. Only the Finnish system is superior as the best country in inclusive education, as Finnish data legally inclusive education has been in effect since 1998 written in the Basic Education Act 1998 and the Non-Discrimination Act 2014, which in terms of implementation Finland is much more consistent than other countries that produced inclusive education laws earlier. Wolff et al. stated that Finland's success is not only based on binding laws and policies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{"citationID":"dyjkJ06u","properties":{"formattedCitation":"(Wolff et al., 2021)","plainCitation":"(Wolff et al., 2021)","noteIndex":0},"citationItems":[{"id":44681,"uris":["http://zotero.org/users/7621732/items/EAG4FUZM"],"itemData":{"id":44681,"type":"article-journal","abstract":"AbstrakTinjauan ini menyelidiki bagaimana bidang ilmiah, tema, dan konsep 'pendidikan inklusif' diterapkan dalam konteks penelitian dan pendidikan di Finlandia, Islandia, dan Belanda. Tinjauan ini mengidentifikasi dan menguraikan bidang tematik penelitian dan subbidang studi mana yang dirujuk di setiap negara dengan menerapkan pendekatan multibahasa yang sistematis. Kami meninjau literatur dalam bahasa lokal di masing-masing negara ini selama dekade terakhir, dari 2007 hingga 2018, dengan memberikan perhatian khusus pada (a) interaksi kelas yang mendalam dan mikro; (b) konteks sosial dan politik; dan (c) kategori sosial. Hasil tinjauan ini menekankan bahwa di ketiga negara (a) ada konseptualisasi pendidikan inklusif yang serupa yang didominasi oleh kategori disabilitas dan kebutuhan khusus, dan (b) ada kurangnya perhatian yang serupa terhadap cara-cara pengucilan berdasarkan kelas sosial, gender, etnis, dan geografi serta bagaimana hal ini dapat diatasi dengan penelitian yang lebih maju tentang pendidikan inklusif di lingkungan lokal ini.","container-title":"Research in Comparative and International Education","DOI":"10.1177/1745499921991958","ISSN":"1745-4999","issue":"1","language":"en","note":"publisher: SAGE Publications","page":"3-21","source":"SAGE Journals","title":"Inclusive education in the diversifying environments of Finland, Iceland and the Netherlands: A multilingual systematic review","title-short":"Inclusive education in the diversifying environments of Finland, Iceland and the Netherlands","volume":"16","author":[{"family":"Wolff","given":"Charlotte E."},{"family":"Huilla","given":"Heidi"},{"family":"Tzaninis","given":"Yannis"},{"family":"Magnúsdóttir","given":"Berglind Rós"},{"family":"Lappalainen","given":"Sirpa"},{"family":"Paulle","given":"Bowen"},{"family":"Seppänen","given":"Piia"},{"family":"Kosunen","given":"Sonja"}],"issued":{"date-parts":[["2021",3,1]]}}}],"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(Wolff et al., 2021)</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However, Finland, in practice, is supported by the culture of the wider community and complete facilities and infrastructure for children with special needs. Without exception, early childhood education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{"citationID":"ohaG4ihT","properties":{"formattedCitation":"(Pihlaja, 2022)","plainCitation":"(Pihlaja, 2022)","noteIndex":0},"citationItems":[{"id":44683,"uris":["http://zotero.org/users/7621732/items/JAQBBGUS"],"itemData":{"id":44683,"type":"chapter","abstract":"This paper examines Finnish early childhood special education (ECSE) and how it has been evolving in Finland. The Finnish early childhood education (ECE) provides the context for ECSE. The aim is to study ECSE at the policy, macro-and meso levels; in this case, educational practices in child groups are excluded. The aim is to discuss how the state has guided and how municipalities have implemented ECSE. The material in this study comprises policy-level documents, such as legislation, circulars, or guidelines. This paper overviews a subject concerning which studies are almost non-existent in Finland. The method relies on qualitative content and document analyses. Results are discussed together with ideas on how to further develop this area in Finnish early education.","container-title":"Special Education in the Early Years: Perspectives on Policy and Practice in the Nordic Countries","event-place":"Cham","ISBN":"978-3-030-91297-0","language":"en","note":"DOI: 10.1007/978-3-030-91297-0_2","page":"13-30","publisher":"Springer International Publishing","publisher-place":"Cham","source":"Springer Link","title":"Early Childhood Special Education in Finland","URL":"https://doi.org/10.1007/978-3-030-91297-0_2","author":[{"family":"Pihlaja","given":"Päivi"}],"editor":[{"family":"Harju-Luukkainen","given":"Heidi"},{"family":"Hanssen","given":"Natallia Bahdanovich"},{"family":"Sundqvist","given":"Christel"}],"accessed":{"date-parts":[["2025",3,9]]},"issued":{"date-parts":[["2022"]]}}}],"schema":"https://github.com/citation-style-language/schema/raw/master/csl-citation.json"}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(Pihlaja, 2022)</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in Finland has eliminated special schools because all students study in regular (inclusive) schools.</w:t>
      </w:r>
    </w:p>
    <w:p w14:paraId="3EE4E286" w14:textId="77777777" w:rsidR="00FC41C6" w:rsidRPr="008A2FA0" w:rsidRDefault="00436963" w:rsidP="00FC41C6">
      <w:pPr>
        <w:spacing w:before="120" w:after="120"/>
        <w:ind w:left="440" w:right="-1" w:hanging="14"/>
        <w:jc w:val="both"/>
        <w:rPr>
          <w:rFonts w:ascii="Calibri Light" w:hAnsi="Calibri Light" w:cs="Calibri Light"/>
          <w:sz w:val="24"/>
          <w:szCs w:val="24"/>
        </w:rPr>
      </w:pPr>
      <w:r w:rsidRPr="008A2FA0">
        <w:rPr>
          <w:rFonts w:ascii="Calibri Light" w:hAnsi="Calibri Light" w:cs="Calibri Light"/>
          <w:sz w:val="24"/>
          <w:szCs w:val="24"/>
        </w:rPr>
        <w:t xml:space="preserve">Meanwhile, in Japan, which regulates inclusive education in the Fundamental Law of Education 1947 (revised 2006), the School Education Law 1947 (revised 2007) is still transitioning towards inclusive education and reducing special schools. </w:t>
      </w:r>
      <w:proofErr w:type="spellStart"/>
      <w:r w:rsidRPr="008A2FA0">
        <w:rPr>
          <w:rFonts w:ascii="Calibri Light" w:hAnsi="Calibri Light" w:cs="Calibri Light"/>
          <w:sz w:val="24"/>
          <w:szCs w:val="24"/>
        </w:rPr>
        <w:t>Dyliaeva</w:t>
      </w:r>
      <w:proofErr w:type="spellEnd"/>
      <w:r w:rsidRPr="008A2FA0">
        <w:rPr>
          <w:rFonts w:ascii="Calibri Light" w:hAnsi="Calibri Light" w:cs="Calibri Light"/>
          <w:sz w:val="24"/>
          <w:szCs w:val="24"/>
        </w:rPr>
        <w:t xml:space="preserve"> et al. revealed that inclusive education still experiences many contradictions in the implementation process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{"citationID":"HOebFedc","properties":{"formattedCitation":"(Dyliaeva et al., 2024)","plainCitation":"(Dyliaeva et al., 2024)","noteIndex":0},"citationItems":[{"id":44687,"uris":["http://zotero.org/users/7621732/items/3K22UERI"],"itemData":{"id":44687,"type":"article-journal","container-title":"Higher Learning Research Communications","DOI":"10.18870/hlrc.v14i1.1453","ISSN":"2157-6254","issue":"1","source":"COinS","title":"Challenges to Inclusive Education for Students With Disabilities in Japanese Higher Education Institutions","URL":"https://scholarworks.waldenu.edu/hlrc/vol14/iss1/1","volume":"14","author":[{"family":"Dyliaeva","given":"Karina"},{"family":"Rothman","given":"Steven"},{"family":"Ghotbi","given":"Nader"}],"issued":{"date-parts":[["2024",2,26]]}}}],"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(Dyliaeva et al., 2024)</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because before the regulations were </w:t>
      </w:r>
      <w:r w:rsidRPr="008A2FA0">
        <w:rPr>
          <w:rFonts w:ascii="Calibri Light" w:hAnsi="Calibri Light" w:cs="Calibri Light"/>
          <w:sz w:val="24"/>
          <w:szCs w:val="24"/>
        </w:rPr>
        <w:lastRenderedPageBreak/>
        <w:t xml:space="preserve">revised, Japan separated children with special needs from normal children. So that service providers and facilities still need improvement. Meanwhile, </w:t>
      </w:r>
      <w:commentRangeStart w:id="14"/>
      <w:r w:rsidRPr="008A2FA0">
        <w:rPr>
          <w:rFonts w:ascii="Calibri Light" w:hAnsi="Calibri Light" w:cs="Calibri Light"/>
          <w:sz w:val="24"/>
          <w:szCs w:val="24"/>
        </w:rPr>
        <w:t>in Malaysia</w:t>
      </w:r>
      <w:commentRangeEnd w:id="14"/>
      <w:r w:rsidR="00815905">
        <w:rPr>
          <w:rStyle w:val="CommentReference"/>
        </w:rPr>
        <w:commentReference w:id="14"/>
      </w:r>
      <w:r w:rsidRPr="008A2FA0">
        <w:rPr>
          <w:rFonts w:ascii="Calibri Light" w:hAnsi="Calibri Light" w:cs="Calibri Light"/>
          <w:sz w:val="24"/>
          <w:szCs w:val="24"/>
        </w:rPr>
        <w:t xml:space="preserve">, legal regulations were born in 1996, the Education Act 1996 and the Persons with Disabilities Act 2008, through the Zero Reject Policy concept, which was initiated in 2019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{"citationID":"mKg503tT","properties":{"formattedCitation":"(Chin, 2023; Ensimau et al., 2022)","plainCitation":"(Chin, 2023; Ensimau et al., 2022)","noteIndex":0},"citationItems":[{"id":44690,"uris":["http://zotero.org/users/7621732/items/77AP34IF"],"itemData":{"id":44690,"type":"article-journal","abstract":"The recent introduction of the Zero Reject policy in Malaysia signals a historical shift towards a more inclusive educational environment and a point of departure from the previous inclusive education policy. Based on this context, this article examines the influence of wider policies, both international and national, on the development of Malaysia’s Zero Reject policy. It does so by firstly historically locating the Zero Reject policy within the international and national policy landscape and then by examining how the notion of inclusive education has been interpreted in the Zero Reject policy. The findings revealed that there appears to be a combination of the medical and rights-based discourses in the Zero Reject policy. In moving forward, this article suggests researchers examine the enactment of the Zero Reject policy at various implementation levels which may shed light on the effectiveness of the inclusive education policy in Malaysia. In addition, a recommendation to recognise children from other groups of disabilities in future education policies in Malaysia is made so as to achieve inclusion and participation for all children with disabilities.","container-title":"International Journal of Inclusive Education","DOI":"10.1080/13603116.2020.1846800","ISSN":"1360-3116","issue":"4","note":"publisher: Routledge\n_eprint: https://doi.org/10.1080/13603116.2020.1846800","page":"526-540","source":"Taylor and Francis+NEJM","title":"The Zero Reject policy: a way forward for inclusive education in Malaysia?","title-short":"The Zero Reject policy","volume":"27","author":[{"family":"Chin","given":"Mellisa"}],"issued":{"date-parts":[["2023",3,21]]}}},{"id":44691,"uris":["http://zotero.org/users/7621732/items/AIRWLHA9"],"itemData":{"id":44691,"type":"paper-conference","abstract":"Zero reject policy (ZRP) was policy introduced by Ministery of Education in Malaysia, December 2018 purposely to adhance the implementation of Education For All Policy in Malaysia. This concept paper objective is to identify the factor that should be considerate in order to implement ZRP. The resercher used document analysis from previous research....","DOI":"10.2991/978-2-494069-33-6_2","event-title":"3rd Progress in Social Science, Humanities and Education Research Symposium (PSSHERS 2021)","ISBN":"978-2-494069-33-6","language":"en","note":"ISSN: 2352-5398","page":"3-14","publisher":"Atlantis Press","source":"www.atlantis-press.com","title":"Zero Reject Policy: A New Pathway of Inclusive Education in Malaysia","title-short":"Zero Reject Policy","URL":"https://www.atlantis-press.com/proceedings/psshers-21/125979407","author":[{"family":"Ensimau","given":"Nur Kamariah"},{"family":"Hamzah","given":"Mohd Isa"},{"family":"Yassin","given":"Mohd Hanafi Mohd"}],"accessed":{"date-parts":[["2025",3,9]]},"issued":{"date-parts":[["2022",12,22]]}}}],"schema":"https://github.com/citation-style-language/schema/raw/master/csl-citation.json"}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(Chin, 2023; Ensimau et al., 2022)</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namely a program prohibiting schools from rejecting students with special needs. So, public schools in Malaysia are required to accept students without discrimination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{"citationID":"SLMjyVsU","properties":{"formattedCitation":"(Loganathan et al., 2022)","plainCitation":"(Loganathan et al., 2022)","noteIndex":0},"citationItems":[{"id":44693,"uris":["http://zotero.org/users/7621732/items/CYUU7KGQ"],"itemData":{"id":44693,"type":"article-journal","abstract":"Education is a fundamental human right. Yet there remain gaps in our understanding of undocumented children in Malaysia and their vulnerabilities in education access. This study aims to describe and contextualise undocumented children in Malaysia and their access to education. We conducted a desk review and in-depth interviews with 33 key stakeholders from June 2020 to March 2021. Framework analysis was conducted. Salient themes were geographical location and legal identity in terms of citizenship and migration status. We found that the lack of legal identity and non-recognition by the State was the root cause of vulnerability, experienced uniformly by undocumented populations in Malaysia. Only undocumented children with Malaysian parents or guardians can enter public schools under the Malaysian government’s ‘Zero Reject Policy’. Most undocumented and non-citizen children must rely on informal education provided by alternative or community learning centres that typically lack standardised curricula, resources, and accreditation for education progression beyond primary levels. Nevertheless, as non-citizen groups are diverse, certain groups experience more privilege, while others are more disadvantaged in terms of the quality of informal education and the highest level of education accessible. In Peninsular Malaysia, a very small proportion of refugees and asylum-seekers may additionally access tertiary education on scholarships. In Sabah, children of Indonesian migrant workers have access to learning centres with academic accreditation supported by employers in plantations and the Indonesian Consulate, whereas Filipino migrants who were initially recognised as refugees are now receiving little government or embassy support. Stateless Rohingya refugees in Peninsular Malaysia and Bajau Laut children at Sabah are arguably the most marginalised and have the poorest educational opportunities at basic literacy and numeracy levels, despite the latter receiving minimal governmental education support. Implementing a rights-based approach towards education would mean allowing all children equal opportunity to access and thrive in high-quality schools.","container-title":"PLOS ONE","DOI":"10.1371/journal.pone.0263404","ISSN":"1932-6203","issue":"2","journalAbbreviation":"PLOS ONE","language":"en","note":"publisher: Public Library of Science","page":"e0263404","source":"PLoS Journals","title":"Undocumented: An examination of legal identity and education provision for children in Malaysia","title-short":"Undocumented","volume":"17","author":[{"family":"Loganathan","given":"Tharani"},{"family":"Chan","given":"Zhie X."},{"family":"Hassan","given":"Fikri"},{"family":"Ong","given":"Zhen Ling"},{"family":"Majid","given":"Hazreen Abdul"}],"issued":{"date-parts":[["2022",2,2]]}}}],"schema":"https://github.com/citation-style-language/schema/raw/master/csl-citation.json"}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(Loganathan et al., 2022)</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Meanwhile, Vietnam only enacted the Inclusive Education law in 2005, through the Education Law 2005 and the Law on Persons with Disabilities 2010 regulations. However, regarding implementation, Vietnam still experiences segregation, especially in resources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{"citationID":"YsMcKoS9","properties":{"formattedCitation":"(Villa et al., 2003)","plainCitation":"(Villa et al., 2003)","noteIndex":0},"citationItems":[{"id":44697,"uris":["http://zotero.org/users/7621732/items/NLC62G59"],"itemData":{"id":44697,"type":"article-journal","abstract":"This article traces the evolution of special education policies and services and the introduction of inclusive education as a service delivery model in Viet Nam. The impact of a series of inclusion initiation projects and resultant goals of the Ministry of Education and Training to expand inclusive education nationally are described along with the existing barriers to change and a proposed systems change model for facilitating the ongoing expansion of inclusive education throughout the country.","container-title":"Research and Practice for Persons with Severe Disabilities","DOI":"10.2511/rpsd.28.1.23","ISSN":"1540-7969","issue":"1","language":"en","note":"publisher: SAGE Publications Inc","page":"23-32","source":"SAGE Journals","title":"Inclusion in Viet Nam: More Than a Decade of Implementation","title-short":"Inclusion in Viet Nam","volume":"28","author":[{"family":"Villa","given":"Richard A."},{"family":"Van Tac","given":"Le"},{"family":"Muc","given":"Pham Minh"},{"family":"Ryan","given":"Susan"},{"family":"Thuy","given":"Nguyen Thi Minh"},{"family":"Weill","given":"Cindy"},{"family":"Thousand","given":"Jacqueline S."}],"issued":{"date-parts":[["2003",3,1]]}}}],"schema":"https://github.com/citation-style-language/schema/raw/master/csl-citation.json"}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(Villa et al., 2003)</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and facilities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{"citationID":"JeAguDzG","properties":{"formattedCitation":"(Tran et al., 2020)","plainCitation":"(Tran et al., 2020)","noteIndex":0},"citationItems":[{"id":44695,"uris":["http://zotero.org/users/7621732/items/6J2KFQKM"],"itemData":{"id":44695,"type":"article-journal","abstract":"In Vietnam, the number of children identified as experiencing autism spectrum disorder (ASD) has rapidly increased. Inclusive education (IE) has been implemented with children with ASD for more than 20 years. The effectiveness with which IE has been implemented to date with children with ASD has previously not been assessed. In this study, we examined (a) the implementation of IE for children with ASD in elementary schools, (b) family and community participation in IE, and (c) factors affecting IE. A mixed-method research design was employed that included surveys and interviews. Surveys included multiple-choice questions on a broad range of IE practices. Ten professionals, community leaders, and school leaders, 263 teachers, and 114 parents of elementary-age children with ASD in Hanoi and Ha Giang participated in the study. Results revealed there were a number of children with ASD who were not attending elementary school. Where IE was implemented for children with ASD, teachers and families often did not receive adequate training and support, thus discouraging their efforts. Participants expressed a desire for more clearly articulated IE practices, training for teachers and families, and cross-disciplinary collaboration.","container-title":"International Electronic Journal of Elementary Education","ISSN":"1307-9298","issue":"3","language":"en","page":"265-273","source":"www.iejee.com","title":"Inclusive Education for Students with Autism Spectrum Disorder in Elementary Schools in Vietnam: The Current Situation and Solutions","title-short":"Inclusive Education for Students with Autism Spectrum Disorder in Elementary Schools in Vietnam","volume":"12","author":[{"family":"Tran","given":"Cong Van"},{"family":"Pham","given":"Muc Minh"},{"family":"Mai","given":"Phuong Thi"},{"family":"Le","given":"Tam Thi"},{"family":"Nguyen","given":"Dan Trong"}],"issued":{"date-parts":[["2020",1,24]]}}}],"schema":"https://github.com/citation-style-language/schema/raw/master/csl-citation.json"}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(Tran et al., 2020)</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This is different from Myanmar, which was only born in 2014 through the Education Law 2014 and the Child Rights Law 2019, so in terms of space, it is very limited, and there are still many special schools. Tonegawa et al. stated that Myanmar only enforces inclusive education for children with special needs at an early stage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{"citationID":"vXUiP3eH","properties":{"formattedCitation":"(Tonegawa, 2022b)","plainCitation":"(Tonegawa, 2022b)","noteIndex":0},"citationItems":[{"id":44699,"uris":["http://zotero.org/users/7621732/items/H2WSX4X8"],"itemData":{"id":44699,"type":"article-journal","abstract":"Inclusive education is regarded as one of the global agendas of education; in recent years, many countries have implemented an inclusive education policy. This case study aimed to examine the actual practice of inclusive education among children with disabilities today. More specifically, this study analyzed the case of inclusive education for children with visual impairment in Yangon, Myanmar. In Yangon, “a limited inclusive education in phase” allows children with visual impairment to experience both special and regular schools. This study’s findings revealed that the special schools had met the students’ needs with life-skills courses, supplementary study time, and a safe environment. However, there were some challenges, including a lack of communication between the special and regular schools and inadequate bonding between students with and without visual impairment. However, it also suggests the importance of addressing the wider range of needs of students with disabilities for inclusive education. This case in Yangon is considered as a type of inclusive education which utilizes their resources to fit their context.","container-title":"International Journal of Instruction","ISSN":"1308-1470","issue":"1","language":"en","license":"Copyright (c) 2022 International Journal of Instruction","note":"number: 1","page":"365-380","source":"e-iji.net","title":"Contextualization of Inclusive Education: Education for Children with Disabilities in Myanmar","title-short":"Contextualization of Inclusive Education","volume":"15","author":[{"family":"Tonegawa","given":"Yoshiko"}],"issued":{"date-parts":[["2022",1,1]]}}}],"schema":"https://github.com/citation-style-language/schema/raw/master/csl-citation.json"}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(Tonegawa, 2022b)</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such as visual impairments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{"citationID":"a18pLRE4","properties":{"formattedCitation":"(Waite, 2015)","plainCitation":"(Waite, 2015)","noteIndex":0},"citationItems":[{"id":44701,"uris":["http://zotero.org/users/7621732/items/5J3LVVD6"],"itemData":{"id":44701,"type":"article-journal","abstract":"Myanmar is a signatory to the ‘Education for All’ Declarations as well as UN Conventions on the Rights of the Child and the Rights of Persons with Disabilities. This research aims to contribute towards bridging the gap in evidence about access of children with disabilities to education in Yangon, Myanmar. The research used a qualitative methodology including interviews and focus groups with 222 participants in 11 schools in Yangon as well as interviews with 19 parents and children who were out of school. Overall, the research found adult perceptions of children with disabilities based on notions of vulnerability and dependence. However, there was some evidence of more positive perceptions, as well as instances of children with disabilities resisting discrimination and actively participating in education. At the same time, the research found that while there was evidence of inclusive learning environments in some individual schools, there was limited evidence of children’s rights to inclusive education being met in most of the regular schools that participated in the research. Although children with disabilities’ rights to education are protected through international instruments such as the Convention on the Rights of Persons with Disabilities and the Education for All agenda, there remain significant gaps in the ways in which these commitments have been translated in the everyday practice in the schools in Yangon, Myanmar.","container-title":"Global Studies of Childhood","DOI":"10.1177/2043610615612948","ISSN":"2043-6106","issue":"4","language":"en","note":"publisher: SAGE Publications","page":"381-394","source":"SAGE Journals","title":"A space to learn for all children? Inclusive education and children with disabilities in Yangon, Myanmar","title-short":"A space to learn for all children?","volume":"5","author":[{"family":"Waite","given":"Myrtha"}],"issued":{"date-parts":[["2015",12,1]]}}}],"schema":"https://github.com/citation-style-language/schema/raw/master/csl-citation.json"}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(Waite, 2015)</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p>
    <w:p w14:paraId="6DD30A77" w14:textId="77777777" w:rsidR="00436963" w:rsidRPr="008A2FA0" w:rsidRDefault="00436963" w:rsidP="00436963">
      <w:pPr>
        <w:spacing w:before="120" w:after="120"/>
        <w:ind w:left="440" w:right="-1" w:hanging="14"/>
        <w:jc w:val="both"/>
        <w:rPr>
          <w:rFonts w:ascii="Calibri Light" w:hAnsi="Calibri Light" w:cs="Calibri Light"/>
          <w:sz w:val="24"/>
          <w:szCs w:val="24"/>
        </w:rPr>
      </w:pPr>
      <w:r w:rsidRPr="008A2FA0">
        <w:rPr>
          <w:rFonts w:ascii="Calibri Light" w:hAnsi="Calibri Light" w:cs="Calibri Light"/>
          <w:sz w:val="24"/>
          <w:szCs w:val="24"/>
        </w:rPr>
        <w:t xml:space="preserve">In the implementation stage of inclusive education in Indonesia, several challenges must be resolved immediately, even though they are legally final and binding. For such human resources, especially teacher positions, many are still found to have no qualifications (special needs); in addition, teachers lack support in accessing and having inclusive training. </w:t>
      </w:r>
      <w:proofErr w:type="spellStart"/>
      <w:r w:rsidRPr="008A2FA0">
        <w:rPr>
          <w:rFonts w:ascii="Calibri Light" w:hAnsi="Calibri Light" w:cs="Calibri Light"/>
          <w:sz w:val="24"/>
          <w:szCs w:val="24"/>
        </w:rPr>
        <w:t>Kuriniawati</w:t>
      </w:r>
      <w:proofErr w:type="spellEnd"/>
      <w:r w:rsidRPr="008A2FA0">
        <w:rPr>
          <w:rFonts w:ascii="Calibri Light" w:hAnsi="Calibri Light" w:cs="Calibri Light"/>
          <w:sz w:val="24"/>
          <w:szCs w:val="24"/>
        </w:rPr>
        <w:t xml:space="preserve"> et al. explained that the implementation of inclusive education in Indonesia still has complex challenges, namely, human resources (teachers) still need professional development in the best strategies for inclusive education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{"citationID":"mxITwS9t","properties":{"formattedCitation":"(Kurniawati, 2021; Sheehy et al., 2019; Siron &amp; Mulyono, 2017)","plainCitation":"(Kurniawati, 2021; Sheehy et al., 2019; Siron &amp; Mulyono, 2017)","noteIndex":0},"citationItems":[{"id":44703,"uris":["http://zotero.org/users/7621732/items/PRUP4LRI"],"itemData":{"id":44703,"type":"article-journal","abstract":"Indonesia’s implementation of inclusive education continues to help support students’ development of academic abilities and social skills. However, it also poses challenges for several parties involved in the administration of inclusive education in rural areas: in particular, teachers from general education backgrounds. This study aimed to investigate teachers’ teaching strategies in inclusive education in a sample of public primary schools in rural Indonesia, in order to better understand the strategies used and the teachers’ perspectives on inclusive education. Participants were 40 classroom teachers from 10 public primary schools in rural Indonesia. The participants taught students from grades 2 to 6 (student ages 8 to 12) and had at least one student with special educational needs and disabilities (SEND) in their class. Observations were conducted to determine the extent to which teachers used differentiation, collaborative learning and inclusive classroom management strategies. After the observations, short interviews were conducted with the teachers in order to explore their perceptions of inclusive education. Data were analysed qualitatively. Analysis of observation data showed that only a small number of teachers used teaching strategies that were considered effective inclusive strategies, such as differentiation and collaborative learning. The interview findings indicated that most of the teachers did not feel confident in using inclusive strategies, due to factors including limited knowledge of strategies, and class size. This small-scale study suggests that the implementation of inclusive education remains at an early stage and is challenging in some parts of Indonesia. It highlights that sustaining and advancing teacher education is crucial: through professional development, teachers can be enabled to increase their competence and knowledge of inclusive education strategies, ultimately benefiting all students in the classroom.","container-title":"Educational Research","DOI":"10.1080/00131881.2021.1915698","ISSN":"0013-1881","issue":"2","note":"publisher: Routledge\n_eprint: https://doi.org/10.1080/00131881.2021.1915698","page":"198-211","source":"Taylor and Francis+NEJM","title":"Exploring teachers’ inclusive education strategies in rural Indonesian primary schools","volume":"63","author":[{"family":"Kurniawati","given":"Farida"}],"issued":{"date-parts":[["2021",4,3]]}}},{"id":44704,"uris":["http://zotero.org/users/7621732/items/XUV5GQAD"],"itemData":{"id":44704,"type":"article-journal","abstract":"A growing number of children with intellectual disabilities attend inclusive schools in Indonesia. Previous research has suggested that teachers’ type of school and experience influences their beliefs about inclusive education. This research collected questionnaire data from 267 Indonesian teachers and compared the responses from those working in inclusive, special and regular schools regarding their epistemological and pedagogical beliefs. The results showed that teachers in inclusive schools expressed stronger social constructivist beliefs than those in other schools. However, it was teachers’ epistemological beliefs, rather than their type of school or experience, which were the significant predictor of their beliefs about inclusive education. The findings suggest that international epistemological research needs to have a more nuanced view of constructivist models of learning to better understand and inform how inclusive pedagogy is being enacted in different contexts.","container-title":"Journal of Intellectual Disabilities","DOI":"10.1177/1744629517717613","ISSN":"1744-6295","issue":"1","journalAbbreviation":"J Intellect Disabil","language":"en","note":"publisher: SAGE Publications Ltd","page":"39-56","source":"SAGE Journals","title":"Indonesian teachers’ epistemological beliefs and inclusive education","volume":"23","author":[{"family":"Sheehy","given":"Kieron"},{"family":"Budiyanto","given":""},{"family":"Kaye","given":"Helen"},{"family":"Rofiah","given":"Khofidotur"}],"issued":{"date-parts":[["2019",3,1]]}}},{"id":44706,"uris":["http://zotero.org/users/7621732/items/P2GLZEZV"],"itemData":{"id":44706,"type":"paper-conference","abstract":"Implementation of Inclusive Education (IE) has many obstacles for teachers in its implementation in East Jakarta. The objective of this research is to describe the difficulties experienced by elementary school teachers in regular schools to implement IE. This study involved 31 elementary school teachers in East Jakarta. Purpossive sampling method was...","DOI":"10.2991/icddims-17.2018.37","event-title":"International Conference on Diversity and Disability Inclusion in Muslim Societies (ICDDIMS 2017)","ISBN":"978-94-6252-466-8","language":"en","note":"ISSN: 2352-5398","page":"177-180","publisher":"Atlantis Press","source":"www.atlantis-press.com","title":"Implementing Inclusive Education: What are Elementary Teacher Obstacles? Case Study in East Jakarta, Indonesia","title-short":"Implementing Inclusive Education","URL":"https://www.atlantis-press.com/proceedings/icddims-17/25893016","author":[{"family":"Siron","given":"Yubaedi"},{"family":"Mulyono","given":"Rachmat"}],"accessed":{"date-parts":[["2025",3,9]]},"issued":{"date-parts":[["2017",11]]}}}],"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(Kurniawati, 2021; Sheehy et al., 2019; Siron &amp; Mulyono, 2017)</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In the future, prospective inclusive education teachers must be by the qualifications and provide inclusive education training in order to foster creativity in the teaching and learning process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{"citationID":"DCSsTdFV","properties":{"formattedCitation":"(Soeharto et al., 2024)","plainCitation":"(Soeharto et al., 2024)","noteIndex":0},"citationItems":[{"id":44708,"uris":["http://zotero.org/users/7621732/items/YZ5FSYFU"],"itemData":{"id":44708,"type":"article-journal","abstract":"This study investigated the relationship between pre-service teachers' attitudes toward inclusive education and teaching for creativity. The investigation was based on background factors, correlation, and regression between dimensions. The participants were 459 pre-service teachers from private and public universities across Indonesia. Data were collected using the Inclusive Education Scale and the Teaching for Creativity Scale (Indonesian version). The findings revealed no significant differences for all dimensions such as gender, age, and teaching experience. However, there were significant differences regarding university type in the dimensions of attitudes toward inclusive education and teaching for creativity, except for the rights of the child, the workload of the teacher, and student potential. Pearson correlation confirmed significant positive and negative correlations between the dimensions of attitudes toward inclusive education and teaching for creativity. The results of multiple linear regression analysis with the Stepwise method revealed that at least two dimensions of teaching for creativity had a significant impact on dimensions of teachers' attitudes toward inclusive education.","container-title":"Thinking Skills and Creativity","DOI":"10.1016/j.tsc.2024.101469","ISSN":"1871-1871","journalAbbreviation":"Thinking Skills and Creativity","page":"101469","source":"ScienceDirect","title":"Associations between attitudes toward inclusive education and teaching for creativity for Indonesian pre-service teachers","volume":"51","author":[{"family":"Soeharto","given":"Soeharto"},{"family":"Subasi Singh","given":"Seyda"},{"family":"Afriyanti","given":"Fitria"}],"issued":{"date-parts":[["2024",3,1]]}}}],"schema":"https://github.com/citation-style-language/schema/raw/master/csl-citation.json"}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(Soeharto et al., 2024)</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so that the role of government, schools and parents is key to the success of building a good inclusive education culture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{"citationID":"WEUAyQGK","properties":{"formattedCitation":"(Andriana &amp; Evans, 2020)","plainCitation":"(Andriana &amp; Evans, 2020)","noteIndex":0},"citationItems":[{"id":44710,"uris":["http://zotero.org/users/7621732/items/G2G25FFM"],"itemData":{"id":44710,"type":"article-journal","abstract":"Studies advocating for student voice to be included in the debate of inclusive education have been conducted, however, little is known about how the other stakeholders respond to the messages within student voice. This article examines the response of principals and teachers in Indonesia to the voice of primary school students and their representations of inclusive education. Principals and teachers were generally receptive to the messages they were hearing about the impact of their language of inclusion on students, year retention, and the continued separation of students in all education matters on the basis of disability. While the implications for the future development of inclusive education are examined, the researchers also explore the issues related to adults listening and empowering the student voice.","container-title":"International Journal of Educational Research","DOI":"10.1016/j.ijer.2020.101644","ISSN":"0883-0355","journalAbbreviation":"International Journal of Educational Research","page":"101644","source":"ScienceDirect","title":"Listening to the voices of students on inclusive education: Responses from principals and teachers in Indonesia","title-short":"Listening to the voices of students on inclusive education","volume":"103","author":[{"family":"Andriana","given":"Elga"},{"family":"Evans","given":"David"}],"issued":{"date-parts":[["2020",1,1]]}}}],"schema":"https://github.com/citation-style-language/schema/raw/master/csl-citation.json"}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(Andriana &amp; Evans, 2020)</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w:t>
      </w:r>
    </w:p>
    <w:p w14:paraId="544564A0" w14:textId="77777777" w:rsidR="00FC41C6" w:rsidRPr="008A2FA0" w:rsidRDefault="00FC41C6" w:rsidP="00FC41C6">
      <w:pPr>
        <w:spacing w:before="120" w:after="120"/>
        <w:ind w:left="440" w:right="-1" w:hanging="14"/>
        <w:jc w:val="both"/>
        <w:rPr>
          <w:rFonts w:ascii="Calibri Light" w:hAnsi="Calibri Light" w:cs="Calibri Light"/>
          <w:sz w:val="24"/>
          <w:szCs w:val="24"/>
        </w:rPr>
      </w:pPr>
      <w:r w:rsidRPr="008A2FA0">
        <w:rPr>
          <w:rFonts w:ascii="Calibri Light" w:hAnsi="Calibri Light" w:cs="Calibri Light"/>
          <w:sz w:val="24"/>
          <w:szCs w:val="24"/>
        </w:rPr>
        <w:t xml:space="preserve">Another challenge is the existence of infrastructure, which is still a pending note that needs to be fulfilled immediately. </w:t>
      </w:r>
      <w:proofErr w:type="spellStart"/>
      <w:r w:rsidRPr="008A2FA0">
        <w:rPr>
          <w:rFonts w:ascii="Calibri Light" w:hAnsi="Calibri Light" w:cs="Calibri Light"/>
          <w:sz w:val="24"/>
          <w:szCs w:val="24"/>
        </w:rPr>
        <w:t>Rofiah</w:t>
      </w:r>
      <w:proofErr w:type="spellEnd"/>
      <w:r w:rsidRPr="008A2FA0">
        <w:rPr>
          <w:rFonts w:ascii="Calibri Light" w:hAnsi="Calibri Light" w:cs="Calibri Light"/>
          <w:sz w:val="24"/>
          <w:szCs w:val="24"/>
        </w:rPr>
        <w:t xml:space="preserve"> et al. stated that infrastructure is an important supporting force in the learning process </w:t>
      </w:r>
      <w:r w:rsidRPr="008A2FA0">
        <w:rPr>
          <w:rFonts w:ascii="Calibri Light" w:hAnsi="Calibri Light" w:cs="Calibri Light"/>
          <w:sz w:val="24"/>
          <w:szCs w:val="24"/>
        </w:rPr>
        <w:fldChar w:fldCharType="begin"/>
      </w:r>
      <w:r w:rsidRPr="008A2FA0">
        <w:rPr>
          <w:rFonts w:ascii="Calibri Light" w:hAnsi="Calibri Light" w:cs="Calibri Light"/>
          <w:sz w:val="24"/>
          <w:szCs w:val="24"/>
        </w:rPr>
        <w:instrText xml:space="preserve"> ADDIN ZOTERO_ITEM CSL_CITATION {"citationID":"49Tp6kxF","properties":{"formattedCitation":"(Rofiah et al., 2021)","plainCitation":"(Rofiah et al., 2021)","noteIndex":0},"citationItems":[{"id":44714,"uris":["http://zotero.org/users/7621732/items/DG2IQRR4"],"itemData":{"id":44714,"type":"article-journal","container-title":"Jàmbá: Journal of Disaster Risk Studies","DOI":"10.4102/jamba.v13i1.1159","ISSN":"1996-1421","issue":"1","language":"en","note":"publisher: Ownership of copyright in terms of the Work remains with the Authors.","page":"1-8","source":"SciELO","title":"Key elements of disaster mitigation education in inclusive school setting in the Indonesian context","volume":"13","author":[{"family":"Rofiah","given":"Nurul H."},{"family":"Kawai","given":"Norimune"},{"family":"Hayati","given":"Elli Nur"}],"issued":{"date-parts":[["2021"]]}}}],"schema":"https://github.com/citation-style-language/schema/raw/master/csl-citation.json"}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(Rofiah et al., 2021)</w:t>
      </w:r>
      <w:r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especially for children with special needs in remote/rural schools because, in general, accessibility is very different from regular students </w:t>
      </w:r>
      <w:r w:rsidRPr="008A2FA0">
        <w:rPr>
          <w:rFonts w:ascii="Calibri Light" w:hAnsi="Calibri Light" w:cs="Calibri Light"/>
          <w:sz w:val="24"/>
          <w:szCs w:val="24"/>
        </w:rPr>
        <w:fldChar w:fldCharType="begin"/>
      </w:r>
      <w:r w:rsidRPr="008A2FA0">
        <w:rPr>
          <w:rFonts w:ascii="Calibri Light" w:hAnsi="Calibri Light" w:cs="Calibri Light"/>
          <w:sz w:val="24"/>
          <w:szCs w:val="24"/>
        </w:rPr>
        <w:instrText xml:space="preserve"> ADDIN ZOTERO_ITEM CSL_CITATION {"citationID":"i0Kep0j0","properties":{"formattedCitation":"(Prasetiyo et al., 2021)","plainCitation":"(Prasetiyo et al., 2021)","noteIndex":0},"citationItems":[{"id":44716,"uris":["http://zotero.org/users/7621732/items/REZ8NFZD"],"itemData":{"id":44716,"type":"article-journal","abstract":"This research explores the development of environmental caring character through the\n         Adiwiyata Green School program, with particular reference to a school's inclusive\n         provision for students with special needs. This study used the CIPP (context, input,\n         process, product) evaluation model, including semi-structured interviews, observations\n         and document analyses for data collection. The results illustrate that the program\n         succeeded in disseminating motivation and environmental care to both students with\n         special needs and regular students, providing a foundation for sustainable development.\n         This study contributes to the expansion of theoretical discourse and the practice\n         of character development in environmental care by considering the needs and privileges\n         of students.","container-title":"Issues in Educational Research","DOI":"10.3316/informit.465358475799997","issue":"3","note":"publisher: Institutes for Educational Research in NSW, SA and WA","page":"1040-1057","source":"search.informit.org (Atypon)","title":"Caring for the environment in an inclusive school: The Adiwiyata Green School program in Indonesia","title-short":"Caring for the environment in an inclusive school","volume":"30","author":[{"family":"Prasetiyo","given":"Wibowo Heru"},{"family":"Ishak","given":"Noormaizatul Akmar"},{"family":"Basit","given":"Abdul"},{"family":"Dewantara","given":"Jagad Aditya"},{"family":"Hidayat","given":"Obby Taufik"},{"family":"Casmana","given":"Asep Rudi"},{"family":"Muhibbin","given":"Ahmad"}],"issued":{"date-parts":[["2021",3,20]]}}}],"schema":"https://github.com/citation-style-language/schema/raw/master/csl-citation.json"}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(Prasetiyo et al., 2021)</w:t>
      </w:r>
      <w:r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So, the presence of the government as a policy maker is highly expected to be a solution in fulfilling inclusive education infrastructure </w:t>
      </w:r>
      <w:r w:rsidRPr="008A2FA0">
        <w:rPr>
          <w:rFonts w:ascii="Calibri Light" w:hAnsi="Calibri Light" w:cs="Calibri Light"/>
          <w:sz w:val="24"/>
          <w:szCs w:val="24"/>
        </w:rPr>
        <w:fldChar w:fldCharType="begin"/>
      </w:r>
      <w:r w:rsidRPr="008A2FA0">
        <w:rPr>
          <w:rFonts w:ascii="Calibri Light" w:hAnsi="Calibri Light" w:cs="Calibri Light"/>
          <w:sz w:val="24"/>
          <w:szCs w:val="24"/>
        </w:rPr>
        <w:instrText xml:space="preserve"> ADDIN ZOTERO_ITEM CSL_CITATION {"citationID":"vpnN1F55","properties":{"formattedCitation":"(Fatimah et al., 2024)","plainCitation":"(Fatimah et al., 2024)","noteIndex":0},"citationItems":[{"id":44717,"uris":["http://zotero.org/users/7621732/items/PM9QF8EM"],"itemData":{"id":44717,"type":"article-journal","abstract":". This study aims to explore in depth the challenges and strategies of inclusive schools in the context of elementary schools in Indonesia as an effort to achieve sustainable development. Additionally, it examines perceptions of inclusive schools and sustainable development. The research employs a mixed-methods approach, combining analysis, interviews, and surveys from a random sample to gather information from key stakeholders in the field. The subjects of the study are elementary schools in the Kebumen region, Central Java, Indonesia, consisting of two elementary schools. The research instruments include in-depth interviews, observations, document studies, and questionnaires. Qualitative data analysis is conducted using the Miles, Huberman, &amp;amp; Saldana model, while the analysis of questionnaire results is performed using descriptive quantitative methods. The findings indicate that the challenges faced by schools in achieving sustainable development include a lack of awareness and understanding that all children have equal rights to education, limited resources, and minimal parental and community involvement. The strategies implemented by schools include raising awareness in the surrounding community about inclusive education, enhancing the capacity and competence of teachers in inclusive learning, creating an inclusive and child-friendly school environment, and establishing partnerships with parents and the community. The perceptions of prospective teachers suggest that they believe the implementation of inclusive schools from the elementary level is an effort to achieve sustainable development.","container-title":"Kyzylorda Scholarly Review","issue":"1","language":"en","license":"Copyright (c) 2025 Siti Fatimah, Muna Fauziah, Sukataman Sukataman, Fikria Najitama","note":"number: 1","page":"1-14","source":"bulletin.ouk.kz","title":"Exploring The Challenges And Strategies Of Inclusive Education For Sustainable Development: A Mixed Method Of Inclusive Elementary Schools In Indonesia","title-short":"Exploring The Challenges And Strategies Of Inclusive Education For Sustainable Development","volume":"1","author":[{"family":"Fatimah","given":"Siti"},{"family":"Fauziah","given":"Muna"},{"family":"Sukataman","given":"Sukataman"},{"family":"Najitama","given":"Fikria"}],"issued":{"date-parts":[["2024"]]}}}],"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(Fatimah et al., 2024)</w:t>
      </w:r>
      <w:r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so that students feel comfortable and safe. Furthermore, supervision and evaluation are needed to ensure that the implementation process of inclusive education can run optimally. Because there is no national evaluation standard </w:t>
      </w:r>
      <w:r w:rsidRPr="008A2FA0">
        <w:rPr>
          <w:rFonts w:ascii="Calibri Light" w:hAnsi="Calibri Light" w:cs="Calibri Light"/>
          <w:sz w:val="24"/>
          <w:szCs w:val="24"/>
        </w:rPr>
        <w:fldChar w:fldCharType="begin"/>
      </w:r>
      <w:r w:rsidRPr="008A2FA0">
        <w:rPr>
          <w:rFonts w:ascii="Calibri Light" w:hAnsi="Calibri Light" w:cs="Calibri Light"/>
          <w:sz w:val="24"/>
          <w:szCs w:val="24"/>
        </w:rPr>
        <w:instrText xml:space="preserve"> ADDIN ZOTERO_ITEM CSL_CITATION {"citationID":"9JeMm4p5","properties":{"formattedCitation":"(Mudjito et al., 2017)","plainCitation":"(Mudjito et al., 2017)","noteIndex":0},"citationItems":[{"id":44719,"uris":["http://zotero.org/users/7621732/items/TYPD9EBX"],"itemData":{"id":44719,"type":"paper-conference","abstract":"Inclusive education in Indonesia has been going on long time. In its development there are still many problems found, one of the main problems is curriculum management. The objectives of this research were to know (1) the problems in implementing the management of inclusive school curriculum in Indonesia, (2) the causes of problems in implementing the...","DOI":"10.2991/icset-17.2017.46","event-title":"9th International Conference for Science Educators and Teachers (ICSET 2017)","ISBN":"978-94-6252-419-4","language":"en","note":"ISSN: 2352-5398","page":"280-285","publisher":"Atlantis Press","source":"www.atlantis-press.com","title":"Management of Inclusive School Curriculum in Indonesia","URL":"https://www.atlantis-press.com/proceedings/icset-17/25886544","author":[{"family":"Mudjito","given":"A. K."},{"family":"Sujarwanto","given":""},{"family":"Ashar","given":"Muhammad Nurul"}],"accessed":{"date-parts":[["2025",3,9]]},"issued":{"date-parts":[["2017",9]]}}}],"schema":"https://github.com/citation-style-language/schema/raw/master/csl-citation.json"}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(Mudjito et al., 2017)</w:t>
      </w:r>
      <w:r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schools in remote areas have not been touched </w:t>
      </w:r>
      <w:r w:rsidRPr="008A2FA0">
        <w:rPr>
          <w:rFonts w:ascii="Calibri Light" w:hAnsi="Calibri Light" w:cs="Calibri Light"/>
          <w:sz w:val="24"/>
          <w:szCs w:val="24"/>
        </w:rPr>
        <w:fldChar w:fldCharType="begin"/>
      </w:r>
      <w:r w:rsidRPr="008A2FA0">
        <w:rPr>
          <w:rFonts w:ascii="Calibri Light" w:hAnsi="Calibri Light" w:cs="Calibri Light"/>
          <w:sz w:val="24"/>
          <w:szCs w:val="24"/>
        </w:rPr>
        <w:instrText xml:space="preserve"> ADDIN ZOTERO_ITEM CSL_CITATION {"citationID":"NnEn8XwX","properties":{"formattedCitation":"(AR et al., 2018; Hakiman et al., 2022)","plainCitation":"(AR et al., 2018; Hakiman et al., 2022)","noteIndex":0},"citationItems":[{"id":44723,"uris":["http://zotero.org/users/7621732/items/7VMQGDFU"],"itemData":{"id":44723,"type":"article-journal","abstract":"Inclusive education is a process in an effort to respond to the needs of all diverse learners. Efforts can be made through changes and modifications in content, approaches, structures and strategies that can accommodate the needs of all learners according to their age group. This study\naims to determine more specifically for the planning, implementation, monitoring, supporting factors and obstacles in the implementation of inclusive education in State Primary Schools in Banda Aceh. This research used descriptive method and the data was analyzed by using qualitative approach\nthrough interview, observation and documented study. The subjects were school principals, teachers, parents and guardians of the Department of Education. The location of this study consisted of 17 (seventeen) inclusive schools designated by the government to hold the inclusive education in\nBanda Aceh. Results of the study show that educational planning on inclusive education has not been done up to a whole inclusive schools in Banda Aceh. The study shows that the implementation of inclusive education at schools did not work well. Furthermore, the supervision, monitoring and\nguidance of inclusive education in Inclusive School in Banda Aceh has not conducted by the government, government itself has not been to provide guidance and supervision of the implementation of the inclusive education program.","container-title":"Advanced Science Letters","DOI":"10.1166/asl.2018.12549","issue":"11","journalAbbreviation":"Advanced Science Letters","page":"8313-8317","source":"IngentaConnect","title":"Inclusive Education Management in State Primary Schools in Banda Aceh","volume":"24","author":[{"family":"AR","given":"Murniati"},{"family":"Usman","given":"Nasir"},{"family":"ZA","given":"Tabrani"},{"literal":"Syahril"}],"issued":{"date-parts":[["2018",11,1]]}}},{"id":44721,"uris":["http://zotero.org/users/7621732/items/ZQQQGQDK"],"itemData":{"id":44721,"type":"article-journal","abstract":"This study aims to explore the implementation of inclusive education in inclusive madrasas, particularly madrasah ibtidaiyah, in Central Java, Indonesia. Four inclusive madrasas were involved, namely: Madrasah Ibtidaiyah Muhammadiyah Kartasuro Sukoharjo, Madrasah Ibtidaiyah Keji Ungaran Semarang Regency, Madrasah Ibtidaiyah Ma'arif Sidomulyo, and Madrasah Ibtidaiyah Salafiyah Kebumen. As qualitative research, several techniques were employed to collect data, including observation, interviews, forum group discussion, and documentation. The interviews with policy makers, school principals, vice principals, teachers, and inclusive education teams were carried out. This article argues that inclusive schools are implemented based on the three pillars, namely culture, policy, and practices. An inclusive school culture is manifested in the provision of inclusive education services. The inclusive policies are manifested in the vision, mission, and featured programs supported by the capacity development for the treatment of children with disabilities. The practices of inclusive education in madrasas entail the identification and assessment of children with disabilities, as well as the adaptation and accommodation of the curriculum. The inclusive instruction is equipped with individual learning program plans, integrated and modified methods, media, and assessment.","container-title":"DINIKA : Academic Journal of Islamic Studies","DOI":"10.22515/dinika.v7i2.6327","ISSN":"2503-4227","issue":"2","language":"en","page":"251-276","source":"ejournal.uinsaid.ac.id","title":"Inclusive Madrasas in Central Java Indonesia: Culture, Policy, and Practices","title-short":"Inclusive Madrasas in Central Java Indonesia","volume":"7","author":[{"family":"Hakiman","given":""},{"family":"Khuriyah","given":""},{"family":"Choiriyah","given":"Siti"}],"issued":{"date-parts":[["2022",12,30]]}}}],"schema":"https://github.com/citation-style-language/schema/raw/master/csl-citation.json"}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(AR et al., 2018; Hakiman et al., 2022)</w:t>
      </w:r>
      <w:r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and data has not been well integrated into the national education system </w:t>
      </w:r>
      <w:r w:rsidRPr="008A2FA0">
        <w:rPr>
          <w:rFonts w:ascii="Calibri Light" w:hAnsi="Calibri Light" w:cs="Calibri Light"/>
          <w:sz w:val="24"/>
          <w:szCs w:val="24"/>
        </w:rPr>
        <w:fldChar w:fldCharType="begin"/>
      </w:r>
      <w:r w:rsidRPr="008A2FA0">
        <w:rPr>
          <w:rFonts w:ascii="Calibri Light" w:hAnsi="Calibri Light" w:cs="Calibri Light"/>
          <w:sz w:val="24"/>
          <w:szCs w:val="24"/>
        </w:rPr>
        <w:instrText xml:space="preserve"> ADDIN ZOTERO_ITEM CSL_CITATION {"citationID":"ZFLRlI3y","properties":{"formattedCitation":"(Solihat, 2018)","plainCitation":"(Solihat, 2018)","noteIndex":0},"citationItems":[{"id":44724,"uris":["http://zotero.org/users/7621732/items/D8JICAHL"],"itemData":{"id":44724,"type":"article-journal","abstract":"This study aims to evaluate the inclusion of inclusive education in Magetan. This research is a descriptive quantitative research conducted on 5 elementary and middle school providers of inclusive education in Magetan. The sampling technique uses purposive random sampling. Data collection technique in this research is using questionnaire in the form of Self Evaluation Instrument Inclusion School developed by Yusuf (2014). Data analysis technique is using descriptive statistics. The results show that inclusive education in Magetan is classified as a good criterion where there is an average of 64% of 9 dimensions of inclusive education in accordance with the standard with the following details: Institutional aspect 74% (good), curriculum aspect 83% (excellent), 60% and good (60%), 60% (good), 58% (medium), 51% human resources aspect 58% (medium), facilities and infrastructure aspects 17% (very less), community participation aspect 63% (good), and financing aspects 46% (medium).","container-title":"Indonesian Journal of Disability Studies","DOI":"10.21776/ub.ijds.2018.5.2.5","ISSN":"2654-4148","issue":"2","language":"en","page":"175-179","source":"ijds.ub.ac.id","title":"Evaluation of The Implementation of Inclusive Education in Magetan","volume":"5","author":[{"family":"Solihat","given":"Gina"}],"issued":{"date-parts":[["2018",12,17]]}}}],"schema":"https://github.com/citation-style-language/schema/raw/master/csl-citation.json"}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w:t>
      </w:r>
      <w:proofErr w:type="spellStart"/>
      <w:r w:rsidRPr="008A2FA0">
        <w:rPr>
          <w:rFonts w:ascii="Calibri Light" w:hAnsi="Calibri Light" w:cs="Calibri Light"/>
          <w:sz w:val="24"/>
          <w:szCs w:val="24"/>
        </w:rPr>
        <w:t>Solihat</w:t>
      </w:r>
      <w:proofErr w:type="spellEnd"/>
      <w:r w:rsidRPr="008A2FA0">
        <w:rPr>
          <w:rFonts w:ascii="Calibri Light" w:hAnsi="Calibri Light" w:cs="Calibri Light"/>
          <w:sz w:val="24"/>
          <w:szCs w:val="24"/>
        </w:rPr>
        <w:t>, 2018)</w:t>
      </w:r>
      <w:r w:rsidRPr="008A2FA0">
        <w:rPr>
          <w:rFonts w:ascii="Calibri Light" w:hAnsi="Calibri Light" w:cs="Calibri Light"/>
          <w:sz w:val="24"/>
          <w:szCs w:val="24"/>
        </w:rPr>
        <w:fldChar w:fldCharType="end"/>
      </w:r>
      <w:r w:rsidRPr="008A2FA0">
        <w:rPr>
          <w:rFonts w:ascii="Calibri Light" w:hAnsi="Calibri Light" w:cs="Calibri Light"/>
          <w:sz w:val="24"/>
          <w:szCs w:val="24"/>
        </w:rPr>
        <w:t>.</w:t>
      </w:r>
    </w:p>
    <w:p w14:paraId="05322F76" w14:textId="77777777" w:rsidR="00436963" w:rsidRPr="00436963" w:rsidRDefault="00436963" w:rsidP="00112CC2">
      <w:pPr>
        <w:spacing w:before="120" w:after="120"/>
        <w:ind w:left="440" w:right="-1" w:hanging="14"/>
        <w:jc w:val="both"/>
        <w:rPr>
          <w:rFonts w:ascii="Calibri Light" w:hAnsi="Calibri Light" w:cs="Calibri Light"/>
          <w:sz w:val="24"/>
          <w:szCs w:val="24"/>
        </w:rPr>
      </w:pPr>
    </w:p>
    <w:p w14:paraId="71537378" w14:textId="77777777"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14:paraId="2981A5E0" w14:textId="77777777" w:rsidR="00112CC2" w:rsidRDefault="00112CC2" w:rsidP="00003189">
      <w:pPr>
        <w:pStyle w:val="ListParagraph"/>
        <w:spacing w:before="120" w:after="120" w:line="240" w:lineRule="auto"/>
        <w:ind w:left="440" w:right="-1" w:hanging="14"/>
        <w:contextualSpacing w:val="0"/>
        <w:jc w:val="both"/>
        <w:rPr>
          <w:rFonts w:ascii="Calibri Light" w:hAnsi="Calibri Light" w:cs="Calibri Light"/>
          <w:sz w:val="24"/>
          <w:szCs w:val="24"/>
        </w:rPr>
      </w:pPr>
      <w:commentRangeStart w:id="15"/>
      <w:r w:rsidRPr="00112CC2">
        <w:rPr>
          <w:rFonts w:ascii="Calibri Light" w:hAnsi="Calibri Light" w:cs="Calibri Light"/>
          <w:sz w:val="24"/>
          <w:szCs w:val="24"/>
        </w:rPr>
        <w:t xml:space="preserve">In short, Indonesia's legal regulation of inclusive education is quite effective. It has a positive impact because it considers several components, including human rights, in line </w:t>
      </w:r>
      <w:r w:rsidRPr="00112CC2">
        <w:rPr>
          <w:rFonts w:ascii="Calibri Light" w:hAnsi="Calibri Light" w:cs="Calibri Light"/>
          <w:sz w:val="24"/>
          <w:szCs w:val="24"/>
        </w:rPr>
        <w:lastRenderedPageBreak/>
        <w:t xml:space="preserve">with the UN international convention, Sustainable Development Goals (SDGs), and the 1994 Salamanca Declaration on Joint Commitment in overseeing equitable, inclusive education. </w:t>
      </w:r>
      <w:commentRangeEnd w:id="15"/>
      <w:r w:rsidR="00ED15DE">
        <w:rPr>
          <w:rStyle w:val="CommentReference"/>
          <w:rFonts w:ascii="Times New Roman" w:hAnsi="Times New Roman"/>
          <w:noProof w:val="0"/>
          <w:lang w:val="en-US" w:eastAsia="en-GB"/>
        </w:rPr>
        <w:commentReference w:id="15"/>
      </w:r>
      <w:r w:rsidRPr="00112CC2">
        <w:rPr>
          <w:rFonts w:ascii="Calibri Light" w:hAnsi="Calibri Light" w:cs="Calibri Light"/>
          <w:sz w:val="24"/>
          <w:szCs w:val="24"/>
        </w:rPr>
        <w:t>In addition, clear and binding legal regulations range from definitions, rights, obligations, monitoring systems and sanctions if violations are found, and ensuring the fulfilment of school facilities and infrastructure. It is proven that all of them are stated in Law No. 20 of 2003 concerning a fair national education system and recognizing that education is a right for all Indonesian people, Law No. 8 of 2016 regulations for people with disabilities and Permendiknas No. 70 of 2009, further strengthen the implementation of inclusive education starting from the objectives of education, curriculum, skills and materials that are by children's needs so that the legal regulations of the Indonesian state are superior to those of Japan, Malaysia, Vietnam, Myanmar and only inferior to the superior system of Finland as the best country in inclusive education. Some challenges in implementing inclusive education include limited human resources, the need to provide collaboration space for teachers, government and parents, minimal facilities and infrastructure and weak supervision and evaluation.</w:t>
      </w:r>
    </w:p>
    <w:p w14:paraId="6DC54FC6" w14:textId="77777777" w:rsidR="00112CC2" w:rsidRDefault="00112CC2"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112CC2">
        <w:rPr>
          <w:rFonts w:ascii="Calibri Light" w:hAnsi="Calibri Light" w:cs="Calibri Light"/>
          <w:sz w:val="24"/>
          <w:szCs w:val="24"/>
        </w:rPr>
        <w:t xml:space="preserve">Based on the study's conclusions above </w:t>
      </w:r>
      <w:commentRangeStart w:id="16"/>
      <w:r w:rsidRPr="00112CC2">
        <w:rPr>
          <w:rFonts w:ascii="Calibri Light" w:hAnsi="Calibri Light" w:cs="Calibri Light"/>
          <w:sz w:val="24"/>
          <w:szCs w:val="24"/>
        </w:rPr>
        <w:t>show the findings of theoretical implications regarding clear and binding legal regulations for inclusive education</w:t>
      </w:r>
      <w:commentRangeEnd w:id="16"/>
      <w:r w:rsidR="00ED15DE">
        <w:rPr>
          <w:rStyle w:val="CommentReference"/>
          <w:rFonts w:ascii="Times New Roman" w:hAnsi="Times New Roman"/>
          <w:noProof w:val="0"/>
          <w:lang w:val="en-US" w:eastAsia="en-GB"/>
        </w:rPr>
        <w:commentReference w:id="16"/>
      </w:r>
      <w:r w:rsidRPr="00112CC2">
        <w:rPr>
          <w:rFonts w:ascii="Calibri Light" w:hAnsi="Calibri Light" w:cs="Calibri Light"/>
          <w:sz w:val="24"/>
          <w:szCs w:val="24"/>
        </w:rPr>
        <w:t>, starting from the definition, rights, obligations, monitoring systems and sanctions if violations are found compared to other countries. In addition, it is based on the right structure of the results of the UN international convention, the Sustainable Development Goals (SDGs) and the 1994 Salamanca Declaration on Joint Commitments in Overseeing Equitable Inclusive Education. However, this study has limitations because it is based on the results of a systematic literature review analysis with a specific theme in the 2015-2025 period. So that future research can be conducted on the Legal Strength of Inclusive Education Regulations in Indonesia: A Critical Study of the Implementation of Law No. 8 of 2016 concerning Persons with Disabilities</w:t>
      </w:r>
    </w:p>
    <w:p w14:paraId="4592511F" w14:textId="77777777"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193EE536" w14:textId="77777777" w:rsidR="00741058" w:rsidRDefault="00741058" w:rsidP="008A2FA0">
      <w:pPr>
        <w:numPr>
          <w:ilvl w:val="0"/>
          <w:numId w:val="28"/>
        </w:numPr>
        <w:spacing w:line="240" w:lineRule="atLeast"/>
        <w:jc w:val="both"/>
        <w:rPr>
          <w:rFonts w:ascii="Calibri Light" w:hAnsi="Calibri Light" w:cs="Calibri Light"/>
          <w:b/>
          <w:color w:val="7030A0"/>
          <w:sz w:val="24"/>
          <w:szCs w:val="24"/>
        </w:rPr>
      </w:pPr>
      <w:commentRangeStart w:id="17"/>
      <w:r w:rsidRPr="00122F5F">
        <w:rPr>
          <w:rFonts w:ascii="Calibri Light" w:hAnsi="Calibri Light" w:cs="Calibri Light"/>
          <w:b/>
          <w:sz w:val="24"/>
          <w:szCs w:val="24"/>
        </w:rPr>
        <w:t>REFERENCES</w:t>
      </w:r>
      <w:r w:rsidRPr="00122F5F">
        <w:rPr>
          <w:rFonts w:ascii="Calibri Light" w:hAnsi="Calibri Light" w:cs="Calibri Light"/>
          <w:b/>
          <w:color w:val="7030A0"/>
          <w:sz w:val="24"/>
          <w:szCs w:val="24"/>
        </w:rPr>
        <w:t xml:space="preserve"> </w:t>
      </w:r>
      <w:commentRangeEnd w:id="17"/>
      <w:r w:rsidR="00405A1C">
        <w:rPr>
          <w:rStyle w:val="CommentReference"/>
        </w:rPr>
        <w:commentReference w:id="17"/>
      </w:r>
    </w:p>
    <w:p w14:paraId="1CEBFF05"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b/>
          <w:color w:val="A6A6A6"/>
          <w:sz w:val="24"/>
          <w:szCs w:val="24"/>
          <w:lang w:val="id-ID"/>
        </w:rPr>
        <w:fldChar w:fldCharType="begin"/>
      </w:r>
      <w:r w:rsidRPr="001D68BC">
        <w:rPr>
          <w:rFonts w:ascii="Calibri Light" w:hAnsi="Calibri Light" w:cs="Calibri Light"/>
          <w:b/>
          <w:color w:val="A6A6A6"/>
          <w:sz w:val="24"/>
          <w:szCs w:val="24"/>
          <w:lang w:val="id-ID"/>
        </w:rPr>
        <w:instrText xml:space="preserve"> ADDIN ZOTERO_BIBL {"uncited":[],"omitted":[],"custom":[]} CSL_BIBLIOGRAPHY </w:instrText>
      </w:r>
      <w:r w:rsidRPr="001D68BC">
        <w:rPr>
          <w:rFonts w:ascii="Calibri Light" w:hAnsi="Calibri Light" w:cs="Calibri Light"/>
          <w:b/>
          <w:color w:val="A6A6A6"/>
          <w:sz w:val="24"/>
          <w:szCs w:val="24"/>
          <w:lang w:val="id-ID"/>
        </w:rPr>
        <w:fldChar w:fldCharType="separate"/>
      </w:r>
      <w:r w:rsidRPr="001D68BC">
        <w:rPr>
          <w:rFonts w:ascii="Calibri Light" w:hAnsi="Calibri Light" w:cs="Calibri Light"/>
          <w:sz w:val="24"/>
          <w:szCs w:val="24"/>
        </w:rPr>
        <w:t xml:space="preserve">Achmad, W. (2023). Implications of inclusive education policy in guaranteeing the rights of children with special needs. </w:t>
      </w:r>
      <w:r w:rsidRPr="001D68BC">
        <w:rPr>
          <w:rFonts w:ascii="Calibri Light" w:hAnsi="Calibri Light" w:cs="Calibri Light"/>
          <w:i/>
          <w:iCs/>
          <w:sz w:val="24"/>
          <w:szCs w:val="24"/>
        </w:rPr>
        <w:t>Al-Ishlah: Jurnal Pendidikan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15</w:t>
      </w:r>
      <w:r w:rsidRPr="001D68BC">
        <w:rPr>
          <w:rFonts w:ascii="Calibri Light" w:hAnsi="Calibri Light" w:cs="Calibri Light"/>
          <w:sz w:val="24"/>
          <w:szCs w:val="24"/>
        </w:rPr>
        <w:t>(4), 4288–4297.</w:t>
      </w:r>
    </w:p>
    <w:p w14:paraId="24A31159"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Agustina, R., &amp; Rahaju, T. (2021). Evaluasi penyelenggaraan pendidikan inklusif di Kota Surabaya. </w:t>
      </w:r>
      <w:r w:rsidRPr="001D68BC">
        <w:rPr>
          <w:rFonts w:ascii="Calibri Light" w:hAnsi="Calibri Light" w:cs="Calibri Light"/>
          <w:i/>
          <w:iCs/>
          <w:sz w:val="24"/>
          <w:szCs w:val="24"/>
        </w:rPr>
        <w:t>Publika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9</w:t>
      </w:r>
      <w:r w:rsidRPr="001D68BC">
        <w:rPr>
          <w:rFonts w:ascii="Calibri Light" w:hAnsi="Calibri Light" w:cs="Calibri Light"/>
          <w:sz w:val="24"/>
          <w:szCs w:val="24"/>
        </w:rPr>
        <w:t>(3), 109–124.</w:t>
      </w:r>
    </w:p>
    <w:p w14:paraId="1EDD5575"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Alfikri, F., Khodijah, N., &amp; Suryana, E. (2022). Analisis Kebijakan Pendidikan Inklusi. </w:t>
      </w:r>
      <w:r w:rsidRPr="001D68BC">
        <w:rPr>
          <w:rFonts w:ascii="Calibri Light" w:hAnsi="Calibri Light" w:cs="Calibri Light"/>
          <w:i/>
          <w:iCs/>
          <w:sz w:val="24"/>
          <w:szCs w:val="24"/>
        </w:rPr>
        <w:t>Journal of Syntax Literate</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7</w:t>
      </w:r>
      <w:r w:rsidRPr="001D68BC">
        <w:rPr>
          <w:rFonts w:ascii="Calibri Light" w:hAnsi="Calibri Light" w:cs="Calibri Light"/>
          <w:sz w:val="24"/>
          <w:szCs w:val="24"/>
        </w:rPr>
        <w:t>(6). https://www.academia.edu/download/87455845/UAS._Jurnal_Farhan_Alfikri.pdf</w:t>
      </w:r>
    </w:p>
    <w:p w14:paraId="2C241FFA"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Andriana, E., &amp; Evans, D. (2020). Listening to the voices of students on inclusive education: Responses from principals and teachers in Indonesia. </w:t>
      </w:r>
      <w:r w:rsidRPr="001D68BC">
        <w:rPr>
          <w:rFonts w:ascii="Calibri Light" w:hAnsi="Calibri Light" w:cs="Calibri Light"/>
          <w:i/>
          <w:iCs/>
          <w:sz w:val="24"/>
          <w:szCs w:val="24"/>
        </w:rPr>
        <w:t>International Journal of Educational Research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103</w:t>
      </w:r>
      <w:r w:rsidRPr="001D68BC">
        <w:rPr>
          <w:rFonts w:ascii="Calibri Light" w:hAnsi="Calibri Light" w:cs="Calibri Light"/>
          <w:sz w:val="24"/>
          <w:szCs w:val="24"/>
        </w:rPr>
        <w:t>, 101644. https://doi.org/10.1016/j.ijer.2020.101644</w:t>
      </w:r>
    </w:p>
    <w:p w14:paraId="00EB95B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AR, M., Usman, N., ZA, T., &amp; Syahril. (2018). Inclusive Education Management in State Primary Schools in Banda Aceh. </w:t>
      </w:r>
      <w:r w:rsidRPr="001D68BC">
        <w:rPr>
          <w:rFonts w:ascii="Calibri Light" w:hAnsi="Calibri Light" w:cs="Calibri Light"/>
          <w:i/>
          <w:iCs/>
          <w:sz w:val="24"/>
          <w:szCs w:val="24"/>
        </w:rPr>
        <w:t>Advanced Science Letters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24</w:t>
      </w:r>
      <w:r w:rsidRPr="001D68BC">
        <w:rPr>
          <w:rFonts w:ascii="Calibri Light" w:hAnsi="Calibri Light" w:cs="Calibri Light"/>
          <w:sz w:val="24"/>
          <w:szCs w:val="24"/>
        </w:rPr>
        <w:t>(11), 8313–8317. https://doi.org/10.1166/asl.2018.12549</w:t>
      </w:r>
    </w:p>
    <w:p w14:paraId="68DA2893"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Arias, C. R., Calago, C. N. S., Calungsod, H. F. B., Delica, M. A., Fullo, M. E., &amp; Cabanilla Jr, A. B. (2023). Challenges and Implementation of Inclusive Education in Selected Asian </w:t>
      </w:r>
      <w:r w:rsidRPr="001D68BC">
        <w:rPr>
          <w:rFonts w:ascii="Calibri Light" w:hAnsi="Calibri Light" w:cs="Calibri Light"/>
          <w:sz w:val="24"/>
          <w:szCs w:val="24"/>
        </w:rPr>
        <w:lastRenderedPageBreak/>
        <w:t xml:space="preserve">Countries: A Meta-Synthesis. </w:t>
      </w:r>
      <w:r w:rsidRPr="001D68BC">
        <w:rPr>
          <w:rFonts w:ascii="Calibri Light" w:hAnsi="Calibri Light" w:cs="Calibri Light"/>
          <w:i/>
          <w:iCs/>
          <w:sz w:val="24"/>
          <w:szCs w:val="24"/>
        </w:rPr>
        <w:t>International Journal of Research in Education and Science</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9</w:t>
      </w:r>
      <w:r w:rsidRPr="001D68BC">
        <w:rPr>
          <w:rFonts w:ascii="Calibri Light" w:hAnsi="Calibri Light" w:cs="Calibri Light"/>
          <w:sz w:val="24"/>
          <w:szCs w:val="24"/>
        </w:rPr>
        <w:t>(2), 512–534.</w:t>
      </w:r>
    </w:p>
    <w:p w14:paraId="14536C9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Arthur, J., &amp; Chen, C.-I. (2023). Inclusive Education in Ghana: The Past, Present, and Future. In </w:t>
      </w:r>
      <w:r w:rsidRPr="001D68BC">
        <w:rPr>
          <w:rFonts w:ascii="Calibri Light" w:hAnsi="Calibri Light" w:cs="Calibri Light"/>
          <w:i/>
          <w:iCs/>
          <w:sz w:val="24"/>
          <w:szCs w:val="24"/>
        </w:rPr>
        <w:t>Progress Toward Agenda 2030</w:t>
      </w:r>
      <w:r w:rsidRPr="001D68BC">
        <w:rPr>
          <w:rFonts w:ascii="Calibri Light" w:hAnsi="Calibri Light" w:cs="Calibri Light"/>
          <w:sz w:val="24"/>
          <w:szCs w:val="24"/>
        </w:rPr>
        <w:t xml:space="preserve"> (world; Vol. 21, pp. 59–77). Emerald Publishing Limited. https://doi.org/10.1108/S1479-363620230000021005</w:t>
      </w:r>
    </w:p>
    <w:p w14:paraId="5F7AA6D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Batista, R. C. G., Nunes, T. S., Ferreira, C. A. A., &amp; Nunes, S. C. (2024). Discourse and Practice of Inclusion of People with Disabilities: Analysis of a Brazilian case study. </w:t>
      </w:r>
      <w:r w:rsidRPr="001D68BC">
        <w:rPr>
          <w:rFonts w:ascii="Calibri Light" w:hAnsi="Calibri Light" w:cs="Calibri Light"/>
          <w:i/>
          <w:iCs/>
          <w:sz w:val="24"/>
          <w:szCs w:val="24"/>
        </w:rPr>
        <w:t>Teoria E Pratica Em Administracao-Tpa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14</w:t>
      </w:r>
      <w:r w:rsidRPr="001D68BC">
        <w:rPr>
          <w:rFonts w:ascii="Calibri Light" w:hAnsi="Calibri Light" w:cs="Calibri Light"/>
          <w:sz w:val="24"/>
          <w:szCs w:val="24"/>
        </w:rPr>
        <w:t>(2). https://doi.org/10.22478/ufpb.2238-104X.2024v14n2.67318</w:t>
      </w:r>
    </w:p>
    <w:p w14:paraId="7F5F5DD8"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Burns, P. (2004). </w:t>
      </w:r>
      <w:r w:rsidRPr="001D68BC">
        <w:rPr>
          <w:rFonts w:ascii="Calibri Light" w:hAnsi="Calibri Light" w:cs="Calibri Light"/>
          <w:i/>
          <w:iCs/>
          <w:sz w:val="24"/>
          <w:szCs w:val="24"/>
        </w:rPr>
        <w:t>The Leiden legacy: Concepts of law in Indonesia</w:t>
      </w:r>
      <w:r w:rsidRPr="001D68BC">
        <w:rPr>
          <w:rFonts w:ascii="Calibri Light" w:hAnsi="Calibri Light" w:cs="Calibri Light"/>
          <w:sz w:val="24"/>
          <w:szCs w:val="24"/>
        </w:rPr>
        <w:t>. KITLV Press Leiden. https://www.academia.edu/download/100945431/content-the-leiden-legacy-concepts-of-law-in-indonesia.pdf</w:t>
      </w:r>
    </w:p>
    <w:p w14:paraId="08A01C36"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Charema, J. (2010). Inclusive Education in Developing Countries in the Sub Saharan Africa: From Theory to Practice. </w:t>
      </w:r>
      <w:r w:rsidRPr="001D68BC">
        <w:rPr>
          <w:rFonts w:ascii="Calibri Light" w:hAnsi="Calibri Light" w:cs="Calibri Light"/>
          <w:i/>
          <w:iCs/>
          <w:sz w:val="24"/>
          <w:szCs w:val="24"/>
        </w:rPr>
        <w:t>International Journal of Special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25</w:t>
      </w:r>
      <w:r w:rsidRPr="001D68BC">
        <w:rPr>
          <w:rFonts w:ascii="Calibri Light" w:hAnsi="Calibri Light" w:cs="Calibri Light"/>
          <w:sz w:val="24"/>
          <w:szCs w:val="24"/>
        </w:rPr>
        <w:t>(1), 87–93.</w:t>
      </w:r>
    </w:p>
    <w:p w14:paraId="0166F719"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Chaudhary, R., &amp; Syal, Y. (2022a). Inclusive Education: ChallengesFaced by Teachers in Mainstreaming Children with Special Needs. </w:t>
      </w:r>
      <w:r w:rsidRPr="001D68BC">
        <w:rPr>
          <w:rFonts w:ascii="Calibri Light" w:hAnsi="Calibri Light" w:cs="Calibri Light"/>
          <w:i/>
          <w:iCs/>
          <w:sz w:val="24"/>
          <w:szCs w:val="24"/>
        </w:rPr>
        <w:t>Indian Journal of Distance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23</w:t>
      </w:r>
      <w:r w:rsidRPr="001D68BC">
        <w:rPr>
          <w:rFonts w:ascii="Calibri Light" w:hAnsi="Calibri Light" w:cs="Calibri Light"/>
          <w:sz w:val="24"/>
          <w:szCs w:val="24"/>
        </w:rPr>
        <w:t>(3), 63.</w:t>
      </w:r>
    </w:p>
    <w:p w14:paraId="66222563"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Chaudhary, R., &amp; Syal, Y. (2022b). Inclusive Education: ChallengesFaced by Teachers in Mainstreaming Children with Special Needs. </w:t>
      </w:r>
      <w:r w:rsidRPr="001D68BC">
        <w:rPr>
          <w:rFonts w:ascii="Calibri Light" w:hAnsi="Calibri Light" w:cs="Calibri Light"/>
          <w:i/>
          <w:iCs/>
          <w:sz w:val="24"/>
          <w:szCs w:val="24"/>
        </w:rPr>
        <w:t>Indian Journal of Distance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Query date: 2025-02-26 19:07:06</w:t>
      </w:r>
      <w:r w:rsidRPr="001D68BC">
        <w:rPr>
          <w:rFonts w:ascii="Calibri Light" w:hAnsi="Calibri Light" w:cs="Calibri Light"/>
          <w:sz w:val="24"/>
          <w:szCs w:val="24"/>
        </w:rPr>
        <w:t>. https://ijde.puchd.ac.in/issues/ijde-vol-xiv-xv.pdf#page=67</w:t>
      </w:r>
    </w:p>
    <w:p w14:paraId="470146B8"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Chin, M. (2023). The Zero Reject policy: A way forward for inclusive education in Malaysia? </w:t>
      </w:r>
      <w:r w:rsidRPr="001D68BC">
        <w:rPr>
          <w:rFonts w:ascii="Calibri Light" w:hAnsi="Calibri Light" w:cs="Calibri Light"/>
          <w:i/>
          <w:iCs/>
          <w:sz w:val="24"/>
          <w:szCs w:val="24"/>
        </w:rPr>
        <w:t>International Journal of Inclusive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27</w:t>
      </w:r>
      <w:r w:rsidRPr="001D68BC">
        <w:rPr>
          <w:rFonts w:ascii="Calibri Light" w:hAnsi="Calibri Light" w:cs="Calibri Light"/>
          <w:sz w:val="24"/>
          <w:szCs w:val="24"/>
        </w:rPr>
        <w:t>(4), 526–540. https://doi.org/10.1080/13603116.2020.1846800</w:t>
      </w:r>
    </w:p>
    <w:p w14:paraId="1702DA89"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Chu-Chang, M., Al-Samarrai, S., Shaeffer, S., Ragatz, A. B., De Ree, J., &amp; Stevenson, R. (2013). </w:t>
      </w:r>
      <w:r w:rsidRPr="001D68BC">
        <w:rPr>
          <w:rFonts w:ascii="Calibri Light" w:hAnsi="Calibri Light" w:cs="Calibri Light"/>
          <w:i/>
          <w:iCs/>
          <w:sz w:val="24"/>
          <w:szCs w:val="24"/>
        </w:rPr>
        <w:t>Teacher reform in Indonesia: The role of politics and evidence in policy making</w:t>
      </w:r>
      <w:r w:rsidRPr="001D68BC">
        <w:rPr>
          <w:rFonts w:ascii="Calibri Light" w:hAnsi="Calibri Light" w:cs="Calibri Light"/>
          <w:sz w:val="24"/>
          <w:szCs w:val="24"/>
        </w:rPr>
        <w:t>. World Bank Publications. https://books.google.com/books?hl=en&amp;lr=&amp;id=NfxMAgAAQBAJ&amp;oi=fnd&amp;pg=PP2&amp;dq=inclusive+education+regulations+in+Indonesia+monitoring+and+sanction+system&amp;ots=6qc6aC-7MO&amp;sig=lGCXTCOt8IYVzDXCPc9rBs8cjq0</w:t>
      </w:r>
    </w:p>
    <w:p w14:paraId="63867D81"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Dewantara, Y. J., &amp; Kusumastuti, F. (2020). Evaluasi Kebijakan Program Pendidikan Inklusif Di SDN Betet 1 Kota Kediri. </w:t>
      </w:r>
      <w:r w:rsidRPr="001D68BC">
        <w:rPr>
          <w:rFonts w:ascii="Calibri Light" w:hAnsi="Calibri Light" w:cs="Calibri Light"/>
          <w:i/>
          <w:iCs/>
          <w:sz w:val="24"/>
          <w:szCs w:val="24"/>
        </w:rPr>
        <w:t>Jurnal Kebijakan Dan Pengembangan Pendidikan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8</w:t>
      </w:r>
      <w:r w:rsidRPr="001D68BC">
        <w:rPr>
          <w:rFonts w:ascii="Calibri Light" w:hAnsi="Calibri Light" w:cs="Calibri Light"/>
          <w:sz w:val="24"/>
          <w:szCs w:val="24"/>
        </w:rPr>
        <w:t>(1), Article 1. https://doi.org/10.22219/jkpp.v8i1.12066</w:t>
      </w:r>
    </w:p>
    <w:p w14:paraId="39899F7F"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Dewi, M. P., Rahmatunnisa, M., Sumaryana, A., &amp; Kristiadi, J. (2018). Ensuring Service Quality in Education for Indonesia’s Sustainable Education. </w:t>
      </w:r>
      <w:r w:rsidRPr="001D68BC">
        <w:rPr>
          <w:rFonts w:ascii="Calibri Light" w:hAnsi="Calibri Light" w:cs="Calibri Light"/>
          <w:i/>
          <w:iCs/>
          <w:sz w:val="24"/>
          <w:szCs w:val="24"/>
        </w:rPr>
        <w:t>Journal of Social Studies Education Research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9</w:t>
      </w:r>
      <w:r w:rsidRPr="001D68BC">
        <w:rPr>
          <w:rFonts w:ascii="Calibri Light" w:hAnsi="Calibri Light" w:cs="Calibri Light"/>
          <w:sz w:val="24"/>
          <w:szCs w:val="24"/>
        </w:rPr>
        <w:t>(4), Article 4.</w:t>
      </w:r>
    </w:p>
    <w:p w14:paraId="6FB8989C"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Donthu, N., Kumar, S., Mukherjee, D., Pandey, N., &amp; Lim, W. M. (2021). How to conduct a bibliometric analysis: An overview and guidelines. </w:t>
      </w:r>
      <w:r w:rsidRPr="001D68BC">
        <w:rPr>
          <w:rFonts w:ascii="Calibri Light" w:hAnsi="Calibri Light" w:cs="Calibri Light"/>
          <w:i/>
          <w:iCs/>
          <w:sz w:val="24"/>
          <w:szCs w:val="24"/>
        </w:rPr>
        <w:t>Journal of Business Research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133</w:t>
      </w:r>
      <w:r w:rsidRPr="001D68BC">
        <w:rPr>
          <w:rFonts w:ascii="Calibri Light" w:hAnsi="Calibri Light" w:cs="Calibri Light"/>
          <w:sz w:val="24"/>
          <w:szCs w:val="24"/>
        </w:rPr>
        <w:t>, 285–296.</w:t>
      </w:r>
    </w:p>
    <w:p w14:paraId="17C391D5"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Dyliaeva, K., Rothman, S., &amp; Ghotbi, N. (2024). Challenges to Inclusive Education for Students With Disabilities in Japanese Higher Education Institutions. </w:t>
      </w:r>
      <w:r w:rsidRPr="001D68BC">
        <w:rPr>
          <w:rFonts w:ascii="Calibri Light" w:hAnsi="Calibri Light" w:cs="Calibri Light"/>
          <w:i/>
          <w:iCs/>
          <w:sz w:val="24"/>
          <w:szCs w:val="24"/>
        </w:rPr>
        <w:t>Higher Learning Research Communications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14</w:t>
      </w:r>
      <w:r w:rsidRPr="001D68BC">
        <w:rPr>
          <w:rFonts w:ascii="Calibri Light" w:hAnsi="Calibri Light" w:cs="Calibri Light"/>
          <w:sz w:val="24"/>
          <w:szCs w:val="24"/>
        </w:rPr>
        <w:t>(1). https://doi.org/10.18870/hlrc.v14i1.1453</w:t>
      </w:r>
    </w:p>
    <w:p w14:paraId="44BE674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Ediyanto, E., Atika, I. N., Kawai, N., &amp; Prabowo, E. (2017). Inclusive Education in Indonesia from The Perspective of Widyaiswara in Center for Development and </w:t>
      </w:r>
      <w:r w:rsidRPr="001D68BC">
        <w:rPr>
          <w:rFonts w:ascii="Calibri Light" w:hAnsi="Calibri Light" w:cs="Calibri Light"/>
          <w:sz w:val="24"/>
          <w:szCs w:val="24"/>
        </w:rPr>
        <w:lastRenderedPageBreak/>
        <w:t xml:space="preserve">Empowerment of Teachers and Education Personnel of Kindergartens and Special Education. </w:t>
      </w:r>
      <w:r w:rsidRPr="001D68BC">
        <w:rPr>
          <w:rFonts w:ascii="Calibri Light" w:hAnsi="Calibri Light" w:cs="Calibri Light"/>
          <w:i/>
          <w:iCs/>
          <w:sz w:val="24"/>
          <w:szCs w:val="24"/>
        </w:rPr>
        <w:t>Indonesian Journal of Disability Studies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4</w:t>
      </w:r>
      <w:r w:rsidRPr="001D68BC">
        <w:rPr>
          <w:rFonts w:ascii="Calibri Light" w:hAnsi="Calibri Light" w:cs="Calibri Light"/>
          <w:sz w:val="24"/>
          <w:szCs w:val="24"/>
        </w:rPr>
        <w:t>(2), 104–116. https://doi.org/10.21776/ub.ijds.2017.4.2.3</w:t>
      </w:r>
    </w:p>
    <w:p w14:paraId="578CF2E5"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Efendi, M. (2018). The implementation of inclusive education in Indonesia for children with special needs: Expectation and reality. </w:t>
      </w:r>
      <w:r w:rsidRPr="001D68BC">
        <w:rPr>
          <w:rFonts w:ascii="Calibri Light" w:hAnsi="Calibri Light" w:cs="Calibri Light"/>
          <w:i/>
          <w:iCs/>
          <w:sz w:val="24"/>
          <w:szCs w:val="24"/>
        </w:rPr>
        <w:t>Journal of ICSAR</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(2), 142–147.</w:t>
      </w:r>
    </w:p>
    <w:p w14:paraId="554F2EC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Efendi, M., Pradipta, R. F., Dewantoro, D. A., Ummah, U. S., Ediyanto, E., &amp; Yasin, M. H. M. (2022). Inclusive Education for Student with Special Needs at Indonesian Public Schools. </w:t>
      </w:r>
      <w:r w:rsidRPr="001D68BC">
        <w:rPr>
          <w:rFonts w:ascii="Calibri Light" w:hAnsi="Calibri Light" w:cs="Calibri Light"/>
          <w:i/>
          <w:iCs/>
          <w:sz w:val="24"/>
          <w:szCs w:val="24"/>
        </w:rPr>
        <w:t>International Journal of Instruction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15</w:t>
      </w:r>
      <w:r w:rsidRPr="001D68BC">
        <w:rPr>
          <w:rFonts w:ascii="Calibri Light" w:hAnsi="Calibri Light" w:cs="Calibri Light"/>
          <w:sz w:val="24"/>
          <w:szCs w:val="24"/>
        </w:rPr>
        <w:t>(2), 967–980.</w:t>
      </w:r>
    </w:p>
    <w:p w14:paraId="59C3791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Elvira, E., Setyawan, H., Sulistiyo, S., Sabariah, S., Rufii, R., Harmanto, H., Safrudin, S., Nurkadri, N., Gontara, S. Y., Arien, W., Susanto, S., &amp; Pavlović, R. (2024). Legal policy analysis of inclusive schools in Physical Education (pe): Human resources and infrastructure challenges for students with special needs. </w:t>
      </w:r>
      <w:r w:rsidRPr="001D68BC">
        <w:rPr>
          <w:rFonts w:ascii="Calibri Light" w:hAnsi="Calibri Light" w:cs="Calibri Light"/>
          <w:i/>
          <w:iCs/>
          <w:sz w:val="24"/>
          <w:szCs w:val="24"/>
        </w:rPr>
        <w:t>Retos: Nuevas Tendencias En Educación Física, Deporte y Recreación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61</w:t>
      </w:r>
      <w:r w:rsidRPr="001D68BC">
        <w:rPr>
          <w:rFonts w:ascii="Calibri Light" w:hAnsi="Calibri Light" w:cs="Calibri Light"/>
          <w:sz w:val="24"/>
          <w:szCs w:val="24"/>
        </w:rPr>
        <w:t>, 1371–1383.</w:t>
      </w:r>
    </w:p>
    <w:p w14:paraId="3B09428B"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Emilyana, R., Sukristyanto, A., &amp; Widodo, J. (2024). Policy Evaluation of Inclusive Education Implementation at SD Negeri Murung Sari 5 Amuntai, Hulu Sungai Utara Regency, South Kalimantan Province. </w:t>
      </w:r>
      <w:r w:rsidRPr="001D68BC">
        <w:rPr>
          <w:rFonts w:ascii="Calibri Light" w:hAnsi="Calibri Light" w:cs="Calibri Light"/>
          <w:i/>
          <w:iCs/>
          <w:sz w:val="24"/>
          <w:szCs w:val="24"/>
        </w:rPr>
        <w:t>Jurnal Syntax Admiration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5</w:t>
      </w:r>
      <w:r w:rsidRPr="001D68BC">
        <w:rPr>
          <w:rFonts w:ascii="Calibri Light" w:hAnsi="Calibri Light" w:cs="Calibri Light"/>
          <w:sz w:val="24"/>
          <w:szCs w:val="24"/>
        </w:rPr>
        <w:t>(1), 82–90.</w:t>
      </w:r>
    </w:p>
    <w:p w14:paraId="6D4AAA81"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Ensimau, N. K., Hamzah, M. I., &amp; Yassin, M. H. M. (2022). </w:t>
      </w:r>
      <w:r w:rsidRPr="001D68BC">
        <w:rPr>
          <w:rFonts w:ascii="Calibri Light" w:hAnsi="Calibri Light" w:cs="Calibri Light"/>
          <w:i/>
          <w:iCs/>
          <w:sz w:val="24"/>
          <w:szCs w:val="24"/>
        </w:rPr>
        <w:t>Zero Reject Policy: A New Pathway of Inclusive Education in Malaysia</w:t>
      </w:r>
      <w:r w:rsidRPr="001D68BC">
        <w:rPr>
          <w:rFonts w:ascii="Calibri Light" w:hAnsi="Calibri Light" w:cs="Calibri Light"/>
          <w:sz w:val="24"/>
          <w:szCs w:val="24"/>
        </w:rPr>
        <w:t>. 3–14. https://doi.org/10.2991/978-2-494069-33-6_2</w:t>
      </w:r>
    </w:p>
    <w:p w14:paraId="647C1929"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Fahruddin, A., &amp; Alfiyatin, Y. (2024). Inclusive Campus Education: Building Accessibility and Quality for All Students at IAI Al-Khairat Pamekasan. </w:t>
      </w:r>
      <w:r w:rsidRPr="001D68BC">
        <w:rPr>
          <w:rFonts w:ascii="Calibri Light" w:hAnsi="Calibri Light" w:cs="Calibri Light"/>
          <w:i/>
          <w:iCs/>
          <w:sz w:val="24"/>
          <w:szCs w:val="24"/>
        </w:rPr>
        <w:t>SABILUNA Journal: Education and Management</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(1), 24–36.</w:t>
      </w:r>
    </w:p>
    <w:p w14:paraId="07DE354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Fajarwati, D. D. (2017). </w:t>
      </w:r>
      <w:r w:rsidRPr="001D68BC">
        <w:rPr>
          <w:rFonts w:ascii="Calibri Light" w:hAnsi="Calibri Light" w:cs="Calibri Light"/>
          <w:i/>
          <w:iCs/>
          <w:sz w:val="24"/>
          <w:szCs w:val="24"/>
        </w:rPr>
        <w:t>Implementation of School Management Inclusive Education Institutions</w:t>
      </w:r>
      <w:r w:rsidRPr="001D68BC">
        <w:rPr>
          <w:rFonts w:ascii="Calibri Light" w:hAnsi="Calibri Light" w:cs="Calibri Light"/>
          <w:sz w:val="24"/>
          <w:szCs w:val="24"/>
        </w:rPr>
        <w:t>. 85–91. https://doi.org/10.2991/coema-17.2017.15</w:t>
      </w:r>
    </w:p>
    <w:p w14:paraId="72AFAB0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Faragher, R., Chen, M., Miranda, L., Poon, K., Rumiati, Chang, F.-R., &amp; Chen, H. (2021). Inclusive Education in Asia: Insights From Some Country Case Studies. </w:t>
      </w:r>
      <w:r w:rsidRPr="001D68BC">
        <w:rPr>
          <w:rFonts w:ascii="Calibri Light" w:hAnsi="Calibri Light" w:cs="Calibri Light"/>
          <w:i/>
          <w:iCs/>
          <w:sz w:val="24"/>
          <w:szCs w:val="24"/>
        </w:rPr>
        <w:t>Journal of Policy and Practice in Intellectual Disabilities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18</w:t>
      </w:r>
      <w:r w:rsidRPr="001D68BC">
        <w:rPr>
          <w:rFonts w:ascii="Calibri Light" w:hAnsi="Calibri Light" w:cs="Calibri Light"/>
          <w:sz w:val="24"/>
          <w:szCs w:val="24"/>
        </w:rPr>
        <w:t>(1), 23–35. https://doi.org/10.1111/jppi.12369</w:t>
      </w:r>
    </w:p>
    <w:p w14:paraId="5841268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Fasha, A. F., &amp; Widowati, N. (2017). Evaluasi Kebijakan Penyelenggaraan Pendidikan Inklusif Tingkat Sekolah Dasar di Kecamatan Koja Jakarta Utara (Studi pada Sdn Tugu Utara 11). </w:t>
      </w:r>
      <w:r w:rsidRPr="001D68BC">
        <w:rPr>
          <w:rFonts w:ascii="Calibri Light" w:hAnsi="Calibri Light" w:cs="Calibri Light"/>
          <w:i/>
          <w:iCs/>
          <w:sz w:val="24"/>
          <w:szCs w:val="24"/>
        </w:rPr>
        <w:t>Journal of Public Policy and Management Review</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6</w:t>
      </w:r>
      <w:r w:rsidRPr="001D68BC">
        <w:rPr>
          <w:rFonts w:ascii="Calibri Light" w:hAnsi="Calibri Light" w:cs="Calibri Light"/>
          <w:sz w:val="24"/>
          <w:szCs w:val="24"/>
        </w:rPr>
        <w:t>(4), 300–311.</w:t>
      </w:r>
    </w:p>
    <w:p w14:paraId="566ED92F"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Fatimah, S., Fauziah, M., Sukataman, S., &amp; Najitama, F. (2024). Exploring The Challenges And Strategies Of Inclusive Education For Sustainable Development: A Mixed Method Of Inclusive Elementary Schools In Indonesia. </w:t>
      </w:r>
      <w:r w:rsidRPr="001D68BC">
        <w:rPr>
          <w:rFonts w:ascii="Calibri Light" w:hAnsi="Calibri Light" w:cs="Calibri Light"/>
          <w:i/>
          <w:iCs/>
          <w:sz w:val="24"/>
          <w:szCs w:val="24"/>
        </w:rPr>
        <w:t>Kyzylorda Scholarly Review</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(1), Article 1.</w:t>
      </w:r>
    </w:p>
    <w:p w14:paraId="758ED45C"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Ferizaldi, F., &amp; Fazlina, F. (2020). Implementasi Program Pendidikan Inklusif di Kabupaten Bireuen. </w:t>
      </w:r>
      <w:r w:rsidRPr="001D68BC">
        <w:rPr>
          <w:rFonts w:ascii="Calibri Light" w:hAnsi="Calibri Light" w:cs="Calibri Light"/>
          <w:i/>
          <w:iCs/>
          <w:sz w:val="24"/>
          <w:szCs w:val="24"/>
        </w:rPr>
        <w:t>Asia-Pacific Journal of Public Policy</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6</w:t>
      </w:r>
      <w:r w:rsidRPr="001D68BC">
        <w:rPr>
          <w:rFonts w:ascii="Calibri Light" w:hAnsi="Calibri Light" w:cs="Calibri Light"/>
          <w:sz w:val="24"/>
          <w:szCs w:val="24"/>
        </w:rPr>
        <w:t>(2), 150=160.</w:t>
      </w:r>
    </w:p>
    <w:p w14:paraId="0375CA08"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Fionita, W., &amp; Nurjannah, E. (2024). Implementasi Pendidikan Inklusif Sebagai Perubahan Paradigma Pendidikan Di Indonesia. </w:t>
      </w:r>
      <w:r w:rsidRPr="001D68BC">
        <w:rPr>
          <w:rFonts w:ascii="Calibri Light" w:hAnsi="Calibri Light" w:cs="Calibri Light"/>
          <w:i/>
          <w:iCs/>
          <w:sz w:val="24"/>
          <w:szCs w:val="24"/>
        </w:rPr>
        <w:t>Jurnal Bintang Pendidikan Indonesia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(2), 302–311.</w:t>
      </w:r>
    </w:p>
    <w:p w14:paraId="58D44B14"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Florian, L. (2008). INCLUSION: Special or inclusive education: future trends. </w:t>
      </w:r>
      <w:r w:rsidRPr="001D68BC">
        <w:rPr>
          <w:rFonts w:ascii="Calibri Light" w:hAnsi="Calibri Light" w:cs="Calibri Light"/>
          <w:i/>
          <w:iCs/>
          <w:sz w:val="24"/>
          <w:szCs w:val="24"/>
        </w:rPr>
        <w:t>British Journal of Special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35</w:t>
      </w:r>
      <w:r w:rsidRPr="001D68BC">
        <w:rPr>
          <w:rFonts w:ascii="Calibri Light" w:hAnsi="Calibri Light" w:cs="Calibri Light"/>
          <w:sz w:val="24"/>
          <w:szCs w:val="24"/>
        </w:rPr>
        <w:t>(4), 202–208. https://doi.org/10.1111/j.1467-8578.2008.00402.x</w:t>
      </w:r>
    </w:p>
    <w:p w14:paraId="6351249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lastRenderedPageBreak/>
        <w:t xml:space="preserve">Griffioen, D. M. E., Doppenberg, J. J., &amp; Oostdam, R. J. (2018). Are more able students in higher education less easy to satisfy? </w:t>
      </w:r>
      <w:r w:rsidRPr="001D68BC">
        <w:rPr>
          <w:rFonts w:ascii="Calibri Light" w:hAnsi="Calibri Light" w:cs="Calibri Light"/>
          <w:i/>
          <w:iCs/>
          <w:sz w:val="24"/>
          <w:szCs w:val="24"/>
        </w:rPr>
        <w:t>Higher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75</w:t>
      </w:r>
      <w:r w:rsidRPr="001D68BC">
        <w:rPr>
          <w:rFonts w:ascii="Calibri Light" w:hAnsi="Calibri Light" w:cs="Calibri Light"/>
          <w:sz w:val="24"/>
          <w:szCs w:val="24"/>
        </w:rPr>
        <w:t>(5), 891–907. https://doi.org/10.1007/s10734-017-0176-3</w:t>
      </w:r>
    </w:p>
    <w:p w14:paraId="3AF69FE2"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Grynova, M., &amp; Kalinichenko, I. (2018). Trends in inclusive education in the USA and Canada. </w:t>
      </w:r>
      <w:r w:rsidRPr="001D68BC">
        <w:rPr>
          <w:rFonts w:ascii="Calibri Light" w:hAnsi="Calibri Light" w:cs="Calibri Light"/>
          <w:i/>
          <w:iCs/>
          <w:sz w:val="24"/>
          <w:szCs w:val="24"/>
        </w:rPr>
        <w:t>Порівняльна Професійна Педагогіка</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8 (2)</w:t>
      </w:r>
      <w:r w:rsidRPr="001D68BC">
        <w:rPr>
          <w:rFonts w:ascii="Calibri Light" w:hAnsi="Calibri Light" w:cs="Calibri Light"/>
          <w:sz w:val="24"/>
          <w:szCs w:val="24"/>
        </w:rPr>
        <w:t>, 28–34.</w:t>
      </w:r>
    </w:p>
    <w:p w14:paraId="22607CD1"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Gustaman, R., Gandi, A., &amp; Ratnaningsih, N. (2025). Implementasi Pendidikan Inklusif Dalam Mewujudkan Sekolah Ramah Anak. </w:t>
      </w:r>
      <w:r w:rsidRPr="001D68BC">
        <w:rPr>
          <w:rFonts w:ascii="Calibri Light" w:hAnsi="Calibri Light" w:cs="Calibri Light"/>
          <w:i/>
          <w:iCs/>
          <w:sz w:val="24"/>
          <w:szCs w:val="24"/>
        </w:rPr>
        <w:t>Jurnal Education and Development</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13</w:t>
      </w:r>
      <w:r w:rsidRPr="001D68BC">
        <w:rPr>
          <w:rFonts w:ascii="Calibri Light" w:hAnsi="Calibri Light" w:cs="Calibri Light"/>
          <w:sz w:val="24"/>
          <w:szCs w:val="24"/>
        </w:rPr>
        <w:t>(1), 660–666.</w:t>
      </w:r>
    </w:p>
    <w:p w14:paraId="6AA11DFD"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Hadiprayitno, I. I. (2010). Defensive Enforcement: Human Rights in Indonesia. </w:t>
      </w:r>
      <w:r w:rsidRPr="001D68BC">
        <w:rPr>
          <w:rFonts w:ascii="Calibri Light" w:hAnsi="Calibri Light" w:cs="Calibri Light"/>
          <w:i/>
          <w:iCs/>
          <w:sz w:val="24"/>
          <w:szCs w:val="24"/>
        </w:rPr>
        <w:t>Human Rights Review</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11</w:t>
      </w:r>
      <w:r w:rsidRPr="001D68BC">
        <w:rPr>
          <w:rFonts w:ascii="Calibri Light" w:hAnsi="Calibri Light" w:cs="Calibri Light"/>
          <w:sz w:val="24"/>
          <w:szCs w:val="24"/>
        </w:rPr>
        <w:t>(3), 373–399. https://doi.org/10.1007/s12142-009-0143-1</w:t>
      </w:r>
    </w:p>
    <w:p w14:paraId="4208585D"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Hakim, L. (2016). Pemerataan Akses Pendidikan Bagi Rakyat Sesuai Dengan Amanat Undang-Undang Nomor 20 Tahun 2003 Tentang Sistem Pendidikan Nasional. </w:t>
      </w:r>
      <w:r w:rsidRPr="001D68BC">
        <w:rPr>
          <w:rFonts w:ascii="Calibri Light" w:hAnsi="Calibri Light" w:cs="Calibri Light"/>
          <w:i/>
          <w:iCs/>
          <w:sz w:val="24"/>
          <w:szCs w:val="24"/>
        </w:rPr>
        <w:t>EduTech: Jurnal Ilmu Pendidikan Dan Ilmu Sosial</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(1), Article 1. https://doi.org/10.30596/edutech.v2i1.575</w:t>
      </w:r>
    </w:p>
    <w:p w14:paraId="5532BF6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Hakiman, Khuriyah, &amp; Choiriyah, S. (2022). Inclusive Madrasas in Central Java Indonesia: Culture, Policy, and Practices. </w:t>
      </w:r>
      <w:r w:rsidRPr="001D68BC">
        <w:rPr>
          <w:rFonts w:ascii="Calibri Light" w:hAnsi="Calibri Light" w:cs="Calibri Light"/>
          <w:i/>
          <w:iCs/>
          <w:sz w:val="24"/>
          <w:szCs w:val="24"/>
        </w:rPr>
        <w:t>DINIKA : Academic Journal of Islamic Studies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7</w:t>
      </w:r>
      <w:r w:rsidRPr="001D68BC">
        <w:rPr>
          <w:rFonts w:ascii="Calibri Light" w:hAnsi="Calibri Light" w:cs="Calibri Light"/>
          <w:sz w:val="24"/>
          <w:szCs w:val="24"/>
        </w:rPr>
        <w:t>(2), 251–276. https://doi.org/10.22515/dinika.v7i2.6327</w:t>
      </w:r>
    </w:p>
    <w:p w14:paraId="16E4ACA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Haug, P. (2017). Understanding inclusive education: Ideals and reality. </w:t>
      </w:r>
      <w:r w:rsidRPr="001D68BC">
        <w:rPr>
          <w:rFonts w:ascii="Calibri Light" w:hAnsi="Calibri Light" w:cs="Calibri Light"/>
          <w:i/>
          <w:iCs/>
          <w:sz w:val="24"/>
          <w:szCs w:val="24"/>
        </w:rPr>
        <w:t>Scandinavian Journal of Disability Research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19</w:t>
      </w:r>
      <w:r w:rsidRPr="001D68BC">
        <w:rPr>
          <w:rFonts w:ascii="Calibri Light" w:hAnsi="Calibri Light" w:cs="Calibri Light"/>
          <w:sz w:val="24"/>
          <w:szCs w:val="24"/>
        </w:rPr>
        <w:t>(3), 206–217. https://doi.org/10.1080/15017419.2016.1224778</w:t>
      </w:r>
    </w:p>
    <w:p w14:paraId="5DC14AC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Her, T. F. T., &amp; Iles, A. J. a R. (2005). Inclusive Education and Equity in Latin America. In </w:t>
      </w:r>
      <w:r w:rsidRPr="001D68BC">
        <w:rPr>
          <w:rFonts w:ascii="Calibri Light" w:hAnsi="Calibri Light" w:cs="Calibri Light"/>
          <w:i/>
          <w:iCs/>
          <w:sz w:val="24"/>
          <w:szCs w:val="24"/>
        </w:rPr>
        <w:t>Contextualizing Inclusive Education</w:t>
      </w:r>
      <w:r w:rsidRPr="001D68BC">
        <w:rPr>
          <w:rFonts w:ascii="Calibri Light" w:hAnsi="Calibri Light" w:cs="Calibri Light"/>
          <w:sz w:val="24"/>
          <w:szCs w:val="24"/>
        </w:rPr>
        <w:t>. Routledge.</w:t>
      </w:r>
    </w:p>
    <w:p w14:paraId="5B5E9DA4"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Huda, L., &amp; Syihabuddin, M. (2024). Policy Analysis of Inclusive-Based Education: Case Study of UIN Sunan Kalijaga. </w:t>
      </w:r>
      <w:r w:rsidRPr="001D68BC">
        <w:rPr>
          <w:rFonts w:ascii="Calibri Light" w:hAnsi="Calibri Light" w:cs="Calibri Light"/>
          <w:i/>
          <w:iCs/>
          <w:sz w:val="24"/>
          <w:szCs w:val="24"/>
        </w:rPr>
        <w:t>Risalah, Jurnal Pendidikan Dan Studi Islam</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10</w:t>
      </w:r>
      <w:r w:rsidRPr="001D68BC">
        <w:rPr>
          <w:rFonts w:ascii="Calibri Light" w:hAnsi="Calibri Light" w:cs="Calibri Light"/>
          <w:sz w:val="24"/>
          <w:szCs w:val="24"/>
        </w:rPr>
        <w:t>(4), 1625–1635.</w:t>
      </w:r>
    </w:p>
    <w:p w14:paraId="57D2854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Indah, P. (2022). Social discourse in the power of distance learning implementation during the Covid-19 pandemic Wacana sosial dalam kuasa implementasi pembelajaran …. </w:t>
      </w:r>
      <w:r w:rsidRPr="001D68BC">
        <w:rPr>
          <w:rFonts w:ascii="Calibri Light" w:hAnsi="Calibri Light" w:cs="Calibri Light"/>
          <w:i/>
          <w:iCs/>
          <w:sz w:val="24"/>
          <w:szCs w:val="24"/>
        </w:rPr>
        <w:t>Jurnal Sosiologi Dialektika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17</w:t>
      </w:r>
      <w:r w:rsidRPr="001D68BC">
        <w:rPr>
          <w:rFonts w:ascii="Calibri Light" w:hAnsi="Calibri Light" w:cs="Calibri Light"/>
          <w:sz w:val="24"/>
          <w:szCs w:val="24"/>
        </w:rPr>
        <w:t>(1), 50–59.</w:t>
      </w:r>
    </w:p>
    <w:p w14:paraId="424EDEF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Inkiriwang, R. R. (2020). Kewajiban Negara Dalam Penyediaan Fasilitas Pendidikan Kepada Masyarakat Menurut Undang-Undang Nomor 20 Tahun 2003 Tentang Sistem Pendidkan Nasional. </w:t>
      </w:r>
      <w:r w:rsidRPr="001D68BC">
        <w:rPr>
          <w:rFonts w:ascii="Calibri Light" w:hAnsi="Calibri Light" w:cs="Calibri Light"/>
          <w:i/>
          <w:iCs/>
          <w:sz w:val="24"/>
          <w:szCs w:val="24"/>
        </w:rPr>
        <w:t>LEX PRIVATUM</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8</w:t>
      </w:r>
      <w:r w:rsidRPr="001D68BC">
        <w:rPr>
          <w:rFonts w:ascii="Calibri Light" w:hAnsi="Calibri Light" w:cs="Calibri Light"/>
          <w:sz w:val="24"/>
          <w:szCs w:val="24"/>
        </w:rPr>
        <w:t>(2), Article 2.</w:t>
      </w:r>
    </w:p>
    <w:p w14:paraId="66CB6C3C"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Irawati, E., &amp; Susetyo, W. (2017). Implementasi Undang-Undang Nomor 20 Tahun 2003 Tentang Sistem Pendidikan Nasional Di Blitar. </w:t>
      </w:r>
      <w:r w:rsidRPr="001D68BC">
        <w:rPr>
          <w:rFonts w:ascii="Calibri Light" w:hAnsi="Calibri Light" w:cs="Calibri Light"/>
          <w:i/>
          <w:iCs/>
          <w:sz w:val="24"/>
          <w:szCs w:val="24"/>
        </w:rPr>
        <w:t>Jurnal Supremasi</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7</w:t>
      </w:r>
      <w:r w:rsidRPr="001D68BC">
        <w:rPr>
          <w:rFonts w:ascii="Calibri Light" w:hAnsi="Calibri Light" w:cs="Calibri Light"/>
          <w:sz w:val="24"/>
          <w:szCs w:val="24"/>
        </w:rPr>
        <w:t>(1), 32–43. https://doi.org/10.35457/supremasi.v7i1.374</w:t>
      </w:r>
    </w:p>
    <w:p w14:paraId="25042BD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Irmansyah, I., Prasetyo, Y., &amp; Minas, H. (2009). Human rights of persons with mental illness in Indonesia: More than legislation is needed. </w:t>
      </w:r>
      <w:r w:rsidRPr="001D68BC">
        <w:rPr>
          <w:rFonts w:ascii="Calibri Light" w:hAnsi="Calibri Light" w:cs="Calibri Light"/>
          <w:i/>
          <w:iCs/>
          <w:sz w:val="24"/>
          <w:szCs w:val="24"/>
        </w:rPr>
        <w:t>International Journal of Mental Health Systems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w:t>
      </w:r>
      <w:r w:rsidRPr="001D68BC">
        <w:rPr>
          <w:rFonts w:ascii="Calibri Light" w:hAnsi="Calibri Light" w:cs="Calibri Light"/>
          <w:sz w:val="24"/>
          <w:szCs w:val="24"/>
        </w:rPr>
        <w:t>(1), 14. https://doi.org/10.1186/1752-4458-3-14</w:t>
      </w:r>
    </w:p>
    <w:p w14:paraId="2C129C1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Isra, S., Ferdi, F., &amp; Tegnan, H. (2017). Rule of Law and Human Rights Challenges in South East Asia: A Case Study of Legal Pluralism in Indonesia. </w:t>
      </w:r>
      <w:r w:rsidRPr="001D68BC">
        <w:rPr>
          <w:rFonts w:ascii="Calibri Light" w:hAnsi="Calibri Light" w:cs="Calibri Light"/>
          <w:i/>
          <w:iCs/>
          <w:sz w:val="24"/>
          <w:szCs w:val="24"/>
        </w:rPr>
        <w:t>Hasanuddin Law Review</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w:t>
      </w:r>
      <w:r w:rsidRPr="001D68BC">
        <w:rPr>
          <w:rFonts w:ascii="Calibri Light" w:hAnsi="Calibri Light" w:cs="Calibri Light"/>
          <w:sz w:val="24"/>
          <w:szCs w:val="24"/>
        </w:rPr>
        <w:t>(2), Article 2. https://doi.org/10.20956/halrev.v3i2.1081</w:t>
      </w:r>
    </w:p>
    <w:p w14:paraId="60FBE989"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Jannah, I., &amp; Hermanto, H. (2022). Implementation of inclusive education at elementary schools during the Covid-19 pandemic. </w:t>
      </w:r>
      <w:r w:rsidRPr="001D68BC">
        <w:rPr>
          <w:rFonts w:ascii="Calibri Light" w:hAnsi="Calibri Light" w:cs="Calibri Light"/>
          <w:i/>
          <w:iCs/>
          <w:sz w:val="24"/>
          <w:szCs w:val="24"/>
        </w:rPr>
        <w:t>Jurnal Prima Edukasia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10</w:t>
      </w:r>
      <w:r w:rsidRPr="001D68BC">
        <w:rPr>
          <w:rFonts w:ascii="Calibri Light" w:hAnsi="Calibri Light" w:cs="Calibri Light"/>
          <w:sz w:val="24"/>
          <w:szCs w:val="24"/>
        </w:rPr>
        <w:t>(2), 171–179.</w:t>
      </w:r>
    </w:p>
    <w:p w14:paraId="3B3B274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Jannata, T., Sumaryanto, S., Hadi, S., &amp; Setiawan, C. (2024). Implementation of two policies in physical education in Indonesia: Structural equiting model analysis. </w:t>
      </w:r>
      <w:r w:rsidRPr="001D68BC">
        <w:rPr>
          <w:rFonts w:ascii="Calibri Light" w:hAnsi="Calibri Light" w:cs="Calibri Light"/>
          <w:i/>
          <w:iCs/>
          <w:sz w:val="24"/>
          <w:szCs w:val="24"/>
        </w:rPr>
        <w:t>Federación Española de Asociaciones de Docentes de Educación Física (FEADEF)</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57</w:t>
      </w:r>
      <w:r w:rsidRPr="001D68BC">
        <w:rPr>
          <w:rFonts w:ascii="Calibri Light" w:hAnsi="Calibri Light" w:cs="Calibri Light"/>
          <w:sz w:val="24"/>
          <w:szCs w:val="24"/>
        </w:rPr>
        <w:t>(1), 18–24.</w:t>
      </w:r>
    </w:p>
    <w:p w14:paraId="675EA7F5"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lastRenderedPageBreak/>
        <w:t xml:space="preserve">Kaizu, A., &amp; Tamaki, M. (2024). Current Issues and Future Directions of Inclusive Education in Japan. </w:t>
      </w:r>
      <w:r w:rsidRPr="001D68BC">
        <w:rPr>
          <w:rFonts w:ascii="Calibri Light" w:hAnsi="Calibri Light" w:cs="Calibri Light"/>
          <w:i/>
          <w:iCs/>
          <w:sz w:val="24"/>
          <w:szCs w:val="24"/>
        </w:rPr>
        <w:t>Remedial and Special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45</w:t>
      </w:r>
      <w:r w:rsidRPr="001D68BC">
        <w:rPr>
          <w:rFonts w:ascii="Calibri Light" w:hAnsi="Calibri Light" w:cs="Calibri Light"/>
          <w:sz w:val="24"/>
          <w:szCs w:val="24"/>
        </w:rPr>
        <w:t>(6), 369–379. https://doi.org/10.1177/07419325241240061</w:t>
      </w:r>
    </w:p>
    <w:p w14:paraId="355E41B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Kawuryan, S. P., Sayuti, S. A., Aman, &amp; Dwiningrum, S. I. A. (2021). Teachers Quality and Educational Equality Achievements in Indonesia. </w:t>
      </w:r>
      <w:r w:rsidRPr="001D68BC">
        <w:rPr>
          <w:rFonts w:ascii="Calibri Light" w:hAnsi="Calibri Light" w:cs="Calibri Light"/>
          <w:i/>
          <w:iCs/>
          <w:sz w:val="24"/>
          <w:szCs w:val="24"/>
        </w:rPr>
        <w:t>International Journal of Instruction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14</w:t>
      </w:r>
      <w:r w:rsidRPr="001D68BC">
        <w:rPr>
          <w:rFonts w:ascii="Calibri Light" w:hAnsi="Calibri Light" w:cs="Calibri Light"/>
          <w:sz w:val="24"/>
          <w:szCs w:val="24"/>
        </w:rPr>
        <w:t>(2), 811–830.</w:t>
      </w:r>
    </w:p>
    <w:p w14:paraId="7C0AD50D"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Khaerunisa, H. (2023). Pembelajaran Inklusif: Membangun Kesetaraan di Dalam Kelas pada Masa Pencabutan PPKM. </w:t>
      </w:r>
      <w:r w:rsidRPr="001D68BC">
        <w:rPr>
          <w:rFonts w:ascii="Calibri Light" w:hAnsi="Calibri Light" w:cs="Calibri Light"/>
          <w:i/>
          <w:iCs/>
          <w:sz w:val="24"/>
          <w:szCs w:val="24"/>
        </w:rPr>
        <w:t>Karimah Tauhid</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(5), 2234–2244.</w:t>
      </w:r>
    </w:p>
    <w:p w14:paraId="469C44F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Khoiriyah, U., Karwanto, K., Setyowati, S., &amp; Khamidi, A. (2024). Analysis of Inclusive Education Policy Implementation in Developing Countries. </w:t>
      </w:r>
      <w:r w:rsidRPr="001D68BC">
        <w:rPr>
          <w:rFonts w:ascii="Calibri Light" w:hAnsi="Calibri Light" w:cs="Calibri Light"/>
          <w:i/>
          <w:iCs/>
          <w:sz w:val="24"/>
          <w:szCs w:val="24"/>
        </w:rPr>
        <w:t>EDUKASIA: Jurnal Pendidikan Dan Pembelajaran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5</w:t>
      </w:r>
      <w:r w:rsidRPr="001D68BC">
        <w:rPr>
          <w:rFonts w:ascii="Calibri Light" w:hAnsi="Calibri Light" w:cs="Calibri Light"/>
          <w:sz w:val="24"/>
          <w:szCs w:val="24"/>
        </w:rPr>
        <w:t>(1), 851–858.</w:t>
      </w:r>
    </w:p>
    <w:p w14:paraId="740D96B5"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Khunaifi, A. Y., &amp; Matlani, M. (2019a). Analisis Kritis Undang-Undang Sisdiknas Nomor 20 Tahun 2003. </w:t>
      </w:r>
      <w:r w:rsidRPr="001D68BC">
        <w:rPr>
          <w:rFonts w:ascii="Calibri Light" w:hAnsi="Calibri Light" w:cs="Calibri Light"/>
          <w:i/>
          <w:iCs/>
          <w:sz w:val="24"/>
          <w:szCs w:val="24"/>
        </w:rPr>
        <w:t>Jurnal Ilmiah Iqra’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13</w:t>
      </w:r>
      <w:r w:rsidRPr="001D68BC">
        <w:rPr>
          <w:rFonts w:ascii="Calibri Light" w:hAnsi="Calibri Light" w:cs="Calibri Light"/>
          <w:sz w:val="24"/>
          <w:szCs w:val="24"/>
        </w:rPr>
        <w:t>(2), Article 2. https://doi.org/10.30984/jii.v13i2.972</w:t>
      </w:r>
    </w:p>
    <w:p w14:paraId="485B90B2"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Khunaifi, A. Y., &amp; Matlani, M. (2019b). Analisis Kritis Undang-Undang Sisdiknas Nomor 20 Tahun 2003. </w:t>
      </w:r>
      <w:r w:rsidRPr="001D68BC">
        <w:rPr>
          <w:rFonts w:ascii="Calibri Light" w:hAnsi="Calibri Light" w:cs="Calibri Light"/>
          <w:i/>
          <w:iCs/>
          <w:sz w:val="24"/>
          <w:szCs w:val="24"/>
        </w:rPr>
        <w:t>Jurnal Ilmiah Iqra’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13</w:t>
      </w:r>
      <w:r w:rsidRPr="001D68BC">
        <w:rPr>
          <w:rFonts w:ascii="Calibri Light" w:hAnsi="Calibri Light" w:cs="Calibri Light"/>
          <w:sz w:val="24"/>
          <w:szCs w:val="24"/>
        </w:rPr>
        <w:t>(2), Article 2. https://doi.org/10.30984/jii.v13i2.972</w:t>
      </w:r>
    </w:p>
    <w:p w14:paraId="7BCAC8B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Kurniawati, F. (2021). Exploring teachers’ inclusive education strategies in rural Indonesian primary schools. </w:t>
      </w:r>
      <w:r w:rsidRPr="001D68BC">
        <w:rPr>
          <w:rFonts w:ascii="Calibri Light" w:hAnsi="Calibri Light" w:cs="Calibri Light"/>
          <w:i/>
          <w:iCs/>
          <w:sz w:val="24"/>
          <w:szCs w:val="24"/>
        </w:rPr>
        <w:t>Educational Research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63</w:t>
      </w:r>
      <w:r w:rsidRPr="001D68BC">
        <w:rPr>
          <w:rFonts w:ascii="Calibri Light" w:hAnsi="Calibri Light" w:cs="Calibri Light"/>
          <w:sz w:val="24"/>
          <w:szCs w:val="24"/>
        </w:rPr>
        <w:t>(2), 198–211. https://doi.org/10.1080/00131881.2021.1915698</w:t>
      </w:r>
    </w:p>
    <w:p w14:paraId="2D82FC55"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Kusters, J., Millner, M. A., Omelyanovskaya, K., Tangerli, M. M., Laszewska, A., &amp; van Kessel, R. (2021). Addressing ableism in inclusive education policies: A policy brief outlining Italy, Poland, the Netherlands and the United Kingdom. </w:t>
      </w:r>
      <w:r w:rsidRPr="001D68BC">
        <w:rPr>
          <w:rFonts w:ascii="Calibri Light" w:hAnsi="Calibri Light" w:cs="Calibri Light"/>
          <w:i/>
          <w:iCs/>
          <w:sz w:val="24"/>
          <w:szCs w:val="24"/>
        </w:rPr>
        <w:t>South Eastern European Journal of Public Health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w:t>
      </w:r>
      <w:r w:rsidRPr="001D68BC">
        <w:rPr>
          <w:rFonts w:ascii="Calibri Light" w:hAnsi="Calibri Light" w:cs="Calibri Light"/>
          <w:sz w:val="24"/>
          <w:szCs w:val="24"/>
        </w:rPr>
        <w:t>(1), 1–11.</w:t>
      </w:r>
    </w:p>
    <w:p w14:paraId="1517196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Kustulasari, A. (2009). </w:t>
      </w:r>
      <w:r w:rsidRPr="001D68BC">
        <w:rPr>
          <w:rFonts w:ascii="Calibri Light" w:hAnsi="Calibri Light" w:cs="Calibri Light"/>
          <w:i/>
          <w:iCs/>
          <w:sz w:val="24"/>
          <w:szCs w:val="24"/>
        </w:rPr>
        <w:t>The International Standard School Project in Indonesia: A Policy Document Analysis</w:t>
      </w:r>
      <w:r w:rsidRPr="001D68BC">
        <w:rPr>
          <w:rFonts w:ascii="Calibri Light" w:hAnsi="Calibri Light" w:cs="Calibri Light"/>
          <w:sz w:val="24"/>
          <w:szCs w:val="24"/>
        </w:rPr>
        <w:t xml:space="preserve"> [The Ohio State University]. https://etd.ohiolink.edu/acprod/odb_etd/etd/r/1501/10?clear=10&amp;p10_accession_num=osu1242851740</w:t>
      </w:r>
    </w:p>
    <w:p w14:paraId="32374E8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Lahesti, E., Akhyary, E., &amp; Hendrayady, A. (2023). Implementasi Kebijakan Pendidikan Inklusif: Studi Kasus SMP Negeri 15 Tanjungpinang. </w:t>
      </w:r>
      <w:r w:rsidRPr="001D68BC">
        <w:rPr>
          <w:rFonts w:ascii="Calibri Light" w:hAnsi="Calibri Light" w:cs="Calibri Light"/>
          <w:i/>
          <w:iCs/>
          <w:sz w:val="24"/>
          <w:szCs w:val="24"/>
        </w:rPr>
        <w:t>Eksekusi: Jurnal Ilmu Hukum Dan Administrasi Negara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(3), 250–262.</w:t>
      </w:r>
    </w:p>
    <w:p w14:paraId="0ECD5CE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Lempinen, S. (2017). Towards inclusive schooling policies in Finland: A multiple-case study from policy to practice. </w:t>
      </w:r>
      <w:r w:rsidRPr="001D68BC">
        <w:rPr>
          <w:rFonts w:ascii="Calibri Light" w:hAnsi="Calibri Light" w:cs="Calibri Light"/>
          <w:i/>
          <w:iCs/>
          <w:sz w:val="24"/>
          <w:szCs w:val="24"/>
        </w:rPr>
        <w:t>Scandinavian Journal of Disability Research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19</w:t>
      </w:r>
      <w:r w:rsidRPr="001D68BC">
        <w:rPr>
          <w:rFonts w:ascii="Calibri Light" w:hAnsi="Calibri Light" w:cs="Calibri Light"/>
          <w:sz w:val="24"/>
          <w:szCs w:val="24"/>
        </w:rPr>
        <w:t>(3), 194–205. https://doi.org/10.1080/15017419.2016.1182942</w:t>
      </w:r>
    </w:p>
    <w:p w14:paraId="7771D00C"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Lestari, N., Widiyarti, G., Siregar, N., &amp; Sari, D. N. (2024). Challenges and Solutions in Implementing Inclusive Education at UPT State Elementary School 067250 Medan. </w:t>
      </w:r>
      <w:r w:rsidRPr="001D68BC">
        <w:rPr>
          <w:rFonts w:ascii="Calibri Light" w:hAnsi="Calibri Light" w:cs="Calibri Light"/>
          <w:i/>
          <w:iCs/>
          <w:sz w:val="24"/>
          <w:szCs w:val="24"/>
        </w:rPr>
        <w:t>Jurnal Ilmiah Teunuleh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5</w:t>
      </w:r>
      <w:r w:rsidRPr="001D68BC">
        <w:rPr>
          <w:rFonts w:ascii="Calibri Light" w:hAnsi="Calibri Light" w:cs="Calibri Light"/>
          <w:sz w:val="24"/>
          <w:szCs w:val="24"/>
        </w:rPr>
        <w:t>(3), 153–161.</w:t>
      </w:r>
    </w:p>
    <w:p w14:paraId="64475D29"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Lindsay, G. (2003). Inclusive education: A critical perspective. </w:t>
      </w:r>
      <w:r w:rsidRPr="001D68BC">
        <w:rPr>
          <w:rFonts w:ascii="Calibri Light" w:hAnsi="Calibri Light" w:cs="Calibri Light"/>
          <w:i/>
          <w:iCs/>
          <w:sz w:val="24"/>
          <w:szCs w:val="24"/>
        </w:rPr>
        <w:t>British Journal of Special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30</w:t>
      </w:r>
      <w:r w:rsidRPr="001D68BC">
        <w:rPr>
          <w:rFonts w:ascii="Calibri Light" w:hAnsi="Calibri Light" w:cs="Calibri Light"/>
          <w:sz w:val="24"/>
          <w:szCs w:val="24"/>
        </w:rPr>
        <w:t>(1), 3–12. https://doi.org/10.1111/1467-8527.00275</w:t>
      </w:r>
    </w:p>
    <w:p w14:paraId="20CDD10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Linh, P., &amp; Azar, A. (2019). A comparative study of the inclusive education policy in Vietnam and Malaysia: Proposed solutions for sustainable development education in Vietnam. </w:t>
      </w:r>
      <w:r w:rsidRPr="001D68BC">
        <w:rPr>
          <w:rFonts w:ascii="Calibri Light" w:hAnsi="Calibri Light" w:cs="Calibri Light"/>
          <w:i/>
          <w:iCs/>
          <w:sz w:val="24"/>
          <w:szCs w:val="24"/>
        </w:rPr>
        <w:t>Education Quarterly Reviews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(3), 539–550.</w:t>
      </w:r>
    </w:p>
    <w:p w14:paraId="12D8B8EF"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Little, C., DeLeeuw, R., Andriana, E., &amp; ... (2022). Social inclusion through the eyes of the student: Perspectives from students with disabilities on friendship and acceptance. </w:t>
      </w:r>
      <w:r w:rsidRPr="001D68BC">
        <w:rPr>
          <w:rFonts w:ascii="Calibri Light" w:hAnsi="Calibri Light" w:cs="Calibri Light"/>
          <w:i/>
          <w:iCs/>
          <w:sz w:val="24"/>
          <w:szCs w:val="24"/>
        </w:rPr>
        <w:lastRenderedPageBreak/>
        <w:t>International Journal of Disability Development and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69</w:t>
      </w:r>
      <w:r w:rsidRPr="001D68BC">
        <w:rPr>
          <w:rFonts w:ascii="Calibri Light" w:hAnsi="Calibri Light" w:cs="Calibri Light"/>
          <w:sz w:val="24"/>
          <w:szCs w:val="24"/>
        </w:rPr>
        <w:t>(6), 2074–2093. https://doi.org/10.1080/1034912X.2020.1837352</w:t>
      </w:r>
    </w:p>
    <w:p w14:paraId="1F3B75E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Loganathan, T., Chan, Z. X., Hassan, F., Ong, Z. L., &amp; Majid, H. A. (2022). Undocumented: An examination of legal identity and education provision for children in Malaysia. </w:t>
      </w:r>
      <w:r w:rsidRPr="001D68BC">
        <w:rPr>
          <w:rFonts w:ascii="Calibri Light" w:hAnsi="Calibri Light" w:cs="Calibri Light"/>
          <w:i/>
          <w:iCs/>
          <w:sz w:val="24"/>
          <w:szCs w:val="24"/>
        </w:rPr>
        <w:t>PLOS ONE</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17</w:t>
      </w:r>
      <w:r w:rsidRPr="001D68BC">
        <w:rPr>
          <w:rFonts w:ascii="Calibri Light" w:hAnsi="Calibri Light" w:cs="Calibri Light"/>
          <w:sz w:val="24"/>
          <w:szCs w:val="24"/>
        </w:rPr>
        <w:t>(2), e0263404. https://doi.org/10.1371/journal.pone.0263404</w:t>
      </w:r>
    </w:p>
    <w:p w14:paraId="4727DB6A"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Mansur, H., Utama, A. H., Mohd Yasin, M. H., Sari, N. P., Jamaludin, K. A., &amp; Pinandhita, F. (2023). Development of Inclusive Education Learning Design in the Era of Society 5.0. </w:t>
      </w:r>
      <w:r w:rsidRPr="001D68BC">
        <w:rPr>
          <w:rFonts w:ascii="Calibri Light" w:hAnsi="Calibri Light" w:cs="Calibri Light"/>
          <w:i/>
          <w:iCs/>
          <w:sz w:val="24"/>
          <w:szCs w:val="24"/>
        </w:rPr>
        <w:t>Social Sciences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12</w:t>
      </w:r>
      <w:r w:rsidRPr="001D68BC">
        <w:rPr>
          <w:rFonts w:ascii="Calibri Light" w:hAnsi="Calibri Light" w:cs="Calibri Light"/>
          <w:sz w:val="24"/>
          <w:szCs w:val="24"/>
        </w:rPr>
        <w:t>(1), Article 1. https://doi.org/10.3390/socsci12010035</w:t>
      </w:r>
    </w:p>
    <w:p w14:paraId="5F1954F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Maulida, S., Maesaroh, M., &amp; Widowati, N. (2023). Implementasi perwal no. 76 tahun 2020 tentang penyelenggaraan pendidikan inklusif di SD negeri pekunden kota semarang. </w:t>
      </w:r>
      <w:r w:rsidRPr="001D68BC">
        <w:rPr>
          <w:rFonts w:ascii="Calibri Light" w:hAnsi="Calibri Light" w:cs="Calibri Light"/>
          <w:i/>
          <w:iCs/>
          <w:sz w:val="24"/>
          <w:szCs w:val="24"/>
        </w:rPr>
        <w:t>Journal of Public Policy and Management Review</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12</w:t>
      </w:r>
      <w:r w:rsidRPr="001D68BC">
        <w:rPr>
          <w:rFonts w:ascii="Calibri Light" w:hAnsi="Calibri Light" w:cs="Calibri Light"/>
          <w:sz w:val="24"/>
          <w:szCs w:val="24"/>
        </w:rPr>
        <w:t>(2), 188–204.</w:t>
      </w:r>
    </w:p>
    <w:p w14:paraId="69DC5673"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Melinda, R., Suriansyah, A., &amp; Refianti, W. (2025). Pendidikan Inklusif: Tantangan dan Peluang dalam Implementasinya di Indonesia. </w:t>
      </w:r>
      <w:r w:rsidRPr="001D68BC">
        <w:rPr>
          <w:rFonts w:ascii="Calibri Light" w:hAnsi="Calibri Light" w:cs="Calibri Light"/>
          <w:i/>
          <w:iCs/>
          <w:sz w:val="24"/>
          <w:szCs w:val="24"/>
        </w:rPr>
        <w:t>Harmoni Pendidikan : Jurnal Ilmu Pendidikan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(1), 337–343.</w:t>
      </w:r>
    </w:p>
    <w:p w14:paraId="44ED5CC2"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Messiou, K. (2017). Research in the field of inclusive education: Time for a rethink?*. </w:t>
      </w:r>
      <w:r w:rsidRPr="001D68BC">
        <w:rPr>
          <w:rFonts w:ascii="Calibri Light" w:hAnsi="Calibri Light" w:cs="Calibri Light"/>
          <w:i/>
          <w:iCs/>
          <w:sz w:val="24"/>
          <w:szCs w:val="24"/>
        </w:rPr>
        <w:t>International Journal of Inclusive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21</w:t>
      </w:r>
      <w:r w:rsidRPr="001D68BC">
        <w:rPr>
          <w:rFonts w:ascii="Calibri Light" w:hAnsi="Calibri Light" w:cs="Calibri Light"/>
          <w:sz w:val="24"/>
          <w:szCs w:val="24"/>
        </w:rPr>
        <w:t>(2), 146–159. https://doi.org/10.1080/13603116.2016.1223184</w:t>
      </w:r>
    </w:p>
    <w:p w14:paraId="610C564A"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Moberg, S., Muta, E., Korenaga, K., Kuorelahti, M., &amp; Savolainen, H. (2020). Struggling for inclusive education in Japan and Finland: Teachers’ attitudes towards inclusive education. </w:t>
      </w:r>
      <w:r w:rsidRPr="001D68BC">
        <w:rPr>
          <w:rFonts w:ascii="Calibri Light" w:hAnsi="Calibri Light" w:cs="Calibri Light"/>
          <w:i/>
          <w:iCs/>
          <w:sz w:val="24"/>
          <w:szCs w:val="24"/>
        </w:rPr>
        <w:t>European Journal of Special Needs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35</w:t>
      </w:r>
      <w:r w:rsidRPr="001D68BC">
        <w:rPr>
          <w:rFonts w:ascii="Calibri Light" w:hAnsi="Calibri Light" w:cs="Calibri Light"/>
          <w:sz w:val="24"/>
          <w:szCs w:val="24"/>
        </w:rPr>
        <w:t>(1), 100–114. https://doi.org/10.1080/08856257.2019.1615800</w:t>
      </w:r>
    </w:p>
    <w:p w14:paraId="3157509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Mudjito, A. K., Sujarwanto, &amp; Ashar, M. N. (2017). </w:t>
      </w:r>
      <w:r w:rsidRPr="001D68BC">
        <w:rPr>
          <w:rFonts w:ascii="Calibri Light" w:hAnsi="Calibri Light" w:cs="Calibri Light"/>
          <w:i/>
          <w:iCs/>
          <w:sz w:val="24"/>
          <w:szCs w:val="24"/>
        </w:rPr>
        <w:t>Management of Inclusive School Curriculum in Indonesia</w:t>
      </w:r>
      <w:r w:rsidRPr="001D68BC">
        <w:rPr>
          <w:rFonts w:ascii="Calibri Light" w:hAnsi="Calibri Light" w:cs="Calibri Light"/>
          <w:sz w:val="24"/>
          <w:szCs w:val="24"/>
        </w:rPr>
        <w:t>. 280–285. https://doi.org/10.2991/icset-17.2017.46</w:t>
      </w:r>
    </w:p>
    <w:p w14:paraId="7DBB866C"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Mukminin, A., Habibi, A., Prasojo, L. D., Idi, A., &amp; Hamidah, A. (2019). Curriculum reform in Indonesia: Moving from an exclusive to inclusive curriculum. </w:t>
      </w:r>
      <w:r w:rsidRPr="001D68BC">
        <w:rPr>
          <w:rFonts w:ascii="Calibri Light" w:hAnsi="Calibri Light" w:cs="Calibri Light"/>
          <w:i/>
          <w:iCs/>
          <w:sz w:val="24"/>
          <w:szCs w:val="24"/>
        </w:rPr>
        <w:t>CEPS Journal</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9</w:t>
      </w:r>
      <w:r w:rsidRPr="001D68BC">
        <w:rPr>
          <w:rFonts w:ascii="Calibri Light" w:hAnsi="Calibri Light" w:cs="Calibri Light"/>
          <w:sz w:val="24"/>
          <w:szCs w:val="24"/>
        </w:rPr>
        <w:t>(2), 53–72.</w:t>
      </w:r>
    </w:p>
    <w:p w14:paraId="1E20C7B6"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Mulyadi, A. W. E. (2017). Policy of Inclusive Education for Education for All in Indonesia. </w:t>
      </w:r>
      <w:r w:rsidRPr="001D68BC">
        <w:rPr>
          <w:rFonts w:ascii="Calibri Light" w:hAnsi="Calibri Light" w:cs="Calibri Light"/>
          <w:i/>
          <w:iCs/>
          <w:sz w:val="24"/>
          <w:szCs w:val="24"/>
        </w:rPr>
        <w:t>Policy &amp; Governance Review</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(3), Article 3. https://doi.org/10.30589/pgr.v1i3.57</w:t>
      </w:r>
    </w:p>
    <w:p w14:paraId="6A9A48F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Munajah, R., Marini, A., &amp; Sumantri, M. (2021). Implementasi Kebijakan Pendidikan Inklusi di Sekolah Dasar. </w:t>
      </w:r>
      <w:r w:rsidRPr="001D68BC">
        <w:rPr>
          <w:rFonts w:ascii="Calibri Light" w:hAnsi="Calibri Light" w:cs="Calibri Light"/>
          <w:i/>
          <w:iCs/>
          <w:sz w:val="24"/>
          <w:szCs w:val="24"/>
        </w:rPr>
        <w:t>Jurnal Basicedu</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5</w:t>
      </w:r>
      <w:r w:rsidRPr="001D68BC">
        <w:rPr>
          <w:rFonts w:ascii="Calibri Light" w:hAnsi="Calibri Light" w:cs="Calibri Light"/>
          <w:sz w:val="24"/>
          <w:szCs w:val="24"/>
        </w:rPr>
        <w:t>(1), 1183–1190.</w:t>
      </w:r>
    </w:p>
    <w:p w14:paraId="3BED0564"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Nagano, M., &amp; Weinberg, L. A. (2012). The Legal Framework for Inclusion of Students with Disabilities: A Comparative Analysis of Japan and the United States. </w:t>
      </w:r>
      <w:r w:rsidRPr="001D68BC">
        <w:rPr>
          <w:rFonts w:ascii="Calibri Light" w:hAnsi="Calibri Light" w:cs="Calibri Light"/>
          <w:i/>
          <w:iCs/>
          <w:sz w:val="24"/>
          <w:szCs w:val="24"/>
        </w:rPr>
        <w:t>International Journal of Special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27</w:t>
      </w:r>
      <w:r w:rsidRPr="001D68BC">
        <w:rPr>
          <w:rFonts w:ascii="Calibri Light" w:hAnsi="Calibri Light" w:cs="Calibri Light"/>
          <w:sz w:val="24"/>
          <w:szCs w:val="24"/>
        </w:rPr>
        <w:t>(1), 128–143.</w:t>
      </w:r>
    </w:p>
    <w:p w14:paraId="0EF49DE1"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Nasir, N., Abubakar, A., Rasid, R., Fatmawati, T., &amp; Bagea, I. (2025). Inclusive Education in the Merdeka Belajar Era: Lessons from Focus Group Discussions. </w:t>
      </w:r>
      <w:r w:rsidRPr="001D68BC">
        <w:rPr>
          <w:rFonts w:ascii="Calibri Light" w:hAnsi="Calibri Light" w:cs="Calibri Light"/>
          <w:i/>
          <w:iCs/>
          <w:sz w:val="24"/>
          <w:szCs w:val="24"/>
        </w:rPr>
        <w:t>Journal of Education and (JET)</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6</w:t>
      </w:r>
      <w:r w:rsidRPr="001D68BC">
        <w:rPr>
          <w:rFonts w:ascii="Calibri Light" w:hAnsi="Calibri Light" w:cs="Calibri Light"/>
          <w:sz w:val="24"/>
          <w:szCs w:val="24"/>
        </w:rPr>
        <w:t>(1), 59–78.</w:t>
      </w:r>
    </w:p>
    <w:p w14:paraId="59597E54"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Nasution, A. B. (1994). Defending Human Rights in Indonesia. </w:t>
      </w:r>
      <w:r w:rsidRPr="001D68BC">
        <w:rPr>
          <w:rFonts w:ascii="Calibri Light" w:hAnsi="Calibri Light" w:cs="Calibri Light"/>
          <w:i/>
          <w:iCs/>
          <w:sz w:val="24"/>
          <w:szCs w:val="24"/>
        </w:rPr>
        <w:t>Journal of Democracy</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5</w:t>
      </w:r>
      <w:r w:rsidRPr="001D68BC">
        <w:rPr>
          <w:rFonts w:ascii="Calibri Light" w:hAnsi="Calibri Light" w:cs="Calibri Light"/>
          <w:sz w:val="24"/>
          <w:szCs w:val="24"/>
        </w:rPr>
        <w:t>(3), 114–123.</w:t>
      </w:r>
    </w:p>
    <w:p w14:paraId="59504231"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Nisak, Z. H. (2018). Analisis Kebijakan Pendidikan Inklusif di Indonesia. </w:t>
      </w:r>
      <w:r w:rsidRPr="001D68BC">
        <w:rPr>
          <w:rFonts w:ascii="Calibri Light" w:hAnsi="Calibri Light" w:cs="Calibri Light"/>
          <w:i/>
          <w:iCs/>
          <w:sz w:val="24"/>
          <w:szCs w:val="24"/>
        </w:rPr>
        <w:t>Primary Education Journal (PEJ)</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(1), 98–107.</w:t>
      </w:r>
    </w:p>
    <w:p w14:paraId="77083E4B"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Notoprayitno, M. I. (2019). The Rule of Law for the Right to Inclusive Education in Indonesia. </w:t>
      </w:r>
      <w:r w:rsidRPr="001D68BC">
        <w:rPr>
          <w:rFonts w:ascii="Calibri Light" w:hAnsi="Calibri Light" w:cs="Calibri Light"/>
          <w:i/>
          <w:iCs/>
          <w:sz w:val="24"/>
          <w:szCs w:val="24"/>
        </w:rPr>
        <w:t>Padjadjaran Jurnal Ilmu Hukum</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6</w:t>
      </w:r>
      <w:r w:rsidRPr="001D68BC">
        <w:rPr>
          <w:rFonts w:ascii="Calibri Light" w:hAnsi="Calibri Light" w:cs="Calibri Light"/>
          <w:sz w:val="24"/>
          <w:szCs w:val="24"/>
        </w:rPr>
        <w:t>(3), 594–616. https://doi.org/10.22304/pjih.v6n3.a9</w:t>
      </w:r>
    </w:p>
    <w:p w14:paraId="124AC40D"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lastRenderedPageBreak/>
        <w:t xml:space="preserve">Nugroho, A., &amp; Mareza, L. (2016). Model dan Strategi Pembelajaran Anak Berkebutuhan Khusus dalam Setting Pendidikan Inklusi. </w:t>
      </w:r>
      <w:r w:rsidRPr="001D68BC">
        <w:rPr>
          <w:rFonts w:ascii="Calibri Light" w:hAnsi="Calibri Light" w:cs="Calibri Light"/>
          <w:i/>
          <w:iCs/>
          <w:sz w:val="24"/>
          <w:szCs w:val="24"/>
        </w:rPr>
        <w:t>Jurnal Pendidikan Dasar PerKhasa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(2), 145–156.</w:t>
      </w:r>
    </w:p>
    <w:p w14:paraId="594FE37D"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Nurdin, M. (2022). Regulation of the Education Rights of Persons with Disabilities in Law Number 8 of 2016 concerning Persons with Disabilities. </w:t>
      </w:r>
      <w:r w:rsidRPr="001D68BC">
        <w:rPr>
          <w:rFonts w:ascii="Calibri Light" w:hAnsi="Calibri Light" w:cs="Calibri Light"/>
          <w:i/>
          <w:iCs/>
          <w:sz w:val="24"/>
          <w:szCs w:val="24"/>
        </w:rPr>
        <w:t>LEGAL BRIEF</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11</w:t>
      </w:r>
      <w:r w:rsidRPr="001D68BC">
        <w:rPr>
          <w:rFonts w:ascii="Calibri Light" w:hAnsi="Calibri Light" w:cs="Calibri Light"/>
          <w:sz w:val="24"/>
          <w:szCs w:val="24"/>
        </w:rPr>
        <w:t>(2), Article 2.</w:t>
      </w:r>
    </w:p>
    <w:p w14:paraId="68D71829"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Oo, Z. W., &amp; Kawai, N. (2021). Collaborations to Promote Inclusive and Special Education in Myanmar. In </w:t>
      </w:r>
      <w:r w:rsidRPr="001D68BC">
        <w:rPr>
          <w:rFonts w:ascii="Calibri Light" w:hAnsi="Calibri Light" w:cs="Calibri Light"/>
          <w:i/>
          <w:iCs/>
          <w:sz w:val="24"/>
          <w:szCs w:val="24"/>
        </w:rPr>
        <w:t>Instructional Collaboration in International Inclusive Education Contexts</w:t>
      </w:r>
      <w:r w:rsidRPr="001D68BC">
        <w:rPr>
          <w:rFonts w:ascii="Calibri Light" w:hAnsi="Calibri Light" w:cs="Calibri Light"/>
          <w:sz w:val="24"/>
          <w:szCs w:val="24"/>
        </w:rPr>
        <w:t xml:space="preserve"> (world; Vol. 17, pp. 167–183). Emerald Publishing Limited. https://doi.org/10.1108/S1479-363620210000017016</w:t>
      </w:r>
    </w:p>
    <w:p w14:paraId="1EC6D05D"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Opoku, M. P., J-F, Swabey, K., Pullen, D., &amp; Dowden, T. (2019). Poverty alleviation among persons with disabilities via United Nations’ sustainable development goals in Ghana: Voices of stakeholders with disabilities. </w:t>
      </w:r>
      <w:r w:rsidRPr="001D68BC">
        <w:rPr>
          <w:rFonts w:ascii="Calibri Light" w:hAnsi="Calibri Light" w:cs="Calibri Light"/>
          <w:i/>
          <w:iCs/>
          <w:sz w:val="24"/>
          <w:szCs w:val="24"/>
        </w:rPr>
        <w:t>Sustainable Development</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27</w:t>
      </w:r>
      <w:r w:rsidRPr="001D68BC">
        <w:rPr>
          <w:rFonts w:ascii="Calibri Light" w:hAnsi="Calibri Light" w:cs="Calibri Light"/>
          <w:sz w:val="24"/>
          <w:szCs w:val="24"/>
        </w:rPr>
        <w:t>(1), 175–182. https://doi.org/10.1002/sd.1899</w:t>
      </w:r>
    </w:p>
    <w:p w14:paraId="4C342FBD"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Panda, O., Mallik, P., &amp; Sahoo, S. (2023). Inclusion of Disabled Children in Normal School: Institution Centric Challenges. </w:t>
      </w:r>
      <w:r w:rsidRPr="001D68BC">
        <w:rPr>
          <w:rFonts w:ascii="Calibri Light" w:hAnsi="Calibri Light" w:cs="Calibri Light"/>
          <w:i/>
          <w:iCs/>
          <w:sz w:val="24"/>
          <w:szCs w:val="24"/>
        </w:rPr>
        <w:t>International Journal of Humanities and Social Science</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4</w:t>
      </w:r>
      <w:r w:rsidRPr="001D68BC">
        <w:rPr>
          <w:rFonts w:ascii="Calibri Light" w:hAnsi="Calibri Light" w:cs="Calibri Light"/>
          <w:sz w:val="24"/>
          <w:szCs w:val="24"/>
        </w:rPr>
        <w:t>, 84–103.</w:t>
      </w:r>
    </w:p>
    <w:p w14:paraId="09184918"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Panjaitan, M. J. (2021). Legal politics to build a state of happiness: An idea in a state based on the 1945 constitution. </w:t>
      </w:r>
      <w:r w:rsidRPr="001D68BC">
        <w:rPr>
          <w:rFonts w:ascii="Calibri Light" w:hAnsi="Calibri Light" w:cs="Calibri Light"/>
          <w:i/>
          <w:iCs/>
          <w:sz w:val="24"/>
          <w:szCs w:val="24"/>
        </w:rPr>
        <w:t>International Journal</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10</w:t>
      </w:r>
      <w:r w:rsidRPr="001D68BC">
        <w:rPr>
          <w:rFonts w:ascii="Calibri Light" w:hAnsi="Calibri Light" w:cs="Calibri Light"/>
          <w:sz w:val="24"/>
          <w:szCs w:val="24"/>
        </w:rPr>
        <w:t>, 487.</w:t>
      </w:r>
    </w:p>
    <w:p w14:paraId="03B8D29F"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Patra, R. (2018). Arrangement of Relationship between State Institutions through the Fifth Amendment of the 1945 Constitution in Indonesia. </w:t>
      </w:r>
      <w:r w:rsidRPr="001D68BC">
        <w:rPr>
          <w:rFonts w:ascii="Calibri Light" w:hAnsi="Calibri Light" w:cs="Calibri Light"/>
          <w:i/>
          <w:iCs/>
          <w:sz w:val="24"/>
          <w:szCs w:val="24"/>
        </w:rPr>
        <w:t>Hasanuddin Law Review</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4</w:t>
      </w:r>
      <w:r w:rsidRPr="001D68BC">
        <w:rPr>
          <w:rFonts w:ascii="Calibri Light" w:hAnsi="Calibri Light" w:cs="Calibri Light"/>
          <w:sz w:val="24"/>
          <w:szCs w:val="24"/>
        </w:rPr>
        <w:t>(1), 88–102.</w:t>
      </w:r>
    </w:p>
    <w:p w14:paraId="6474DA6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Perdana, D. P., Nuriyati, M., Abelia, S. P., Dharmawan, T., Ma’rufah, R. H., Simanjorang, A. R., &amp; Hamsyah, F. W. (2024). Analisis Penerapan Perencanaan Sekolah Luar Biasa Negeri jember Berdasarkan Permendikbudristek Nomor 47 Tahun 2023. </w:t>
      </w:r>
      <w:r w:rsidRPr="001D68BC">
        <w:rPr>
          <w:rFonts w:ascii="Calibri Light" w:hAnsi="Calibri Light" w:cs="Calibri Light"/>
          <w:i/>
          <w:iCs/>
          <w:sz w:val="24"/>
          <w:szCs w:val="24"/>
        </w:rPr>
        <w:t>Jurnal Ilmiah Ekonomi, Manajemen, Bisnis Dan Akuntansi</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(4), 309–316.</w:t>
      </w:r>
    </w:p>
    <w:p w14:paraId="71EA930D"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Pérez-Macías, N., Fernández-Fernández, J. L., &amp; Rúa Vieites, A. (2022). Resilience and entrepreneurial intentions of people with disabilities: In search of the Sustainable Development Goals (SDGs). </w:t>
      </w:r>
      <w:r w:rsidRPr="001D68BC">
        <w:rPr>
          <w:rFonts w:ascii="Calibri Light" w:hAnsi="Calibri Light" w:cs="Calibri Light"/>
          <w:i/>
          <w:iCs/>
          <w:sz w:val="24"/>
          <w:szCs w:val="24"/>
        </w:rPr>
        <w:t>F1000Research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11</w:t>
      </w:r>
      <w:r w:rsidRPr="001D68BC">
        <w:rPr>
          <w:rFonts w:ascii="Calibri Light" w:hAnsi="Calibri Light" w:cs="Calibri Light"/>
          <w:sz w:val="24"/>
          <w:szCs w:val="24"/>
        </w:rPr>
        <w:t>, 726. https://doi.org/10.12688/f1000research.113565.1</w:t>
      </w:r>
    </w:p>
    <w:p w14:paraId="4F18556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Pesonen, H., Itkonen, T., Jahnukainen, M., Kontu, E., Kokko, T., Ojala, T., &amp; Pirttimaa, R. (2015). The Implementation of New Special Education Legislation in Finland. </w:t>
      </w:r>
      <w:r w:rsidRPr="001D68BC">
        <w:rPr>
          <w:rFonts w:ascii="Calibri Light" w:hAnsi="Calibri Light" w:cs="Calibri Light"/>
          <w:i/>
          <w:iCs/>
          <w:sz w:val="24"/>
          <w:szCs w:val="24"/>
        </w:rPr>
        <w:t>Educational Policy</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29</w:t>
      </w:r>
      <w:r w:rsidRPr="001D68BC">
        <w:rPr>
          <w:rFonts w:ascii="Calibri Light" w:hAnsi="Calibri Light" w:cs="Calibri Light"/>
          <w:sz w:val="24"/>
          <w:szCs w:val="24"/>
        </w:rPr>
        <w:t>(1), 162–178. https://doi.org/10.1177/0895904814556754</w:t>
      </w:r>
    </w:p>
    <w:p w14:paraId="7392329A"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Pihlaja, P. (2022). Early Childhood Special Education in Finland. In H. Harju-Luukkainen, N. B. Hanssen, &amp; C. Sundqvist (Eds.), </w:t>
      </w:r>
      <w:r w:rsidRPr="001D68BC">
        <w:rPr>
          <w:rFonts w:ascii="Calibri Light" w:hAnsi="Calibri Light" w:cs="Calibri Light"/>
          <w:i/>
          <w:iCs/>
          <w:sz w:val="24"/>
          <w:szCs w:val="24"/>
        </w:rPr>
        <w:t>Special Education in the Early Years: Perspectives on Policy and Practice in the Nordic Countries</w:t>
      </w:r>
      <w:r w:rsidRPr="001D68BC">
        <w:rPr>
          <w:rFonts w:ascii="Calibri Light" w:hAnsi="Calibri Light" w:cs="Calibri Light"/>
          <w:sz w:val="24"/>
          <w:szCs w:val="24"/>
        </w:rPr>
        <w:t xml:space="preserve"> (pp. 13–30). Springer International Publishing. https://doi.org/10.1007/978-3-030-91297-0_2</w:t>
      </w:r>
    </w:p>
    <w:p w14:paraId="4AAC2F63"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Prasetiyo, W. H., Ishak, N. A., Basit, A., Dewantara, J. A., Hidayat, O. T., Casmana, A. R., &amp; Muhibbin, A. (2021). Caring for the environment in an inclusive school: The Adiwiyata Green School program in Indonesia. </w:t>
      </w:r>
      <w:r w:rsidRPr="001D68BC">
        <w:rPr>
          <w:rFonts w:ascii="Calibri Light" w:hAnsi="Calibri Light" w:cs="Calibri Light"/>
          <w:i/>
          <w:iCs/>
          <w:sz w:val="24"/>
          <w:szCs w:val="24"/>
        </w:rPr>
        <w:t>Issues in Educational Research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30</w:t>
      </w:r>
      <w:r w:rsidRPr="001D68BC">
        <w:rPr>
          <w:rFonts w:ascii="Calibri Light" w:hAnsi="Calibri Light" w:cs="Calibri Light"/>
          <w:sz w:val="24"/>
          <w:szCs w:val="24"/>
        </w:rPr>
        <w:t>(3), 1040–1057. https://doi.org/10.3316/informit.465358475799997</w:t>
      </w:r>
    </w:p>
    <w:p w14:paraId="4AA2C31A"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Qamariyanti, Y., Al-Ghifari, M. F., Farghana, N. M. Z. F., Kasehung, G. S., Irfan, M., Jannati, F., Farizi, M. R. A., &amp; Zaidir, F. D. (2024). The Role of Law in Protecting the Rights of Persons with Disabilities. </w:t>
      </w:r>
      <w:r w:rsidRPr="001D68BC">
        <w:rPr>
          <w:rFonts w:ascii="Calibri Light" w:hAnsi="Calibri Light" w:cs="Calibri Light"/>
          <w:i/>
          <w:iCs/>
          <w:sz w:val="24"/>
          <w:szCs w:val="24"/>
        </w:rPr>
        <w:t>Strata Law Review</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(2), Article 2. https://doi.org/10.59631/slr.v2i2.232</w:t>
      </w:r>
    </w:p>
    <w:p w14:paraId="6123A9FD"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lastRenderedPageBreak/>
        <w:t xml:space="preserve">Rasmitadila, Humaira, M. A., Rachmadtullah, R., Sesrita, A., Laeli, S., Muhdiyati, I., &amp; Firmansyah, W. (2021). Teacher Perceptions of University Mentoring Programs Planning for Inclusive Elementary Schools: A Case Study in Indonesia. </w:t>
      </w:r>
      <w:r w:rsidRPr="001D68BC">
        <w:rPr>
          <w:rFonts w:ascii="Calibri Light" w:hAnsi="Calibri Light" w:cs="Calibri Light"/>
          <w:i/>
          <w:iCs/>
          <w:sz w:val="24"/>
          <w:szCs w:val="24"/>
        </w:rPr>
        <w:t>International Journal of Special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36</w:t>
      </w:r>
      <w:r w:rsidRPr="001D68BC">
        <w:rPr>
          <w:rFonts w:ascii="Calibri Light" w:hAnsi="Calibri Light" w:cs="Calibri Light"/>
          <w:sz w:val="24"/>
          <w:szCs w:val="24"/>
        </w:rPr>
        <w:t>(2), 53–65. https://doi.org/10.52291/ijse.2021.36.18</w:t>
      </w:r>
    </w:p>
    <w:p w14:paraId="303D3E2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Ristiyanti, S., &amp; Muqowim, M. (2023). Policy of Acceptance of Students with Disabilities in Inclusion Schools. </w:t>
      </w:r>
      <w:r w:rsidRPr="001D68BC">
        <w:rPr>
          <w:rFonts w:ascii="Calibri Light" w:hAnsi="Calibri Light" w:cs="Calibri Light"/>
          <w:i/>
          <w:iCs/>
          <w:sz w:val="24"/>
          <w:szCs w:val="24"/>
        </w:rPr>
        <w:t>JP (Jurnal Pendidikan): Teori Dan Praktik</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8</w:t>
      </w:r>
      <w:r w:rsidRPr="001D68BC">
        <w:rPr>
          <w:rFonts w:ascii="Calibri Light" w:hAnsi="Calibri Light" w:cs="Calibri Light"/>
          <w:sz w:val="24"/>
          <w:szCs w:val="24"/>
        </w:rPr>
        <w:t>(1), 16–21.</w:t>
      </w:r>
    </w:p>
    <w:p w14:paraId="38873A6F"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Rofiah, N. H., Kawai, N., &amp; Hayati, E. N. (2021). Key elements of disaster mitigation education in inclusive school setting in the Indonesian context. </w:t>
      </w:r>
      <w:r w:rsidRPr="001D68BC">
        <w:rPr>
          <w:rFonts w:ascii="Calibri Light" w:hAnsi="Calibri Light" w:cs="Calibri Light"/>
          <w:i/>
          <w:iCs/>
          <w:sz w:val="24"/>
          <w:szCs w:val="24"/>
        </w:rPr>
        <w:t>Jàmbá: Journal of Disaster Risk Studies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13</w:t>
      </w:r>
      <w:r w:rsidRPr="001D68BC">
        <w:rPr>
          <w:rFonts w:ascii="Calibri Light" w:hAnsi="Calibri Light" w:cs="Calibri Light"/>
          <w:sz w:val="24"/>
          <w:szCs w:val="24"/>
        </w:rPr>
        <w:t>(1), 1–8. https://doi.org/10.4102/jamba.v13i1.1159</w:t>
      </w:r>
    </w:p>
    <w:p w14:paraId="36D9985B"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Rofiah, N. H., &amp; Suhendri. (2023). The Progress of Inclusive Education Toward Agenda 2030 in Indonesia. In </w:t>
      </w:r>
      <w:r w:rsidRPr="001D68BC">
        <w:rPr>
          <w:rFonts w:ascii="Calibri Light" w:hAnsi="Calibri Light" w:cs="Calibri Light"/>
          <w:i/>
          <w:iCs/>
          <w:sz w:val="24"/>
          <w:szCs w:val="24"/>
        </w:rPr>
        <w:t>Progress Toward Agenda 2030</w:t>
      </w:r>
      <w:r w:rsidRPr="001D68BC">
        <w:rPr>
          <w:rFonts w:ascii="Calibri Light" w:hAnsi="Calibri Light" w:cs="Calibri Light"/>
          <w:sz w:val="24"/>
          <w:szCs w:val="24"/>
        </w:rPr>
        <w:t xml:space="preserve"> (world; Vol. 21, pp. 191–207). Emerald Publishing Limited. https://doi.org/10.1108/S1479-363620230000021013</w:t>
      </w:r>
    </w:p>
    <w:p w14:paraId="54B6A15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Romadhon, M., Marini, A., &amp; Sumantri, M. S. (2021). Kebijakan pendidikan inklusi sebuah solusi di sekolah dasar. </w:t>
      </w:r>
      <w:r w:rsidRPr="001D68BC">
        <w:rPr>
          <w:rFonts w:ascii="Calibri Light" w:hAnsi="Calibri Light" w:cs="Calibri Light"/>
          <w:i/>
          <w:iCs/>
          <w:sz w:val="24"/>
          <w:szCs w:val="24"/>
        </w:rPr>
        <w:t>Jurnal Elementaria Edukasia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4</w:t>
      </w:r>
      <w:r w:rsidRPr="001D68BC">
        <w:rPr>
          <w:rFonts w:ascii="Calibri Light" w:hAnsi="Calibri Light" w:cs="Calibri Light"/>
          <w:sz w:val="24"/>
          <w:szCs w:val="24"/>
        </w:rPr>
        <w:t>(1), 109–115.</w:t>
      </w:r>
    </w:p>
    <w:p w14:paraId="7D586EFA"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Rosari, U., Albab, U., &amp; S Suroso. (2023). Implementasi Kebijakan Pendidikan Inklusi di Kota Surabaya. </w:t>
      </w:r>
      <w:r w:rsidRPr="001D68BC">
        <w:rPr>
          <w:rFonts w:ascii="Calibri Light" w:hAnsi="Calibri Light" w:cs="Calibri Light"/>
          <w:i/>
          <w:iCs/>
          <w:sz w:val="24"/>
          <w:szCs w:val="24"/>
        </w:rPr>
        <w:t>Soetomo Administrasi Publik</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(2), 81–94.</w:t>
      </w:r>
    </w:p>
    <w:p w14:paraId="44A66DFF"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Rosari, U. S., Albab, U., &amp; Suroso, S. (2023). Implementasi Kebijakan Pendidikan Inklusi di Kota Surabaya. </w:t>
      </w:r>
      <w:r w:rsidRPr="001D68BC">
        <w:rPr>
          <w:rFonts w:ascii="Calibri Light" w:hAnsi="Calibri Light" w:cs="Calibri Light"/>
          <w:i/>
          <w:iCs/>
          <w:sz w:val="24"/>
          <w:szCs w:val="24"/>
        </w:rPr>
        <w:t>Soetomo Administrasi Publik</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(2), 81–94.</w:t>
      </w:r>
    </w:p>
    <w:p w14:paraId="3FD6AF2C"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Rosyidi, R. (2023). Inclusive School Policies: A Literature Study of Implementation Dilemmas. </w:t>
      </w:r>
      <w:r w:rsidRPr="001D68BC">
        <w:rPr>
          <w:rFonts w:ascii="Calibri Light" w:hAnsi="Calibri Light" w:cs="Calibri Light"/>
          <w:i/>
          <w:iCs/>
          <w:sz w:val="24"/>
          <w:szCs w:val="24"/>
        </w:rPr>
        <w:t>Journal of ICSAR</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7</w:t>
      </w:r>
      <w:r w:rsidRPr="001D68BC">
        <w:rPr>
          <w:rFonts w:ascii="Calibri Light" w:hAnsi="Calibri Light" w:cs="Calibri Light"/>
          <w:sz w:val="24"/>
          <w:szCs w:val="24"/>
        </w:rPr>
        <w:t>(2), 2548–8600.</w:t>
      </w:r>
    </w:p>
    <w:p w14:paraId="2A0AF52A"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Rupiah, Amin, A., Suradi, A., &amp; Rohimin. (2024). An Analysis of the Islamic Religious Education Curriculum in Religious Schools and Colleges within the Framework of the National Education System Law of 2003. </w:t>
      </w:r>
      <w:r w:rsidRPr="001D68BC">
        <w:rPr>
          <w:rFonts w:ascii="Calibri Light" w:hAnsi="Calibri Light" w:cs="Calibri Light"/>
          <w:i/>
          <w:iCs/>
          <w:sz w:val="24"/>
          <w:szCs w:val="24"/>
        </w:rPr>
        <w:t>IJER (Indonesian Journal of Educational Research)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9</w:t>
      </w:r>
      <w:r w:rsidRPr="001D68BC">
        <w:rPr>
          <w:rFonts w:ascii="Calibri Light" w:hAnsi="Calibri Light" w:cs="Calibri Light"/>
          <w:sz w:val="24"/>
          <w:szCs w:val="24"/>
        </w:rPr>
        <w:t>(2), Article 2. https://doi.org/10.30631/ijer.v9i2.325</w:t>
      </w:r>
    </w:p>
    <w:p w14:paraId="016C1F5C"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Sabrina, D., &amp; Erianjoni, E. (2019). Implementasi Peraturan Daerah Nomor 3 Tahun 2015 Tentang Pemenuhan dan Perlindungan Hak-Hak Penyandang Disabilitas di Kota Padang. </w:t>
      </w:r>
      <w:r w:rsidRPr="001D68BC">
        <w:rPr>
          <w:rFonts w:ascii="Calibri Light" w:hAnsi="Calibri Light" w:cs="Calibri Light"/>
          <w:i/>
          <w:iCs/>
          <w:sz w:val="24"/>
          <w:szCs w:val="24"/>
        </w:rPr>
        <w:t>Jurnal Perspektif</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Query date: 2025-02-26 18:53:38</w:t>
      </w:r>
      <w:r w:rsidRPr="001D68BC">
        <w:rPr>
          <w:rFonts w:ascii="Calibri Light" w:hAnsi="Calibri Light" w:cs="Calibri Light"/>
          <w:sz w:val="24"/>
          <w:szCs w:val="24"/>
        </w:rPr>
        <w:t>. https://perspektif.ppj.unp.ac.id/index.php/perspektif/article/view/66</w:t>
      </w:r>
    </w:p>
    <w:p w14:paraId="2BFBAA65"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Sabrina, D. Y., &amp; Erianjoni, E. (2019). Implementasi Peraturan Daerah Nomor 3 Tahun 2015 Tentang Pemenuhan dan Perlindungan Hak-Hak Penyandang Disabilitas di Kota Padang. </w:t>
      </w:r>
      <w:r w:rsidRPr="001D68BC">
        <w:rPr>
          <w:rFonts w:ascii="Calibri Light" w:hAnsi="Calibri Light" w:cs="Calibri Light"/>
          <w:i/>
          <w:iCs/>
          <w:sz w:val="24"/>
          <w:szCs w:val="24"/>
        </w:rPr>
        <w:t>Jurnal Perspektif</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(2), 52–59.</w:t>
      </w:r>
    </w:p>
    <w:p w14:paraId="70C4B15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Saloviita, T. (2020). Attitudes of Teachers Towards Inclusive Education in Finland. </w:t>
      </w:r>
      <w:r w:rsidRPr="001D68BC">
        <w:rPr>
          <w:rFonts w:ascii="Calibri Light" w:hAnsi="Calibri Light" w:cs="Calibri Light"/>
          <w:i/>
          <w:iCs/>
          <w:sz w:val="24"/>
          <w:szCs w:val="24"/>
        </w:rPr>
        <w:t>Scandinavian Journal of Educational Research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64</w:t>
      </w:r>
      <w:r w:rsidRPr="001D68BC">
        <w:rPr>
          <w:rFonts w:ascii="Calibri Light" w:hAnsi="Calibri Light" w:cs="Calibri Light"/>
          <w:sz w:val="24"/>
          <w:szCs w:val="24"/>
        </w:rPr>
        <w:t>(2), 270–282. https://doi.org/10.1080/00313831.2018.1541819</w:t>
      </w:r>
    </w:p>
    <w:p w14:paraId="44D45B5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Saputra, A. (2016). Kebijakan pemerintah terhadap pendidikan inklusif. </w:t>
      </w:r>
      <w:r w:rsidRPr="001D68BC">
        <w:rPr>
          <w:rFonts w:ascii="Calibri Light" w:hAnsi="Calibri Light" w:cs="Calibri Light"/>
          <w:i/>
          <w:iCs/>
          <w:sz w:val="24"/>
          <w:szCs w:val="24"/>
        </w:rPr>
        <w:t>Golden Age: Jurnal Ilmiah Tumbuh Kembang Anak Usia Dini</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(3), 1–15.</w:t>
      </w:r>
    </w:p>
    <w:p w14:paraId="21C0FD16"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Saputra, A. (2018). Allocation of Education Budget in Indonesia. </w:t>
      </w:r>
      <w:r w:rsidRPr="001D68BC">
        <w:rPr>
          <w:rFonts w:ascii="Calibri Light" w:hAnsi="Calibri Light" w:cs="Calibri Light"/>
          <w:i/>
          <w:iCs/>
          <w:sz w:val="24"/>
          <w:szCs w:val="24"/>
        </w:rPr>
        <w:t>Budapest International Research and Critics Institute-Journal (BIRCI-Journal)</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(2), Article 2. https://doi.org/10.33258/birci.v1i2.19</w:t>
      </w:r>
    </w:p>
    <w:p w14:paraId="03B9FEBA"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Saputra, N., Ferriswara, D., Albab, U., &amp; Kamariyah. (2025). Implementation Of Inclusive Education Policy At The High School/Vocational School (State) Level In Jombang Regency. </w:t>
      </w:r>
      <w:r w:rsidRPr="001D68BC">
        <w:rPr>
          <w:rFonts w:ascii="Calibri Light" w:hAnsi="Calibri Light" w:cs="Calibri Light"/>
          <w:i/>
          <w:iCs/>
          <w:sz w:val="24"/>
          <w:szCs w:val="24"/>
        </w:rPr>
        <w:t>Perspektif Administrasi Publik Dan Hukum</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(1), 136–149.</w:t>
      </w:r>
    </w:p>
    <w:p w14:paraId="116DCEDC"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lastRenderedPageBreak/>
        <w:t xml:space="preserve">Sari, A. P., &amp; Soeskandi, H. (2021). Perlindungan Hukum Terhadap Hak Disabilitas Dalam Aksesibilitas di Tata Ruang Publik Kota Surabaya. </w:t>
      </w:r>
      <w:r w:rsidRPr="001D68BC">
        <w:rPr>
          <w:rFonts w:ascii="Calibri Light" w:hAnsi="Calibri Light" w:cs="Calibri Light"/>
          <w:i/>
          <w:iCs/>
          <w:sz w:val="24"/>
          <w:szCs w:val="24"/>
        </w:rPr>
        <w:t>Seminar Nasional-Kota Ramah Hak Asasi Manusia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 33–43.</w:t>
      </w:r>
    </w:p>
    <w:p w14:paraId="3CA5849F"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Sari, A. P., &amp; Soeskandi, H. (2022). Hak Disabilitas Dalam Aksesibilitas Ruang Publik Di Kota Surabaya. </w:t>
      </w:r>
      <w:r w:rsidRPr="001D68BC">
        <w:rPr>
          <w:rFonts w:ascii="Calibri Light" w:hAnsi="Calibri Light" w:cs="Calibri Light"/>
          <w:i/>
          <w:iCs/>
          <w:sz w:val="24"/>
          <w:szCs w:val="24"/>
        </w:rPr>
        <w:t>COURT REVIEW: Jurnal Penelitian Hukum</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(03), Article 03. https://doi.org/10.69957/cr.v2i03.220</w:t>
      </w:r>
    </w:p>
    <w:p w14:paraId="34DD922B"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Sari, Z. P., Sarofah, R., &amp; Fadli, Y. (2022). The Implementation of Inclusive Education in Indonesia: Challenges and Achievements. </w:t>
      </w:r>
      <w:r w:rsidRPr="001D68BC">
        <w:rPr>
          <w:rFonts w:ascii="Calibri Light" w:hAnsi="Calibri Light" w:cs="Calibri Light"/>
          <w:i/>
          <w:iCs/>
          <w:sz w:val="24"/>
          <w:szCs w:val="24"/>
        </w:rPr>
        <w:t>Jurnal Public Policy</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8</w:t>
      </w:r>
      <w:r w:rsidRPr="001D68BC">
        <w:rPr>
          <w:rFonts w:ascii="Calibri Light" w:hAnsi="Calibri Light" w:cs="Calibri Light"/>
          <w:sz w:val="24"/>
          <w:szCs w:val="24"/>
        </w:rPr>
        <w:t>(4), Article 4. https://doi.org/10.35308/jpp.v8i4.5420</w:t>
      </w:r>
    </w:p>
    <w:p w14:paraId="333D3D42"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Sheehy, K., Budiyanto, Kaye, H., &amp; Rofiah, K. (2019). Indonesian teachers’ epistemological beliefs and inclusive education. </w:t>
      </w:r>
      <w:r w:rsidRPr="001D68BC">
        <w:rPr>
          <w:rFonts w:ascii="Calibri Light" w:hAnsi="Calibri Light" w:cs="Calibri Light"/>
          <w:i/>
          <w:iCs/>
          <w:sz w:val="24"/>
          <w:szCs w:val="24"/>
        </w:rPr>
        <w:t>Journal of Intellectual Disabilities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23</w:t>
      </w:r>
      <w:r w:rsidRPr="001D68BC">
        <w:rPr>
          <w:rFonts w:ascii="Calibri Light" w:hAnsi="Calibri Light" w:cs="Calibri Light"/>
          <w:sz w:val="24"/>
          <w:szCs w:val="24"/>
        </w:rPr>
        <w:t>(1), 39–56. https://doi.org/10.1177/1744629517717613</w:t>
      </w:r>
    </w:p>
    <w:p w14:paraId="4F63EB5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Siron, Y., &amp; Mulyono, R. (2017). </w:t>
      </w:r>
      <w:r w:rsidRPr="001D68BC">
        <w:rPr>
          <w:rFonts w:ascii="Calibri Light" w:hAnsi="Calibri Light" w:cs="Calibri Light"/>
          <w:i/>
          <w:iCs/>
          <w:sz w:val="24"/>
          <w:szCs w:val="24"/>
        </w:rPr>
        <w:t>Implementing Inclusive Education: What are Elementary Teacher Obstacles? Case Study in East Jakarta, Indonesia</w:t>
      </w:r>
      <w:r w:rsidRPr="001D68BC">
        <w:rPr>
          <w:rFonts w:ascii="Calibri Light" w:hAnsi="Calibri Light" w:cs="Calibri Light"/>
          <w:sz w:val="24"/>
          <w:szCs w:val="24"/>
        </w:rPr>
        <w:t>. 177–180. https://doi.org/10.2991/icddims-17.2018.37</w:t>
      </w:r>
    </w:p>
    <w:p w14:paraId="474729D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Smyth, F., Shevlin, M., Buchner, T., Biewer, G., Flynn, P., Latimier, C., Šiška, J., Toboso-Martín, M., Rodríguez Díaz, S., &amp; Ferreira, M. A. V. (2014). Inclusive education in progress: Policy evolution in four European countries. </w:t>
      </w:r>
      <w:r w:rsidRPr="001D68BC">
        <w:rPr>
          <w:rFonts w:ascii="Calibri Light" w:hAnsi="Calibri Light" w:cs="Calibri Light"/>
          <w:i/>
          <w:iCs/>
          <w:sz w:val="24"/>
          <w:szCs w:val="24"/>
        </w:rPr>
        <w:t>European Journal of Special Needs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29</w:t>
      </w:r>
      <w:r w:rsidRPr="001D68BC">
        <w:rPr>
          <w:rFonts w:ascii="Calibri Light" w:hAnsi="Calibri Light" w:cs="Calibri Light"/>
          <w:sz w:val="24"/>
          <w:szCs w:val="24"/>
        </w:rPr>
        <w:t>(4), 433–445. https://doi.org/10.1080/08856257.2014.922797</w:t>
      </w:r>
    </w:p>
    <w:p w14:paraId="101CE56A"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Soeharto, S., Subasi Singh, S., &amp; Afriyanti, F. (2024). Associations between attitudes toward inclusive education and teaching for creativity for Indonesian pre-service teachers. </w:t>
      </w:r>
      <w:r w:rsidRPr="001D68BC">
        <w:rPr>
          <w:rFonts w:ascii="Calibri Light" w:hAnsi="Calibri Light" w:cs="Calibri Light"/>
          <w:i/>
          <w:iCs/>
          <w:sz w:val="24"/>
          <w:szCs w:val="24"/>
        </w:rPr>
        <w:t>Thinking Skills and Creativity</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51</w:t>
      </w:r>
      <w:r w:rsidRPr="001D68BC">
        <w:rPr>
          <w:rFonts w:ascii="Calibri Light" w:hAnsi="Calibri Light" w:cs="Calibri Light"/>
          <w:sz w:val="24"/>
          <w:szCs w:val="24"/>
        </w:rPr>
        <w:t>, 101469. https://doi.org/10.1016/j.tsc.2024.101469</w:t>
      </w:r>
    </w:p>
    <w:p w14:paraId="3F99D1D9"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Solihat, G. (2018). Evaluation of The Implementation of Inclusive Education in Magetan. </w:t>
      </w:r>
      <w:r w:rsidRPr="001D68BC">
        <w:rPr>
          <w:rFonts w:ascii="Calibri Light" w:hAnsi="Calibri Light" w:cs="Calibri Light"/>
          <w:i/>
          <w:iCs/>
          <w:sz w:val="24"/>
          <w:szCs w:val="24"/>
        </w:rPr>
        <w:t>Indonesian Journal of Disability Studies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5</w:t>
      </w:r>
      <w:r w:rsidRPr="001D68BC">
        <w:rPr>
          <w:rFonts w:ascii="Calibri Light" w:hAnsi="Calibri Light" w:cs="Calibri Light"/>
          <w:sz w:val="24"/>
          <w:szCs w:val="24"/>
        </w:rPr>
        <w:t>(2), 175–179. https://doi.org/10.21776/ub.ijds.2018.5.2.5</w:t>
      </w:r>
    </w:p>
    <w:p w14:paraId="0B145078"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Somad, A., Haryanto, S., &amp; Darsinah, D. (2024). Inclusive Education for Special Needs Students in Indonesia: A Review of Policies, Practices and Challenges. </w:t>
      </w:r>
      <w:r w:rsidRPr="001D68BC">
        <w:rPr>
          <w:rFonts w:ascii="Calibri Light" w:hAnsi="Calibri Light" w:cs="Calibri Light"/>
          <w:i/>
          <w:iCs/>
          <w:sz w:val="24"/>
          <w:szCs w:val="24"/>
        </w:rPr>
        <w:t>JMKSP (Jurnal Manajemen, Kepemimpinan, Dan Supervisi Pendidikan)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9</w:t>
      </w:r>
      <w:r w:rsidRPr="001D68BC">
        <w:rPr>
          <w:rFonts w:ascii="Calibri Light" w:hAnsi="Calibri Light" w:cs="Calibri Light"/>
          <w:sz w:val="24"/>
          <w:szCs w:val="24"/>
        </w:rPr>
        <w:t>(2), 1024–1035.</w:t>
      </w:r>
    </w:p>
    <w:p w14:paraId="255FCEE2"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Sugiarto, A., Lee, C.-W., &amp; Huruta, A. D. (2022). A Systematic Review of the Sustainable Campus Concept. </w:t>
      </w:r>
      <w:r w:rsidRPr="001D68BC">
        <w:rPr>
          <w:rFonts w:ascii="Calibri Light" w:hAnsi="Calibri Light" w:cs="Calibri Light"/>
          <w:i/>
          <w:iCs/>
          <w:sz w:val="24"/>
          <w:szCs w:val="24"/>
        </w:rPr>
        <w:t>Behavioral Sciences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12</w:t>
      </w:r>
      <w:r w:rsidRPr="001D68BC">
        <w:rPr>
          <w:rFonts w:ascii="Calibri Light" w:hAnsi="Calibri Light" w:cs="Calibri Light"/>
          <w:sz w:val="24"/>
          <w:szCs w:val="24"/>
        </w:rPr>
        <w:t>(5), Article 5. https://doi.org/10.3390/bs12050130</w:t>
      </w:r>
    </w:p>
    <w:p w14:paraId="67906BEC"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Sujarwanto. (2023). Inclusive and Special Education Situation in Indonesia and the Paradox of Choice. In </w:t>
      </w:r>
      <w:r w:rsidRPr="001D68BC">
        <w:rPr>
          <w:rFonts w:ascii="Calibri Light" w:hAnsi="Calibri Light" w:cs="Calibri Light"/>
          <w:i/>
          <w:iCs/>
          <w:sz w:val="24"/>
          <w:szCs w:val="24"/>
        </w:rPr>
        <w:t>Interdisciplinary Perspectives on Special and Inclusive Education in a Volatile, Uncertain, Complex &amp; Ambiguous (Vuca) World</w:t>
      </w:r>
      <w:r w:rsidRPr="001D68BC">
        <w:rPr>
          <w:rFonts w:ascii="Calibri Light" w:hAnsi="Calibri Light" w:cs="Calibri Light"/>
          <w:sz w:val="24"/>
          <w:szCs w:val="24"/>
        </w:rPr>
        <w:t xml:space="preserve"> (world; Vol. 20, pp. 89–102). Emerald Publishing Limited. https://doi.org/10.1108/S1479-363620230000020006</w:t>
      </w:r>
    </w:p>
    <w:p w14:paraId="2A8922F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Sulasmi, E., &amp; Akrim, A. (2022). Management construction of inclusion education in primary school. </w:t>
      </w:r>
      <w:r w:rsidRPr="001D68BC">
        <w:rPr>
          <w:rFonts w:ascii="Calibri Light" w:hAnsi="Calibri Light" w:cs="Calibri Light"/>
          <w:i/>
          <w:iCs/>
          <w:sz w:val="24"/>
          <w:szCs w:val="24"/>
        </w:rPr>
        <w:t>Talent Development &amp; Excellence</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12</w:t>
      </w:r>
      <w:r w:rsidRPr="001D68BC">
        <w:rPr>
          <w:rFonts w:ascii="Calibri Light" w:hAnsi="Calibri Light" w:cs="Calibri Light"/>
          <w:sz w:val="24"/>
          <w:szCs w:val="24"/>
        </w:rPr>
        <w:t>(1), 334–342.</w:t>
      </w:r>
    </w:p>
    <w:p w14:paraId="6A0E21BC"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Supianto, S., Marmoah, S., Poerwanti, J. I. S., Istiyati, S., Sukarno, S., &amp; Mahfud, H. (2024). Comparative Study of Inclusive Education Programs for Women in Indonesia and Malaysia. </w:t>
      </w:r>
      <w:r w:rsidRPr="001D68BC">
        <w:rPr>
          <w:rFonts w:ascii="Calibri Light" w:hAnsi="Calibri Light" w:cs="Calibri Light"/>
          <w:i/>
          <w:iCs/>
          <w:sz w:val="24"/>
          <w:szCs w:val="24"/>
        </w:rPr>
        <w:t>AL-ISHLAH: Jurnal Pendidikan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16</w:t>
      </w:r>
      <w:r w:rsidRPr="001D68BC">
        <w:rPr>
          <w:rFonts w:ascii="Calibri Light" w:hAnsi="Calibri Light" w:cs="Calibri Light"/>
          <w:sz w:val="24"/>
          <w:szCs w:val="24"/>
        </w:rPr>
        <w:t>(2), Article 2. https://doi.org/10.35445/alishlah.v16i2.4477</w:t>
      </w:r>
    </w:p>
    <w:p w14:paraId="3B310D4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lastRenderedPageBreak/>
        <w:t xml:space="preserve">Syarif, R. (2024). Analisis Kebijakan Pendidikan Inklusif di Indonesia: Tantangan dan Peluang dalam Implementasi di Sekolah Menengah. </w:t>
      </w:r>
      <w:r w:rsidRPr="001D68BC">
        <w:rPr>
          <w:rFonts w:ascii="Calibri Light" w:hAnsi="Calibri Light" w:cs="Calibri Light"/>
          <w:i/>
          <w:iCs/>
          <w:sz w:val="24"/>
          <w:szCs w:val="24"/>
        </w:rPr>
        <w:t>Jurnal Pemikiran Dan Pengembangan Pembelajaran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6</w:t>
      </w:r>
      <w:r w:rsidRPr="001D68BC">
        <w:rPr>
          <w:rFonts w:ascii="Calibri Light" w:hAnsi="Calibri Light" w:cs="Calibri Light"/>
          <w:sz w:val="24"/>
          <w:szCs w:val="24"/>
        </w:rPr>
        <w:t>(3), 852–864.</w:t>
      </w:r>
    </w:p>
    <w:p w14:paraId="63D635ED"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Tebbutt, E., Brodmann, R., Borg, J., MacLachlan, M., Khasnabis, C., &amp; Horvath, R. (2016). Assistive products and the Sustainable Development Goals (SDGs). </w:t>
      </w:r>
      <w:r w:rsidRPr="001D68BC">
        <w:rPr>
          <w:rFonts w:ascii="Calibri Light" w:hAnsi="Calibri Light" w:cs="Calibri Light"/>
          <w:i/>
          <w:iCs/>
          <w:sz w:val="24"/>
          <w:szCs w:val="24"/>
        </w:rPr>
        <w:t>Globalization and Health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12</w:t>
      </w:r>
      <w:r w:rsidRPr="001D68BC">
        <w:rPr>
          <w:rFonts w:ascii="Calibri Light" w:hAnsi="Calibri Light" w:cs="Calibri Light"/>
          <w:sz w:val="24"/>
          <w:szCs w:val="24"/>
        </w:rPr>
        <w:t>(1), 79. https://doi.org/10.1186/s12992-016-0220-6</w:t>
      </w:r>
    </w:p>
    <w:p w14:paraId="2BDFB198"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Tonegawa, Y. (2022a). Contextualization of inclusive education: Education for children with disabilities in Myanmar. </w:t>
      </w:r>
      <w:r w:rsidRPr="001D68BC">
        <w:rPr>
          <w:rFonts w:ascii="Calibri Light" w:hAnsi="Calibri Light" w:cs="Calibri Light"/>
          <w:i/>
          <w:iCs/>
          <w:sz w:val="24"/>
          <w:szCs w:val="24"/>
        </w:rPr>
        <w:t>International Journal of Instruction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15</w:t>
      </w:r>
      <w:r w:rsidRPr="001D68BC">
        <w:rPr>
          <w:rFonts w:ascii="Calibri Light" w:hAnsi="Calibri Light" w:cs="Calibri Light"/>
          <w:sz w:val="24"/>
          <w:szCs w:val="24"/>
        </w:rPr>
        <w:t>(1), 365–380.</w:t>
      </w:r>
    </w:p>
    <w:p w14:paraId="3FACEEA8"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Tonegawa, Y. (2022b). Contextualization of Inclusive Education: Education for Children with Disabilities in Myanmar. </w:t>
      </w:r>
      <w:r w:rsidRPr="001D68BC">
        <w:rPr>
          <w:rFonts w:ascii="Calibri Light" w:hAnsi="Calibri Light" w:cs="Calibri Light"/>
          <w:i/>
          <w:iCs/>
          <w:sz w:val="24"/>
          <w:szCs w:val="24"/>
        </w:rPr>
        <w:t>International Journal of Instruction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15</w:t>
      </w:r>
      <w:r w:rsidRPr="001D68BC">
        <w:rPr>
          <w:rFonts w:ascii="Calibri Light" w:hAnsi="Calibri Light" w:cs="Calibri Light"/>
          <w:sz w:val="24"/>
          <w:szCs w:val="24"/>
        </w:rPr>
        <w:t>(1), Article 1.</w:t>
      </w:r>
    </w:p>
    <w:p w14:paraId="684C8616"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Tran, C. V., Pham, M. M., Mai, P. T., Le, T. T., &amp; Nguyen, D. T. (2020). Inclusive Education for Students with Autism Spectrum Disorder in Elementary Schools in Vietnam: The Current Situation and Solutions. </w:t>
      </w:r>
      <w:r w:rsidRPr="001D68BC">
        <w:rPr>
          <w:rFonts w:ascii="Calibri Light" w:hAnsi="Calibri Light" w:cs="Calibri Light"/>
          <w:i/>
          <w:iCs/>
          <w:sz w:val="24"/>
          <w:szCs w:val="24"/>
        </w:rPr>
        <w:t>International Electronic Journal of Elementary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12</w:t>
      </w:r>
      <w:r w:rsidRPr="001D68BC">
        <w:rPr>
          <w:rFonts w:ascii="Calibri Light" w:hAnsi="Calibri Light" w:cs="Calibri Light"/>
          <w:sz w:val="24"/>
          <w:szCs w:val="24"/>
        </w:rPr>
        <w:t>(3), 265–273.</w:t>
      </w:r>
    </w:p>
    <w:p w14:paraId="5AC0D8C6"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Utomo, U. (2019). The accessibility analysis for the special needs students in lambung Mangkurat. </w:t>
      </w:r>
      <w:r w:rsidRPr="001D68BC">
        <w:rPr>
          <w:rFonts w:ascii="Calibri Light" w:hAnsi="Calibri Light" w:cs="Calibri Light"/>
          <w:i/>
          <w:iCs/>
          <w:sz w:val="24"/>
          <w:szCs w:val="24"/>
        </w:rPr>
        <w:t>Journal of ICSAR</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w:t>
      </w:r>
      <w:r w:rsidRPr="001D68BC">
        <w:rPr>
          <w:rFonts w:ascii="Calibri Light" w:hAnsi="Calibri Light" w:cs="Calibri Light"/>
          <w:sz w:val="24"/>
          <w:szCs w:val="24"/>
        </w:rPr>
        <w:t>(2), 41–47.</w:t>
      </w:r>
    </w:p>
    <w:p w14:paraId="33491B84"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VanBalkom, W. D. (2010). Educational Transformation With a New Global Urgency. </w:t>
      </w:r>
      <w:r w:rsidRPr="001D68BC">
        <w:rPr>
          <w:rFonts w:ascii="Calibri Light" w:hAnsi="Calibri Light" w:cs="Calibri Light"/>
          <w:i/>
          <w:iCs/>
          <w:sz w:val="24"/>
          <w:szCs w:val="24"/>
        </w:rPr>
        <w:t>LEARNing Landscapes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w:t>
      </w:r>
      <w:r w:rsidRPr="001D68BC">
        <w:rPr>
          <w:rFonts w:ascii="Calibri Light" w:hAnsi="Calibri Light" w:cs="Calibri Light"/>
          <w:sz w:val="24"/>
          <w:szCs w:val="24"/>
        </w:rPr>
        <w:t>(2), Article 2. https://doi.org/10.36510/learnland.v3i2.351</w:t>
      </w:r>
    </w:p>
    <w:p w14:paraId="16B16CE6"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Villa, R. A., Van Tac, L., Muc, P. M., Ryan, S., Thuy, N. T. M., Weill, C., &amp; Thousand, J. S. (2003). Inclusion in Viet Nam: More Than a Decade of Implementation. </w:t>
      </w:r>
      <w:r w:rsidRPr="001D68BC">
        <w:rPr>
          <w:rFonts w:ascii="Calibri Light" w:hAnsi="Calibri Light" w:cs="Calibri Light"/>
          <w:i/>
          <w:iCs/>
          <w:sz w:val="24"/>
          <w:szCs w:val="24"/>
        </w:rPr>
        <w:t>Research and Practice for Persons with Severe Disabilities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28</w:t>
      </w:r>
      <w:r w:rsidRPr="001D68BC">
        <w:rPr>
          <w:rFonts w:ascii="Calibri Light" w:hAnsi="Calibri Light" w:cs="Calibri Light"/>
          <w:sz w:val="24"/>
          <w:szCs w:val="24"/>
        </w:rPr>
        <w:t>(1), 23–32. https://doi.org/10.2511/rpsd.28.1.23</w:t>
      </w:r>
    </w:p>
    <w:p w14:paraId="2FAB7425"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Waite, M. (2015). A space to learn for all children? Inclusive education and children with disabilities in Yangon, Myanmar. </w:t>
      </w:r>
      <w:r w:rsidRPr="001D68BC">
        <w:rPr>
          <w:rFonts w:ascii="Calibri Light" w:hAnsi="Calibri Light" w:cs="Calibri Light"/>
          <w:i/>
          <w:iCs/>
          <w:sz w:val="24"/>
          <w:szCs w:val="24"/>
        </w:rPr>
        <w:t>Global Studies of Childhood</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5</w:t>
      </w:r>
      <w:r w:rsidRPr="001D68BC">
        <w:rPr>
          <w:rFonts w:ascii="Calibri Light" w:hAnsi="Calibri Light" w:cs="Calibri Light"/>
          <w:sz w:val="24"/>
          <w:szCs w:val="24"/>
        </w:rPr>
        <w:t>(4), 381–394. https://doi.org/10.1177/2043610615612948</w:t>
      </w:r>
    </w:p>
    <w:p w14:paraId="5F9378F2"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Wijaya, S., &amp; Supena, A. (2023). Implementasi program pendidikan inklusi pada sekolah dasar di kota serang. </w:t>
      </w:r>
      <w:r w:rsidRPr="001D68BC">
        <w:rPr>
          <w:rFonts w:ascii="Calibri Light" w:hAnsi="Calibri Light" w:cs="Calibri Light"/>
          <w:i/>
          <w:iCs/>
          <w:sz w:val="24"/>
          <w:szCs w:val="24"/>
        </w:rPr>
        <w:t>Jurnal Educatio</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9</w:t>
      </w:r>
      <w:r w:rsidRPr="001D68BC">
        <w:rPr>
          <w:rFonts w:ascii="Calibri Light" w:hAnsi="Calibri Light" w:cs="Calibri Light"/>
          <w:sz w:val="24"/>
          <w:szCs w:val="24"/>
        </w:rPr>
        <w:t>(1), 347–357.</w:t>
      </w:r>
    </w:p>
    <w:p w14:paraId="3793BD06"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Wolff, C. E., Huilla, H., Tzaninis, Y., Magnúsdóttir, B. R., Lappalainen, S., Paulle, B., Seppänen, P., &amp; Kosunen, S. (2021). Inclusive education in the diversifying environments of Finland, Iceland and the Netherlands: A multilingual systematic review. </w:t>
      </w:r>
      <w:r w:rsidRPr="001D68BC">
        <w:rPr>
          <w:rFonts w:ascii="Calibri Light" w:hAnsi="Calibri Light" w:cs="Calibri Light"/>
          <w:i/>
          <w:iCs/>
          <w:sz w:val="24"/>
          <w:szCs w:val="24"/>
        </w:rPr>
        <w:t>Research in Comparative and International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16</w:t>
      </w:r>
      <w:r w:rsidRPr="001D68BC">
        <w:rPr>
          <w:rFonts w:ascii="Calibri Light" w:hAnsi="Calibri Light" w:cs="Calibri Light"/>
          <w:sz w:val="24"/>
          <w:szCs w:val="24"/>
        </w:rPr>
        <w:t>(1), 3–21. https://doi.org/10.1177/1745499921991958</w:t>
      </w:r>
    </w:p>
    <w:p w14:paraId="39C7523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Yoshitoshi, M., Horiguchi, G., &amp; Takahashi, K. (2024). Judicial barriers to inclusive education as a human right: An analysis of relevant legal cases in Japan. </w:t>
      </w:r>
      <w:r w:rsidRPr="001D68BC">
        <w:rPr>
          <w:rFonts w:ascii="Calibri Light" w:hAnsi="Calibri Light" w:cs="Calibri Light"/>
          <w:i/>
          <w:iCs/>
          <w:sz w:val="24"/>
          <w:szCs w:val="24"/>
        </w:rPr>
        <w:t>Disability &amp; Society</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39</w:t>
      </w:r>
      <w:r w:rsidRPr="001D68BC">
        <w:rPr>
          <w:rFonts w:ascii="Calibri Light" w:hAnsi="Calibri Light" w:cs="Calibri Light"/>
          <w:sz w:val="24"/>
          <w:szCs w:val="24"/>
        </w:rPr>
        <w:t>(6), 1423–1442. https://doi.org/10.1080/09687599.2022.2157705</w:t>
      </w:r>
    </w:p>
    <w:p w14:paraId="2EAADDC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Yoshitoshi, M., &amp; Takahashi, K. (2023). A critical analysis of court decision on mainstream school attendance of a child with medical care needs in Japan: A long way towards inclusive education. </w:t>
      </w:r>
      <w:r w:rsidRPr="001D68BC">
        <w:rPr>
          <w:rFonts w:ascii="Calibri Light" w:hAnsi="Calibri Light" w:cs="Calibri Light"/>
          <w:i/>
          <w:iCs/>
          <w:sz w:val="24"/>
          <w:szCs w:val="24"/>
        </w:rPr>
        <w:t>International Journal of Inclusive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27</w:t>
      </w:r>
      <w:r w:rsidRPr="001D68BC">
        <w:rPr>
          <w:rFonts w:ascii="Calibri Light" w:hAnsi="Calibri Light" w:cs="Calibri Light"/>
          <w:sz w:val="24"/>
          <w:szCs w:val="24"/>
        </w:rPr>
        <w:t>(11), 1257–1271. https://doi.org/10.1080/13603116.2021.1888322</w:t>
      </w:r>
    </w:p>
    <w:p w14:paraId="6C0BF409"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Yuliyanto, Y. (2023). Implementasi Penyelenggaraan Pendidikan Inklusif Di Kabupaten Situbondo. </w:t>
      </w:r>
      <w:r w:rsidRPr="001D68BC">
        <w:rPr>
          <w:rFonts w:ascii="Calibri Light" w:hAnsi="Calibri Light" w:cs="Calibri Light"/>
          <w:i/>
          <w:iCs/>
          <w:sz w:val="24"/>
          <w:szCs w:val="24"/>
        </w:rPr>
        <w:t>Soetomo Magister Ilmu Administrasi</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(2), 169–176.</w:t>
      </w:r>
    </w:p>
    <w:p w14:paraId="219DF30F"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Yusop, S. R. M., Rasul, M. S., Mohamad Yasin, R., Hashim, H. U., &amp; Jalaludin, N. A. (2022). An Assessment Approaches and Learning Outcomes in Technical and Vocational Education: A Systematic Review Using PRISMA. </w:t>
      </w:r>
      <w:r w:rsidRPr="001D68BC">
        <w:rPr>
          <w:rFonts w:ascii="Calibri Light" w:hAnsi="Calibri Light" w:cs="Calibri Light"/>
          <w:i/>
          <w:iCs/>
          <w:sz w:val="24"/>
          <w:szCs w:val="24"/>
        </w:rPr>
        <w:t>Sustainability</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14</w:t>
      </w:r>
      <w:r w:rsidRPr="001D68BC">
        <w:rPr>
          <w:rFonts w:ascii="Calibri Light" w:hAnsi="Calibri Light" w:cs="Calibri Light"/>
          <w:sz w:val="24"/>
          <w:szCs w:val="24"/>
        </w:rPr>
        <w:t>(9), Article 9. https://doi.org/10.3390/su14095225</w:t>
      </w:r>
    </w:p>
    <w:p w14:paraId="43824E9B"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lastRenderedPageBreak/>
        <w:t xml:space="preserve">Yusuf, M., &amp; Yeager, J. L. (2011). The implementation of inclusive education for students with special needs in Indonesia. </w:t>
      </w:r>
      <w:r w:rsidRPr="001D68BC">
        <w:rPr>
          <w:rFonts w:ascii="Calibri Light" w:hAnsi="Calibri Light" w:cs="Calibri Light"/>
          <w:i/>
          <w:iCs/>
          <w:sz w:val="24"/>
          <w:szCs w:val="24"/>
        </w:rPr>
        <w:t>Excellence in Higher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(1), 1–10.</w:t>
      </w:r>
    </w:p>
    <w:p w14:paraId="790E6713"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Yuwono, J., &amp; Supratiwi, M. (2025). Empowering the academic dignity through inclusive education for students with disabilities. </w:t>
      </w:r>
      <w:r w:rsidRPr="001D68BC">
        <w:rPr>
          <w:rFonts w:ascii="Calibri Light" w:hAnsi="Calibri Light" w:cs="Calibri Light"/>
          <w:i/>
          <w:iCs/>
          <w:sz w:val="24"/>
          <w:szCs w:val="24"/>
        </w:rPr>
        <w:t>Multidisciplinary Science Journal</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7</w:t>
      </w:r>
      <w:r w:rsidRPr="001D68BC">
        <w:rPr>
          <w:rFonts w:ascii="Calibri Light" w:hAnsi="Calibri Light" w:cs="Calibri Light"/>
          <w:sz w:val="24"/>
          <w:szCs w:val="24"/>
        </w:rPr>
        <w:t>(5), 2025227–2025227.</w:t>
      </w:r>
    </w:p>
    <w:p w14:paraId="38952AC8"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Zain, Z. (2022). Implementation of Inclusive Education in Regular School: Narrative Literature Review. </w:t>
      </w:r>
      <w:r w:rsidRPr="001D68BC">
        <w:rPr>
          <w:rFonts w:ascii="Calibri Light" w:hAnsi="Calibri Light" w:cs="Calibri Light"/>
          <w:i/>
          <w:iCs/>
          <w:sz w:val="24"/>
          <w:szCs w:val="24"/>
        </w:rPr>
        <w:t>JPI (Jurnal Pendidikan Inklusi)</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5</w:t>
      </w:r>
      <w:r w:rsidRPr="001D68BC">
        <w:rPr>
          <w:rFonts w:ascii="Calibri Light" w:hAnsi="Calibri Light" w:cs="Calibri Light"/>
          <w:sz w:val="24"/>
          <w:szCs w:val="24"/>
        </w:rPr>
        <w:t>(1), 82.</w:t>
      </w:r>
    </w:p>
    <w:p w14:paraId="4D96FD44" w14:textId="77777777" w:rsidR="008A2FA0" w:rsidRPr="00540F02" w:rsidRDefault="001D68BC" w:rsidP="001D68BC">
      <w:pPr>
        <w:ind w:left="1134"/>
        <w:jc w:val="both"/>
        <w:rPr>
          <w:rFonts w:ascii="Calibri Light" w:hAnsi="Calibri Light" w:cs="Calibri Light"/>
          <w:b/>
          <w:color w:val="A6A6A6"/>
          <w:sz w:val="24"/>
          <w:szCs w:val="24"/>
          <w:lang w:val="id-ID"/>
        </w:rPr>
      </w:pPr>
      <w:r w:rsidRPr="001D68BC">
        <w:rPr>
          <w:rFonts w:ascii="Calibri Light" w:hAnsi="Calibri Light" w:cs="Calibri Light"/>
          <w:b/>
          <w:color w:val="A6A6A6"/>
          <w:sz w:val="24"/>
          <w:szCs w:val="24"/>
          <w:lang w:val="id-ID"/>
        </w:rPr>
        <w:fldChar w:fldCharType="end"/>
      </w:r>
    </w:p>
    <w:sectPr w:rsidR="008A2FA0" w:rsidRPr="00540F02" w:rsidSect="007816FC">
      <w:headerReference w:type="even" r:id="rId17"/>
      <w:headerReference w:type="default" r:id="rId18"/>
      <w:footerReference w:type="even" r:id="rId19"/>
      <w:footerReference w:type="default" r:id="rId20"/>
      <w:headerReference w:type="first" r:id="rId21"/>
      <w:footerReference w:type="first" r:id="rId22"/>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T" w:date="2025-04-09T08:11:00Z" w:initials="T">
    <w:p w14:paraId="2F0E0381" w14:textId="414A8B1A" w:rsidR="008B4676" w:rsidRDefault="008B4676">
      <w:pPr>
        <w:pStyle w:val="CommentText"/>
      </w:pPr>
      <w:r>
        <w:rPr>
          <w:rStyle w:val="CommentReference"/>
        </w:rPr>
        <w:annotationRef/>
      </w:r>
      <w:r w:rsidRPr="008B4676">
        <w:t>If using the Systematic Literature Review (SLR) method technically (for example PRISMA), it can be stated in the title.</w:t>
      </w:r>
    </w:p>
  </w:comment>
  <w:comment w:id="1" w:author="T" w:date="2025-04-09T08:13:00Z" w:initials="T">
    <w:p w14:paraId="39681906" w14:textId="554CFA14" w:rsidR="00872442" w:rsidRDefault="00872442">
      <w:pPr>
        <w:pStyle w:val="CommentText"/>
      </w:pPr>
      <w:r>
        <w:rPr>
          <w:rStyle w:val="CommentReference"/>
        </w:rPr>
        <w:annotationRef/>
      </w:r>
      <w:r w:rsidRPr="00872442">
        <w:t>The use of language such as "So," and direct question formats are less formal in academic abstract writing. Change the form of the question into an explicit statement of purpose.</w:t>
      </w:r>
    </w:p>
  </w:comment>
  <w:comment w:id="2" w:author="T" w:date="2025-04-09T08:16:00Z" w:initials="T">
    <w:p w14:paraId="098B7B40" w14:textId="22C9E907" w:rsidR="00872442" w:rsidRDefault="00872442">
      <w:pPr>
        <w:pStyle w:val="CommentText"/>
      </w:pPr>
      <w:r>
        <w:rPr>
          <w:rStyle w:val="CommentReference"/>
        </w:rPr>
        <w:annotationRef/>
      </w:r>
      <w:r w:rsidRPr="00872442">
        <w:t>Comparative claims are too general without indicating the assessment criteria used. The sentence “only inferior to Finland” is not academically correct; more neutral wording is needed.</w:t>
      </w:r>
    </w:p>
  </w:comment>
  <w:comment w:id="3" w:author="T" w:date="2025-04-09T08:36:00Z" w:initials="T">
    <w:p w14:paraId="5AAD4D7C" w14:textId="01A25104" w:rsidR="00CB6126" w:rsidRDefault="00CB6126">
      <w:pPr>
        <w:pStyle w:val="CommentText"/>
      </w:pPr>
      <w:r>
        <w:rPr>
          <w:rStyle w:val="CommentReference"/>
        </w:rPr>
        <w:annotationRef/>
      </w:r>
      <w:r w:rsidRPr="00CB6126">
        <w:t>The final sentence (“however, in written data…”) is unclear. Revise the sentence “however…” to be more explicit that many policies are in place, but their implementation still faces challenges. The shift from “challenges” to “policy data” is too abrupt.</w:t>
      </w:r>
    </w:p>
  </w:comment>
  <w:comment w:id="4" w:author="T" w:date="2025-04-09T10:35:00Z" w:initials="T">
    <w:p w14:paraId="5DA5E447" w14:textId="50D06FE9" w:rsidR="00B333A7" w:rsidRDefault="00B333A7">
      <w:pPr>
        <w:pStyle w:val="CommentText"/>
      </w:pPr>
      <w:r>
        <w:rPr>
          <w:rStyle w:val="CommentReference"/>
        </w:rPr>
        <w:annotationRef/>
      </w:r>
      <w:r w:rsidRPr="00B333A7">
        <w:t xml:space="preserve">The use of applications such as </w:t>
      </w:r>
      <w:proofErr w:type="spellStart"/>
      <w:r w:rsidRPr="00B333A7">
        <w:t>Vosviewer</w:t>
      </w:r>
      <w:proofErr w:type="spellEnd"/>
      <w:r w:rsidRPr="00B333A7">
        <w:t xml:space="preserve"> and others is explained in the method.</w:t>
      </w:r>
    </w:p>
  </w:comment>
  <w:comment w:id="5" w:author="T" w:date="2025-04-09T08:43:00Z" w:initials="T">
    <w:p w14:paraId="6B9BC42D" w14:textId="1B3B1895" w:rsidR="00CB6126" w:rsidRDefault="00CB6126">
      <w:pPr>
        <w:pStyle w:val="CommentText"/>
      </w:pPr>
      <w:r>
        <w:rPr>
          <w:rStyle w:val="CommentReference"/>
        </w:rPr>
        <w:annotationRef/>
      </w:r>
      <w:r w:rsidRPr="00CB6126">
        <w:t>This sentence is unclear and appears to contain a typo: "valid fund screening" probably means “valid and screening”.</w:t>
      </w:r>
    </w:p>
  </w:comment>
  <w:comment w:id="6" w:author="T" w:date="2025-04-09T08:44:00Z" w:initials="T">
    <w:p w14:paraId="452ABB2F" w14:textId="0D207679" w:rsidR="00CB6126" w:rsidRDefault="00CB6126">
      <w:pPr>
        <w:pStyle w:val="CommentText"/>
      </w:pPr>
      <w:r>
        <w:rPr>
          <w:rStyle w:val="CommentReference"/>
        </w:rPr>
        <w:annotationRef/>
      </w:r>
      <w:r w:rsidRPr="00CB6126">
        <w:t>It says total 88, but breakdown is Scopus 19 + GS 19 = 38 (not 68 or 88). This needs to be corrected or explained.</w:t>
      </w:r>
    </w:p>
  </w:comment>
  <w:comment w:id="7" w:author="T" w:date="2025-04-09T09:14:00Z" w:initials="T">
    <w:p w14:paraId="130A95F5" w14:textId="43FEFD7D" w:rsidR="00360125" w:rsidRDefault="00360125">
      <w:pPr>
        <w:pStyle w:val="CommentText"/>
      </w:pPr>
      <w:r>
        <w:rPr>
          <w:rStyle w:val="CommentReference"/>
        </w:rPr>
        <w:annotationRef/>
      </w:r>
      <w:r w:rsidRPr="00360125">
        <w:t>This paragraph seems confusing because it does not directly explain the historical position and relevance of Law No. 4/1997 → a clearer transition is needed.</w:t>
      </w:r>
    </w:p>
  </w:comment>
  <w:comment w:id="10" w:author="T" w:date="2025-04-09T09:37:00Z" w:initials="T">
    <w:p w14:paraId="7CC574ED" w14:textId="058A6A35" w:rsidR="008A1EFE" w:rsidRDefault="008A1EFE">
      <w:pPr>
        <w:pStyle w:val="CommentText"/>
      </w:pPr>
      <w:r>
        <w:rPr>
          <w:rStyle w:val="CommentReference"/>
        </w:rPr>
        <w:annotationRef/>
      </w:r>
      <w:r w:rsidRPr="008A1EFE">
        <w:t>The opening sentence is too long and lacks meaning. The phrase “birth of measurable laws” sounds neither idiomatic nor academic.</w:t>
      </w:r>
    </w:p>
  </w:comment>
  <w:comment w:id="11" w:author="T" w:date="2025-04-09T09:42:00Z" w:initials="T">
    <w:p w14:paraId="11AE440A" w14:textId="0C1A4A50" w:rsidR="003F19EF" w:rsidRDefault="003F19EF">
      <w:pPr>
        <w:pStyle w:val="CommentText"/>
      </w:pPr>
      <w:r>
        <w:rPr>
          <w:rStyle w:val="CommentReference"/>
        </w:rPr>
        <w:annotationRef/>
      </w:r>
      <w:r w:rsidRPr="003F19EF">
        <w:t>The term “ordinary teachers” can sound condescending or ambiguous.</w:t>
      </w:r>
    </w:p>
  </w:comment>
  <w:comment w:id="12" w:author="T" w:date="2025-04-09T09:45:00Z" w:initials="T">
    <w:p w14:paraId="49378256" w14:textId="78226A49" w:rsidR="001870EF" w:rsidRPr="004B1C5F" w:rsidRDefault="001870EF">
      <w:pPr>
        <w:pStyle w:val="CommentText"/>
      </w:pPr>
      <w:r w:rsidRPr="004B1C5F">
        <w:rPr>
          <w:rStyle w:val="CommentReference"/>
        </w:rPr>
        <w:annotationRef/>
      </w:r>
      <w:r w:rsidRPr="004B1C5F">
        <w:t>Too many quotes piled up in one sentence/paragraph. Too many references in one sentence without argument processing → looks like a listing, not an analysis. You can combine similar quotes into a synthesis sentence. Arrange quotes by argument points, not as a long list.</w:t>
      </w:r>
    </w:p>
  </w:comment>
  <w:comment w:id="13" w:author="T" w:date="2025-04-09T10:15:00Z" w:initials="T">
    <w:p w14:paraId="0F122955" w14:textId="56461EBF" w:rsidR="00BD0DDD" w:rsidRDefault="00BD0DDD">
      <w:pPr>
        <w:pStyle w:val="CommentText"/>
      </w:pPr>
      <w:r>
        <w:rPr>
          <w:rStyle w:val="CommentReference"/>
        </w:rPr>
        <w:annotationRef/>
      </w:r>
      <w:r w:rsidRPr="00BD0DDD">
        <w:t>The four components are too dense in one paragraph, overwhelming the reader. Break the four components into four short paragraphs. Add topic sentences and more specific elaborations.</w:t>
      </w:r>
    </w:p>
  </w:comment>
  <w:comment w:id="14" w:author="T" w:date="2025-04-09T10:25:00Z" w:initials="T">
    <w:p w14:paraId="618E3A8A" w14:textId="019CDDD6" w:rsidR="00815905" w:rsidRDefault="00815905">
      <w:pPr>
        <w:pStyle w:val="CommentText"/>
      </w:pPr>
      <w:r>
        <w:rPr>
          <w:rStyle w:val="CommentReference"/>
        </w:rPr>
        <w:annotationRef/>
      </w:r>
      <w:r w:rsidRPr="00815905">
        <w:t>"In Malaysia... In Vietnam... In Myanmar..." This paragraph tends to only list legal facts, lacking any comparative analysis or critical reflection.</w:t>
      </w:r>
    </w:p>
  </w:comment>
  <w:comment w:id="15" w:author="T" w:date="2025-04-09T08:55:00Z" w:initials="T">
    <w:p w14:paraId="4520F621" w14:textId="72A3F89B" w:rsidR="00ED15DE" w:rsidRDefault="00ED15DE">
      <w:pPr>
        <w:pStyle w:val="CommentText"/>
      </w:pPr>
      <w:r>
        <w:rPr>
          <w:rStyle w:val="CommentReference"/>
        </w:rPr>
        <w:annotationRef/>
      </w:r>
      <w:r w:rsidRPr="00ED15DE">
        <w:t>This sentence is too long and mixes statements of effectiveness, legal basis, and international documents. Break it into 2–3 sentences for clarity and focus.</w:t>
      </w:r>
    </w:p>
  </w:comment>
  <w:comment w:id="16" w:author="T" w:date="2025-04-09T08:56:00Z" w:initials="T">
    <w:p w14:paraId="0C37FA67" w14:textId="517EF606" w:rsidR="00ED15DE" w:rsidRDefault="00ED15DE">
      <w:pPr>
        <w:pStyle w:val="CommentText"/>
      </w:pPr>
      <w:r>
        <w:rPr>
          <w:rStyle w:val="CommentReference"/>
        </w:rPr>
        <w:annotationRef/>
      </w:r>
      <w:r w:rsidR="001D5C39" w:rsidRPr="001D5C39">
        <w:t>The phrase “the findings of theoretical implications” sounds unnatural in English academic writing. It would be more appropriate to use “theoretical implications include...” or “the study implies that...”</w:t>
      </w:r>
    </w:p>
  </w:comment>
  <w:comment w:id="17" w:author="T" w:date="2025-04-09T08:49:00Z" w:initials="T">
    <w:p w14:paraId="28E5EF1D" w14:textId="507BAAAD" w:rsidR="00405A1C" w:rsidRDefault="00405A1C">
      <w:pPr>
        <w:pStyle w:val="CommentText"/>
      </w:pPr>
      <w:r>
        <w:rPr>
          <w:rStyle w:val="CommentReference"/>
        </w:rPr>
        <w:annotationRef/>
      </w:r>
      <w:r w:rsidRPr="00405A1C">
        <w:t>Make sure 80% of references are from journal articles, and within the last 10 years. Mandatory Mendeley or other reference manager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F0E0381" w15:done="0"/>
  <w15:commentEx w15:paraId="39681906" w15:done="0"/>
  <w15:commentEx w15:paraId="098B7B40" w15:done="0"/>
  <w15:commentEx w15:paraId="5AAD4D7C" w15:done="0"/>
  <w15:commentEx w15:paraId="5DA5E447" w15:done="0"/>
  <w15:commentEx w15:paraId="6B9BC42D" w15:done="0"/>
  <w15:commentEx w15:paraId="452ABB2F" w15:done="0"/>
  <w15:commentEx w15:paraId="130A95F5" w15:done="0"/>
  <w15:commentEx w15:paraId="7CC574ED" w15:done="0"/>
  <w15:commentEx w15:paraId="11AE440A" w15:done="0"/>
  <w15:commentEx w15:paraId="49378256" w15:done="0"/>
  <w15:commentEx w15:paraId="0F122955" w15:done="0"/>
  <w15:commentEx w15:paraId="618E3A8A" w15:done="0"/>
  <w15:commentEx w15:paraId="4520F621" w15:done="0"/>
  <w15:commentEx w15:paraId="0C37FA67" w15:done="0"/>
  <w15:commentEx w15:paraId="28E5EF1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5C76EC0" w16cex:dateUtc="2025-04-09T01:11:00Z"/>
  <w16cex:commentExtensible w16cex:durableId="67BD2C2E" w16cex:dateUtc="2025-04-09T01:13:00Z"/>
  <w16cex:commentExtensible w16cex:durableId="2231C9CA" w16cex:dateUtc="2025-04-09T01:16:00Z"/>
  <w16cex:commentExtensible w16cex:durableId="0CFF31DC" w16cex:dateUtc="2025-04-09T01:36:00Z"/>
  <w16cex:commentExtensible w16cex:durableId="5155A9D1" w16cex:dateUtc="2025-04-09T03:35:00Z"/>
  <w16cex:commentExtensible w16cex:durableId="0B57FA43" w16cex:dateUtc="2025-04-09T01:43:00Z"/>
  <w16cex:commentExtensible w16cex:durableId="3CB2DFA1" w16cex:dateUtc="2025-04-09T01:44:00Z"/>
  <w16cex:commentExtensible w16cex:durableId="4F2EB778" w16cex:dateUtc="2025-04-09T02:14:00Z"/>
  <w16cex:commentExtensible w16cex:durableId="7A325BCC" w16cex:dateUtc="2025-04-09T02:37:00Z"/>
  <w16cex:commentExtensible w16cex:durableId="5140BBC4" w16cex:dateUtc="2025-04-09T02:42:00Z"/>
  <w16cex:commentExtensible w16cex:durableId="6887B3BD" w16cex:dateUtc="2025-04-09T02:45:00Z"/>
  <w16cex:commentExtensible w16cex:durableId="15740175" w16cex:dateUtc="2025-04-09T03:15:00Z"/>
  <w16cex:commentExtensible w16cex:durableId="7EDF0CB0" w16cex:dateUtc="2025-04-09T03:25:00Z"/>
  <w16cex:commentExtensible w16cex:durableId="2DFF2F60" w16cex:dateUtc="2025-04-09T01:55:00Z"/>
  <w16cex:commentExtensible w16cex:durableId="7E5D90DD" w16cex:dateUtc="2025-04-09T01:56:00Z"/>
  <w16cex:commentExtensible w16cex:durableId="149A8703" w16cex:dateUtc="2025-04-09T01: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F0E0381" w16cid:durableId="05C76EC0"/>
  <w16cid:commentId w16cid:paraId="39681906" w16cid:durableId="67BD2C2E"/>
  <w16cid:commentId w16cid:paraId="098B7B40" w16cid:durableId="2231C9CA"/>
  <w16cid:commentId w16cid:paraId="5AAD4D7C" w16cid:durableId="0CFF31DC"/>
  <w16cid:commentId w16cid:paraId="5DA5E447" w16cid:durableId="5155A9D1"/>
  <w16cid:commentId w16cid:paraId="6B9BC42D" w16cid:durableId="0B57FA43"/>
  <w16cid:commentId w16cid:paraId="452ABB2F" w16cid:durableId="3CB2DFA1"/>
  <w16cid:commentId w16cid:paraId="130A95F5" w16cid:durableId="4F2EB778"/>
  <w16cid:commentId w16cid:paraId="7CC574ED" w16cid:durableId="7A325BCC"/>
  <w16cid:commentId w16cid:paraId="11AE440A" w16cid:durableId="5140BBC4"/>
  <w16cid:commentId w16cid:paraId="49378256" w16cid:durableId="6887B3BD"/>
  <w16cid:commentId w16cid:paraId="0F122955" w16cid:durableId="15740175"/>
  <w16cid:commentId w16cid:paraId="618E3A8A" w16cid:durableId="7EDF0CB0"/>
  <w16cid:commentId w16cid:paraId="4520F621" w16cid:durableId="2DFF2F60"/>
  <w16cid:commentId w16cid:paraId="0C37FA67" w16cid:durableId="7E5D90DD"/>
  <w16cid:commentId w16cid:paraId="28E5EF1D" w16cid:durableId="149A870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47F5F2" w14:textId="77777777" w:rsidR="001778DE" w:rsidRDefault="001778DE">
      <w:r>
        <w:separator/>
      </w:r>
    </w:p>
  </w:endnote>
  <w:endnote w:type="continuationSeparator" w:id="0">
    <w:p w14:paraId="5A16C82F" w14:textId="77777777" w:rsidR="001778DE" w:rsidRDefault="00177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Calibri Light">
    <w:altName w:val="Calibri"/>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5C01C8" w14:textId="563DC60E" w:rsidR="00122F5F" w:rsidRPr="00540F02" w:rsidRDefault="000A2469"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3BCFC2C0" wp14:editId="51A230FA">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844CB7C"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CFC2C0" id="Rectangle 7" o:spid="_x0000_s1054"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7844CB7C"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01BD3C89"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C9391" w14:textId="56F46361" w:rsidR="0008220C" w:rsidRPr="00540F02" w:rsidRDefault="000A2469"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2C6F159F" wp14:editId="46B2DDD1">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0E68023"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6F159F" id="Rectangle 8" o:spid="_x0000_s1055"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50E68023"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0385FB5E"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C3176" w14:textId="5E23247F" w:rsidR="00965E3F" w:rsidRPr="0008220C" w:rsidRDefault="000A2469"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557A8FB3" wp14:editId="6D512C73">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9912FEB"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7A8FB3" id="Rectangle 12" o:spid="_x0000_s1059"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29912FEB"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6DB266B6"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CDECE8" w14:textId="77777777" w:rsidR="001778DE" w:rsidRDefault="001778DE">
      <w:r>
        <w:separator/>
      </w:r>
    </w:p>
  </w:footnote>
  <w:footnote w:type="continuationSeparator" w:id="0">
    <w:p w14:paraId="54BC28EF" w14:textId="77777777" w:rsidR="001778DE" w:rsidRDefault="00177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3718B" w14:textId="09AE0403" w:rsidR="00122F5F" w:rsidRDefault="000A2469" w:rsidP="00122F5F">
    <w:pPr>
      <w:pStyle w:val="Header"/>
    </w:pPr>
    <w:r>
      <w:rPr>
        <w:noProof/>
      </w:rPr>
      <mc:AlternateContent>
        <mc:Choice Requires="wps">
          <w:drawing>
            <wp:anchor distT="0" distB="0" distL="114300" distR="114300" simplePos="0" relativeHeight="251656192" behindDoc="1" locked="0" layoutInCell="1" allowOverlap="1" wp14:anchorId="5A7B4E1C" wp14:editId="12F9869E">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0106FF"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4765542"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7B4E1C" id="_x0000_t202" coordsize="21600,21600" o:spt="202" path="m,l,21600r21600,l21600,xe">
              <v:stroke joinstyle="miter"/>
              <v:path gradientshapeok="t" o:connecttype="rect"/>
            </v:shapetype>
            <v:shape id="Text Box 1" o:spid="_x0000_s1048"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7A0106FF"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4765542"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47705CFE" wp14:editId="0BF97464">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724B4C"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05CFE" id="Text Box 2" o:spid="_x0000_s1049"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25724B4C"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3CAC476D" wp14:editId="424C99B4">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C76AD"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AC476D" id="Text Box 3" o:spid="_x0000_s1050"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468C76AD"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383D018E" wp14:editId="3E8CB35E">
          <wp:extent cx="1091565" cy="501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1565" cy="501650"/>
                  </a:xfrm>
                  <a:prstGeom prst="rect">
                    <a:avLst/>
                  </a:prstGeom>
                  <a:noFill/>
                  <a:ln>
                    <a:noFill/>
                  </a:ln>
                </pic:spPr>
              </pic:pic>
            </a:graphicData>
          </a:graphic>
        </wp:inline>
      </w:drawing>
    </w:r>
  </w:p>
  <w:p w14:paraId="2F07A72E" w14:textId="77777777" w:rsidR="00122F5F" w:rsidRDefault="00122F5F" w:rsidP="00122F5F">
    <w:pPr>
      <w:pStyle w:val="Header"/>
      <w:rPr>
        <w:sz w:val="16"/>
        <w:szCs w:val="16"/>
      </w:rPr>
    </w:pPr>
  </w:p>
  <w:p w14:paraId="53A566B4" w14:textId="77777777" w:rsidR="00AA4AE4" w:rsidRDefault="00AA4AE4" w:rsidP="00122F5F">
    <w:pPr>
      <w:pStyle w:val="Header"/>
      <w:rPr>
        <w:sz w:val="16"/>
        <w:szCs w:val="16"/>
      </w:rPr>
    </w:pPr>
  </w:p>
  <w:p w14:paraId="0B61DCD0"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18BA6" w14:textId="6741A23D" w:rsidR="00540F02" w:rsidRDefault="000A2469" w:rsidP="00540F02">
    <w:pPr>
      <w:pStyle w:val="Header"/>
    </w:pPr>
    <w:r>
      <w:rPr>
        <w:noProof/>
      </w:rPr>
      <mc:AlternateContent>
        <mc:Choice Requires="wps">
          <w:drawing>
            <wp:anchor distT="0" distB="0" distL="114300" distR="114300" simplePos="0" relativeHeight="251658240" behindDoc="1" locked="0" layoutInCell="1" allowOverlap="1" wp14:anchorId="17718014" wp14:editId="24E10320">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8EB405"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99D0C30"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718014" id="_x0000_t202" coordsize="21600,21600" o:spt="202" path="m,l,21600r21600,l21600,xe">
              <v:stroke joinstyle="miter"/>
              <v:path gradientshapeok="t" o:connecttype="rect"/>
            </v:shapetype>
            <v:shape id="Text Box 4" o:spid="_x0000_s1051"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5C8EB405"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99D0C30"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784B2A6C" wp14:editId="264DAC82">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10FC92"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4B2A6C" id="Text Box 5" o:spid="_x0000_s1052"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4310FC92"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76A7630C" wp14:editId="001F2A3E">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713270"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A7630C" id="Text Box 6" o:spid="_x0000_s1053"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52713270"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0E8FC045" wp14:editId="72B26324">
          <wp:extent cx="1091565" cy="501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1565" cy="501650"/>
                  </a:xfrm>
                  <a:prstGeom prst="rect">
                    <a:avLst/>
                  </a:prstGeom>
                  <a:noFill/>
                  <a:ln>
                    <a:noFill/>
                  </a:ln>
                </pic:spPr>
              </pic:pic>
            </a:graphicData>
          </a:graphic>
        </wp:inline>
      </w:drawing>
    </w:r>
  </w:p>
  <w:p w14:paraId="2C173DCA" w14:textId="77777777" w:rsidR="00540F02" w:rsidRDefault="00540F02" w:rsidP="00540F02">
    <w:pPr>
      <w:pStyle w:val="Header"/>
      <w:rPr>
        <w:sz w:val="16"/>
        <w:szCs w:val="16"/>
      </w:rPr>
    </w:pPr>
  </w:p>
  <w:p w14:paraId="12AA4A19" w14:textId="77777777" w:rsidR="00540F02" w:rsidRDefault="00540F02" w:rsidP="00540F02">
    <w:pPr>
      <w:pStyle w:val="Header"/>
      <w:rPr>
        <w:sz w:val="16"/>
        <w:szCs w:val="16"/>
      </w:rPr>
    </w:pPr>
  </w:p>
  <w:p w14:paraId="29E96126"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6A7BB" w14:textId="4A231179" w:rsidR="00FF1D30" w:rsidRDefault="000A2469">
    <w:pPr>
      <w:pStyle w:val="Header"/>
    </w:pPr>
    <w:r>
      <w:rPr>
        <w:noProof/>
      </w:rPr>
      <mc:AlternateContent>
        <mc:Choice Requires="wps">
          <w:drawing>
            <wp:anchor distT="0" distB="0" distL="114300" distR="114300" simplePos="0" relativeHeight="251652096" behindDoc="1" locked="0" layoutInCell="1" allowOverlap="1" wp14:anchorId="3C9D2E62" wp14:editId="56C7CD7D">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403BC"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AB01CD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9D2E62" id="_x0000_t202" coordsize="21600,21600" o:spt="202" path="m,l,21600r21600,l21600,xe">
              <v:stroke joinstyle="miter"/>
              <v:path gradientshapeok="t" o:connecttype="rect"/>
            </v:shapetype>
            <v:shape id="Text Box 9" o:spid="_x0000_s1056"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522403BC"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AB01CD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75093339" wp14:editId="4B1E2F55">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19CCB"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093339" id="Text Box 10" o:spid="_x0000_s1057"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32A19CCB"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7CFF18CD" wp14:editId="736C93F4">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1CFCB"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FF18CD" id="Text Box 11" o:spid="_x0000_s1058"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5931CFCB"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61675D7E" wp14:editId="6DEA8B77">
          <wp:extent cx="1091565" cy="5016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1565" cy="501650"/>
                  </a:xfrm>
                  <a:prstGeom prst="rect">
                    <a:avLst/>
                  </a:prstGeom>
                  <a:noFill/>
                  <a:ln>
                    <a:noFill/>
                  </a:ln>
                </pic:spPr>
              </pic:pic>
            </a:graphicData>
          </a:graphic>
        </wp:inline>
      </w:drawing>
    </w:r>
  </w:p>
  <w:p w14:paraId="0B7DA4C7" w14:textId="77777777" w:rsidR="00FF1D30" w:rsidRDefault="00FF1D30">
    <w:pPr>
      <w:pStyle w:val="Header"/>
      <w:rPr>
        <w:sz w:val="16"/>
        <w:szCs w:val="16"/>
      </w:rPr>
    </w:pPr>
  </w:p>
  <w:p w14:paraId="6E2712B9" w14:textId="77777777" w:rsidR="00FF1D30" w:rsidRDefault="00FF1D30">
    <w:pPr>
      <w:pStyle w:val="Header"/>
      <w:rPr>
        <w:sz w:val="16"/>
        <w:szCs w:val="16"/>
      </w:rPr>
    </w:pPr>
  </w:p>
  <w:p w14:paraId="6C063864"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784689967">
    <w:abstractNumId w:val="14"/>
  </w:num>
  <w:num w:numId="2" w16cid:durableId="1658416254">
    <w:abstractNumId w:val="8"/>
  </w:num>
  <w:num w:numId="3" w16cid:durableId="213591325">
    <w:abstractNumId w:val="9"/>
  </w:num>
  <w:num w:numId="4" w16cid:durableId="2710605">
    <w:abstractNumId w:val="22"/>
  </w:num>
  <w:num w:numId="5" w16cid:durableId="1914854466">
    <w:abstractNumId w:val="21"/>
  </w:num>
  <w:num w:numId="6" w16cid:durableId="1741054624">
    <w:abstractNumId w:val="20"/>
  </w:num>
  <w:num w:numId="7" w16cid:durableId="640814585">
    <w:abstractNumId w:val="27"/>
  </w:num>
  <w:num w:numId="8" w16cid:durableId="134838440">
    <w:abstractNumId w:val="15"/>
  </w:num>
  <w:num w:numId="9" w16cid:durableId="76487624">
    <w:abstractNumId w:val="23"/>
  </w:num>
  <w:num w:numId="10" w16cid:durableId="359282874">
    <w:abstractNumId w:val="24"/>
  </w:num>
  <w:num w:numId="11" w16cid:durableId="1996760973">
    <w:abstractNumId w:val="11"/>
  </w:num>
  <w:num w:numId="12" w16cid:durableId="481390853">
    <w:abstractNumId w:val="18"/>
  </w:num>
  <w:num w:numId="13" w16cid:durableId="1889292305">
    <w:abstractNumId w:val="7"/>
  </w:num>
  <w:num w:numId="14" w16cid:durableId="1473862694">
    <w:abstractNumId w:val="0"/>
  </w:num>
  <w:num w:numId="15" w16cid:durableId="786853558">
    <w:abstractNumId w:val="28"/>
  </w:num>
  <w:num w:numId="16" w16cid:durableId="1125081718">
    <w:abstractNumId w:val="19"/>
  </w:num>
  <w:num w:numId="17" w16cid:durableId="677776584">
    <w:abstractNumId w:val="26"/>
  </w:num>
  <w:num w:numId="18" w16cid:durableId="2107458183">
    <w:abstractNumId w:val="25"/>
  </w:num>
  <w:num w:numId="19" w16cid:durableId="2082830719">
    <w:abstractNumId w:val="17"/>
  </w:num>
  <w:num w:numId="20" w16cid:durableId="1128014319">
    <w:abstractNumId w:val="5"/>
  </w:num>
  <w:num w:numId="21" w16cid:durableId="1053777692">
    <w:abstractNumId w:val="1"/>
  </w:num>
  <w:num w:numId="22" w16cid:durableId="2067145847">
    <w:abstractNumId w:val="12"/>
  </w:num>
  <w:num w:numId="23" w16cid:durableId="1728452045">
    <w:abstractNumId w:val="2"/>
  </w:num>
  <w:num w:numId="24" w16cid:durableId="1620994582">
    <w:abstractNumId w:val="3"/>
  </w:num>
  <w:num w:numId="25" w16cid:durableId="740756611">
    <w:abstractNumId w:val="4"/>
  </w:num>
  <w:num w:numId="26" w16cid:durableId="2084985832">
    <w:abstractNumId w:val="10"/>
  </w:num>
  <w:num w:numId="27" w16cid:durableId="1259950557">
    <w:abstractNumId w:val="13"/>
  </w:num>
  <w:num w:numId="28" w16cid:durableId="349530547">
    <w:abstractNumId w:val="6"/>
  </w:num>
  <w:num w:numId="29" w16cid:durableId="377512776">
    <w:abstractNumId w:val="1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
    <w15:presenceInfo w15:providerId="None" w15:userId="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2D28"/>
    <w:rsid w:val="000475BE"/>
    <w:rsid w:val="00055FC4"/>
    <w:rsid w:val="0006191D"/>
    <w:rsid w:val="00066AC1"/>
    <w:rsid w:val="00076F8C"/>
    <w:rsid w:val="0008220C"/>
    <w:rsid w:val="000877EE"/>
    <w:rsid w:val="000A0B41"/>
    <w:rsid w:val="000A2469"/>
    <w:rsid w:val="000A2548"/>
    <w:rsid w:val="000B0038"/>
    <w:rsid w:val="000B0CE5"/>
    <w:rsid w:val="000B59CD"/>
    <w:rsid w:val="000C3688"/>
    <w:rsid w:val="000E1F30"/>
    <w:rsid w:val="000E31DC"/>
    <w:rsid w:val="000F66AA"/>
    <w:rsid w:val="00103AFF"/>
    <w:rsid w:val="0011075E"/>
    <w:rsid w:val="00110D78"/>
    <w:rsid w:val="00112CC2"/>
    <w:rsid w:val="001133A4"/>
    <w:rsid w:val="00116ED8"/>
    <w:rsid w:val="00117792"/>
    <w:rsid w:val="00122F5F"/>
    <w:rsid w:val="00123EF2"/>
    <w:rsid w:val="001245CB"/>
    <w:rsid w:val="0013783B"/>
    <w:rsid w:val="00153A17"/>
    <w:rsid w:val="001578E9"/>
    <w:rsid w:val="00162A30"/>
    <w:rsid w:val="00165813"/>
    <w:rsid w:val="00171D19"/>
    <w:rsid w:val="00173196"/>
    <w:rsid w:val="001778DE"/>
    <w:rsid w:val="0018288D"/>
    <w:rsid w:val="001870EF"/>
    <w:rsid w:val="00187357"/>
    <w:rsid w:val="00192B01"/>
    <w:rsid w:val="001A07A8"/>
    <w:rsid w:val="001B3613"/>
    <w:rsid w:val="001C2739"/>
    <w:rsid w:val="001C3D6C"/>
    <w:rsid w:val="001C7BDA"/>
    <w:rsid w:val="001D5C39"/>
    <w:rsid w:val="001D5E03"/>
    <w:rsid w:val="001D68BC"/>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77FFA"/>
    <w:rsid w:val="00287EDB"/>
    <w:rsid w:val="00295FB9"/>
    <w:rsid w:val="002961FA"/>
    <w:rsid w:val="002A293E"/>
    <w:rsid w:val="002A4E05"/>
    <w:rsid w:val="002B1EF8"/>
    <w:rsid w:val="002B46A7"/>
    <w:rsid w:val="002C2FAC"/>
    <w:rsid w:val="002D0F54"/>
    <w:rsid w:val="002D1D04"/>
    <w:rsid w:val="002D2DAC"/>
    <w:rsid w:val="002E0452"/>
    <w:rsid w:val="002E695D"/>
    <w:rsid w:val="002F4D18"/>
    <w:rsid w:val="00301FEB"/>
    <w:rsid w:val="00303D42"/>
    <w:rsid w:val="0030640D"/>
    <w:rsid w:val="00312D76"/>
    <w:rsid w:val="00315042"/>
    <w:rsid w:val="00334520"/>
    <w:rsid w:val="00334792"/>
    <w:rsid w:val="003363F0"/>
    <w:rsid w:val="00336A9A"/>
    <w:rsid w:val="0034128C"/>
    <w:rsid w:val="00360125"/>
    <w:rsid w:val="00362CBC"/>
    <w:rsid w:val="00381B26"/>
    <w:rsid w:val="00382478"/>
    <w:rsid w:val="00386F26"/>
    <w:rsid w:val="00387148"/>
    <w:rsid w:val="00387C94"/>
    <w:rsid w:val="003948B0"/>
    <w:rsid w:val="00395535"/>
    <w:rsid w:val="00395754"/>
    <w:rsid w:val="003B28D6"/>
    <w:rsid w:val="003C40CE"/>
    <w:rsid w:val="003C482F"/>
    <w:rsid w:val="003C5369"/>
    <w:rsid w:val="003E1185"/>
    <w:rsid w:val="003F19EF"/>
    <w:rsid w:val="00400BB8"/>
    <w:rsid w:val="00403979"/>
    <w:rsid w:val="00405A1C"/>
    <w:rsid w:val="00406D0E"/>
    <w:rsid w:val="00411F5E"/>
    <w:rsid w:val="00413EEB"/>
    <w:rsid w:val="00415562"/>
    <w:rsid w:val="004174DD"/>
    <w:rsid w:val="00423FBA"/>
    <w:rsid w:val="00425716"/>
    <w:rsid w:val="00425E5D"/>
    <w:rsid w:val="0043544C"/>
    <w:rsid w:val="00436963"/>
    <w:rsid w:val="00442F6C"/>
    <w:rsid w:val="00451D00"/>
    <w:rsid w:val="00453027"/>
    <w:rsid w:val="004535C9"/>
    <w:rsid w:val="004538A9"/>
    <w:rsid w:val="00461A20"/>
    <w:rsid w:val="00463904"/>
    <w:rsid w:val="004657C4"/>
    <w:rsid w:val="00476E9F"/>
    <w:rsid w:val="00477057"/>
    <w:rsid w:val="00481B20"/>
    <w:rsid w:val="004863B6"/>
    <w:rsid w:val="00486707"/>
    <w:rsid w:val="0048722D"/>
    <w:rsid w:val="004926FD"/>
    <w:rsid w:val="004928B8"/>
    <w:rsid w:val="00497A78"/>
    <w:rsid w:val="004A19B5"/>
    <w:rsid w:val="004A4564"/>
    <w:rsid w:val="004A48DC"/>
    <w:rsid w:val="004A68CB"/>
    <w:rsid w:val="004B08D8"/>
    <w:rsid w:val="004B0E60"/>
    <w:rsid w:val="004B1C5F"/>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131D0"/>
    <w:rsid w:val="0052120B"/>
    <w:rsid w:val="005227C8"/>
    <w:rsid w:val="005323E6"/>
    <w:rsid w:val="0053629A"/>
    <w:rsid w:val="005367ED"/>
    <w:rsid w:val="00540F02"/>
    <w:rsid w:val="0054303A"/>
    <w:rsid w:val="00543077"/>
    <w:rsid w:val="005435E3"/>
    <w:rsid w:val="005469BE"/>
    <w:rsid w:val="005478C9"/>
    <w:rsid w:val="00553784"/>
    <w:rsid w:val="005569E1"/>
    <w:rsid w:val="0056036E"/>
    <w:rsid w:val="005611F1"/>
    <w:rsid w:val="005626AA"/>
    <w:rsid w:val="005635B4"/>
    <w:rsid w:val="00571CFE"/>
    <w:rsid w:val="00591DE5"/>
    <w:rsid w:val="0059236C"/>
    <w:rsid w:val="005A4F69"/>
    <w:rsid w:val="005B4F92"/>
    <w:rsid w:val="005C14AA"/>
    <w:rsid w:val="005C643D"/>
    <w:rsid w:val="005C68EA"/>
    <w:rsid w:val="005D4A0D"/>
    <w:rsid w:val="005E7673"/>
    <w:rsid w:val="006035FA"/>
    <w:rsid w:val="006052AE"/>
    <w:rsid w:val="006126FC"/>
    <w:rsid w:val="0061613E"/>
    <w:rsid w:val="0062129F"/>
    <w:rsid w:val="00622926"/>
    <w:rsid w:val="0062388D"/>
    <w:rsid w:val="006352D0"/>
    <w:rsid w:val="00640638"/>
    <w:rsid w:val="006419D1"/>
    <w:rsid w:val="006420EB"/>
    <w:rsid w:val="00646235"/>
    <w:rsid w:val="006538D6"/>
    <w:rsid w:val="00654B07"/>
    <w:rsid w:val="00674CB5"/>
    <w:rsid w:val="00680536"/>
    <w:rsid w:val="006902BB"/>
    <w:rsid w:val="006A7DFF"/>
    <w:rsid w:val="006B0510"/>
    <w:rsid w:val="006B2D02"/>
    <w:rsid w:val="006B6E0F"/>
    <w:rsid w:val="006C65C4"/>
    <w:rsid w:val="006C6EBD"/>
    <w:rsid w:val="006C7730"/>
    <w:rsid w:val="006C7F74"/>
    <w:rsid w:val="006D6149"/>
    <w:rsid w:val="006D782E"/>
    <w:rsid w:val="006E2F83"/>
    <w:rsid w:val="006E7FC3"/>
    <w:rsid w:val="006F411A"/>
    <w:rsid w:val="00704378"/>
    <w:rsid w:val="00706E13"/>
    <w:rsid w:val="00707398"/>
    <w:rsid w:val="007169EC"/>
    <w:rsid w:val="00727B9E"/>
    <w:rsid w:val="00741058"/>
    <w:rsid w:val="00755AB4"/>
    <w:rsid w:val="00761E7C"/>
    <w:rsid w:val="007636FC"/>
    <w:rsid w:val="0076470E"/>
    <w:rsid w:val="00765674"/>
    <w:rsid w:val="00781580"/>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05"/>
    <w:rsid w:val="00815993"/>
    <w:rsid w:val="0082272E"/>
    <w:rsid w:val="0083227B"/>
    <w:rsid w:val="00852EC7"/>
    <w:rsid w:val="0085484D"/>
    <w:rsid w:val="00856A11"/>
    <w:rsid w:val="00862178"/>
    <w:rsid w:val="00862DDA"/>
    <w:rsid w:val="00863A78"/>
    <w:rsid w:val="00872442"/>
    <w:rsid w:val="00874EB7"/>
    <w:rsid w:val="008765A5"/>
    <w:rsid w:val="00882CAF"/>
    <w:rsid w:val="0088746C"/>
    <w:rsid w:val="008940D8"/>
    <w:rsid w:val="008A1EFE"/>
    <w:rsid w:val="008A2FA0"/>
    <w:rsid w:val="008B23F8"/>
    <w:rsid w:val="008B4676"/>
    <w:rsid w:val="008B4BA9"/>
    <w:rsid w:val="008B7A0F"/>
    <w:rsid w:val="008C302B"/>
    <w:rsid w:val="008C3DC2"/>
    <w:rsid w:val="008C45DE"/>
    <w:rsid w:val="008D0F02"/>
    <w:rsid w:val="008E554D"/>
    <w:rsid w:val="008F3342"/>
    <w:rsid w:val="00902F9C"/>
    <w:rsid w:val="00906AC7"/>
    <w:rsid w:val="00911A24"/>
    <w:rsid w:val="009206DD"/>
    <w:rsid w:val="00921191"/>
    <w:rsid w:val="009276FB"/>
    <w:rsid w:val="00936811"/>
    <w:rsid w:val="00940F83"/>
    <w:rsid w:val="0094187E"/>
    <w:rsid w:val="00945575"/>
    <w:rsid w:val="0095288D"/>
    <w:rsid w:val="00954BA8"/>
    <w:rsid w:val="00962A06"/>
    <w:rsid w:val="00965E3F"/>
    <w:rsid w:val="00965F50"/>
    <w:rsid w:val="0098193E"/>
    <w:rsid w:val="00987772"/>
    <w:rsid w:val="0099291C"/>
    <w:rsid w:val="009929B4"/>
    <w:rsid w:val="009A1281"/>
    <w:rsid w:val="009B083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33A7"/>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0DDD"/>
    <w:rsid w:val="00BD5D62"/>
    <w:rsid w:val="00BD79A0"/>
    <w:rsid w:val="00BE144D"/>
    <w:rsid w:val="00BE17FD"/>
    <w:rsid w:val="00BE30EB"/>
    <w:rsid w:val="00C02E08"/>
    <w:rsid w:val="00C03879"/>
    <w:rsid w:val="00C10C09"/>
    <w:rsid w:val="00C11C42"/>
    <w:rsid w:val="00C136A9"/>
    <w:rsid w:val="00C152F9"/>
    <w:rsid w:val="00C1756D"/>
    <w:rsid w:val="00C21420"/>
    <w:rsid w:val="00C26170"/>
    <w:rsid w:val="00C420B8"/>
    <w:rsid w:val="00C50A65"/>
    <w:rsid w:val="00C549E7"/>
    <w:rsid w:val="00C6051D"/>
    <w:rsid w:val="00C67610"/>
    <w:rsid w:val="00C71E29"/>
    <w:rsid w:val="00C72516"/>
    <w:rsid w:val="00C7503D"/>
    <w:rsid w:val="00C93C98"/>
    <w:rsid w:val="00CA5E1E"/>
    <w:rsid w:val="00CA7439"/>
    <w:rsid w:val="00CB41DC"/>
    <w:rsid w:val="00CB6126"/>
    <w:rsid w:val="00CC56D8"/>
    <w:rsid w:val="00CE2A67"/>
    <w:rsid w:val="00CE741E"/>
    <w:rsid w:val="00CF03A1"/>
    <w:rsid w:val="00CF57D6"/>
    <w:rsid w:val="00D0497D"/>
    <w:rsid w:val="00D25325"/>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15DE"/>
    <w:rsid w:val="00ED2F7D"/>
    <w:rsid w:val="00EF4830"/>
    <w:rsid w:val="00F01DBC"/>
    <w:rsid w:val="00F06CD1"/>
    <w:rsid w:val="00F06FB4"/>
    <w:rsid w:val="00F1027C"/>
    <w:rsid w:val="00F1612A"/>
    <w:rsid w:val="00F23791"/>
    <w:rsid w:val="00F3381A"/>
    <w:rsid w:val="00F33CE6"/>
    <w:rsid w:val="00F369EC"/>
    <w:rsid w:val="00F420C0"/>
    <w:rsid w:val="00F52E83"/>
    <w:rsid w:val="00F660DB"/>
    <w:rsid w:val="00F727DB"/>
    <w:rsid w:val="00F7294C"/>
    <w:rsid w:val="00F80C9E"/>
    <w:rsid w:val="00F814D0"/>
    <w:rsid w:val="00F87F96"/>
    <w:rsid w:val="00F9056B"/>
    <w:rsid w:val="00F956D7"/>
    <w:rsid w:val="00FA18F3"/>
    <w:rsid w:val="00FA3FD1"/>
    <w:rsid w:val="00FB2A93"/>
    <w:rsid w:val="00FB5880"/>
    <w:rsid w:val="00FC28E1"/>
    <w:rsid w:val="00FC2DC7"/>
    <w:rsid w:val="00FC3FCF"/>
    <w:rsid w:val="00FC41C6"/>
    <w:rsid w:val="00FC4C88"/>
    <w:rsid w:val="00FC679E"/>
    <w:rsid w:val="00FD08EE"/>
    <w:rsid w:val="00FE0722"/>
    <w:rsid w:val="00FE59A0"/>
    <w:rsid w:val="00FE703C"/>
    <w:rsid w:val="00FF1D30"/>
    <w:rsid w:val="00FF4D86"/>
    <w:rsid w:val="00FF5E2A"/>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E85627"/>
  <w14:defaultImageDpi w14:val="96"/>
  <w15:docId w15:val="{A5EA1C85-B674-471F-A176-7D2103ACD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paragraph" w:styleId="Bibliography">
    <w:name w:val="Bibliography"/>
    <w:basedOn w:val="Normal"/>
    <w:next w:val="Normal"/>
    <w:uiPriority w:val="37"/>
    <w:unhideWhenUsed/>
    <w:rsid w:val="001D68BC"/>
    <w:pPr>
      <w:spacing w:line="480" w:lineRule="auto"/>
      <w:ind w:left="720" w:hanging="720"/>
    </w:pPr>
  </w:style>
  <w:style w:type="character" w:styleId="CommentReference">
    <w:name w:val="annotation reference"/>
    <w:basedOn w:val="DefaultParagraphFont"/>
    <w:uiPriority w:val="99"/>
    <w:rsid w:val="008B4676"/>
    <w:rPr>
      <w:sz w:val="16"/>
      <w:szCs w:val="16"/>
    </w:rPr>
  </w:style>
  <w:style w:type="paragraph" w:styleId="CommentText">
    <w:name w:val="annotation text"/>
    <w:basedOn w:val="Normal"/>
    <w:link w:val="CommentTextChar"/>
    <w:uiPriority w:val="99"/>
    <w:rsid w:val="008B4676"/>
  </w:style>
  <w:style w:type="character" w:customStyle="1" w:styleId="CommentTextChar">
    <w:name w:val="Comment Text Char"/>
    <w:basedOn w:val="DefaultParagraphFont"/>
    <w:link w:val="CommentText"/>
    <w:uiPriority w:val="99"/>
    <w:rsid w:val="008B4676"/>
    <w:rPr>
      <w:lang w:val="en-US" w:eastAsia="en-GB"/>
    </w:rPr>
  </w:style>
  <w:style w:type="paragraph" w:styleId="CommentSubject">
    <w:name w:val="annotation subject"/>
    <w:basedOn w:val="CommentText"/>
    <w:next w:val="CommentText"/>
    <w:link w:val="CommentSubjectChar"/>
    <w:uiPriority w:val="99"/>
    <w:rsid w:val="008B4676"/>
    <w:rPr>
      <w:b/>
      <w:bCs/>
    </w:rPr>
  </w:style>
  <w:style w:type="character" w:customStyle="1" w:styleId="CommentSubjectChar">
    <w:name w:val="Comment Subject Char"/>
    <w:basedOn w:val="CommentTextChar"/>
    <w:link w:val="CommentSubject"/>
    <w:uiPriority w:val="99"/>
    <w:rsid w:val="008B4676"/>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s://creativecommons.org/licenses/by/4.0/"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comments" Target="comments.xml"/><Relationship Id="rId12" Type="http://schemas.openxmlformats.org/officeDocument/2006/relationships/hyperlink" Target="https://doi.org/10.5758/ijls.2022.1"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fontTable" Target="fontTable.xml"/><Relationship Id="rId10" Type="http://schemas.microsoft.com/office/2018/08/relationships/commentsExtensible" Target="commentsExtensible.xml"/><Relationship Id="rId19"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image" Target="media/image2.png"/><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23</Pages>
  <Words>50697</Words>
  <Characters>288979</Characters>
  <Application>Microsoft Office Word</Application>
  <DocSecurity>0</DocSecurity>
  <Lines>2408</Lines>
  <Paragraphs>677</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338999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T</cp:lastModifiedBy>
  <cp:revision>28</cp:revision>
  <cp:lastPrinted>2008-11-01T04:52:00Z</cp:lastPrinted>
  <dcterms:created xsi:type="dcterms:W3CDTF">2025-03-12T03:34:00Z</dcterms:created>
  <dcterms:modified xsi:type="dcterms:W3CDTF">2025-04-09T03:35:00Z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zotero-version="7.0.13"&gt;&lt;session id="jHBoeLcN"/&gt;&lt;style id="http://www.zotero.org/styles/apa" locale="en-GB" hasBibliography="1" bibliographyStyleHasBeenSet="1"/&gt;&lt;prefs&gt;&lt;pref name="fieldType" value="Field"/&gt;&lt;/prefs&gt;&lt;/data&gt;</vt:lpwstr>
  </property>
  <property fmtid="{D5CDD505-2E9C-101B-9397-08002B2CF9AE}" pid="3" name="GrammarlyDocumentId">
    <vt:lpwstr>3ceb626ab4855a24f29459e12fd4ccfc88a3c0434232cb519dcc59eb69b398d6</vt:lpwstr>
  </property>
</Properties>
</file>