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C8B4" w14:textId="77777777" w:rsidR="0043312F" w:rsidRDefault="0043312F" w:rsidP="00122F5F">
      <w:pPr>
        <w:rPr>
          <w:rFonts w:ascii="Calibri Light" w:hAnsi="Calibri Light" w:cs="Calibri Light"/>
          <w:b/>
          <w:bCs/>
          <w:sz w:val="28"/>
          <w:szCs w:val="28"/>
        </w:rPr>
      </w:pPr>
      <w:r>
        <w:rPr>
          <w:rFonts w:ascii="Calibri Light" w:hAnsi="Calibri Light" w:cs="Calibri Light"/>
          <w:b/>
          <w:bCs/>
          <w:sz w:val="28"/>
          <w:szCs w:val="28"/>
        </w:rPr>
        <w:t xml:space="preserve">Legal Politics of Redenomination from </w:t>
      </w:r>
      <w:proofErr w:type="spellStart"/>
      <w:r w:rsidR="00DC28F6" w:rsidRPr="00DC28F6">
        <w:rPr>
          <w:rFonts w:ascii="Calibri Light" w:hAnsi="Calibri Light" w:cs="Calibri Light"/>
          <w:b/>
          <w:bCs/>
          <w:i/>
          <w:sz w:val="28"/>
          <w:szCs w:val="28"/>
        </w:rPr>
        <w:t>Maqāṣid</w:t>
      </w:r>
      <w:proofErr w:type="spellEnd"/>
      <w:r w:rsidR="00DC28F6" w:rsidRPr="00DC28F6">
        <w:rPr>
          <w:rFonts w:ascii="Calibri Light" w:hAnsi="Calibri Light" w:cs="Calibri Light"/>
          <w:b/>
          <w:bCs/>
          <w:i/>
          <w:sz w:val="28"/>
          <w:szCs w:val="28"/>
        </w:rPr>
        <w:t xml:space="preserve"> al-</w:t>
      </w:r>
      <w:proofErr w:type="spellStart"/>
      <w:r w:rsidR="00DC28F6" w:rsidRPr="00DC28F6">
        <w:rPr>
          <w:rFonts w:ascii="Calibri Light" w:hAnsi="Calibri Light" w:cs="Calibri Light"/>
          <w:b/>
          <w:bCs/>
          <w:i/>
          <w:sz w:val="28"/>
          <w:szCs w:val="28"/>
        </w:rPr>
        <w:t>Sharī’ah</w:t>
      </w:r>
      <w:proofErr w:type="spellEnd"/>
      <w:r>
        <w:rPr>
          <w:rFonts w:ascii="Calibri Light" w:hAnsi="Calibri Light" w:cs="Calibri Light"/>
          <w:b/>
          <w:bCs/>
          <w:sz w:val="28"/>
          <w:szCs w:val="28"/>
        </w:rPr>
        <w:t xml:space="preserve"> Perspective:</w:t>
      </w:r>
    </w:p>
    <w:p w14:paraId="765B674C" w14:textId="77777777" w:rsidR="00DE1E48" w:rsidRPr="00122F5F" w:rsidRDefault="0043312F" w:rsidP="00122F5F">
      <w:pPr>
        <w:rPr>
          <w:rFonts w:ascii="Calibri Light" w:hAnsi="Calibri Light" w:cs="Calibri Light"/>
          <w:b/>
          <w:bCs/>
          <w:iCs/>
          <w:sz w:val="28"/>
          <w:szCs w:val="28"/>
          <w:lang w:val="id-ID"/>
        </w:rPr>
      </w:pPr>
      <w:r w:rsidRPr="0043312F">
        <w:rPr>
          <w:rFonts w:ascii="Calibri Light" w:hAnsi="Calibri Light" w:cs="Calibri Light"/>
          <w:b/>
          <w:bCs/>
          <w:sz w:val="28"/>
          <w:szCs w:val="28"/>
          <w:lang w:val="id-ID"/>
        </w:rPr>
        <w:t>The Monetary Authority's Last Resort in Facilitating Rupiah Credibility</w:t>
      </w:r>
    </w:p>
    <w:p w14:paraId="2B96BA82" w14:textId="77777777" w:rsidR="00DE1E48" w:rsidRPr="00122F5F" w:rsidRDefault="00DE1E48" w:rsidP="001D7DEE">
      <w:pPr>
        <w:jc w:val="center"/>
        <w:rPr>
          <w:rFonts w:ascii="Calibri Light" w:hAnsi="Calibri Light" w:cs="Calibri Light"/>
          <w:sz w:val="24"/>
          <w:szCs w:val="24"/>
        </w:rPr>
      </w:pPr>
    </w:p>
    <w:p w14:paraId="507DD648" w14:textId="77777777" w:rsidR="008C45DE" w:rsidRPr="00540F02" w:rsidRDefault="0011150B" w:rsidP="00122F5F">
      <w:pPr>
        <w:rPr>
          <w:rFonts w:ascii="Calibri Light" w:hAnsi="Calibri Light" w:cs="Calibri Light"/>
          <w:color w:val="A6A6A6"/>
          <w:sz w:val="24"/>
          <w:szCs w:val="24"/>
        </w:rPr>
      </w:pPr>
      <w:proofErr w:type="spellStart"/>
      <w:r>
        <w:rPr>
          <w:rFonts w:ascii="Calibri Light" w:hAnsi="Calibri Light" w:cs="Calibri Light"/>
          <w:b/>
          <w:bCs/>
          <w:sz w:val="24"/>
          <w:szCs w:val="24"/>
        </w:rPr>
        <w:t>Iffatin</w:t>
      </w:r>
      <w:proofErr w:type="spellEnd"/>
      <w:r>
        <w:rPr>
          <w:rFonts w:ascii="Calibri Light" w:hAnsi="Calibri Light" w:cs="Calibri Light"/>
          <w:b/>
          <w:bCs/>
          <w:sz w:val="24"/>
          <w:szCs w:val="24"/>
        </w:rPr>
        <w:t xml:space="preserve"> Nur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Reni Dwi Puspitasari</w:t>
      </w:r>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p>
    <w:p w14:paraId="069265D2" w14:textId="77777777"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1150B">
        <w:rPr>
          <w:rFonts w:ascii="Calibri Light" w:hAnsi="Calibri Light" w:cs="Calibri Light"/>
          <w:sz w:val="24"/>
          <w:szCs w:val="24"/>
          <w:vertAlign w:val="superscript"/>
        </w:rPr>
        <w:t xml:space="preserve"> </w:t>
      </w:r>
      <w:r w:rsidR="0011150B">
        <w:rPr>
          <w:rFonts w:ascii="Calibri Light" w:hAnsi="Calibri Light" w:cs="Calibri Light"/>
          <w:sz w:val="24"/>
          <w:szCs w:val="24"/>
        </w:rPr>
        <w:t xml:space="preserve">Faculty of Sharia and Legal Studies, UIN Sayyid Ali </w:t>
      </w:r>
      <w:proofErr w:type="spellStart"/>
      <w:r w:rsidR="0011150B">
        <w:rPr>
          <w:rFonts w:ascii="Calibri Light" w:hAnsi="Calibri Light" w:cs="Calibri Light"/>
          <w:sz w:val="24"/>
          <w:szCs w:val="24"/>
        </w:rPr>
        <w:t>Rahmatullah</w:t>
      </w:r>
      <w:proofErr w:type="spellEnd"/>
      <w:r w:rsidR="0011150B">
        <w:rPr>
          <w:rFonts w:ascii="Calibri Light" w:hAnsi="Calibri Light" w:cs="Calibri Light"/>
          <w:sz w:val="24"/>
          <w:szCs w:val="24"/>
        </w:rPr>
        <w:t xml:space="preserve"> </w:t>
      </w:r>
      <w:proofErr w:type="spellStart"/>
      <w:r w:rsidR="0011150B">
        <w:rPr>
          <w:rFonts w:ascii="Calibri Light" w:hAnsi="Calibri Light" w:cs="Calibri Light"/>
          <w:sz w:val="24"/>
          <w:szCs w:val="24"/>
        </w:rPr>
        <w:t>Tulungagung</w:t>
      </w:r>
      <w:proofErr w:type="spellEnd"/>
      <w:r w:rsidR="0011150B">
        <w:rPr>
          <w:rFonts w:ascii="Calibri Light" w:hAnsi="Calibri Light" w:cs="Calibri Light"/>
          <w:sz w:val="24"/>
          <w:szCs w:val="24"/>
        </w:rPr>
        <w:t xml:space="preserve">, Jl. Mayor </w:t>
      </w:r>
      <w:proofErr w:type="spellStart"/>
      <w:r w:rsidR="0011150B">
        <w:rPr>
          <w:rFonts w:ascii="Calibri Light" w:hAnsi="Calibri Light" w:cs="Calibri Light"/>
          <w:sz w:val="24"/>
          <w:szCs w:val="24"/>
        </w:rPr>
        <w:t>Sujadi</w:t>
      </w:r>
      <w:proofErr w:type="spellEnd"/>
      <w:r w:rsidR="0011150B">
        <w:rPr>
          <w:rFonts w:ascii="Calibri Light" w:hAnsi="Calibri Light" w:cs="Calibri Light"/>
          <w:sz w:val="24"/>
          <w:szCs w:val="24"/>
        </w:rPr>
        <w:t xml:space="preserve"> Timur No. 46 </w:t>
      </w:r>
      <w:proofErr w:type="spellStart"/>
      <w:r w:rsidR="0011150B">
        <w:rPr>
          <w:rFonts w:ascii="Calibri Light" w:hAnsi="Calibri Light" w:cs="Calibri Light"/>
          <w:sz w:val="24"/>
          <w:szCs w:val="24"/>
        </w:rPr>
        <w:t>Tulungagung</w:t>
      </w:r>
      <w:proofErr w:type="spellEnd"/>
      <w:r w:rsidR="0011150B">
        <w:rPr>
          <w:rFonts w:ascii="Calibri Light" w:hAnsi="Calibri Light" w:cs="Calibri Light"/>
          <w:sz w:val="24"/>
          <w:szCs w:val="24"/>
        </w:rPr>
        <w:t>, Indonesia</w:t>
      </w:r>
    </w:p>
    <w:p w14:paraId="3958DEB7" w14:textId="77777777"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783D53">
        <w:rPr>
          <w:rFonts w:ascii="Calibri Light" w:hAnsi="Calibri Light" w:cs="Calibri Light"/>
          <w:sz w:val="24"/>
          <w:szCs w:val="24"/>
        </w:rPr>
        <w:t xml:space="preserve"> </w:t>
      </w:r>
      <w:r w:rsidR="0011150B">
        <w:rPr>
          <w:rFonts w:ascii="Calibri Light" w:hAnsi="Calibri Light" w:cs="Calibri Light"/>
          <w:sz w:val="24"/>
          <w:szCs w:val="24"/>
        </w:rPr>
        <w:t xml:space="preserve">Faculty of Sharia and Legal Studies, UIN Sayyid Ali </w:t>
      </w:r>
      <w:proofErr w:type="spellStart"/>
      <w:r w:rsidR="0011150B">
        <w:rPr>
          <w:rFonts w:ascii="Calibri Light" w:hAnsi="Calibri Light" w:cs="Calibri Light"/>
          <w:sz w:val="24"/>
          <w:szCs w:val="24"/>
        </w:rPr>
        <w:t>Rahmatullah</w:t>
      </w:r>
      <w:proofErr w:type="spellEnd"/>
      <w:r w:rsidR="0011150B">
        <w:rPr>
          <w:rFonts w:ascii="Calibri Light" w:hAnsi="Calibri Light" w:cs="Calibri Light"/>
          <w:sz w:val="24"/>
          <w:szCs w:val="24"/>
        </w:rPr>
        <w:t xml:space="preserve"> </w:t>
      </w:r>
      <w:proofErr w:type="spellStart"/>
      <w:r w:rsidR="0011150B">
        <w:rPr>
          <w:rFonts w:ascii="Calibri Light" w:hAnsi="Calibri Light" w:cs="Calibri Light"/>
          <w:sz w:val="24"/>
          <w:szCs w:val="24"/>
        </w:rPr>
        <w:t>Tulungagung</w:t>
      </w:r>
      <w:proofErr w:type="spellEnd"/>
      <w:r w:rsidR="0011150B">
        <w:rPr>
          <w:rFonts w:ascii="Calibri Light" w:hAnsi="Calibri Light" w:cs="Calibri Light"/>
          <w:sz w:val="24"/>
          <w:szCs w:val="24"/>
        </w:rPr>
        <w:t xml:space="preserve">, Jl. Mayor </w:t>
      </w:r>
      <w:proofErr w:type="spellStart"/>
      <w:r w:rsidR="0011150B">
        <w:rPr>
          <w:rFonts w:ascii="Calibri Light" w:hAnsi="Calibri Light" w:cs="Calibri Light"/>
          <w:sz w:val="24"/>
          <w:szCs w:val="24"/>
        </w:rPr>
        <w:t>Sujadi</w:t>
      </w:r>
      <w:proofErr w:type="spellEnd"/>
      <w:r w:rsidR="0011150B">
        <w:rPr>
          <w:rFonts w:ascii="Calibri Light" w:hAnsi="Calibri Light" w:cs="Calibri Light"/>
          <w:sz w:val="24"/>
          <w:szCs w:val="24"/>
        </w:rPr>
        <w:t xml:space="preserve"> Timur No. 46 </w:t>
      </w:r>
      <w:proofErr w:type="spellStart"/>
      <w:r w:rsidR="0011150B">
        <w:rPr>
          <w:rFonts w:ascii="Calibri Light" w:hAnsi="Calibri Light" w:cs="Calibri Light"/>
          <w:sz w:val="24"/>
          <w:szCs w:val="24"/>
        </w:rPr>
        <w:t>Tulungagung</w:t>
      </w:r>
      <w:proofErr w:type="spellEnd"/>
      <w:r w:rsidR="0011150B">
        <w:rPr>
          <w:rFonts w:ascii="Calibri Light" w:hAnsi="Calibri Light" w:cs="Calibri Light"/>
          <w:sz w:val="24"/>
          <w:szCs w:val="24"/>
        </w:rPr>
        <w:t>, Indonesia</w:t>
      </w:r>
    </w:p>
    <w:p w14:paraId="2164D984" w14:textId="77777777" w:rsidR="009E4EBA" w:rsidRPr="0011150B" w:rsidRDefault="009E4EBA" w:rsidP="00122F5F">
      <w:pPr>
        <w:rPr>
          <w:rFonts w:ascii="Calibri Light" w:hAnsi="Calibri Light" w:cs="Calibri Light"/>
          <w:sz w:val="24"/>
          <w:szCs w:val="24"/>
        </w:rPr>
      </w:pPr>
      <w:r w:rsidRPr="00540F02">
        <w:rPr>
          <w:rFonts w:ascii="Calibri Light" w:hAnsi="Calibri Light" w:cs="Calibri Light"/>
          <w:color w:val="A6A6A6"/>
          <w:sz w:val="24"/>
          <w:szCs w:val="24"/>
          <w:lang w:val="id-ID"/>
        </w:rPr>
        <w:t>*</w:t>
      </w:r>
      <w:r w:rsidR="0011150B">
        <w:rPr>
          <w:rFonts w:ascii="Calibri Light" w:hAnsi="Calibri Light" w:cs="Calibri Light"/>
          <w:color w:val="A6A6A6"/>
          <w:sz w:val="24"/>
          <w:szCs w:val="24"/>
        </w:rPr>
        <w:t>Iffatin@uinsatu.ac.id</w:t>
      </w:r>
    </w:p>
    <w:p w14:paraId="34F957EC" w14:textId="77777777" w:rsidR="00DE1E48" w:rsidRPr="00122F5F" w:rsidRDefault="00DE1E48" w:rsidP="001D7DEE">
      <w:pPr>
        <w:jc w:val="center"/>
        <w:rPr>
          <w:rFonts w:ascii="Calibri Light" w:hAnsi="Calibri Light" w:cs="Calibri Light"/>
          <w:sz w:val="24"/>
          <w:szCs w:val="24"/>
        </w:rPr>
      </w:pPr>
    </w:p>
    <w:p w14:paraId="5CAED0B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266FF8">
        <w:rPr>
          <w:rFonts w:ascii="Calibri Light" w:hAnsi="Calibri Light" w:cs="Calibri Light"/>
        </w:rPr>
        <w:t>5</w:t>
      </w:r>
      <w:r w:rsidRPr="00863A78">
        <w:rPr>
          <w:rFonts w:ascii="Calibri Light" w:hAnsi="Calibri Light" w:cs="Calibri Light"/>
        </w:rPr>
        <w:t>-</w:t>
      </w:r>
      <w:r w:rsidR="00266FF8">
        <w:rPr>
          <w:rFonts w:ascii="Calibri Light" w:hAnsi="Calibri Light" w:cs="Calibri Light"/>
        </w:rPr>
        <w:t>March</w:t>
      </w:r>
      <w:r w:rsidRPr="00863A78">
        <w:rPr>
          <w:rFonts w:ascii="Calibri Light" w:hAnsi="Calibri Light" w:cs="Calibri Light"/>
        </w:rPr>
        <w:t>-15</w:t>
      </w:r>
      <w:r w:rsidRPr="00863A78">
        <w:rPr>
          <w:rFonts w:ascii="Calibri Light" w:hAnsi="Calibri Light" w:cs="Calibri Light"/>
          <w:spacing w:val="1"/>
        </w:rPr>
        <w:t xml:space="preserve"> </w:t>
      </w:r>
    </w:p>
    <w:p w14:paraId="3989464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266FF8">
        <w:rPr>
          <w:rFonts w:ascii="Calibri Light" w:hAnsi="Calibri Light" w:cs="Calibri Light"/>
        </w:rPr>
        <w:t>5</w:t>
      </w:r>
      <w:r w:rsidRPr="00863A78">
        <w:rPr>
          <w:rFonts w:ascii="Calibri Light" w:hAnsi="Calibri Light" w:cs="Calibri Light"/>
        </w:rPr>
        <w:t>-</w:t>
      </w:r>
      <w:r w:rsidR="00C411A8">
        <w:rPr>
          <w:rFonts w:ascii="Calibri Light" w:hAnsi="Calibri Light" w:cs="Calibri Light"/>
        </w:rPr>
        <w:t>April</w:t>
      </w:r>
      <w:r w:rsidRPr="00863A78">
        <w:rPr>
          <w:rFonts w:ascii="Calibri Light" w:hAnsi="Calibri Light" w:cs="Calibri Light"/>
        </w:rPr>
        <w:t>-09</w:t>
      </w:r>
      <w:r w:rsidRPr="00863A78">
        <w:rPr>
          <w:rFonts w:ascii="Calibri Light" w:hAnsi="Calibri Light" w:cs="Calibri Light"/>
          <w:spacing w:val="1"/>
        </w:rPr>
        <w:t xml:space="preserve"> </w:t>
      </w:r>
    </w:p>
    <w:p w14:paraId="625B1206"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266FF8">
        <w:rPr>
          <w:rFonts w:ascii="Calibri Light" w:hAnsi="Calibri Light" w:cs="Calibri Light"/>
        </w:rPr>
        <w:t>5</w:t>
      </w:r>
      <w:r w:rsidRPr="00863A78">
        <w:rPr>
          <w:rFonts w:ascii="Calibri Light" w:hAnsi="Calibri Light" w:cs="Calibri Light"/>
        </w:rPr>
        <w:t>-</w:t>
      </w:r>
      <w:r w:rsidR="00C411A8">
        <w:rPr>
          <w:rFonts w:ascii="Calibri Light" w:hAnsi="Calibri Light" w:cs="Calibri Light"/>
        </w:rPr>
        <w:t>Ma</w:t>
      </w:r>
      <w:r w:rsidRPr="00863A78">
        <w:rPr>
          <w:rFonts w:ascii="Calibri Light" w:hAnsi="Calibri Light" w:cs="Calibri Light"/>
        </w:rPr>
        <w:t>y-22</w:t>
      </w:r>
    </w:p>
    <w:p w14:paraId="5ACF5B67" w14:textId="77777777" w:rsidR="00863A78" w:rsidRPr="00863A78" w:rsidRDefault="00863A78" w:rsidP="00863A78">
      <w:pPr>
        <w:ind w:right="737"/>
        <w:rPr>
          <w:rFonts w:ascii="Calibri Light" w:hAnsi="Calibri Light" w:cs="Calibri Light"/>
          <w:b/>
          <w:bCs/>
        </w:rPr>
      </w:pPr>
    </w:p>
    <w:p w14:paraId="5FF2557C" w14:textId="4A5E76D9" w:rsidR="00863A78" w:rsidRPr="00863A78" w:rsidRDefault="005D48C0"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46CEA6C" wp14:editId="6C13B047">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w:t>
      </w:r>
      <w:r w:rsidR="00266FF8">
        <w:rPr>
          <w:rFonts w:ascii="Calibri Light" w:hAnsi="Calibri Light" w:cs="Calibri Light"/>
        </w:rPr>
        <w:t>5</w:t>
      </w:r>
      <w:r w:rsidR="00863A78" w:rsidRPr="00863A78">
        <w:rPr>
          <w:rFonts w:ascii="Calibri Light" w:hAnsi="Calibri Light" w:cs="Calibri Light"/>
        </w:rPr>
        <w:t>.1</w:t>
      </w:r>
      <w:r w:rsidR="00863A78">
        <w:rPr>
          <w:rFonts w:ascii="Calibri Light" w:hAnsi="Calibri Light" w:cs="Calibri Light"/>
        </w:rPr>
        <w:t xml:space="preserve"> </w:t>
      </w:r>
    </w:p>
    <w:p w14:paraId="6EC6526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5BC9CAAA" w14:textId="77777777" w:rsidTr="00540F02">
        <w:tc>
          <w:tcPr>
            <w:tcW w:w="9004" w:type="dxa"/>
            <w:tcBorders>
              <w:left w:val="nil"/>
              <w:right w:val="nil"/>
            </w:tcBorders>
          </w:tcPr>
          <w:p w14:paraId="495544BD" w14:textId="77777777" w:rsidR="00863A78" w:rsidRPr="00540F02" w:rsidRDefault="00863A78" w:rsidP="00540F02">
            <w:pPr>
              <w:ind w:right="2"/>
              <w:jc w:val="both"/>
              <w:rPr>
                <w:rFonts w:ascii="Calibri Light" w:hAnsi="Calibri Light" w:cs="Calibri Light"/>
                <w:sz w:val="12"/>
                <w:szCs w:val="12"/>
              </w:rPr>
            </w:pPr>
          </w:p>
          <w:p w14:paraId="673AED63" w14:textId="13BB8DCB" w:rsidR="00863A78" w:rsidRPr="00540F02" w:rsidRDefault="00863A78" w:rsidP="0011150B">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11150B">
              <w:rPr>
                <w:rFonts w:ascii="Calibri Light" w:hAnsi="Calibri Light" w:cs="Calibri Light"/>
              </w:rPr>
              <w:t>Nur</w:t>
            </w:r>
            <w:r w:rsidRPr="00540F02">
              <w:rPr>
                <w:rFonts w:ascii="Calibri Light" w:hAnsi="Calibri Light" w:cs="Calibri Light"/>
              </w:rPr>
              <w:t xml:space="preserve">, </w:t>
            </w:r>
            <w:r w:rsidR="0011150B">
              <w:rPr>
                <w:rFonts w:ascii="Calibri Light" w:hAnsi="Calibri Light" w:cs="Calibri Light"/>
              </w:rPr>
              <w:t>I</w:t>
            </w:r>
            <w:r w:rsidRPr="00540F02">
              <w:rPr>
                <w:rFonts w:ascii="Calibri Light" w:hAnsi="Calibri Light" w:cs="Calibri Light"/>
              </w:rPr>
              <w:t xml:space="preserve">. &amp; </w:t>
            </w:r>
            <w:proofErr w:type="spellStart"/>
            <w:r w:rsidR="0011150B">
              <w:rPr>
                <w:rFonts w:ascii="Calibri Light" w:hAnsi="Calibri Light" w:cs="Calibri Light"/>
              </w:rPr>
              <w:t>Puspitasari</w:t>
            </w:r>
            <w:proofErr w:type="spellEnd"/>
            <w:r w:rsidR="0011150B">
              <w:rPr>
                <w:rFonts w:ascii="Calibri Light" w:hAnsi="Calibri Light" w:cs="Calibri Light"/>
              </w:rPr>
              <w:t>,</w:t>
            </w:r>
            <w:r w:rsidRPr="00540F02">
              <w:rPr>
                <w:rFonts w:ascii="Calibri Light" w:hAnsi="Calibri Light" w:cs="Calibri Light"/>
              </w:rPr>
              <w:t xml:space="preserve"> </w:t>
            </w:r>
            <w:r w:rsidR="0011150B">
              <w:rPr>
                <w:rFonts w:ascii="Calibri Light" w:hAnsi="Calibri Light" w:cs="Calibri Light"/>
              </w:rPr>
              <w:t>R. D</w:t>
            </w:r>
            <w:r w:rsidRPr="00540F02">
              <w:rPr>
                <w:rFonts w:ascii="Calibri Light" w:hAnsi="Calibri Light" w:cs="Calibri Light"/>
              </w:rPr>
              <w:t>. (202</w:t>
            </w:r>
            <w:r w:rsidR="0011150B">
              <w:rPr>
                <w:rFonts w:ascii="Calibri Light" w:hAnsi="Calibri Light" w:cs="Calibri Light"/>
              </w:rPr>
              <w:t>5</w:t>
            </w:r>
            <w:r w:rsidRPr="00540F02">
              <w:rPr>
                <w:rFonts w:ascii="Calibri Light" w:hAnsi="Calibri Light" w:cs="Calibri Light"/>
              </w:rPr>
              <w:t xml:space="preserve">). </w:t>
            </w:r>
            <w:r w:rsidR="0011150B" w:rsidRPr="0011150B">
              <w:rPr>
                <w:rFonts w:ascii="Calibri Light" w:hAnsi="Calibri Light" w:cs="Calibri Light"/>
              </w:rPr>
              <w:t xml:space="preserve">Legal Politics of Redenomination from </w:t>
            </w:r>
            <w:proofErr w:type="spellStart"/>
            <w:r w:rsidR="00AD3EB7" w:rsidRPr="00AD3EB7">
              <w:rPr>
                <w:rFonts w:ascii="Calibri Light" w:hAnsi="Calibri Light" w:cs="Calibri Light"/>
                <w:i/>
              </w:rPr>
              <w:t>Maqāṣid</w:t>
            </w:r>
            <w:proofErr w:type="spellEnd"/>
            <w:r w:rsidR="00AD3EB7" w:rsidRPr="00AD3EB7">
              <w:rPr>
                <w:rFonts w:ascii="Calibri Light" w:hAnsi="Calibri Light" w:cs="Calibri Light"/>
                <w:i/>
              </w:rPr>
              <w:t xml:space="preserve"> al-</w:t>
            </w:r>
            <w:proofErr w:type="spellStart"/>
            <w:r w:rsidR="00AD3EB7" w:rsidRPr="00AD3EB7">
              <w:rPr>
                <w:rFonts w:ascii="Calibri Light" w:hAnsi="Calibri Light" w:cs="Calibri Light"/>
                <w:i/>
              </w:rPr>
              <w:t>Sharī’ah</w:t>
            </w:r>
            <w:proofErr w:type="spellEnd"/>
            <w:r w:rsidR="00AD3EB7" w:rsidRPr="0011150B">
              <w:rPr>
                <w:rFonts w:ascii="Calibri Light" w:hAnsi="Calibri Light" w:cs="Calibri Light"/>
                <w:i/>
                <w:sz w:val="18"/>
              </w:rPr>
              <w:t xml:space="preserve"> </w:t>
            </w:r>
            <w:r w:rsidR="0011150B" w:rsidRPr="0011150B">
              <w:rPr>
                <w:rFonts w:ascii="Calibri Light" w:hAnsi="Calibri Light" w:cs="Calibri Light"/>
              </w:rPr>
              <w:t>Perspective:</w:t>
            </w:r>
            <w:r w:rsidR="0011150B">
              <w:rPr>
                <w:rFonts w:ascii="Calibri Light" w:hAnsi="Calibri Light" w:cs="Calibri Light"/>
              </w:rPr>
              <w:t xml:space="preserve"> </w:t>
            </w:r>
            <w:r w:rsidR="0011150B" w:rsidRPr="0011150B">
              <w:rPr>
                <w:rFonts w:ascii="Calibri Light" w:hAnsi="Calibri Light" w:cs="Calibri Light"/>
              </w:rPr>
              <w:t>The Monetary Authority's Last Resort in Facilitating Rupiah Credibility</w:t>
            </w:r>
            <w:r w:rsidRPr="00540F02">
              <w:rPr>
                <w:rFonts w:ascii="Calibri Light" w:hAnsi="Calibri Light" w:cs="Calibri Light"/>
              </w:rPr>
              <w:t>.</w:t>
            </w:r>
            <w:r w:rsidRPr="00540F02">
              <w:rPr>
                <w:rFonts w:ascii="Calibri Light" w:hAnsi="Calibri Light" w:cs="Calibri Light"/>
                <w:spacing w:val="1"/>
              </w:rPr>
              <w:t xml:space="preserve"> </w:t>
            </w:r>
            <w:r w:rsidR="00C411A8">
              <w:rPr>
                <w:rFonts w:ascii="Calibri Light" w:hAnsi="Calibri Light" w:cs="Calibri Light"/>
                <w:i/>
                <w:iCs/>
                <w:spacing w:val="1"/>
              </w:rPr>
              <w:t xml:space="preserve">International </w:t>
            </w:r>
            <w:r w:rsidRPr="00540F02">
              <w:rPr>
                <w:rFonts w:ascii="Calibri Light" w:hAnsi="Calibri Light" w:cs="Calibri Light"/>
                <w:i/>
              </w:rPr>
              <w:t xml:space="preserve">Journal of </w:t>
            </w:r>
            <w:r w:rsidR="00C411A8">
              <w:rPr>
                <w:rFonts w:ascii="Calibri Light" w:hAnsi="Calibri Light" w:cs="Calibri Light"/>
                <w:i/>
              </w:rPr>
              <w:t>Law and Society</w:t>
            </w:r>
            <w:r w:rsidRPr="00540F02">
              <w:rPr>
                <w:rFonts w:ascii="Calibri Light" w:hAnsi="Calibri Light" w:cs="Calibri Light"/>
              </w:rPr>
              <w:t xml:space="preserve">, </w:t>
            </w:r>
            <w:r w:rsidR="001C4865">
              <w:rPr>
                <w:rFonts w:ascii="Calibri Light" w:hAnsi="Calibri Light" w:cs="Calibri Light"/>
                <w:i/>
              </w:rPr>
              <w:t>5</w:t>
            </w:r>
            <w:r w:rsidRPr="00540F02">
              <w:rPr>
                <w:rFonts w:ascii="Calibri Light" w:hAnsi="Calibri Light" w:cs="Calibri Light"/>
              </w:rPr>
              <w:t>(</w:t>
            </w:r>
            <w:r w:rsidR="001C4865">
              <w:rPr>
                <w:rFonts w:ascii="Calibri Light" w:hAnsi="Calibri Light" w:cs="Calibri Light"/>
              </w:rPr>
              <w:t>1</w:t>
            </w:r>
            <w:r w:rsidRPr="00540F02">
              <w:rPr>
                <w:rFonts w:ascii="Calibri Light" w:hAnsi="Calibri Light" w:cs="Calibri Light"/>
              </w:rPr>
              <w:t>), 14-26.</w:t>
            </w:r>
            <w:r w:rsidRPr="00540F02">
              <w:rPr>
                <w:rFonts w:ascii="Calibri Light" w:hAnsi="Calibri Light" w:cs="Calibri Light"/>
                <w:spacing w:val="1"/>
              </w:rPr>
              <w:t xml:space="preserve"> </w:t>
            </w:r>
            <w:hyperlink r:id="rId9" w:history="1">
              <w:r w:rsidR="004B1803" w:rsidRPr="00A347ED">
                <w:rPr>
                  <w:rStyle w:val="Hyperlink"/>
                  <w:rFonts w:ascii="Calibri Light" w:hAnsi="Calibri Light" w:cs="Calibri Light"/>
                </w:rPr>
                <w:t>https://doi.org/10.5758/ijls.2025.1</w:t>
              </w:r>
            </w:hyperlink>
          </w:p>
          <w:p w14:paraId="5AB1C9ED" w14:textId="77777777" w:rsidR="00863A78" w:rsidRPr="00540F02" w:rsidRDefault="00863A78" w:rsidP="00540F02">
            <w:pPr>
              <w:ind w:right="2"/>
              <w:jc w:val="both"/>
              <w:rPr>
                <w:rFonts w:ascii="Calibri Light" w:hAnsi="Calibri Light" w:cs="Calibri Light"/>
                <w:color w:val="0462C1"/>
                <w:u w:val="single" w:color="0462C1"/>
              </w:rPr>
            </w:pPr>
          </w:p>
          <w:p w14:paraId="719C769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w:t>
            </w:r>
            <w:r w:rsidR="00447E2F">
              <w:rPr>
                <w:rFonts w:ascii="Calibri Light" w:hAnsi="Calibri Light" w:cs="Calibri Light"/>
              </w:rPr>
              <w:t xml:space="preserve"> </w:t>
            </w:r>
            <w:r w:rsidRPr="00540F02">
              <w:rPr>
                <w:rFonts w:ascii="Calibri Light" w:hAnsi="Calibri Light" w:cs="Calibri Light"/>
              </w:rPr>
              <w:t>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1A7D80FB" w14:textId="77777777" w:rsidR="00863A78" w:rsidRPr="00540F02" w:rsidRDefault="00863A78" w:rsidP="00540F02">
            <w:pPr>
              <w:ind w:right="2"/>
              <w:jc w:val="both"/>
              <w:rPr>
                <w:rFonts w:ascii="Calibri Light" w:hAnsi="Calibri Light" w:cs="Calibri Light"/>
                <w:b/>
                <w:bCs/>
                <w:sz w:val="12"/>
                <w:szCs w:val="12"/>
              </w:rPr>
            </w:pPr>
          </w:p>
        </w:tc>
      </w:tr>
    </w:tbl>
    <w:p w14:paraId="6770BF69" w14:textId="77777777" w:rsidR="00863A78" w:rsidRDefault="00863A78" w:rsidP="00863A78">
      <w:pPr>
        <w:ind w:right="737"/>
        <w:rPr>
          <w:rFonts w:ascii="Calibri Light" w:hAnsi="Calibri Light" w:cs="Calibri Light"/>
          <w:b/>
          <w:bCs/>
          <w:sz w:val="24"/>
          <w:szCs w:val="24"/>
        </w:rPr>
      </w:pPr>
    </w:p>
    <w:p w14:paraId="6B6C0F4F" w14:textId="77777777"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low credibility of</w:t>
      </w:r>
      <w:r w:rsidR="001C4865">
        <w:rPr>
          <w:rFonts w:ascii="Calibri Light" w:hAnsi="Calibri Light" w:cs="Calibri Light"/>
          <w:i/>
          <w:iCs/>
          <w:noProof/>
          <w:color w:val="000000"/>
          <w:sz w:val="24"/>
          <w:szCs w:val="24"/>
        </w:rPr>
        <w:t xml:space="preserve"> the </w:t>
      </w:r>
      <w:r w:rsidR="001C4865" w:rsidRPr="001C4865">
        <w:rPr>
          <w:rFonts w:ascii="Calibri Light" w:hAnsi="Calibri Light" w:cs="Calibri Light"/>
          <w:i/>
          <w:iCs/>
          <w:noProof/>
          <w:color w:val="000000"/>
          <w:sz w:val="24"/>
          <w:szCs w:val="24"/>
        </w:rPr>
        <w:t>rupiah in the international market</w:t>
      </w:r>
      <w:r w:rsidR="001C4865">
        <w:rPr>
          <w:rFonts w:ascii="Calibri Light" w:hAnsi="Calibri Light" w:cs="Calibri Light"/>
          <w:i/>
          <w:iCs/>
          <w:noProof/>
          <w:color w:val="000000"/>
          <w:sz w:val="24"/>
          <w:szCs w:val="24"/>
        </w:rPr>
        <w:t xml:space="preserve"> raises s</w:t>
      </w:r>
      <w:r w:rsidR="001C4865" w:rsidRPr="001C4865">
        <w:rPr>
          <w:rFonts w:ascii="Calibri Light" w:hAnsi="Calibri Light" w:cs="Calibri Light"/>
          <w:i/>
          <w:iCs/>
          <w:noProof/>
          <w:color w:val="000000"/>
          <w:sz w:val="24"/>
          <w:szCs w:val="24"/>
        </w:rPr>
        <w:t>ome crucial questions</w:t>
      </w:r>
      <w:r w:rsidR="001C4865">
        <w:rPr>
          <w:rFonts w:ascii="Calibri Light" w:hAnsi="Calibri Light" w:cs="Calibri Light"/>
          <w:i/>
          <w:iCs/>
          <w:noProof/>
          <w:color w:val="000000"/>
          <w:sz w:val="24"/>
          <w:szCs w:val="24"/>
        </w:rPr>
        <w:t>,</w:t>
      </w:r>
      <w:r w:rsidR="001C4865" w:rsidRPr="001C4865">
        <w:rPr>
          <w:rFonts w:ascii="Calibri Light" w:hAnsi="Calibri Light" w:cs="Calibri Light"/>
          <w:i/>
          <w:iCs/>
          <w:noProof/>
          <w:color w:val="000000"/>
          <w:sz w:val="24"/>
          <w:szCs w:val="24"/>
        </w:rPr>
        <w:t xml:space="preserve"> includ</w:t>
      </w:r>
      <w:r w:rsidR="001C4865">
        <w:rPr>
          <w:rFonts w:ascii="Calibri Light" w:hAnsi="Calibri Light" w:cs="Calibri Light"/>
          <w:i/>
          <w:iCs/>
          <w:noProof/>
          <w:color w:val="000000"/>
          <w:sz w:val="24"/>
          <w:szCs w:val="24"/>
        </w:rPr>
        <w:t>ing</w:t>
      </w:r>
      <w:r w:rsidR="001C4865" w:rsidRPr="001C4865">
        <w:rPr>
          <w:rFonts w:ascii="Calibri Light" w:hAnsi="Calibri Light" w:cs="Calibri Light"/>
          <w:i/>
          <w:iCs/>
          <w:noProof/>
          <w:color w:val="000000"/>
          <w:sz w:val="24"/>
          <w:szCs w:val="24"/>
        </w:rPr>
        <w:t xml:space="preserve"> the philosophical basis of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 xml:space="preserve">redenomination policy, how </w:t>
      </w:r>
      <w:r w:rsidR="001C4865">
        <w:rPr>
          <w:rFonts w:ascii="Calibri Light" w:hAnsi="Calibri Light" w:cs="Calibri Light"/>
          <w:i/>
          <w:iCs/>
          <w:noProof/>
          <w:color w:val="000000"/>
          <w:sz w:val="24"/>
          <w:szCs w:val="24"/>
        </w:rPr>
        <w:t>it</w:t>
      </w:r>
      <w:r w:rsidR="001C4865" w:rsidRPr="001C4865">
        <w:rPr>
          <w:rFonts w:ascii="Calibri Light" w:hAnsi="Calibri Light" w:cs="Calibri Light"/>
          <w:i/>
          <w:iCs/>
          <w:noProof/>
          <w:color w:val="000000"/>
          <w:sz w:val="24"/>
          <w:szCs w:val="24"/>
        </w:rPr>
        <w:t xml:space="preserve"> affect</w:t>
      </w:r>
      <w:r w:rsidR="001C4865">
        <w:rPr>
          <w:rFonts w:ascii="Calibri Light" w:hAnsi="Calibri Light" w:cs="Calibri Light"/>
          <w:i/>
          <w:iCs/>
          <w:noProof/>
          <w:color w:val="000000"/>
          <w:sz w:val="24"/>
          <w:szCs w:val="24"/>
        </w:rPr>
        <w:t>s</w:t>
      </w:r>
      <w:r w:rsidR="001C4865" w:rsidRPr="001C4865">
        <w:rPr>
          <w:rFonts w:ascii="Calibri Light" w:hAnsi="Calibri Light" w:cs="Calibri Light"/>
          <w:i/>
          <w:iCs/>
          <w:noProof/>
          <w:color w:val="000000"/>
          <w:sz w:val="24"/>
          <w:szCs w:val="24"/>
        </w:rPr>
        <w:t xml:space="preserve">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w:t>
      </w:r>
      <w:r w:rsidR="001C4865">
        <w:rPr>
          <w:rFonts w:ascii="Calibri Light" w:hAnsi="Calibri Light" w:cs="Calibri Light"/>
          <w:i/>
          <w:iCs/>
          <w:noProof/>
          <w:color w:val="000000"/>
          <w:sz w:val="24"/>
          <w:szCs w:val="24"/>
        </w:rPr>
        <w:t xml:space="preserve">in </w:t>
      </w:r>
      <w:r w:rsidR="001C4865" w:rsidRPr="001C4865">
        <w:rPr>
          <w:rFonts w:ascii="Calibri Light" w:hAnsi="Calibri Light" w:cs="Calibri Light"/>
          <w:i/>
          <w:iCs/>
          <w:noProof/>
          <w:color w:val="000000"/>
          <w:sz w:val="24"/>
          <w:szCs w:val="24"/>
        </w:rPr>
        <w:t xml:space="preserve">the </w:t>
      </w:r>
      <w:r w:rsidR="001C4865">
        <w:rPr>
          <w:rFonts w:ascii="Calibri Light" w:hAnsi="Calibri Light" w:cs="Calibri Light"/>
          <w:i/>
          <w:iCs/>
          <w:noProof/>
          <w:color w:val="000000"/>
          <w:sz w:val="24"/>
          <w:szCs w:val="24"/>
        </w:rPr>
        <w:t>global</w:t>
      </w:r>
      <w:r w:rsidR="001C4865" w:rsidRPr="001C4865">
        <w:rPr>
          <w:rFonts w:ascii="Calibri Light" w:hAnsi="Calibri Light" w:cs="Calibri Light"/>
          <w:i/>
          <w:iCs/>
          <w:noProof/>
          <w:color w:val="000000"/>
          <w:sz w:val="24"/>
          <w:szCs w:val="24"/>
        </w:rPr>
        <w:t xml:space="preserve"> market, and how the policy </w:t>
      </w:r>
      <w:r w:rsidR="001C4865">
        <w:rPr>
          <w:rFonts w:ascii="Calibri Light" w:hAnsi="Calibri Light" w:cs="Calibri Light"/>
          <w:i/>
          <w:iCs/>
          <w:noProof/>
          <w:color w:val="000000"/>
          <w:sz w:val="24"/>
          <w:szCs w:val="24"/>
        </w:rPr>
        <w:t xml:space="preserve">is </w:t>
      </w:r>
      <w:r w:rsidR="001C4865" w:rsidRPr="001C4865">
        <w:rPr>
          <w:rFonts w:ascii="Calibri Light" w:hAnsi="Calibri Light" w:cs="Calibri Light"/>
          <w:i/>
          <w:iCs/>
          <w:noProof/>
          <w:color w:val="000000"/>
          <w:sz w:val="24"/>
          <w:szCs w:val="24"/>
        </w:rPr>
        <w:t xml:space="preserve">seen as the last resort by monetary authorities in maintaining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In addition, the social and psychological impact of redenomination on Indonesian society </w:t>
      </w:r>
      <w:r w:rsidR="001C4865">
        <w:rPr>
          <w:rFonts w:ascii="Calibri Light" w:hAnsi="Calibri Light" w:cs="Calibri Light"/>
          <w:i/>
          <w:iCs/>
          <w:noProof/>
          <w:color w:val="000000"/>
          <w:sz w:val="24"/>
          <w:szCs w:val="24"/>
        </w:rPr>
        <w:t>needs to be examined</w:t>
      </w:r>
      <w:r w:rsidR="001C4865" w:rsidRPr="001C4865">
        <w:rPr>
          <w:rFonts w:ascii="Calibri Light" w:hAnsi="Calibri Light" w:cs="Calibri Light"/>
          <w:i/>
          <w:iCs/>
          <w:noProof/>
          <w:color w:val="000000"/>
          <w:sz w:val="24"/>
          <w:szCs w:val="24"/>
        </w:rPr>
        <w:t xml:space="preserve">, how the philosophical aspects of the law underlying the redenomination policy can be explained within the framework of a social justice rule of law, and how the </w:t>
      </w:r>
      <w:r w:rsidR="00DC28F6" w:rsidRPr="00DC28F6">
        <w:rPr>
          <w:rFonts w:ascii="Calibri Light" w:hAnsi="Calibri Light" w:cs="Calibri Light"/>
          <w:i/>
          <w:iCs/>
          <w:noProof/>
          <w:color w:val="000000"/>
          <w:sz w:val="24"/>
          <w:szCs w:val="24"/>
        </w:rPr>
        <w:t>Maqāṣid al-Sharī’ah</w:t>
      </w:r>
      <w:r w:rsidR="001C4865" w:rsidRPr="001C4865">
        <w:rPr>
          <w:rFonts w:ascii="Calibri Light" w:hAnsi="Calibri Light" w:cs="Calibri Light"/>
          <w:i/>
          <w:iCs/>
          <w:noProof/>
          <w:color w:val="000000"/>
          <w:sz w:val="24"/>
          <w:szCs w:val="24"/>
        </w:rPr>
        <w:t xml:space="preserve"> perspective relates to the rupiah redenomination policy in Indonesia. This study used a virtual data-based qualitative method that relied on </w:t>
      </w:r>
      <w:r w:rsidR="001C4865">
        <w:rPr>
          <w:rFonts w:ascii="Calibri Light" w:hAnsi="Calibri Light" w:cs="Calibri Light"/>
          <w:i/>
          <w:iCs/>
          <w:noProof/>
          <w:color w:val="000000"/>
          <w:sz w:val="24"/>
          <w:szCs w:val="24"/>
        </w:rPr>
        <w:t>analyzing</w:t>
      </w:r>
      <w:r w:rsidR="001C4865" w:rsidRPr="001C4865">
        <w:rPr>
          <w:rFonts w:ascii="Calibri Light" w:hAnsi="Calibri Light" w:cs="Calibri Light"/>
          <w:i/>
          <w:iCs/>
          <w:noProof/>
          <w:color w:val="000000"/>
          <w:sz w:val="24"/>
          <w:szCs w:val="24"/>
        </w:rPr>
        <w:t xml:space="preserve"> news documents through digital platforms. The analysis technique applied was content analysis to explore legal, economic, and </w:t>
      </w:r>
      <w:r w:rsidR="001C4865">
        <w:rPr>
          <w:rFonts w:ascii="Calibri Light" w:hAnsi="Calibri Light" w:cs="Calibri Light"/>
          <w:i/>
          <w:iCs/>
          <w:noProof/>
          <w:color w:val="000000"/>
          <w:sz w:val="24"/>
          <w:szCs w:val="24"/>
        </w:rPr>
        <w:t>Sharia</w:t>
      </w:r>
      <w:r w:rsidR="001C4865" w:rsidRPr="001C4865">
        <w:rPr>
          <w:rFonts w:ascii="Calibri Light" w:hAnsi="Calibri Light" w:cs="Calibri Light"/>
          <w:i/>
          <w:iCs/>
          <w:noProof/>
          <w:color w:val="000000"/>
          <w:sz w:val="24"/>
          <w:szCs w:val="24"/>
        </w:rPr>
        <w:t xml:space="preserve"> perspectives of </w:t>
      </w:r>
      <w:r w:rsidR="001C4865">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redenomination policy</w:t>
      </w:r>
      <w:r w:rsidR="001C4865">
        <w:rPr>
          <w:rFonts w:ascii="Calibri Light" w:hAnsi="Calibri Light" w:cs="Calibri Light"/>
          <w:i/>
          <w:iCs/>
          <w:noProof/>
          <w:color w:val="000000"/>
          <w:sz w:val="24"/>
          <w:szCs w:val="24"/>
        </w:rPr>
        <w:t>. The results</w:t>
      </w:r>
      <w:r w:rsidR="001C4865" w:rsidRPr="001C4865">
        <w:rPr>
          <w:rFonts w:ascii="Calibri Light" w:hAnsi="Calibri Light" w:cs="Calibri Light"/>
          <w:i/>
          <w:iCs/>
          <w:noProof/>
          <w:color w:val="000000"/>
          <w:sz w:val="24"/>
          <w:szCs w:val="24"/>
        </w:rPr>
        <w:t xml:space="preserve"> </w:t>
      </w:r>
      <w:r w:rsidR="001C4865">
        <w:rPr>
          <w:rFonts w:ascii="Calibri Light" w:hAnsi="Calibri Light" w:cs="Calibri Light"/>
          <w:i/>
          <w:iCs/>
          <w:noProof/>
          <w:color w:val="000000"/>
          <w:sz w:val="24"/>
          <w:szCs w:val="24"/>
        </w:rPr>
        <w:t>show</w:t>
      </w:r>
      <w:r w:rsidR="001C4865" w:rsidRPr="001C4865">
        <w:rPr>
          <w:rFonts w:ascii="Calibri Light" w:hAnsi="Calibri Light" w:cs="Calibri Light"/>
          <w:i/>
          <w:iCs/>
          <w:noProof/>
          <w:color w:val="000000"/>
          <w:sz w:val="24"/>
          <w:szCs w:val="24"/>
        </w:rPr>
        <w:t xml:space="preserve"> that redenomination can be considered as the last resort </w:t>
      </w:r>
      <w:r w:rsidR="001C4865">
        <w:rPr>
          <w:rFonts w:ascii="Calibri Light" w:hAnsi="Calibri Light" w:cs="Calibri Light"/>
          <w:i/>
          <w:iCs/>
          <w:noProof/>
          <w:color w:val="000000"/>
          <w:sz w:val="24"/>
          <w:szCs w:val="24"/>
        </w:rPr>
        <w:t>for</w:t>
      </w:r>
      <w:r w:rsidR="001C4865" w:rsidRPr="001C4865">
        <w:rPr>
          <w:rFonts w:ascii="Calibri Light" w:hAnsi="Calibri Light" w:cs="Calibri Light"/>
          <w:i/>
          <w:iCs/>
          <w:noProof/>
          <w:color w:val="000000"/>
          <w:sz w:val="24"/>
          <w:szCs w:val="24"/>
        </w:rPr>
        <w:t xml:space="preserve"> monetary authorities to strengthen Indonesia's economic</w:t>
      </w:r>
      <w:r w:rsidR="00B23A33">
        <w:rPr>
          <w:rFonts w:ascii="Calibri Light" w:hAnsi="Calibri Light" w:cs="Calibri Light"/>
          <w:i/>
          <w:iCs/>
          <w:noProof/>
          <w:color w:val="000000"/>
          <w:sz w:val="24"/>
          <w:szCs w:val="24"/>
        </w:rPr>
        <w:t xml:space="preserve"> and monetary</w:t>
      </w:r>
      <w:r w:rsidR="001C4865" w:rsidRPr="001C4865">
        <w:rPr>
          <w:rFonts w:ascii="Calibri Light" w:hAnsi="Calibri Light" w:cs="Calibri Light"/>
          <w:i/>
          <w:iCs/>
          <w:noProof/>
          <w:color w:val="000000"/>
          <w:sz w:val="24"/>
          <w:szCs w:val="24"/>
        </w:rPr>
        <w:t xml:space="preserve"> stability and the </w:t>
      </w:r>
      <w:r w:rsidR="001C4865">
        <w:rPr>
          <w:rFonts w:ascii="Calibri Light" w:hAnsi="Calibri Light" w:cs="Calibri Light"/>
          <w:i/>
          <w:iCs/>
          <w:noProof/>
          <w:color w:val="000000"/>
          <w:sz w:val="24"/>
          <w:szCs w:val="24"/>
        </w:rPr>
        <w:t xml:space="preserve">rupiah’s </w:t>
      </w:r>
      <w:r w:rsidR="001C4865" w:rsidRPr="001C4865">
        <w:rPr>
          <w:rFonts w:ascii="Calibri Light" w:hAnsi="Calibri Light" w:cs="Calibri Light"/>
          <w:i/>
          <w:iCs/>
          <w:noProof/>
          <w:color w:val="000000"/>
          <w:sz w:val="24"/>
          <w:szCs w:val="24"/>
        </w:rPr>
        <w:t xml:space="preserve">credibility. </w:t>
      </w:r>
      <w:r w:rsidR="00B23A33">
        <w:rPr>
          <w:rFonts w:ascii="Calibri Light" w:hAnsi="Calibri Light" w:cs="Calibri Light"/>
          <w:i/>
          <w:iCs/>
          <w:noProof/>
          <w:color w:val="000000"/>
          <w:sz w:val="24"/>
          <w:szCs w:val="24"/>
        </w:rPr>
        <w:t xml:space="preserve">Its </w:t>
      </w:r>
      <w:r w:rsidR="001C4865" w:rsidRPr="001C4865">
        <w:rPr>
          <w:rFonts w:ascii="Calibri Light" w:hAnsi="Calibri Light" w:cs="Calibri Light"/>
          <w:i/>
          <w:iCs/>
          <w:noProof/>
          <w:color w:val="000000"/>
          <w:sz w:val="24"/>
          <w:szCs w:val="24"/>
        </w:rPr>
        <w:t>social and psychological impact</w:t>
      </w:r>
      <w:r w:rsidR="00B23A33">
        <w:rPr>
          <w:rFonts w:ascii="Calibri Light" w:hAnsi="Calibri Light" w:cs="Calibri Light"/>
          <w:i/>
          <w:iCs/>
          <w:noProof/>
          <w:color w:val="000000"/>
          <w:sz w:val="24"/>
          <w:szCs w:val="24"/>
        </w:rPr>
        <w:t>s</w:t>
      </w:r>
      <w:r w:rsidR="001C4865" w:rsidRPr="001C4865">
        <w:rPr>
          <w:rFonts w:ascii="Calibri Light" w:hAnsi="Calibri Light" w:cs="Calibri Light"/>
          <w:i/>
          <w:iCs/>
          <w:noProof/>
          <w:color w:val="000000"/>
          <w:sz w:val="24"/>
          <w:szCs w:val="24"/>
        </w:rPr>
        <w:t xml:space="preserve"> require special attention to ensure that th</w:t>
      </w:r>
      <w:r w:rsidR="00B23A33">
        <w:rPr>
          <w:rFonts w:ascii="Calibri Light" w:hAnsi="Calibri Light" w:cs="Calibri Light"/>
          <w:i/>
          <w:iCs/>
          <w:noProof/>
          <w:color w:val="000000"/>
          <w:sz w:val="24"/>
          <w:szCs w:val="24"/>
        </w:rPr>
        <w:t>e</w:t>
      </w:r>
      <w:r w:rsidR="001C4865" w:rsidRPr="001C4865">
        <w:rPr>
          <w:rFonts w:ascii="Calibri Light" w:hAnsi="Calibri Light" w:cs="Calibri Light"/>
          <w:i/>
          <w:iCs/>
          <w:noProof/>
          <w:color w:val="000000"/>
          <w:sz w:val="24"/>
          <w:szCs w:val="24"/>
        </w:rPr>
        <w:t xml:space="preserve"> policy is well received by the public. </w:t>
      </w:r>
      <w:r w:rsidR="00B23A33">
        <w:rPr>
          <w:rFonts w:ascii="Calibri Light" w:hAnsi="Calibri Light" w:cs="Calibri Light"/>
          <w:i/>
          <w:iCs/>
          <w:noProof/>
          <w:color w:val="000000"/>
          <w:sz w:val="24"/>
          <w:szCs w:val="24"/>
        </w:rPr>
        <w:t xml:space="preserve">The </w:t>
      </w:r>
      <w:r w:rsidR="001C4865" w:rsidRPr="001C4865">
        <w:rPr>
          <w:rFonts w:ascii="Calibri Light" w:hAnsi="Calibri Light" w:cs="Calibri Light"/>
          <w:i/>
          <w:iCs/>
          <w:noProof/>
          <w:color w:val="000000"/>
          <w:sz w:val="24"/>
          <w:szCs w:val="24"/>
        </w:rPr>
        <w:t xml:space="preserve">redenomination must be designed with due regard for the principles of justice and the welfare of the people. </w:t>
      </w:r>
      <w:r w:rsidR="00B23A33">
        <w:rPr>
          <w:rFonts w:ascii="Calibri Light" w:hAnsi="Calibri Light" w:cs="Calibri Light"/>
          <w:i/>
          <w:iCs/>
          <w:noProof/>
          <w:color w:val="000000"/>
          <w:sz w:val="24"/>
          <w:szCs w:val="24"/>
        </w:rPr>
        <w:t>Relating to</w:t>
      </w:r>
      <w:r w:rsidR="001C4865" w:rsidRPr="001C4865">
        <w:rPr>
          <w:rFonts w:ascii="Calibri Light" w:hAnsi="Calibri Light" w:cs="Calibri Light"/>
          <w:i/>
          <w:iCs/>
          <w:noProof/>
          <w:color w:val="000000"/>
          <w:sz w:val="24"/>
          <w:szCs w:val="24"/>
        </w:rPr>
        <w:t xml:space="preserve"> several Islamic legal theories, the </w:t>
      </w:r>
      <w:r w:rsidR="00DC28F6" w:rsidRPr="00DC28F6">
        <w:rPr>
          <w:rFonts w:ascii="Calibri Light" w:hAnsi="Calibri Light" w:cs="Calibri Light"/>
          <w:i/>
          <w:iCs/>
          <w:noProof/>
          <w:color w:val="000000"/>
          <w:sz w:val="24"/>
          <w:szCs w:val="24"/>
        </w:rPr>
        <w:t>Maqāṣid al-Sharī’ah</w:t>
      </w:r>
      <w:r w:rsidR="001C4865" w:rsidRPr="001C4865">
        <w:rPr>
          <w:rFonts w:ascii="Calibri Light" w:hAnsi="Calibri Light" w:cs="Calibri Light"/>
          <w:i/>
          <w:iCs/>
          <w:noProof/>
          <w:color w:val="000000"/>
          <w:sz w:val="24"/>
          <w:szCs w:val="24"/>
        </w:rPr>
        <w:t xml:space="preserve">, </w:t>
      </w:r>
      <w:r w:rsidR="00DC28F6" w:rsidRPr="00DC28F6">
        <w:rPr>
          <w:rFonts w:ascii="Calibri Light" w:hAnsi="Calibri Light" w:cs="Calibri Light"/>
          <w:i/>
          <w:iCs/>
          <w:noProof/>
          <w:color w:val="000000"/>
          <w:sz w:val="24"/>
          <w:szCs w:val="24"/>
        </w:rPr>
        <w:t>al-‘adālah</w:t>
      </w:r>
      <w:r w:rsidR="001C4865" w:rsidRPr="001C4865">
        <w:rPr>
          <w:rFonts w:ascii="Calibri Light" w:hAnsi="Calibri Light" w:cs="Calibri Light"/>
          <w:i/>
          <w:iCs/>
          <w:noProof/>
          <w:color w:val="000000"/>
          <w:sz w:val="24"/>
          <w:szCs w:val="24"/>
        </w:rPr>
        <w:t xml:space="preserve">, and </w:t>
      </w:r>
      <w:r w:rsidR="00DC28F6" w:rsidRPr="00DC28F6">
        <w:rPr>
          <w:rFonts w:ascii="Calibri Light" w:hAnsi="Calibri Light" w:cs="Calibri Light"/>
          <w:i/>
          <w:iCs/>
          <w:noProof/>
          <w:color w:val="000000"/>
          <w:sz w:val="24"/>
          <w:szCs w:val="24"/>
        </w:rPr>
        <w:t>istiḥsān</w:t>
      </w:r>
      <w:r w:rsidR="001C4865" w:rsidRPr="001C4865">
        <w:rPr>
          <w:rFonts w:ascii="Calibri Light" w:hAnsi="Calibri Light" w:cs="Calibri Light"/>
          <w:i/>
          <w:iCs/>
          <w:noProof/>
          <w:color w:val="000000"/>
          <w:sz w:val="24"/>
          <w:szCs w:val="24"/>
        </w:rPr>
        <w:t xml:space="preserve"> theories </w:t>
      </w:r>
      <w:r w:rsidR="00B23A33">
        <w:rPr>
          <w:rFonts w:ascii="Calibri Light" w:hAnsi="Calibri Light" w:cs="Calibri Light"/>
          <w:i/>
          <w:iCs/>
          <w:noProof/>
          <w:color w:val="000000"/>
          <w:sz w:val="24"/>
          <w:szCs w:val="24"/>
        </w:rPr>
        <w:t>serve well as the basis for the</w:t>
      </w:r>
      <w:r w:rsidR="001C4865" w:rsidRPr="001C4865">
        <w:rPr>
          <w:rFonts w:ascii="Calibri Light" w:hAnsi="Calibri Light" w:cs="Calibri Light"/>
          <w:i/>
          <w:iCs/>
          <w:noProof/>
          <w:color w:val="000000"/>
          <w:sz w:val="24"/>
          <w:szCs w:val="24"/>
        </w:rPr>
        <w:t xml:space="preserve"> redenomination policy in Indonesia</w:t>
      </w:r>
      <w:r w:rsidR="00B23A33">
        <w:rPr>
          <w:rFonts w:ascii="Calibri Light" w:hAnsi="Calibri Light" w:cs="Calibri Light"/>
          <w:i/>
          <w:iCs/>
          <w:noProof/>
          <w:color w:val="000000"/>
          <w:sz w:val="24"/>
          <w:szCs w:val="24"/>
        </w:rPr>
        <w:t xml:space="preserve"> to be implemented with high care.</w:t>
      </w:r>
      <w:r w:rsidR="001C4865" w:rsidRPr="001C4865">
        <w:rPr>
          <w:rFonts w:ascii="Calibri Light" w:hAnsi="Calibri Light" w:cs="Calibri Light"/>
          <w:i/>
          <w:iCs/>
          <w:noProof/>
          <w:color w:val="000000"/>
          <w:sz w:val="24"/>
          <w:szCs w:val="24"/>
        </w:rPr>
        <w:t xml:space="preserve"> </w:t>
      </w:r>
    </w:p>
    <w:p w14:paraId="2B9446AE" w14:textId="77777777" w:rsidR="00486707" w:rsidRPr="00122F5F" w:rsidRDefault="00486707" w:rsidP="001D7DEE">
      <w:pPr>
        <w:ind w:left="709" w:right="737"/>
        <w:jc w:val="both"/>
        <w:rPr>
          <w:rFonts w:ascii="Calibri Light" w:hAnsi="Calibri Light" w:cs="Calibri Light"/>
          <w:i/>
          <w:iCs/>
          <w:sz w:val="24"/>
          <w:szCs w:val="24"/>
          <w:lang w:val="id-ID"/>
        </w:rPr>
      </w:pPr>
    </w:p>
    <w:p w14:paraId="72685A2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proofErr w:type="spellStart"/>
      <w:r w:rsidR="00B23A33">
        <w:rPr>
          <w:rFonts w:ascii="Calibri Light" w:hAnsi="Calibri Light" w:cs="Calibri Light"/>
          <w:i/>
          <w:iCs/>
          <w:sz w:val="24"/>
          <w:szCs w:val="24"/>
        </w:rPr>
        <w:t>al’</w:t>
      </w:r>
      <w:r w:rsidR="00D10B53">
        <w:rPr>
          <w:rFonts w:ascii="Calibri Light" w:hAnsi="Calibri Light" w:cs="Calibri Light"/>
          <w:i/>
          <w:iCs/>
          <w:sz w:val="24"/>
          <w:szCs w:val="24"/>
        </w:rPr>
        <w:t>adālah</w:t>
      </w:r>
      <w:proofErr w:type="spellEnd"/>
      <w:r w:rsidR="00B23A33">
        <w:rPr>
          <w:rFonts w:ascii="Calibri Light" w:hAnsi="Calibri Light" w:cs="Calibri Light"/>
          <w:i/>
          <w:iCs/>
          <w:sz w:val="24"/>
          <w:szCs w:val="24"/>
        </w:rPr>
        <w:t xml:space="preserve">, </w:t>
      </w:r>
      <w:r w:rsidR="00B23A33">
        <w:rPr>
          <w:rStyle w:val="shorttext"/>
          <w:rFonts w:ascii="Calibri Light" w:hAnsi="Calibri Light" w:cs="Calibri Light"/>
          <w:i/>
          <w:iCs/>
          <w:sz w:val="24"/>
          <w:szCs w:val="24"/>
          <w:lang w:val="en"/>
        </w:rPr>
        <w:t>currency credibility</w:t>
      </w:r>
      <w:r w:rsidR="00540F02" w:rsidRPr="00540F02">
        <w:rPr>
          <w:rStyle w:val="shorttext"/>
          <w:rFonts w:ascii="Calibri Light" w:hAnsi="Calibri Light" w:cs="Calibri Light"/>
          <w:i/>
          <w:iCs/>
          <w:sz w:val="24"/>
          <w:szCs w:val="24"/>
          <w:lang w:val="en"/>
        </w:rPr>
        <w:t xml:space="preserve">, </w:t>
      </w:r>
      <w:r w:rsidR="00DC28F6" w:rsidRPr="00DC28F6">
        <w:rPr>
          <w:rFonts w:ascii="Calibri Light" w:hAnsi="Calibri Light" w:cs="Calibri Light"/>
          <w:i/>
          <w:iCs/>
          <w:noProof/>
          <w:color w:val="000000"/>
          <w:sz w:val="24"/>
          <w:szCs w:val="24"/>
        </w:rPr>
        <w:t>istiḥsān</w:t>
      </w:r>
      <w:r w:rsidR="00B23A33">
        <w:rPr>
          <w:rFonts w:ascii="Calibri Light" w:hAnsi="Calibri Light" w:cs="Calibri Light"/>
          <w:i/>
          <w:iCs/>
          <w:noProof/>
          <w:color w:val="000000"/>
          <w:sz w:val="24"/>
          <w:szCs w:val="24"/>
        </w:rPr>
        <w:t xml:space="preserve">, </w:t>
      </w:r>
      <w:r w:rsidR="00B23A33">
        <w:rPr>
          <w:rStyle w:val="shorttext"/>
          <w:rFonts w:ascii="Calibri Light" w:hAnsi="Calibri Light" w:cs="Calibri Light"/>
          <w:i/>
          <w:iCs/>
          <w:sz w:val="24"/>
          <w:szCs w:val="24"/>
          <w:lang w:val="en"/>
        </w:rPr>
        <w:t xml:space="preserve">last resort, </w:t>
      </w:r>
      <w:r w:rsidR="00DC28F6" w:rsidRPr="00DC28F6">
        <w:rPr>
          <w:rFonts w:ascii="Calibri Light" w:hAnsi="Calibri Light" w:cs="Calibri Light"/>
          <w:i/>
          <w:iCs/>
          <w:noProof/>
          <w:color w:val="000000"/>
          <w:sz w:val="24"/>
          <w:szCs w:val="24"/>
        </w:rPr>
        <w:t>Maqāṣid al-Sharī’ah</w:t>
      </w:r>
      <w:r w:rsidR="00B23A33">
        <w:rPr>
          <w:rFonts w:ascii="Calibri Light" w:hAnsi="Calibri Light" w:cs="Calibri Light"/>
          <w:i/>
          <w:iCs/>
          <w:noProof/>
          <w:color w:val="000000"/>
          <w:sz w:val="24"/>
          <w:szCs w:val="24"/>
        </w:rPr>
        <w:t xml:space="preserve">, </w:t>
      </w:r>
      <w:r w:rsidR="00B23A33">
        <w:rPr>
          <w:rStyle w:val="shorttext"/>
          <w:rFonts w:ascii="Calibri Light" w:hAnsi="Calibri Light" w:cs="Calibri Light"/>
          <w:i/>
          <w:iCs/>
          <w:sz w:val="24"/>
          <w:szCs w:val="24"/>
          <w:lang w:val="en"/>
        </w:rPr>
        <w:t>monetary policy</w:t>
      </w:r>
      <w:r w:rsidR="00540F02" w:rsidRPr="00540F02">
        <w:rPr>
          <w:rStyle w:val="shorttext"/>
          <w:rFonts w:ascii="Calibri Light" w:hAnsi="Calibri Light" w:cs="Calibri Light"/>
          <w:i/>
          <w:iCs/>
          <w:sz w:val="24"/>
          <w:szCs w:val="24"/>
          <w:lang w:val="en"/>
        </w:rPr>
        <w:t xml:space="preserve">, </w:t>
      </w:r>
      <w:r w:rsidR="00B23A33">
        <w:rPr>
          <w:rStyle w:val="shorttext"/>
          <w:rFonts w:ascii="Calibri Light" w:hAnsi="Calibri Light" w:cs="Calibri Light"/>
          <w:i/>
          <w:iCs/>
          <w:sz w:val="24"/>
          <w:szCs w:val="24"/>
          <w:lang w:val="en"/>
        </w:rPr>
        <w:t>Rupiah re-denomination</w:t>
      </w:r>
    </w:p>
    <w:p w14:paraId="285754F3" w14:textId="77777777" w:rsidR="00F1027C" w:rsidRPr="00122F5F" w:rsidRDefault="00F1027C" w:rsidP="00F1027C">
      <w:pPr>
        <w:jc w:val="center"/>
        <w:rPr>
          <w:rFonts w:ascii="Calibri Light" w:hAnsi="Calibri Light" w:cs="Calibri Light"/>
          <w:i/>
          <w:iCs/>
          <w:lang w:val="id-ID"/>
        </w:rPr>
      </w:pPr>
    </w:p>
    <w:p w14:paraId="3962AC8B" w14:textId="77777777" w:rsidR="00F1027C" w:rsidRPr="00122F5F" w:rsidRDefault="00F1027C" w:rsidP="0095288D">
      <w:pPr>
        <w:rPr>
          <w:rFonts w:ascii="Calibri Light" w:hAnsi="Calibri Light" w:cs="Calibri Light"/>
          <w:b/>
          <w:bCs/>
          <w:sz w:val="24"/>
          <w:szCs w:val="24"/>
          <w:lang w:val="id-ID"/>
        </w:rPr>
      </w:pPr>
    </w:p>
    <w:p w14:paraId="1982282A"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r w:rsidRPr="00122F5F">
        <w:rPr>
          <w:rFonts w:ascii="Calibri Light" w:hAnsi="Calibri Light" w:cs="Calibri Light"/>
          <w:b/>
          <w:sz w:val="24"/>
          <w:szCs w:val="24"/>
          <w:lang w:val="id-ID"/>
        </w:rPr>
        <w:t xml:space="preserve"> </w:t>
      </w:r>
    </w:p>
    <w:p w14:paraId="314B9AAA" w14:textId="4A61DD25" w:rsidR="004B1803" w:rsidRPr="003C7929"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Currency is a symbol of a state's sovereignty. As a sovereign state, Indonesia has the power to issue currency as a legal means of payment that is valid in its territory. The circulation of money is a measure of the economy, both nationally and internationally. Money is a basic economic object and a necessity in people's lives, both as a means of payment, a means of transaction, and a means of buying and selling products, goods, and services</w:t>
      </w:r>
      <w:r w:rsidR="00D10B53">
        <w:rPr>
          <w:rFonts w:ascii="Calibri Light" w:hAnsi="Calibri Light" w:cs="Calibri Light"/>
          <w:sz w:val="24"/>
          <w:szCs w:val="24"/>
        </w:rPr>
        <w:t xml:space="preserve"> </w:t>
      </w:r>
      <w:r w:rsidR="003C7929">
        <w:rPr>
          <w:rFonts w:ascii="Calibri Light" w:hAnsi="Calibri Light" w:cs="Calibri Light"/>
          <w:sz w:val="24"/>
          <w:szCs w:val="24"/>
        </w:rPr>
        <w:t xml:space="preserve"> </w:t>
      </w:r>
      <w:r w:rsidR="003C7929">
        <w:rPr>
          <w:rFonts w:ascii="Calibri Light" w:hAnsi="Calibri Light"/>
          <w:color w:val="0070C0"/>
          <w:sz w:val="24"/>
          <w:szCs w:val="24"/>
        </w:rPr>
        <w:fldChar w:fldCharType="begin" w:fldLock="1"/>
      </w:r>
      <w:r w:rsidR="00822EC3">
        <w:rPr>
          <w:rFonts w:ascii="Calibri Light" w:hAnsi="Calibri Light"/>
          <w:color w:val="0070C0"/>
          <w:sz w:val="24"/>
          <w:szCs w:val="24"/>
        </w:rPr>
        <w:instrText>ADDIN CSL_CITATION {"citationItems":[{"id":"ITEM-1","itemData":{"DOI":"10.32509/wacana.v17i1.135","ISSN":"2598-7402","abstract":"Penelitian ini dilatarbelakangi oleh kontroversi pengeluaran uang Rupiah kertas tahun emisi 2016. Dengan menggunakan teori semiotika Charles Sanders Peirce, penelitian ini bertujuan untuk mengetahui simbol yang terdapat dalam uang Rupiah kertas TE 2016, makna yang terkandung di dalam simbol tersebut, dan bagaimana simbol-simbol tersebut dapat mengkonstruksi makna nasionalisme. Hasil penelitian menunjukkan simbol yang hadir dalam uang Rupiah kertas TE 2016 ialah simbol garuda pancasila, simbol teks Negara Kesatuan Republik Indonesia dan gambar peta Indonesia, simbol teks “Bank Indonesia”, simbol teks “Seribu, Dua Ribu...Seratus Ribu Rupiah”, simbol tanda tangan Menteri Keuangan dan Gubernur Bank Indonesia, simbol teks “Dengan Rahmat Tuhan…”, simbol pahlawan nasional, simbol tarian daerah, simbol tempat wisata alam, simbol bunga, dan simbol motif batik. Kesimpulan penelitian ini adalah terdapat sebelas simbol utama dalam desain uang Rupiah kertas TE 2016. Kesebelas simbol tersebut memiliki makna yang mampu mengkonstruksi makna Autonomous, Unity, dan Identity yang menjadi unsur dalam nasionalisme. Makna Autonomous digambarkan melalui simbol teks “Bank Indonesia”, simbol tanda tangan Menteri Keuangan dan Gubernur Bank Indonesia, serta teks “Dengan Rahmat Tuhan Yang Maha Esa…”. Sementara itu konstruksi makna Unity digambarkan melalui simbol teks Negara Kesatuan Republik Indonesia dan Peta Indonesia, simbol teks “Seribu, Dua Ribu…Seratus Ribu Rupiah”, dan simbol pahlawan nasional. Kemudian makna Identity terkonstruksi melalui simbol garuda pancasila, simbol tarian daerah, simbol tempat wisata alam, simbol bunga, dan simbol motif batik","author":[{"dropping-particle":"","family":"Yonita","given":"Lingga","non-dropping-particle":"","parse-names":false,"suffix":""},{"dropping-particle":"","family":"Hafiar","given":"Hanny","non-dropping-particle":"","parse-names":false,"suffix":""},{"dropping-particle":"","family":"Sani","given":"Anwar","non-dropping-particle":"","parse-names":false,"suffix":""}],"container-title":"WACANA, Jurnal Ilmiah Ilmu Komunikasi","id":"ITEM-1","issue":"1","issued":{"date-parts":[["2018","7","28"]]},"page":"13","title":"KONSTRUKSI MAKNA NASIONALISME PADA DESAIN UANG RUPIAH KERTAS","type":"article-journal","volume":"17"},"uris":["http://www.mendeley.com/documents/?uuid=2dadec67-bf9e-4b44-909a-2bcc070000f3"]}],"mendeley":{"formattedCitation":"(Yonita et al., 2018)","manualFormatting":"(Yonita et al., 2018","plainTextFormattedCitation":"(Yonita et al., 2018)","previouslyFormattedCitation":"(Yonita et al., 2018)"},"properties":{"noteIndex":0},"schema":"https://github.com/citation-style-language/schema/raw/master/csl-citation.json"}</w:instrText>
      </w:r>
      <w:r w:rsidR="003C7929">
        <w:rPr>
          <w:rFonts w:ascii="Calibri Light" w:hAnsi="Calibri Light"/>
          <w:color w:val="0070C0"/>
          <w:sz w:val="24"/>
          <w:szCs w:val="24"/>
        </w:rPr>
        <w:fldChar w:fldCharType="separate"/>
      </w:r>
      <w:r w:rsidR="003C7929" w:rsidRPr="003C7929">
        <w:rPr>
          <w:rFonts w:ascii="Calibri Light" w:hAnsi="Calibri Light"/>
          <w:noProof/>
          <w:color w:val="0070C0"/>
          <w:sz w:val="24"/>
          <w:szCs w:val="24"/>
        </w:rPr>
        <w:t>(</w:t>
      </w:r>
      <w:r w:rsidR="003C7929">
        <w:rPr>
          <w:rFonts w:ascii="Calibri Light" w:hAnsi="Calibri Light"/>
          <w:color w:val="0070C0"/>
          <w:sz w:val="24"/>
          <w:szCs w:val="24"/>
        </w:rPr>
        <w:fldChar w:fldCharType="end"/>
      </w:r>
      <w:r w:rsidR="005F6FDF" w:rsidRPr="003C7929">
        <w:rPr>
          <w:rFonts w:ascii="Calibri Light" w:hAnsi="Calibri Light"/>
          <w:noProof/>
          <w:color w:val="0070C0"/>
          <w:sz w:val="24"/>
          <w:szCs w:val="24"/>
        </w:rPr>
        <w:t xml:space="preserve">Yonita </w:t>
      </w:r>
      <w:r w:rsidR="005B3038" w:rsidRPr="005B3038">
        <w:rPr>
          <w:rFonts w:ascii="Calibri Light" w:hAnsi="Calibri Light"/>
          <w:i/>
          <w:noProof/>
          <w:color w:val="0070C0"/>
          <w:sz w:val="24"/>
          <w:szCs w:val="24"/>
        </w:rPr>
        <w:t>et al.</w:t>
      </w:r>
      <w:r w:rsidR="005F6FDF" w:rsidRPr="003C7929">
        <w:rPr>
          <w:rFonts w:ascii="Calibri Light" w:hAnsi="Calibri Light"/>
          <w:noProof/>
          <w:color w:val="0070C0"/>
          <w:sz w:val="24"/>
          <w:szCs w:val="24"/>
        </w:rPr>
        <w:t>, 2018</w:t>
      </w:r>
      <w:r w:rsidR="005F6FDF">
        <w:rPr>
          <w:rFonts w:ascii="Calibri Light" w:hAnsi="Calibri Light"/>
          <w:noProof/>
          <w:color w:val="0070C0"/>
          <w:sz w:val="24"/>
          <w:szCs w:val="24"/>
        </w:rPr>
        <w:t xml:space="preserve">; </w:t>
      </w:r>
      <w:r w:rsidR="004350DD" w:rsidRPr="004350DD">
        <w:rPr>
          <w:rStyle w:val="FootnoteReference"/>
          <w:rFonts w:ascii="Calibri Light" w:hAnsi="Calibri Light"/>
          <w:color w:val="0070C0"/>
          <w:sz w:val="24"/>
          <w:szCs w:val="24"/>
        </w:rPr>
        <w:fldChar w:fldCharType="begin" w:fldLock="1"/>
      </w:r>
      <w:r w:rsidR="003C7929">
        <w:rPr>
          <w:rFonts w:ascii="Calibri Light" w:hAnsi="Calibri Light"/>
          <w:color w:val="0070C0"/>
          <w:sz w:val="24"/>
          <w:szCs w:val="24"/>
        </w:rPr>
        <w:instrText>ADDIN CSL_CITATION {"citationItems":[{"id":"ITEM-1","itemData":{"DOI":"10.59997/amarasi.v3i02.1689","ISSN":"2722-0389","abstract":"Rupiah is the official currency of the Indonesian people. Love for the rupiah is an important thing for the people of Indonesia, because the rupiah is a symbol of Indonesian ownership. However, over time, the love for the Rupiah has faded. Not caring for rupiah currency, not appreciating or even destroying it are some signs of depletion of love for rupiah currency. 3D animation can be an effective means of instilling certain values, especially among children. Through 3D animation, the love for the Rupiah currency can be instilled indirectly in the general public and children in particular. Based on this, this study will describe the design of 3D animation in an effort to educate the public about the importance of loving the Rupiah as the nation's currency. This study uses a qualitative method with a descriptive approach. The purpose of this research is to find out the ways and stages in designing audio-visual educational media in the form of 3D animation. The result of this research is the formation of a 3D animation titled “Because of Rupiah for Indonesia” which is then disseminated to the public through Instagram social media. The distribution of this 3D animation has a positive response from the public so that it can be said as a proper educational medium.","author":[{"dropping-particle":"","family":"Ashshiddiqie","given":"Muhammad Farhan","non-dropping-particle":"","parse-names":false,"suffix":""},{"dropping-particle":"","family":"Janottama","given":"I Putu Arya","non-dropping-particle":"","parse-names":false,"suffix":""},{"dropping-particle":"","family":"Nuriarta","given":"I Wayan","non-dropping-particle":"","parse-names":false,"suffix":""}],"container-title":"AMARASI: JURNAL DESAIN KOMUNIKASI VISUAL","id":"ITEM-1","issue":"02","issued":{"date-parts":[["2022","7","26"]]},"page":"159-172","title":"PERANCANGAN ANIMASI 3 DIMENSI SEBAGAI UPAYA PENGEDUKASIAN MASYARAKAT MENGENAI PENTINGNYA MENCINTAI RUPIAH SEBAGAI MATA UANG NEGARA INDONESIA","type":"article-journal","volume":"3"},"uris":["http://www.mendeley.com/documents/?uuid=4fae37c3-58c0-41ce-b326-1c580463174d"]}],"mendeley":{"formattedCitation":"(Ashshiddiqie et al., 2022)","manualFormatting":"Ashshiddiqie et al., 2022","plainTextFormattedCitation":"(Ashshiddiqie et al., 2022)","previouslyFormattedCitation":"(Ashshiddiqie et al., 2022)"},"properties":{"noteIndex":0},"schema":"https://github.com/citation-style-language/schema/raw/master/csl-citation.json"}</w:instrText>
      </w:r>
      <w:r w:rsidR="004350DD" w:rsidRPr="004350DD">
        <w:rPr>
          <w:rStyle w:val="FootnoteReference"/>
          <w:rFonts w:ascii="Calibri Light" w:hAnsi="Calibri Light"/>
          <w:color w:val="0070C0"/>
          <w:sz w:val="24"/>
          <w:szCs w:val="24"/>
        </w:rPr>
        <w:fldChar w:fldCharType="separate"/>
      </w:r>
      <w:r w:rsidR="004350DD" w:rsidRPr="004350DD">
        <w:rPr>
          <w:rFonts w:ascii="Calibri Light" w:hAnsi="Calibri Light"/>
          <w:bCs/>
          <w:noProof/>
          <w:color w:val="0070C0"/>
          <w:sz w:val="24"/>
          <w:szCs w:val="24"/>
        </w:rPr>
        <w:t xml:space="preserve">Ashshiddiqie </w:t>
      </w:r>
      <w:r w:rsidR="005B3038" w:rsidRPr="005B3038">
        <w:rPr>
          <w:rFonts w:ascii="Calibri Light" w:hAnsi="Calibri Light"/>
          <w:bCs/>
          <w:i/>
          <w:noProof/>
          <w:color w:val="0070C0"/>
          <w:sz w:val="24"/>
          <w:szCs w:val="24"/>
        </w:rPr>
        <w:t>et al.</w:t>
      </w:r>
      <w:r w:rsidR="004350DD" w:rsidRPr="004350DD">
        <w:rPr>
          <w:rFonts w:ascii="Calibri Light" w:hAnsi="Calibri Light"/>
          <w:bCs/>
          <w:noProof/>
          <w:color w:val="0070C0"/>
          <w:sz w:val="24"/>
          <w:szCs w:val="24"/>
        </w:rPr>
        <w:t>, 2022</w:t>
      </w:r>
      <w:r w:rsidR="004350DD" w:rsidRPr="004350DD">
        <w:rPr>
          <w:rStyle w:val="FootnoteReference"/>
          <w:rFonts w:ascii="Calibri Light" w:hAnsi="Calibri Light"/>
          <w:color w:val="0070C0"/>
          <w:sz w:val="24"/>
          <w:szCs w:val="24"/>
        </w:rPr>
        <w:fldChar w:fldCharType="end"/>
      </w:r>
      <w:r w:rsidR="003C7929">
        <w:rPr>
          <w:rFonts w:ascii="Calibri Light" w:hAnsi="Calibri Light"/>
          <w:color w:val="0070C0"/>
          <w:sz w:val="24"/>
          <w:szCs w:val="24"/>
        </w:rPr>
        <w:t>;</w:t>
      </w:r>
      <w:r w:rsidR="004350DD" w:rsidRPr="004350DD">
        <w:rPr>
          <w:rFonts w:ascii="Calibri Light" w:hAnsi="Calibri Light"/>
          <w:color w:val="0070C0"/>
          <w:sz w:val="24"/>
          <w:szCs w:val="24"/>
        </w:rPr>
        <w:t xml:space="preserve">  </w:t>
      </w:r>
      <w:r w:rsidR="003C7929">
        <w:rPr>
          <w:rFonts w:ascii="Calibri Light" w:hAnsi="Calibri Light"/>
          <w:color w:val="0070C0"/>
          <w:sz w:val="24"/>
          <w:szCs w:val="24"/>
        </w:rPr>
        <w:fldChar w:fldCharType="begin" w:fldLock="1"/>
      </w:r>
      <w:r w:rsidR="003C7929">
        <w:rPr>
          <w:rFonts w:ascii="Calibri Light" w:hAnsi="Calibri Light"/>
          <w:color w:val="0070C0"/>
          <w:sz w:val="24"/>
          <w:szCs w:val="24"/>
        </w:rPr>
        <w:instrText>ADDIN CSL_CITATION {"citationItems":[{"id":"ITEM-1","itemData":{"ISSN":"2721-9135","abstract":"The rupiah currency is a legal means of payment within the Republic of Indonesia, where every economic activity that takes place, the means of payment used is the rupiah currency. Bank Indonesia is an institution that has the authority to protect and preserve the rupiah currency, not only Bank Indonesia is obliged to protect and preserve the value of the rupiah, but we as Indonesian people are obliged to protect and preserve the value of the rupiah. Therefore, Widya Mandira Catholic University Community Empowerment Thematic Real Work Lecture students conducted socialization on Love Proud to Understand Rupiah as a form of showing hands in protecting and preserving the value of the rupiah among students and as a form of preventing the rise of counterfeit money in circulation. With this socialization, students understand better how to preserve, protect and care for the rupiah currency as a symbol of national sovereignty and students can also play a role in reducing inflation in Indonesia so that it is in accordance with the theme of the Community Empowerment Thematic Real Work Lecture taken, namely \"Strengthening the Economy in Dealing with Inflation\".","author":[{"dropping-particle":"","family":"Carvalho Belo","given":"Jelia","non-dropping-particle":"De","parse-names":false,"suffix":""},{"dropping-particle":"","family":"Mako","given":"Wihelmina","non-dropping-particle":"","parse-names":false,"suffix":""},{"dropping-particle":"","family":"Mbobu","given":"Maria Elisabeth May","non-dropping-particle":"","parse-names":false,"suffix":""},{"dropping-particle":"","family":"Danus","given":"Avelina","non-dropping-particle":"","parse-names":false,"suffix":""},{"dropping-particle":"","family":"Wada Betu","given":"Kristina","non-dropping-particle":"","parse-names":false,"suffix":""}],"container-title":"BERNAS: Jurnal Pengabdian Kepada Masyarakat","id":"ITEM-1","issue":"2","issued":{"date-parts":[["2022"]]},"title":"Sosialisasi Tentang Cinta Bangga Paham (CBP) Rupiah Pada Pelajar Kelas X di SMA Katolik Fides Quaerens Intellectum Kefamenanu","type":"article-journal","volume":"4"},"uris":["http://www.mendeley.com/documents/?uuid=90052aed-5480-34b5-85e3-b72337f8ea87"]}],"mendeley":{"formattedCitation":"(De Carvalho Belo et al., 2022)","manualFormatting":"De Carvalho Belo et al., 2022)","plainTextFormattedCitation":"(De Carvalho Belo et al., 2022)","previouslyFormattedCitation":"(De Carvalho Belo et al., 2022)"},"properties":{"noteIndex":0},"schema":"https://github.com/citation-style-language/schema/raw/master/csl-citation.json"}</w:instrText>
      </w:r>
      <w:r w:rsidR="003C7929">
        <w:rPr>
          <w:rFonts w:ascii="Calibri Light" w:hAnsi="Calibri Light"/>
          <w:color w:val="0070C0"/>
          <w:sz w:val="24"/>
          <w:szCs w:val="24"/>
        </w:rPr>
        <w:fldChar w:fldCharType="separate"/>
      </w:r>
      <w:r w:rsidR="003C7929" w:rsidRPr="003C7929">
        <w:rPr>
          <w:rFonts w:ascii="Calibri Light" w:hAnsi="Calibri Light"/>
          <w:noProof/>
          <w:color w:val="0070C0"/>
          <w:sz w:val="24"/>
          <w:szCs w:val="24"/>
        </w:rPr>
        <w:t xml:space="preserve">De Carvalho Belo </w:t>
      </w:r>
      <w:r w:rsidR="005B3038" w:rsidRPr="005B3038">
        <w:rPr>
          <w:rFonts w:ascii="Calibri Light" w:hAnsi="Calibri Light"/>
          <w:i/>
          <w:noProof/>
          <w:color w:val="0070C0"/>
          <w:sz w:val="24"/>
          <w:szCs w:val="24"/>
        </w:rPr>
        <w:t>et al.</w:t>
      </w:r>
      <w:r w:rsidR="003C7929" w:rsidRPr="003C7929">
        <w:rPr>
          <w:rFonts w:ascii="Calibri Light" w:hAnsi="Calibri Light"/>
          <w:noProof/>
          <w:color w:val="0070C0"/>
          <w:sz w:val="24"/>
          <w:szCs w:val="24"/>
        </w:rPr>
        <w:t>, 2022)</w:t>
      </w:r>
      <w:r w:rsidR="003C7929">
        <w:rPr>
          <w:rFonts w:ascii="Calibri Light" w:hAnsi="Calibri Light"/>
          <w:color w:val="0070C0"/>
          <w:sz w:val="24"/>
          <w:szCs w:val="24"/>
        </w:rPr>
        <w:fldChar w:fldCharType="end"/>
      </w:r>
      <w:r w:rsidR="003C7929">
        <w:rPr>
          <w:rFonts w:ascii="Calibri Light" w:hAnsi="Calibri Light"/>
          <w:color w:val="0070C0"/>
          <w:sz w:val="24"/>
          <w:szCs w:val="24"/>
        </w:rPr>
        <w:t xml:space="preserve"> </w:t>
      </w:r>
    </w:p>
    <w:p w14:paraId="3C794992" w14:textId="35E09089" w:rsidR="004B1803" w:rsidRPr="004B1803"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To implement supervision and exercise control over the circulation of rupiah in Indonesia</w:t>
      </w:r>
      <w:r w:rsidR="008841C4">
        <w:rPr>
          <w:rFonts w:ascii="Calibri Light" w:hAnsi="Calibri Light" w:cs="Calibri Light"/>
          <w:sz w:val="24"/>
          <w:szCs w:val="24"/>
        </w:rPr>
        <w:t xml:space="preserve"> </w:t>
      </w:r>
      <w:r w:rsidR="00822EC3" w:rsidRPr="00822EC3">
        <w:rPr>
          <w:rFonts w:ascii="Calibri Light" w:hAnsi="Calibri Light" w:cs="Calibri Light"/>
          <w:color w:val="0070C0"/>
          <w:sz w:val="24"/>
          <w:szCs w:val="24"/>
        </w:rPr>
        <w:fldChar w:fldCharType="begin" w:fldLock="1"/>
      </w:r>
      <w:r w:rsidR="00822EC3">
        <w:rPr>
          <w:rFonts w:ascii="Calibri Light" w:hAnsi="Calibri Light" w:cs="Calibri Light"/>
          <w:color w:val="0070C0"/>
          <w:sz w:val="24"/>
          <w:szCs w:val="24"/>
        </w:rPr>
        <w:instrText>ADDIN CSL_CITATION {"citationItems":[{"id":"ITEM-1","itemData":{"DOI":"10.19184/jeblr.v2i2.28987","ISSN":"2828-3198","abstract":"Abstract Transactions that have the purpose of payment in the territory of Indonesia use the rupiah currency as stipulated in Law no. 7 of 2011 concerning Currency. However, the \"Mualamah Market\" uses dinar and dirham payment transactions, and Indonesia's border areas with Malaysia, Singapore and Timor Leste are very vulnerable to using Ringgit, Singapore Dollars and US Dollars as well as lawyers being paid using foreign currencies and there are still many cases other. The purpose of this study is to determine the form of criminal threats that can provide a deterrent effect on perpetrators and can scare the general public so that all people in the territory of Indonesia use the rupiah currency in transactions that have a payment purpose. The methodology used is normative juridical by using a statutory, conceptual, historical and comparative approach with the support of the theory of punishment and legal certainty or the principle of legality, as well as the principle of territoriality. The results of this study indicate that every transaction that has the purpose of payment in the territory of Indonesia is required to use the rupiah currency. 7 of 2011 concerning Currency. The criminal threat in Article 33 paragraph (1) of Law no. 7 of 2011 concerning Currency is not in accordance with the theory of punishment (combined theory) because the sanctions are too light, both fines and physical crimes so that the sanctions are not yet effective to provide a deterrent effect or frighten the general public. Keywords: Criminal Law Protection, Payment Transactions, and Rupiah","author":[{"dropping-particle":"","family":"Rafika","given":"Aliya Tur","non-dropping-particle":"","parse-names":false,"suffix":""},{"dropping-particle":"","family":"Iriyanto","given":"Echwan","non-dropping-particle":"","parse-names":false,"suffix":""},{"dropping-particle":"","family":"Nugroho","given":"Fiska Maulidian","non-dropping-particle":"","parse-names":false,"suffix":""}],"container-title":"Journal Economic &amp; Business Law Review","id":"ITEM-1","issue":"2","issued":{"date-parts":[["2022","10","30"]]},"page":"145","title":"Perlindungan Hukum Pidana Terhadap Transaksi Yang Mempunyai Tujuan Pembayaran Menggunakan Mata Uang Rupiah Di Indonesia","type":"article-journal","volume":"2"},"uris":["http://www.mendeley.com/documents/?uuid=4d1f7f6b-e5c4-4dfa-8935-5f4bab4a3e0a"]}],"mendeley":{"formattedCitation":"(Rafika et al., 2022)","manualFormatting":"(Rafika et al., 2022","plainTextFormattedCitation":"(Rafika et al., 2022)","previouslyFormattedCitation":"(Rafika et al., 2022)"},"properties":{"noteIndex":0},"schema":"https://github.com/citation-style-language/schema/raw/master/csl-citation.json"}</w:instrText>
      </w:r>
      <w:r w:rsidR="00822EC3" w:rsidRPr="00822EC3">
        <w:rPr>
          <w:rFonts w:ascii="Calibri Light" w:hAnsi="Calibri Light" w:cs="Calibri Light"/>
          <w:color w:val="0070C0"/>
          <w:sz w:val="24"/>
          <w:szCs w:val="24"/>
        </w:rPr>
        <w:fldChar w:fldCharType="separate"/>
      </w:r>
      <w:r w:rsidR="00822EC3" w:rsidRPr="00822EC3">
        <w:rPr>
          <w:rFonts w:ascii="Calibri Light" w:hAnsi="Calibri Light" w:cs="Calibri Light"/>
          <w:noProof/>
          <w:color w:val="0070C0"/>
          <w:sz w:val="24"/>
          <w:szCs w:val="24"/>
        </w:rPr>
        <w:t>(</w:t>
      </w:r>
      <w:r w:rsidR="00822EC3" w:rsidRPr="00822EC3">
        <w:rPr>
          <w:rFonts w:ascii="Calibri Light" w:hAnsi="Calibri Light" w:cs="Calibri Light"/>
          <w:color w:val="0070C0"/>
          <w:sz w:val="24"/>
          <w:szCs w:val="24"/>
        </w:rPr>
        <w:fldChar w:fldCharType="end"/>
      </w:r>
      <w:r w:rsidR="00822EC3">
        <w:rPr>
          <w:rFonts w:ascii="Calibri Light" w:hAnsi="Calibri Light" w:cs="Calibri Light"/>
          <w:color w:val="0070C0"/>
          <w:sz w:val="24"/>
          <w:szCs w:val="24"/>
        </w:rPr>
        <w:fldChar w:fldCharType="begin" w:fldLock="1"/>
      </w:r>
      <w:r w:rsidR="00664A4E">
        <w:rPr>
          <w:rFonts w:ascii="Calibri Light" w:hAnsi="Calibri Light" w:cs="Calibri Light"/>
          <w:color w:val="0070C0"/>
          <w:sz w:val="24"/>
          <w:szCs w:val="24"/>
        </w:rPr>
        <w:instrText>ADDIN CSL_CITATION {"citationItems":[{"id":"ITEM-1","itemData":{"ISSN":"2716-0440 (cetak), 2614-1485 (online)","abstract":"This journal aims to find out legal studies regarding the use of foreign currencies in the practice of buying and selling in Indonesia as well as to describe all problems related to the use of foreign currencies, because in Law Number 7 of 2011 concerning currency, it is clear that it is mandatory to use Rupiah as a currency. means of payment transactions and other financial transactions in the Indonesian Territory. the government stipulates the Currency Law to strictly regulate the mandatory use of the rupiah. Article 21 paragraph (1) of the Currency Law requires the use of rupiah in every transaction that has the purpose of payment, settlement of other obligations that must be met with money and other financial transactions conducted within the Territory of the Unitary State of the Republic of Indonesia. Business actors in the trading sector are required to use rupiah in every payment transaction which is their main activity. Molengraff and Polak stated that activities in the economic field that are carried out continuously are activities as a livelihood, not incidental, and not part-time jobs. For domestic trading business actors, this obligation does not become an obstacle to their business activities, and even provides certainty of the purchase price and selling price of the goods traded without any difference in the value of the loss to the profit from the capital sought. in laws and regulations, articles, related papers and the opinions of other related people. The results of this study, there is still a need for public awareness of the use of rupiah in their daily lives and the government must be firm in dealing with this because until now there has been no criminal case against the use of foreign currency in the Indonesian Territory.","author":[{"dropping-particle":"","family":"Rachmawati","given":"Mela Hapsari","non-dropping-particle":"","parse-names":false,"suffix":""},{"dropping-particle":"","family":"Nugroho","given":"Meysita Arum","non-dropping-particle":"","parse-names":false,"suffix":""}],"container-title":"PALAR (Pakuan Law Review)","id":"ITEM-1","issued":{"date-parts":[["2022"]]},"title":"Penggunaan Mata Uang Asing Dalam Praktik Jual-Beli Di Indonesia Menurut Undang-Undang Nomor 7 Tahun 2011 Tentang Mata Uang","type":"article-journal"},"uris":["http://www.mendeley.com/documents/?uuid=18f5ed02-9cdd-419b-be5f-e6564e2c5e59"]}],"mendeley":{"formattedCitation":"(Rachmawati &amp; Nugroho, 2022)","manualFormatting":"Rachmawati &amp; Nugroho, 2022)","plainTextFormattedCitation":"(Rachmawati &amp; Nugroho, 2022)","previouslyFormattedCitation":"(Rachmawati &amp; Nugroho, 2022)"},"properties":{"noteIndex":0},"schema":"https://github.com/citation-style-language/schema/raw/master/csl-citation.json"}</w:instrText>
      </w:r>
      <w:r w:rsidR="00822EC3">
        <w:rPr>
          <w:rFonts w:ascii="Calibri Light" w:hAnsi="Calibri Light" w:cs="Calibri Light"/>
          <w:color w:val="0070C0"/>
          <w:sz w:val="24"/>
          <w:szCs w:val="24"/>
        </w:rPr>
        <w:fldChar w:fldCharType="separate"/>
      </w:r>
      <w:r w:rsidR="00822EC3" w:rsidRPr="00822EC3">
        <w:rPr>
          <w:rFonts w:ascii="Calibri Light" w:hAnsi="Calibri Light" w:cs="Calibri Light"/>
          <w:noProof/>
          <w:color w:val="0070C0"/>
          <w:sz w:val="24"/>
          <w:szCs w:val="24"/>
        </w:rPr>
        <w:t>Rachmawati &amp; Nugroho, 2022</w:t>
      </w:r>
      <w:r w:rsidR="005277E5">
        <w:rPr>
          <w:rFonts w:ascii="Calibri Light" w:hAnsi="Calibri Light" w:cs="Calibri Light"/>
          <w:noProof/>
          <w:color w:val="0070C0"/>
          <w:sz w:val="24"/>
          <w:szCs w:val="24"/>
        </w:rPr>
        <w:t xml:space="preserve">; </w:t>
      </w:r>
      <w:r w:rsidR="005277E5" w:rsidRPr="00822EC3">
        <w:rPr>
          <w:rFonts w:ascii="Calibri Light" w:hAnsi="Calibri Light" w:cs="Calibri Light"/>
          <w:noProof/>
          <w:color w:val="0070C0"/>
          <w:sz w:val="24"/>
          <w:szCs w:val="24"/>
        </w:rPr>
        <w:t xml:space="preserve">Rafika </w:t>
      </w:r>
      <w:r w:rsidR="005B3038" w:rsidRPr="005B3038">
        <w:rPr>
          <w:rFonts w:ascii="Calibri Light" w:hAnsi="Calibri Light" w:cs="Calibri Light"/>
          <w:i/>
          <w:noProof/>
          <w:color w:val="0070C0"/>
          <w:sz w:val="24"/>
          <w:szCs w:val="24"/>
        </w:rPr>
        <w:t>et al.</w:t>
      </w:r>
      <w:r w:rsidR="005277E5" w:rsidRPr="00822EC3">
        <w:rPr>
          <w:rFonts w:ascii="Calibri Light" w:hAnsi="Calibri Light" w:cs="Calibri Light"/>
          <w:noProof/>
          <w:color w:val="0070C0"/>
          <w:sz w:val="24"/>
          <w:szCs w:val="24"/>
        </w:rPr>
        <w:t>, 2022</w:t>
      </w:r>
      <w:r w:rsidR="00822EC3" w:rsidRPr="00822EC3">
        <w:rPr>
          <w:rFonts w:ascii="Calibri Light" w:hAnsi="Calibri Light" w:cs="Calibri Light"/>
          <w:noProof/>
          <w:color w:val="0070C0"/>
          <w:sz w:val="24"/>
          <w:szCs w:val="24"/>
        </w:rPr>
        <w:t>)</w:t>
      </w:r>
      <w:r w:rsidR="00822EC3">
        <w:rPr>
          <w:rFonts w:ascii="Calibri Light" w:hAnsi="Calibri Light" w:cs="Calibri Light"/>
          <w:color w:val="0070C0"/>
          <w:sz w:val="24"/>
          <w:szCs w:val="24"/>
        </w:rPr>
        <w:fldChar w:fldCharType="end"/>
      </w:r>
      <w:r w:rsidRPr="004B1803">
        <w:rPr>
          <w:rFonts w:ascii="Calibri Light" w:hAnsi="Calibri Light" w:cs="Calibri Light"/>
          <w:sz w:val="24"/>
          <w:szCs w:val="24"/>
        </w:rPr>
        <w:t xml:space="preserve">, on Tuesday, May 31, 2011, the Plenary Session of the House of Representatives </w:t>
      </w:r>
      <w:r w:rsidR="00187CDA">
        <w:rPr>
          <w:rFonts w:ascii="Calibri Light" w:hAnsi="Calibri Light" w:cs="Calibri Light"/>
          <w:sz w:val="24"/>
          <w:szCs w:val="24"/>
        </w:rPr>
        <w:t xml:space="preserve">(DPR) </w:t>
      </w:r>
      <w:r w:rsidRPr="004B1803">
        <w:rPr>
          <w:rFonts w:ascii="Calibri Light" w:hAnsi="Calibri Light" w:cs="Calibri Light"/>
          <w:sz w:val="24"/>
          <w:szCs w:val="24"/>
        </w:rPr>
        <w:t>and the Government passed the Draft Law on Currency into Law N</w:t>
      </w:r>
      <w:r w:rsidR="00734A28">
        <w:rPr>
          <w:rFonts w:ascii="Calibri Light" w:hAnsi="Calibri Light" w:cs="Calibri Light"/>
          <w:sz w:val="24"/>
          <w:szCs w:val="24"/>
        </w:rPr>
        <w:t>o.</w:t>
      </w:r>
      <w:r w:rsidRPr="004B1803">
        <w:rPr>
          <w:rFonts w:ascii="Calibri Light" w:hAnsi="Calibri Light" w:cs="Calibri Light"/>
          <w:sz w:val="24"/>
          <w:szCs w:val="24"/>
        </w:rPr>
        <w:t xml:space="preserve"> 7 of 2011. This law came into effect on June 28, 2011. The establishment of the Currency Act is an effort made by </w:t>
      </w:r>
      <w:r w:rsidR="005706E6" w:rsidRPr="000376DE">
        <w:rPr>
          <w:rFonts w:ascii="Calibri Light" w:hAnsi="Calibri Light" w:cs="Calibri Light"/>
          <w:sz w:val="24"/>
          <w:szCs w:val="24"/>
        </w:rPr>
        <w:t>the DPR</w:t>
      </w:r>
      <w:r w:rsidR="005706E6">
        <w:rPr>
          <w:rFonts w:ascii="Calibri Light" w:hAnsi="Calibri Light" w:cs="Calibri Light"/>
          <w:sz w:val="24"/>
          <w:szCs w:val="24"/>
        </w:rPr>
        <w:t xml:space="preserve"> </w:t>
      </w:r>
      <w:r w:rsidRPr="004B1803">
        <w:rPr>
          <w:rFonts w:ascii="Calibri Light" w:hAnsi="Calibri Light" w:cs="Calibri Light"/>
          <w:sz w:val="24"/>
          <w:szCs w:val="24"/>
        </w:rPr>
        <w:t xml:space="preserve">and the Government to regulate currency management in line with the provisions of Article 23B of the 1945 </w:t>
      </w:r>
      <w:r w:rsidR="00E546C5">
        <w:rPr>
          <w:rFonts w:ascii="Calibri Light" w:hAnsi="Calibri Light" w:cs="Calibri Light"/>
          <w:sz w:val="24"/>
          <w:szCs w:val="24"/>
        </w:rPr>
        <w:t xml:space="preserve">Indonesian </w:t>
      </w:r>
      <w:r w:rsidRPr="004B1803">
        <w:rPr>
          <w:rFonts w:ascii="Calibri Light" w:hAnsi="Calibri Light" w:cs="Calibri Light"/>
          <w:sz w:val="24"/>
          <w:szCs w:val="24"/>
        </w:rPr>
        <w:t>Constitution</w:t>
      </w:r>
      <w:r w:rsidR="008841C4">
        <w:rPr>
          <w:rFonts w:ascii="Calibri Light" w:hAnsi="Calibri Light" w:cs="Calibri Light"/>
          <w:sz w:val="24"/>
          <w:szCs w:val="24"/>
        </w:rPr>
        <w:t>.</w:t>
      </w:r>
    </w:p>
    <w:p w14:paraId="14082967" w14:textId="08EC64AC" w:rsidR="004B1803" w:rsidRPr="004B1803" w:rsidRDefault="00E546C5" w:rsidP="004B1803">
      <w:pPr>
        <w:spacing w:before="120" w:after="120"/>
        <w:ind w:left="426"/>
        <w:jc w:val="both"/>
        <w:rPr>
          <w:rFonts w:ascii="Calibri Light" w:hAnsi="Calibri Light" w:cs="Calibri Light"/>
          <w:sz w:val="24"/>
          <w:szCs w:val="24"/>
        </w:rPr>
      </w:pPr>
      <w:r>
        <w:rPr>
          <w:rFonts w:ascii="Calibri Light" w:hAnsi="Calibri Light" w:cs="Calibri Light"/>
          <w:sz w:val="24"/>
          <w:szCs w:val="24"/>
        </w:rPr>
        <w:t>T</w:t>
      </w:r>
      <w:r w:rsidR="004B1803" w:rsidRPr="004B1803">
        <w:rPr>
          <w:rFonts w:ascii="Calibri Light" w:hAnsi="Calibri Light" w:cs="Calibri Light"/>
          <w:sz w:val="24"/>
          <w:szCs w:val="24"/>
        </w:rPr>
        <w:t>he protection of the use of the rupiah as a transactional tool in Indonesia is</w:t>
      </w:r>
      <w:r>
        <w:rPr>
          <w:rFonts w:ascii="Calibri Light" w:hAnsi="Calibri Light" w:cs="Calibri Light"/>
          <w:sz w:val="24"/>
          <w:szCs w:val="24"/>
        </w:rPr>
        <w:t xml:space="preserve">, </w:t>
      </w:r>
      <w:r w:rsidRPr="00E546C5">
        <w:rPr>
          <w:rFonts w:ascii="Calibri Light" w:hAnsi="Calibri Light" w:cs="Calibri Light"/>
          <w:i/>
          <w:iCs/>
          <w:sz w:val="24"/>
          <w:szCs w:val="24"/>
        </w:rPr>
        <w:t>de jure</w:t>
      </w:r>
      <w:r>
        <w:rPr>
          <w:rFonts w:ascii="Calibri Light" w:hAnsi="Calibri Light" w:cs="Calibri Light"/>
          <w:sz w:val="24"/>
          <w:szCs w:val="24"/>
        </w:rPr>
        <w:t>,</w:t>
      </w:r>
      <w:r w:rsidR="004B1803" w:rsidRPr="004B1803">
        <w:rPr>
          <w:rFonts w:ascii="Calibri Light" w:hAnsi="Calibri Light" w:cs="Calibri Light"/>
          <w:sz w:val="24"/>
          <w:szCs w:val="24"/>
        </w:rPr>
        <w:t xml:space="preserve"> covered by various laws and regulations. However, </w:t>
      </w:r>
      <w:r w:rsidR="004B1803" w:rsidRPr="00F70DAF">
        <w:rPr>
          <w:rFonts w:ascii="Calibri Light" w:hAnsi="Calibri Light" w:cs="Calibri Light"/>
          <w:i/>
          <w:iCs/>
          <w:sz w:val="24"/>
          <w:szCs w:val="24"/>
        </w:rPr>
        <w:t>de facto</w:t>
      </w:r>
      <w:r w:rsidR="004B1803" w:rsidRPr="004B1803">
        <w:rPr>
          <w:rFonts w:ascii="Calibri Light" w:hAnsi="Calibri Light" w:cs="Calibri Light"/>
          <w:sz w:val="24"/>
          <w:szCs w:val="24"/>
        </w:rPr>
        <w:t xml:space="preserve">, the rupiah has experienced ups and downs in value due to hyperinflation, inefficiency, low competitiveness, lack of credibility, and a weak exchange rate against the US dollar or other currencies. This crucial condition is the background to the idea of redenomination. For example, on Friday, February 28, 2025, the rupiah closed at Rp16,595 per US dollar, </w:t>
      </w:r>
      <w:r w:rsidR="00734A28">
        <w:rPr>
          <w:rFonts w:ascii="Calibri Light" w:hAnsi="Calibri Light" w:cs="Calibri Light"/>
          <w:sz w:val="24"/>
          <w:szCs w:val="24"/>
        </w:rPr>
        <w:t>depreciated</w:t>
      </w:r>
      <w:r w:rsidR="004B1803" w:rsidRPr="004B1803">
        <w:rPr>
          <w:rFonts w:ascii="Calibri Light" w:hAnsi="Calibri Light" w:cs="Calibri Light"/>
          <w:sz w:val="24"/>
          <w:szCs w:val="24"/>
        </w:rPr>
        <w:t xml:space="preserve"> by 141 points. This weakening marks the lowest point of the rupiah since the 1998 monetary crisis and March 2020, when the </w:t>
      </w:r>
      <w:r w:rsidR="00734A28">
        <w:rPr>
          <w:rFonts w:ascii="Calibri Light" w:hAnsi="Calibri Light" w:cs="Calibri Light"/>
          <w:sz w:val="24"/>
          <w:szCs w:val="24"/>
        </w:rPr>
        <w:t>COVID-19</w:t>
      </w:r>
      <w:r w:rsidR="004B1803" w:rsidRPr="004B1803">
        <w:rPr>
          <w:rFonts w:ascii="Calibri Light" w:hAnsi="Calibri Light" w:cs="Calibri Light"/>
          <w:sz w:val="24"/>
          <w:szCs w:val="24"/>
        </w:rPr>
        <w:t xml:space="preserve"> pandemic rocked global financial markets. Within a week, the rupiah on the spot market weakened </w:t>
      </w:r>
      <w:r w:rsidR="00734A28">
        <w:rPr>
          <w:rFonts w:ascii="Calibri Light" w:hAnsi="Calibri Light" w:cs="Calibri Light"/>
          <w:sz w:val="24"/>
          <w:szCs w:val="24"/>
        </w:rPr>
        <w:t xml:space="preserve">by </w:t>
      </w:r>
      <w:r w:rsidR="004B1803" w:rsidRPr="004B1803">
        <w:rPr>
          <w:rFonts w:ascii="Calibri Light" w:hAnsi="Calibri Light" w:cs="Calibri Light"/>
          <w:sz w:val="24"/>
          <w:szCs w:val="24"/>
        </w:rPr>
        <w:t xml:space="preserve">1.7 percent and corrected 1.75 percent throughout February 2025. This condition made the rupiah the currency with the deepest weakening in Asia in February 2025. Based on </w:t>
      </w:r>
      <w:r w:rsidR="001A4705" w:rsidRPr="001A4705">
        <w:rPr>
          <w:rFonts w:ascii="Calibri Light" w:hAnsi="Calibri Light" w:cs="Calibri Light"/>
          <w:caps/>
          <w:sz w:val="24"/>
          <w:szCs w:val="24"/>
        </w:rPr>
        <w:t>BI</w:t>
      </w:r>
      <w:r w:rsidR="004B1803" w:rsidRPr="004B1803">
        <w:rPr>
          <w:rFonts w:ascii="Calibri Light" w:hAnsi="Calibri Light" w:cs="Calibri Light"/>
          <w:sz w:val="24"/>
          <w:szCs w:val="24"/>
        </w:rPr>
        <w:t xml:space="preserve"> </w:t>
      </w:r>
      <w:r w:rsidR="001A4705">
        <w:rPr>
          <w:rFonts w:ascii="Calibri Light" w:hAnsi="Calibri Light" w:cs="Calibri Light"/>
          <w:sz w:val="24"/>
          <w:szCs w:val="24"/>
        </w:rPr>
        <w:t xml:space="preserve">(BI) </w:t>
      </w:r>
      <w:r w:rsidR="004B1803" w:rsidRPr="004B1803">
        <w:rPr>
          <w:rFonts w:ascii="Calibri Light" w:hAnsi="Calibri Light" w:cs="Calibri Light"/>
          <w:sz w:val="24"/>
          <w:szCs w:val="24"/>
        </w:rPr>
        <w:t>data, the rupiah on Thursday, February 27, 2025, closed at Rp16,445 per US dollar, then weakened further on Friday morning, opening at Rp16,520 per US dollar</w:t>
      </w:r>
      <w:r w:rsidR="00D85DD2">
        <w:rPr>
          <w:rFonts w:ascii="Calibri Light" w:hAnsi="Calibri Light" w:cs="Calibri Light"/>
          <w:sz w:val="24"/>
          <w:szCs w:val="24"/>
        </w:rPr>
        <w:t xml:space="preserve"> </w:t>
      </w:r>
      <w:r w:rsidR="00664A4E" w:rsidRPr="00D85DD2">
        <w:rPr>
          <w:rFonts w:ascii="Calibri Light" w:hAnsi="Calibri Light" w:cs="Calibri Light"/>
          <w:color w:val="0070C0"/>
          <w:sz w:val="24"/>
          <w:szCs w:val="24"/>
        </w:rPr>
        <w:fldChar w:fldCharType="begin" w:fldLock="1"/>
      </w:r>
      <w:r w:rsidR="00D85DD2" w:rsidRPr="00D85DD2">
        <w:rPr>
          <w:rFonts w:ascii="Calibri Light" w:hAnsi="Calibri Light" w:cs="Calibri Light"/>
          <w:color w:val="0070C0"/>
          <w:sz w:val="24"/>
          <w:szCs w:val="24"/>
        </w:rPr>
        <w:instrText>ADDIN CSL_CITATION {"citationItems":[{"id":"ITEM-1","itemData":{"author":[{"dropping-particle":"","family":"Ramandhita","given":"A. D.","non-dropping-particle":"","parse-names":false,"suffix":""}],"container-title":"rmol.id","id":"ITEM-1","issued":{"date-parts":[["2025","3","1"]]},"title":"Rupiah Anjlok ke Level Terendah Sejak Krismon 1998 dan Covid-19","type":"article-newspaper"},"uris":["http://www.mendeley.com/documents/?uuid=15885692-c292-4ee4-b6d1-2d5e996623ed"]}],"mendeley":{"formattedCitation":"(Ramandhita, 2025)","plainTextFormattedCitation":"(Ramandhita, 2025)","previouslyFormattedCitation":"(Ramandhita, 2025)"},"properties":{"noteIndex":0},"schema":"https://github.com/citation-style-language/schema/raw/master/csl-citation.json"}</w:instrText>
      </w:r>
      <w:r w:rsidR="00664A4E" w:rsidRPr="00D85DD2">
        <w:rPr>
          <w:rFonts w:ascii="Calibri Light" w:hAnsi="Calibri Light" w:cs="Calibri Light"/>
          <w:color w:val="0070C0"/>
          <w:sz w:val="24"/>
          <w:szCs w:val="24"/>
        </w:rPr>
        <w:fldChar w:fldCharType="separate"/>
      </w:r>
      <w:r w:rsidR="00664A4E" w:rsidRPr="00D85DD2">
        <w:rPr>
          <w:rFonts w:ascii="Calibri Light" w:hAnsi="Calibri Light" w:cs="Calibri Light"/>
          <w:noProof/>
          <w:color w:val="0070C0"/>
          <w:sz w:val="24"/>
          <w:szCs w:val="24"/>
        </w:rPr>
        <w:t>(Ramandhita, 2025)</w:t>
      </w:r>
      <w:r w:rsidR="00664A4E" w:rsidRPr="00D85DD2">
        <w:rPr>
          <w:rFonts w:ascii="Calibri Light" w:hAnsi="Calibri Light" w:cs="Calibri Light"/>
          <w:color w:val="0070C0"/>
          <w:sz w:val="24"/>
          <w:szCs w:val="24"/>
        </w:rPr>
        <w:fldChar w:fldCharType="end"/>
      </w:r>
      <w:r w:rsidR="00664A4E" w:rsidRPr="00664A4E">
        <w:rPr>
          <w:rFonts w:ascii="Calibri Light" w:hAnsi="Calibri Light" w:cs="Calibri Light"/>
          <w:color w:val="00B0F0"/>
          <w:sz w:val="24"/>
          <w:szCs w:val="24"/>
        </w:rPr>
        <w:t>.</w:t>
      </w:r>
    </w:p>
    <w:p w14:paraId="18291336" w14:textId="5F4FD16F" w:rsidR="004B1803" w:rsidRPr="004B1803"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A country's currency represents purchasing power parity</w:t>
      </w:r>
      <w:r w:rsidR="00D85DD2">
        <w:rPr>
          <w:rFonts w:ascii="Calibri Light" w:hAnsi="Calibri Light" w:cs="Calibri Light"/>
          <w:sz w:val="24"/>
          <w:szCs w:val="24"/>
        </w:rPr>
        <w:t xml:space="preserve"> </w:t>
      </w:r>
      <w:r w:rsidR="00D85DD2" w:rsidRPr="00D85DD2">
        <w:rPr>
          <w:rFonts w:ascii="Calibri Light" w:hAnsi="Calibri Light" w:cs="Calibri Light"/>
          <w:color w:val="0070C0"/>
          <w:sz w:val="24"/>
          <w:szCs w:val="24"/>
        </w:rPr>
        <w:fldChar w:fldCharType="begin" w:fldLock="1"/>
      </w:r>
      <w:r w:rsidR="00BB65E3">
        <w:rPr>
          <w:rFonts w:ascii="Calibri Light" w:hAnsi="Calibri Light" w:cs="Calibri Light"/>
          <w:color w:val="0070C0"/>
          <w:sz w:val="24"/>
          <w:szCs w:val="24"/>
        </w:rPr>
        <w:instrText>ADDIN CSL_CITATION {"citationItems":[{"id":"ITEM-1","itemData":{"author":[{"dropping-particle":"","family":"Purwanti","given":"D.","non-dropping-particle":"","parse-names":false,"suffix":""}],"id":"ITEM-1","issued":{"date-parts":[["2018"]]},"publisher":"Doctoral Dissertation, Universitas Muhammadiyah Surakarta","title":"Analisis Faktor-Faktor yang Mempengaruhi Nilai Tukar Rupiah terhadap Dolar Amerika Aplikasi Teori Purchasing Power Parity (PPP)","type":"thesis"},"uris":["http://www.mendeley.com/documents/?uuid=b598beca-7493-4288-b11e-eec363e1badc"]}],"mendeley":{"formattedCitation":"(Purwanti, 2018)","manualFormatting":"(Purwanti, 2018","plainTextFormattedCitation":"(Purwanti, 2018)","previouslyFormattedCitation":"(Purwanti, 2018)"},"properties":{"noteIndex":0},"schema":"https://github.com/citation-style-language/schema/raw/master/csl-citation.json"}</w:instrText>
      </w:r>
      <w:r w:rsidR="00D85DD2" w:rsidRPr="00D85DD2">
        <w:rPr>
          <w:rFonts w:ascii="Calibri Light" w:hAnsi="Calibri Light" w:cs="Calibri Light"/>
          <w:color w:val="0070C0"/>
          <w:sz w:val="24"/>
          <w:szCs w:val="24"/>
        </w:rPr>
        <w:fldChar w:fldCharType="separate"/>
      </w:r>
      <w:r w:rsidR="00D85DD2" w:rsidRPr="00D85DD2">
        <w:rPr>
          <w:rFonts w:ascii="Calibri Light" w:hAnsi="Calibri Light" w:cs="Calibri Light"/>
          <w:noProof/>
          <w:color w:val="0070C0"/>
          <w:sz w:val="24"/>
          <w:szCs w:val="24"/>
        </w:rPr>
        <w:t>(</w:t>
      </w:r>
      <w:r w:rsidR="00D85DD2" w:rsidRPr="00D85DD2">
        <w:rPr>
          <w:rFonts w:ascii="Calibri Light" w:hAnsi="Calibri Light" w:cs="Calibri Light"/>
          <w:color w:val="0070C0"/>
          <w:sz w:val="24"/>
          <w:szCs w:val="24"/>
        </w:rPr>
        <w:fldChar w:fldCharType="end"/>
      </w:r>
      <w:r w:rsidR="00D85DD2" w:rsidRPr="00D85DD2">
        <w:rPr>
          <w:rFonts w:ascii="Calibri Light" w:hAnsi="Calibri Light" w:cs="Calibri Light"/>
          <w:color w:val="0070C0"/>
          <w:sz w:val="24"/>
          <w:szCs w:val="24"/>
        </w:rPr>
        <w:fldChar w:fldCharType="begin" w:fldLock="1"/>
      </w:r>
      <w:r w:rsidR="001C3E10">
        <w:rPr>
          <w:rFonts w:ascii="Calibri Light" w:hAnsi="Calibri Light" w:cs="Calibri Light"/>
          <w:color w:val="0070C0"/>
          <w:sz w:val="24"/>
          <w:szCs w:val="24"/>
        </w:rPr>
        <w:instrText>ADDIN CSL_CITATION {"citationItems":[{"id":"ITEM-1","itemData":{"DOI":"10.29407/nusamba.v6i2.16316","ISSN":"2528-0929","abstract":"This study aims to prove the existence of the absolute purchasing power parity theory using The Big Mac Index and take the example of The Six Cheapest countries, two of which are Indonesia and Malaysia. The data taken is secondary data that has been measured and processed by The Economist which contains the prices of the Big Mac units sold by each country, in The Big Mac Index is 56 countries with different incomes. The method used is a descriptive method, with the literature method technique. The results show that in the end absolute purchasing power parity will not be formed in the free market. This is stated by the non-meeting points of purchasing power parity under conditions of real consumption. Also, it is proven by the undervalued value of the rupiah and ringgit in Indonesia and Malaysia against the US dollar, as well as the level of consumption of each country that must be adjusted.","author":[{"dropping-particle":"","family":"Pangestuti","given":"Dewi Cahyani","non-dropping-particle":"","parse-names":false,"suffix":""},{"dropping-particle":"","family":"Riantiarno","given":"R. Ferry","non-dropping-particle":"","parse-names":false,"suffix":""}],"container-title":"JURNAL NUSANTARA APLIKASI MANAJEMEN BISNIS","id":"ITEM-1","issue":"2","issued":{"date-parts":[["2021","10","26"]]},"page":"184-198","title":"Pembuktian Konsep Law Of One Price (LOOP) Dalam Absolute Purchasing Power Parity Menggunakan The Big Mac Index Antar Negara The Six Cheapest (Indonesia – Malaysia) Per Juli 2021","type":"article-journal","volume":"6"},"uris":["http://www.mendeley.com/documents/?uuid=30f0b2a5-f6d4-497e-8833-4adda802530b"]}],"mendeley":{"formattedCitation":"(Pangestuti &amp; Riantiarno, 2021)","manualFormatting":"Pangestuti &amp; Riantiarno, 2021)","plainTextFormattedCitation":"(Pangestuti &amp; Riantiarno, 2021)","previouslyFormattedCitation":"(Pangestuti &amp; Riantiarno, 2021)"},"properties":{"noteIndex":0},"schema":"https://github.com/citation-style-language/schema/raw/master/csl-citation.json"}</w:instrText>
      </w:r>
      <w:r w:rsidR="00D85DD2" w:rsidRPr="00D85DD2">
        <w:rPr>
          <w:rFonts w:ascii="Calibri Light" w:hAnsi="Calibri Light" w:cs="Calibri Light"/>
          <w:color w:val="0070C0"/>
          <w:sz w:val="24"/>
          <w:szCs w:val="24"/>
        </w:rPr>
        <w:fldChar w:fldCharType="separate"/>
      </w:r>
      <w:r w:rsidR="00700DE2" w:rsidRPr="00D85DD2">
        <w:rPr>
          <w:rFonts w:ascii="Calibri Light" w:hAnsi="Calibri Light" w:cs="Calibri Light"/>
          <w:noProof/>
          <w:color w:val="0070C0"/>
          <w:sz w:val="24"/>
          <w:szCs w:val="24"/>
        </w:rPr>
        <w:t>Purwanti, 2018</w:t>
      </w:r>
      <w:r w:rsidR="005F6FDF">
        <w:rPr>
          <w:rFonts w:ascii="Calibri Light" w:hAnsi="Calibri Light" w:cs="Calibri Light"/>
          <w:noProof/>
          <w:color w:val="0070C0"/>
          <w:sz w:val="24"/>
          <w:szCs w:val="24"/>
        </w:rPr>
        <w:t xml:space="preserve">; </w:t>
      </w:r>
      <w:r w:rsidR="005F6FDF" w:rsidRPr="00D85DD2">
        <w:rPr>
          <w:rFonts w:ascii="Calibri Light" w:hAnsi="Calibri Light" w:cs="Calibri Light"/>
          <w:noProof/>
          <w:color w:val="0070C0"/>
          <w:sz w:val="24"/>
          <w:szCs w:val="24"/>
        </w:rPr>
        <w:t>Pangestuti &amp; Riantiarno, 2021</w:t>
      </w:r>
      <w:r w:rsidR="00D85DD2" w:rsidRPr="00D85DD2">
        <w:rPr>
          <w:rFonts w:ascii="Calibri Light" w:hAnsi="Calibri Light" w:cs="Calibri Light"/>
          <w:noProof/>
          <w:color w:val="0070C0"/>
          <w:sz w:val="24"/>
          <w:szCs w:val="24"/>
        </w:rPr>
        <w:t>)</w:t>
      </w:r>
      <w:r w:rsidR="00D85DD2" w:rsidRPr="00D85DD2">
        <w:rPr>
          <w:rFonts w:ascii="Calibri Light" w:hAnsi="Calibri Light" w:cs="Calibri Light"/>
          <w:color w:val="0070C0"/>
          <w:sz w:val="24"/>
          <w:szCs w:val="24"/>
        </w:rPr>
        <w:fldChar w:fldCharType="end"/>
      </w:r>
      <w:r w:rsidR="001C3E10" w:rsidRPr="00700DE2">
        <w:rPr>
          <w:rFonts w:ascii="Calibri Light" w:hAnsi="Calibri Light" w:cs="Calibri Light"/>
          <w:sz w:val="24"/>
          <w:szCs w:val="24"/>
        </w:rPr>
        <w:t>.</w:t>
      </w:r>
      <w:r w:rsidR="001C3E10">
        <w:rPr>
          <w:rFonts w:ascii="Calibri Light" w:hAnsi="Calibri Light" w:cs="Calibri Light"/>
          <w:color w:val="00B0F0"/>
          <w:sz w:val="24"/>
          <w:szCs w:val="24"/>
        </w:rPr>
        <w:t xml:space="preserve"> </w:t>
      </w:r>
      <w:r w:rsidRPr="004B1803">
        <w:rPr>
          <w:rFonts w:ascii="Calibri Light" w:hAnsi="Calibri Light" w:cs="Calibri Light"/>
          <w:sz w:val="24"/>
          <w:szCs w:val="24"/>
        </w:rPr>
        <w:t>The weak credibility of the rupiah reflects the weak purchasing power of the rupiah against strong currencies. The weak credibility of the rupiah is triggered by the high number of imports compared to exports, which is shown through the trade balance deficit, as well as the high dependence of the country on other countries, or in other words, the low economic sovereignty.</w:t>
      </w:r>
    </w:p>
    <w:p w14:paraId="7AD2BA55" w14:textId="3C926426" w:rsidR="008C45DE" w:rsidRDefault="004B1803" w:rsidP="004B1803">
      <w:pPr>
        <w:spacing w:before="120" w:after="120"/>
        <w:ind w:left="426"/>
        <w:jc w:val="both"/>
        <w:rPr>
          <w:rFonts w:ascii="Calibri Light" w:hAnsi="Calibri Light" w:cs="Calibri Light"/>
          <w:sz w:val="24"/>
          <w:szCs w:val="24"/>
        </w:rPr>
      </w:pPr>
      <w:r w:rsidRPr="004B1803">
        <w:rPr>
          <w:rFonts w:ascii="Calibri Light" w:hAnsi="Calibri Light" w:cs="Calibri Light"/>
          <w:sz w:val="24"/>
          <w:szCs w:val="24"/>
        </w:rPr>
        <w:t xml:space="preserve">The strength of a currency is determined by evaluating the number of goods and services that can be purchased with one unit of national currency and the amount of foreign currency that can be obtained in return. A comprehensive analysis of various local and international factors is needed to determine whether a currency deserves the title of the most valuable or most expensive currency </w:t>
      </w:r>
      <w:r w:rsidR="00734A28">
        <w:rPr>
          <w:rFonts w:ascii="Calibri Light" w:hAnsi="Calibri Light" w:cs="Calibri Light"/>
          <w:sz w:val="24"/>
          <w:szCs w:val="24"/>
        </w:rPr>
        <w:t>globally</w:t>
      </w:r>
      <w:r w:rsidRPr="004B1803">
        <w:rPr>
          <w:rFonts w:ascii="Calibri Light" w:hAnsi="Calibri Light" w:cs="Calibri Light"/>
          <w:sz w:val="24"/>
          <w:szCs w:val="24"/>
        </w:rPr>
        <w:t xml:space="preserve">. These factors include the dynamics of supply and demand in the foreign exchange market, the level of inflation, domestic economic growth, the policies implemented by the relevant central bank, and the </w:t>
      </w:r>
      <w:r w:rsidR="00734A28">
        <w:rPr>
          <w:rFonts w:ascii="Calibri Light" w:hAnsi="Calibri Light" w:cs="Calibri Light"/>
          <w:sz w:val="24"/>
          <w:szCs w:val="24"/>
        </w:rPr>
        <w:t xml:space="preserve">country’s overall </w:t>
      </w:r>
      <w:r w:rsidRPr="004B1803">
        <w:rPr>
          <w:rFonts w:ascii="Calibri Light" w:hAnsi="Calibri Light" w:cs="Calibri Light"/>
          <w:sz w:val="24"/>
          <w:szCs w:val="24"/>
        </w:rPr>
        <w:t>economic stability</w:t>
      </w:r>
      <w:r>
        <w:rPr>
          <w:rFonts w:ascii="Calibri Light" w:hAnsi="Calibri Light" w:cs="Calibri Light"/>
          <w:sz w:val="24"/>
          <w:szCs w:val="24"/>
        </w:rPr>
        <w:t>. Table 1</w:t>
      </w:r>
      <w:r w:rsidR="00BB65E3">
        <w:rPr>
          <w:rFonts w:ascii="Calibri Light" w:hAnsi="Calibri Light" w:cs="Calibri Light"/>
          <w:sz w:val="24"/>
          <w:szCs w:val="24"/>
        </w:rPr>
        <w:t xml:space="preserve"> </w:t>
      </w:r>
      <w:r w:rsidR="00BB65E3" w:rsidRPr="00BB65E3">
        <w:rPr>
          <w:rFonts w:ascii="Calibri Light" w:hAnsi="Calibri Light" w:cs="Calibri Light"/>
          <w:color w:val="0070C0"/>
          <w:sz w:val="24"/>
          <w:szCs w:val="24"/>
        </w:rPr>
        <w:fldChar w:fldCharType="begin" w:fldLock="1"/>
      </w:r>
      <w:r w:rsidR="00450868">
        <w:rPr>
          <w:rFonts w:ascii="Calibri Light" w:hAnsi="Calibri Light" w:cs="Calibri Light"/>
          <w:color w:val="0070C0"/>
          <w:sz w:val="24"/>
          <w:szCs w:val="24"/>
        </w:rPr>
        <w:instrText>ADDIN CSL_CITATION {"citationItems":[{"id":"ITEM-1","itemData":{"author":[{"dropping-particle":"","family":"India","given":"F","non-dropping-particle":"","parse-names":false,"suffix":""}],"container-title":"Forbes India","id":"ITEM-1","issued":{"date-parts":[["2025","2","21"]]},"title":"Top 10 highest-valued currencies in the world in 2025","type":"article-newspaper"},"uris":["http://www.mendeley.com/documents/?uuid=cd93c102-f3c4-454a-b9f3-39cf8d98eacb"]}],"mendeley":{"formattedCitation":"(India, 2025)","plainTextFormattedCitation":"(India, 2025)","previouslyFormattedCitation":"(India, 2025)"},"properties":{"noteIndex":0},"schema":"https://github.com/citation-style-language/schema/raw/master/csl-citation.json"}</w:instrText>
      </w:r>
      <w:r w:rsidR="00BB65E3" w:rsidRPr="00BB65E3">
        <w:rPr>
          <w:rFonts w:ascii="Calibri Light" w:hAnsi="Calibri Light" w:cs="Calibri Light"/>
          <w:color w:val="0070C0"/>
          <w:sz w:val="24"/>
          <w:szCs w:val="24"/>
        </w:rPr>
        <w:fldChar w:fldCharType="separate"/>
      </w:r>
      <w:r w:rsidR="00BB65E3" w:rsidRPr="00BB65E3">
        <w:rPr>
          <w:rFonts w:ascii="Calibri Light" w:hAnsi="Calibri Light" w:cs="Calibri Light"/>
          <w:noProof/>
          <w:color w:val="0070C0"/>
          <w:sz w:val="24"/>
          <w:szCs w:val="24"/>
        </w:rPr>
        <w:t>(India, 2025)</w:t>
      </w:r>
      <w:r w:rsidR="00BB65E3" w:rsidRPr="00BB65E3">
        <w:rPr>
          <w:rFonts w:ascii="Calibri Light" w:hAnsi="Calibri Light" w:cs="Calibri Light"/>
          <w:color w:val="0070C0"/>
          <w:sz w:val="24"/>
          <w:szCs w:val="24"/>
        </w:rPr>
        <w:fldChar w:fldCharType="end"/>
      </w:r>
      <w:r w:rsidR="00BB65E3" w:rsidRPr="00BB65E3">
        <w:rPr>
          <w:rFonts w:ascii="Calibri Light" w:hAnsi="Calibri Light" w:cs="Calibri Light"/>
          <w:color w:val="0070C0"/>
          <w:sz w:val="24"/>
          <w:szCs w:val="24"/>
        </w:rPr>
        <w:t xml:space="preserve">  </w:t>
      </w:r>
      <w:r w:rsidR="00734A28">
        <w:rPr>
          <w:rFonts w:ascii="Calibri Light" w:hAnsi="Calibri Light" w:cs="Calibri Light"/>
          <w:sz w:val="24"/>
          <w:szCs w:val="24"/>
        </w:rPr>
        <w:t>displays</w:t>
      </w:r>
      <w:r w:rsidRPr="004B1803">
        <w:rPr>
          <w:rFonts w:ascii="Calibri Light" w:hAnsi="Calibri Light" w:cs="Calibri Light"/>
          <w:sz w:val="24"/>
          <w:szCs w:val="24"/>
        </w:rPr>
        <w:t xml:space="preserve"> a list of the 10 currencies in the world against the US dollar.</w:t>
      </w:r>
    </w:p>
    <w:p w14:paraId="0143462B" w14:textId="77777777" w:rsidR="004B1803" w:rsidRPr="00122F5F" w:rsidRDefault="004B1803" w:rsidP="004B1803">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lastRenderedPageBreak/>
        <w:t>Tab</w:t>
      </w:r>
      <w:r>
        <w:rPr>
          <w:rFonts w:ascii="Calibri Light" w:hAnsi="Calibri Light" w:cs="Calibri Light"/>
          <w:b/>
          <w:bCs/>
          <w:noProof/>
          <w:sz w:val="24"/>
          <w:szCs w:val="24"/>
        </w:rPr>
        <w:t>le</w:t>
      </w:r>
      <w:r w:rsidRPr="00122F5F">
        <w:rPr>
          <w:rFonts w:ascii="Calibri Light" w:hAnsi="Calibri Light" w:cs="Calibri Light"/>
          <w:b/>
          <w:bCs/>
          <w:noProof/>
          <w:sz w:val="24"/>
          <w:szCs w:val="24"/>
        </w:rPr>
        <w:t xml:space="preserve"> 1. </w:t>
      </w:r>
      <w:r w:rsidRPr="004B1803">
        <w:rPr>
          <w:rFonts w:ascii="Calibri Light" w:hAnsi="Calibri Light" w:cs="Calibri Light"/>
          <w:b/>
          <w:bCs/>
          <w:sz w:val="24"/>
          <w:szCs w:val="24"/>
          <w:lang w:val="en"/>
        </w:rPr>
        <w:t>10 Strongest Currencies in the World</w:t>
      </w:r>
      <w:r>
        <w:rPr>
          <w:rFonts w:ascii="Calibri Light" w:hAnsi="Calibri Light" w:cs="Calibri Light"/>
          <w:b/>
          <w:bCs/>
          <w:sz w:val="24"/>
          <w:szCs w:val="24"/>
          <w:lang w:val="en"/>
        </w:rPr>
        <w:t>*</w:t>
      </w:r>
      <w:r w:rsidR="0062062F">
        <w:rPr>
          <w:rFonts w:ascii="Calibri Light" w:hAnsi="Calibri Light" w:cs="Calibri Light"/>
          <w:b/>
          <w:bCs/>
          <w:sz w:val="24"/>
          <w:szCs w:val="24"/>
          <w:lang w:val="en"/>
        </w:rPr>
        <w:t xml:space="preserve"> </w:t>
      </w:r>
    </w:p>
    <w:tbl>
      <w:tblPr>
        <w:tblW w:w="650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763"/>
        <w:gridCol w:w="2910"/>
        <w:gridCol w:w="2833"/>
      </w:tblGrid>
      <w:tr w:rsidR="004B1803" w:rsidRPr="00122F5F" w14:paraId="0F2E7115" w14:textId="77777777" w:rsidTr="004B1803">
        <w:trPr>
          <w:jc w:val="center"/>
        </w:trPr>
        <w:tc>
          <w:tcPr>
            <w:tcW w:w="763" w:type="dxa"/>
            <w:shd w:val="clear" w:color="auto" w:fill="D9D9D9"/>
          </w:tcPr>
          <w:p w14:paraId="0CE799B2" w14:textId="77777777" w:rsidR="004B1803" w:rsidRPr="00122F5F" w:rsidRDefault="004B1803"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910" w:type="dxa"/>
            <w:shd w:val="clear" w:color="auto" w:fill="D9D9D9"/>
          </w:tcPr>
          <w:p w14:paraId="2BFFEC60" w14:textId="77777777" w:rsidR="004B1803" w:rsidRPr="004B1803" w:rsidRDefault="004B1803" w:rsidP="004B1803">
            <w:pPr>
              <w:pStyle w:val="ListParagraph"/>
              <w:widowControl w:val="0"/>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Currency and Its Code</w:t>
            </w:r>
          </w:p>
        </w:tc>
        <w:tc>
          <w:tcPr>
            <w:tcW w:w="2833" w:type="dxa"/>
            <w:shd w:val="clear" w:color="auto" w:fill="D9D9D9"/>
          </w:tcPr>
          <w:p w14:paraId="141BF263" w14:textId="77777777" w:rsidR="004B1803" w:rsidRPr="004B1803" w:rsidRDefault="004B1803"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Exchange Rate against USD</w:t>
            </w:r>
          </w:p>
        </w:tc>
      </w:tr>
      <w:tr w:rsidR="004B1803" w:rsidRPr="00122F5F" w14:paraId="238884DE" w14:textId="77777777" w:rsidTr="004B1803">
        <w:trPr>
          <w:jc w:val="center"/>
        </w:trPr>
        <w:tc>
          <w:tcPr>
            <w:tcW w:w="763" w:type="dxa"/>
          </w:tcPr>
          <w:p w14:paraId="03B4FBCD"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4B1803">
              <w:rPr>
                <w:rFonts w:ascii="Calibri Light" w:hAnsi="Calibri Light" w:cs="Calibri Light"/>
                <w:szCs w:val="24"/>
              </w:rPr>
              <w:t>1.</w:t>
            </w:r>
          </w:p>
        </w:tc>
        <w:tc>
          <w:tcPr>
            <w:tcW w:w="2910" w:type="dxa"/>
          </w:tcPr>
          <w:p w14:paraId="512C960A" w14:textId="77777777" w:rsidR="004B1803" w:rsidRPr="00122F5F" w:rsidRDefault="004B1803" w:rsidP="004B1803">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23030A">
              <w:t>Kuwaiti Dinar (KWD)</w:t>
            </w:r>
          </w:p>
        </w:tc>
        <w:tc>
          <w:tcPr>
            <w:tcW w:w="2833" w:type="dxa"/>
          </w:tcPr>
          <w:p w14:paraId="3684E66C"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23030A">
              <w:t>3,244</w:t>
            </w:r>
          </w:p>
        </w:tc>
      </w:tr>
      <w:tr w:rsidR="004B1803" w:rsidRPr="00122F5F" w14:paraId="00D3DB9F" w14:textId="77777777" w:rsidTr="004B1803">
        <w:trPr>
          <w:jc w:val="center"/>
        </w:trPr>
        <w:tc>
          <w:tcPr>
            <w:tcW w:w="763" w:type="dxa"/>
          </w:tcPr>
          <w:p w14:paraId="475E0500"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2910" w:type="dxa"/>
          </w:tcPr>
          <w:p w14:paraId="7CF2AE5B"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Bahraini Dinar (BHD)</w:t>
            </w:r>
          </w:p>
        </w:tc>
        <w:tc>
          <w:tcPr>
            <w:tcW w:w="2833" w:type="dxa"/>
          </w:tcPr>
          <w:p w14:paraId="0517E5B4"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2,659</w:t>
            </w:r>
          </w:p>
        </w:tc>
      </w:tr>
      <w:tr w:rsidR="004B1803" w:rsidRPr="00122F5F" w14:paraId="412F5215" w14:textId="77777777" w:rsidTr="004B1803">
        <w:trPr>
          <w:jc w:val="center"/>
        </w:trPr>
        <w:tc>
          <w:tcPr>
            <w:tcW w:w="763" w:type="dxa"/>
          </w:tcPr>
          <w:p w14:paraId="5A9D2333"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2910" w:type="dxa"/>
          </w:tcPr>
          <w:p w14:paraId="595C3D75"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Omani Rial (OMR)</w:t>
            </w:r>
          </w:p>
        </w:tc>
        <w:tc>
          <w:tcPr>
            <w:tcW w:w="2833" w:type="dxa"/>
          </w:tcPr>
          <w:p w14:paraId="42AEA65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2,597</w:t>
            </w:r>
          </w:p>
        </w:tc>
      </w:tr>
      <w:tr w:rsidR="004B1803" w:rsidRPr="00122F5F" w14:paraId="24E5ABCB" w14:textId="77777777" w:rsidTr="004B1803">
        <w:trPr>
          <w:jc w:val="center"/>
        </w:trPr>
        <w:tc>
          <w:tcPr>
            <w:tcW w:w="763" w:type="dxa"/>
          </w:tcPr>
          <w:p w14:paraId="4F6CD59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2910" w:type="dxa"/>
          </w:tcPr>
          <w:p w14:paraId="1D4B7D51"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23030A">
              <w:t>Jordanian Dinar (JOD)</w:t>
            </w:r>
          </w:p>
        </w:tc>
        <w:tc>
          <w:tcPr>
            <w:tcW w:w="2833" w:type="dxa"/>
          </w:tcPr>
          <w:p w14:paraId="7413566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23030A">
              <w:t>1,410</w:t>
            </w:r>
          </w:p>
        </w:tc>
      </w:tr>
      <w:tr w:rsidR="004B1803" w:rsidRPr="00122F5F" w14:paraId="6A8CCA32" w14:textId="77777777" w:rsidTr="004B1803">
        <w:trPr>
          <w:jc w:val="center"/>
        </w:trPr>
        <w:tc>
          <w:tcPr>
            <w:tcW w:w="763" w:type="dxa"/>
          </w:tcPr>
          <w:p w14:paraId="19FC5B99"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4B1803">
              <w:rPr>
                <w:rFonts w:ascii="Calibri Light" w:hAnsi="Calibri Light" w:cs="Calibri Light"/>
                <w:szCs w:val="24"/>
              </w:rPr>
              <w:t>5</w:t>
            </w:r>
            <w:r w:rsidRPr="00122F5F">
              <w:rPr>
                <w:rFonts w:ascii="Calibri Light" w:hAnsi="Calibri Light" w:cs="Calibri Light"/>
                <w:i/>
                <w:iCs/>
                <w:szCs w:val="24"/>
              </w:rPr>
              <w:t>.</w:t>
            </w:r>
          </w:p>
        </w:tc>
        <w:tc>
          <w:tcPr>
            <w:tcW w:w="2910" w:type="dxa"/>
          </w:tcPr>
          <w:p w14:paraId="0152AFB0"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British Pound (GBP)</w:t>
            </w:r>
          </w:p>
        </w:tc>
        <w:tc>
          <w:tcPr>
            <w:tcW w:w="2833" w:type="dxa"/>
          </w:tcPr>
          <w:p w14:paraId="5C2AA1C4"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23030A">
              <w:t>1,288</w:t>
            </w:r>
          </w:p>
        </w:tc>
      </w:tr>
      <w:tr w:rsidR="004B1803" w:rsidRPr="00122F5F" w14:paraId="78F197F5" w14:textId="77777777" w:rsidTr="004B1803">
        <w:trPr>
          <w:jc w:val="center"/>
        </w:trPr>
        <w:tc>
          <w:tcPr>
            <w:tcW w:w="763" w:type="dxa"/>
          </w:tcPr>
          <w:p w14:paraId="3635DE58"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2910" w:type="dxa"/>
          </w:tcPr>
          <w:p w14:paraId="4B9FAB50"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Gibraltar Pound (GIP)</w:t>
            </w:r>
          </w:p>
        </w:tc>
        <w:tc>
          <w:tcPr>
            <w:tcW w:w="2833" w:type="dxa"/>
          </w:tcPr>
          <w:p w14:paraId="477BF1A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1,288</w:t>
            </w:r>
          </w:p>
        </w:tc>
      </w:tr>
      <w:tr w:rsidR="004B1803" w:rsidRPr="00122F5F" w14:paraId="3EF15A32" w14:textId="77777777" w:rsidTr="004B1803">
        <w:trPr>
          <w:jc w:val="center"/>
        </w:trPr>
        <w:tc>
          <w:tcPr>
            <w:tcW w:w="763" w:type="dxa"/>
          </w:tcPr>
          <w:p w14:paraId="675F967A"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2910" w:type="dxa"/>
          </w:tcPr>
          <w:p w14:paraId="591CA58E"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Cayman Island Dollar (KYD)</w:t>
            </w:r>
          </w:p>
        </w:tc>
        <w:tc>
          <w:tcPr>
            <w:tcW w:w="2833" w:type="dxa"/>
          </w:tcPr>
          <w:p w14:paraId="3B080D41"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1,211</w:t>
            </w:r>
          </w:p>
        </w:tc>
      </w:tr>
      <w:tr w:rsidR="004B1803" w:rsidRPr="00122F5F" w14:paraId="20E3075F" w14:textId="77777777" w:rsidTr="004B1803">
        <w:trPr>
          <w:jc w:val="center"/>
        </w:trPr>
        <w:tc>
          <w:tcPr>
            <w:tcW w:w="763" w:type="dxa"/>
          </w:tcPr>
          <w:p w14:paraId="4C1DF300"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2910" w:type="dxa"/>
          </w:tcPr>
          <w:p w14:paraId="340021BD"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Swiss Franc (CHF)</w:t>
            </w:r>
          </w:p>
        </w:tc>
        <w:tc>
          <w:tcPr>
            <w:tcW w:w="2833" w:type="dxa"/>
          </w:tcPr>
          <w:p w14:paraId="041B283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1,131</w:t>
            </w:r>
          </w:p>
        </w:tc>
      </w:tr>
      <w:tr w:rsidR="004B1803" w:rsidRPr="00122F5F" w14:paraId="0330EF19" w14:textId="77777777" w:rsidTr="004B1803">
        <w:trPr>
          <w:jc w:val="center"/>
        </w:trPr>
        <w:tc>
          <w:tcPr>
            <w:tcW w:w="763" w:type="dxa"/>
          </w:tcPr>
          <w:p w14:paraId="409E9A3C"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2910" w:type="dxa"/>
          </w:tcPr>
          <w:p w14:paraId="1F8FB7A8"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Euro (EUR)</w:t>
            </w:r>
          </w:p>
        </w:tc>
        <w:tc>
          <w:tcPr>
            <w:tcW w:w="2833" w:type="dxa"/>
          </w:tcPr>
          <w:p w14:paraId="678562EC"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1,079</w:t>
            </w:r>
          </w:p>
        </w:tc>
      </w:tr>
      <w:tr w:rsidR="004B1803" w:rsidRPr="00122F5F" w14:paraId="5A5F2061" w14:textId="77777777" w:rsidTr="004B1803">
        <w:trPr>
          <w:jc w:val="center"/>
        </w:trPr>
        <w:tc>
          <w:tcPr>
            <w:tcW w:w="763" w:type="dxa"/>
          </w:tcPr>
          <w:p w14:paraId="07515320" w14:textId="77777777" w:rsidR="004B1803" w:rsidRPr="004B1803" w:rsidRDefault="004B1803" w:rsidP="004B180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10.</w:t>
            </w:r>
          </w:p>
        </w:tc>
        <w:tc>
          <w:tcPr>
            <w:tcW w:w="2910" w:type="dxa"/>
          </w:tcPr>
          <w:p w14:paraId="55EE9937" w14:textId="77777777" w:rsidR="004B1803" w:rsidRPr="00122F5F" w:rsidRDefault="004B1803" w:rsidP="004B180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23030A">
              <w:t>United States Dollar (USD)</w:t>
            </w:r>
          </w:p>
        </w:tc>
        <w:tc>
          <w:tcPr>
            <w:tcW w:w="2833" w:type="dxa"/>
          </w:tcPr>
          <w:p w14:paraId="3D78B25B" w14:textId="77777777" w:rsidR="004B1803" w:rsidRPr="00122F5F" w:rsidRDefault="004B1803" w:rsidP="004B1803">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23030A">
              <w:t>1,000</w:t>
            </w:r>
          </w:p>
        </w:tc>
      </w:tr>
    </w:tbl>
    <w:p w14:paraId="0E6A027B" w14:textId="77777777" w:rsidR="004B1803" w:rsidRDefault="008C1861" w:rsidP="008C1861">
      <w:pPr>
        <w:ind w:left="426" w:firstLine="708"/>
        <w:jc w:val="both"/>
        <w:rPr>
          <w:rFonts w:ascii="Calibri Light" w:hAnsi="Calibri Light" w:cs="Calibri Light"/>
          <w:sz w:val="24"/>
          <w:szCs w:val="24"/>
        </w:rPr>
      </w:pPr>
      <w:r>
        <w:rPr>
          <w:rFonts w:ascii="Calibri Light" w:hAnsi="Calibri Light" w:cs="Calibri Light"/>
          <w:sz w:val="24"/>
          <w:szCs w:val="24"/>
        </w:rPr>
        <w:t xml:space="preserve">   </w:t>
      </w:r>
      <w:r w:rsidR="004B1803">
        <w:rPr>
          <w:rFonts w:ascii="Calibri Light" w:hAnsi="Calibri Light" w:cs="Calibri Light"/>
          <w:sz w:val="24"/>
          <w:szCs w:val="24"/>
        </w:rPr>
        <w:t xml:space="preserve">*) </w:t>
      </w:r>
      <w:r w:rsidR="004B1803" w:rsidRPr="004B1803">
        <w:rPr>
          <w:rFonts w:ascii="Calibri Light" w:hAnsi="Calibri Light" w:cs="Calibri Light"/>
          <w:sz w:val="24"/>
          <w:szCs w:val="24"/>
        </w:rPr>
        <w:t>Valid as of 2025, March 7.</w:t>
      </w:r>
    </w:p>
    <w:p w14:paraId="13EDE8FA" w14:textId="71CD0508" w:rsidR="008C45DE" w:rsidRDefault="00734A28" w:rsidP="00734A28">
      <w:pPr>
        <w:spacing w:before="120" w:after="120"/>
        <w:ind w:left="426"/>
        <w:jc w:val="both"/>
        <w:rPr>
          <w:rFonts w:ascii="Calibri Light" w:hAnsi="Calibri Light" w:cs="Calibri Light"/>
          <w:sz w:val="24"/>
          <w:szCs w:val="24"/>
          <w:lang w:val="id-ID"/>
        </w:rPr>
      </w:pPr>
      <w:r w:rsidRPr="00734A28">
        <w:rPr>
          <w:rFonts w:ascii="Calibri Light" w:hAnsi="Calibri Light" w:cs="Calibri Light"/>
          <w:sz w:val="24"/>
          <w:szCs w:val="24"/>
          <w:lang w:val="id-ID"/>
        </w:rPr>
        <w:t xml:space="preserve">The greenback (US dollar) is generally </w:t>
      </w:r>
      <w:r>
        <w:rPr>
          <w:rFonts w:ascii="Calibri Light" w:hAnsi="Calibri Light" w:cs="Calibri Light"/>
          <w:sz w:val="24"/>
          <w:szCs w:val="24"/>
        </w:rPr>
        <w:t>viewed as</w:t>
      </w:r>
      <w:r w:rsidRPr="00734A28">
        <w:rPr>
          <w:rFonts w:ascii="Calibri Light" w:hAnsi="Calibri Light" w:cs="Calibri Light"/>
          <w:sz w:val="24"/>
          <w:szCs w:val="24"/>
          <w:lang w:val="id-ID"/>
        </w:rPr>
        <w:t xml:space="preserve"> the strongest and most traded currency </w:t>
      </w:r>
      <w:r>
        <w:rPr>
          <w:rFonts w:ascii="Calibri Light" w:hAnsi="Calibri Light" w:cs="Calibri Light"/>
          <w:sz w:val="24"/>
          <w:szCs w:val="24"/>
        </w:rPr>
        <w:t>globally</w:t>
      </w:r>
      <w:r w:rsidRPr="00734A28">
        <w:rPr>
          <w:rFonts w:ascii="Calibri Light" w:hAnsi="Calibri Light" w:cs="Calibri Light"/>
          <w:sz w:val="24"/>
          <w:szCs w:val="24"/>
          <w:lang w:val="id-ID"/>
        </w:rPr>
        <w:t xml:space="preserve"> by a certain margin. Although it is not the strongest currency in the world, the greenback ranks at the top among more than 180 traditional fiat currencies recognized as legal tender globally</w:t>
      </w:r>
      <w:r w:rsidR="00450868">
        <w:rPr>
          <w:rFonts w:ascii="Calibri Light" w:hAnsi="Calibri Light" w:cs="Calibri Light"/>
          <w:sz w:val="24"/>
          <w:szCs w:val="24"/>
          <w:lang w:val="id-ID"/>
        </w:rPr>
        <w:t xml:space="preserve"> </w:t>
      </w:r>
      <w:r w:rsidR="00450868" w:rsidRPr="00450868">
        <w:rPr>
          <w:rFonts w:ascii="Calibri Light" w:hAnsi="Calibri Light" w:cs="Calibri Light"/>
          <w:color w:val="0070C0"/>
          <w:sz w:val="24"/>
          <w:szCs w:val="24"/>
          <w:lang w:val="id-ID"/>
        </w:rPr>
        <w:fldChar w:fldCharType="begin" w:fldLock="1"/>
      </w:r>
      <w:r w:rsidR="0042323F">
        <w:rPr>
          <w:rFonts w:ascii="Calibri Light" w:hAnsi="Calibri Light" w:cs="Calibri Light"/>
          <w:color w:val="0070C0"/>
          <w:sz w:val="24"/>
          <w:szCs w:val="24"/>
          <w:lang w:val="id-ID"/>
        </w:rPr>
        <w:instrText>ADDIN CSL_CITATION {"citationItems":[{"id":"ITEM-1","itemData":{"abstract":"This research focuses on the question of how there is the potential for the emergence of the BRICS currency. In this case, the emergence of the BRICS currency will lead to a renewal of the system in global monetary policy. The research methodology uses qualitative because this research is descriptive and uses analysis. The use of qualitative design aims to build understanding through explanations sourced from several literatures such as journals, books and articles. In order to answer the research questions, exchange rates and foreign policy are taken as analytical tools. After conducting research, it was found that the potential for the emergence of the BRICS currency was caused by long-standing dependence on US dollar hegemony, this was considered to only benefit the US, not developing countries. The BRICS currency is considered to have less potential because it requires a large financial infrastructure and has to be able to compete with the World Bank, so that the renminbi is deemed appropriate to become the BRICS currency. Several currency principles also play a role in determining whether or not a global currency is ideal, such as the factors of “safety, liquidity and returns”. In this case, the renminbi has not been able to balance these three factors so that if the meaning of the BRICS Currency is renminbi, then the renminbi cannot be used as a global reserve currency as a competitor to the US dollar, therefore the renminbi is ideal to be designated as Regional Currency in Asia","author":[{"dropping-particle":"","family":"Idris","given":"Faisal N.","non-dropping-particle":"","parse-names":false,"suffix":""},{"dropping-particle":"","family":"Dzaky","given":"Achmad M.","non-dropping-particle":"","parse-names":false,"suffix":""},{"dropping-particle":"","family":"Haq","given":"Rijalul","non-dropping-particle":"","parse-names":false,"suffix":""},{"dropping-particle":"","family":"Hafsari","given":"Silva","non-dropping-particle":"","parse-names":false,"suffix":""}],"container-title":"Emerald: Journal of Economics and Social Sciences Journal of Economics and Social Sciences","id":"ITEM-1","issue":"1","issued":{"date-parts":[["2022"]]},"title":"Hegemoni dolar dan potensi kemunculan mata uang brics","type":"article-journal","volume":"1"},"uris":["http://www.mendeley.com/documents/?uuid=cda0f15a-fa61-334a-a00d-f550b848d30d"]}],"mendeley":{"formattedCitation":"(Idris et al., 2022)","plainTextFormattedCitation":"(Idris et al., 2022)","previouslyFormattedCitation":"(Idris et al., 2022)"},"properties":{"noteIndex":0},"schema":"https://github.com/citation-style-language/schema/raw/master/csl-citation.json"}</w:instrText>
      </w:r>
      <w:r w:rsidR="00450868" w:rsidRPr="00450868">
        <w:rPr>
          <w:rFonts w:ascii="Calibri Light" w:hAnsi="Calibri Light" w:cs="Calibri Light"/>
          <w:color w:val="0070C0"/>
          <w:sz w:val="24"/>
          <w:szCs w:val="24"/>
          <w:lang w:val="id-ID"/>
        </w:rPr>
        <w:fldChar w:fldCharType="separate"/>
      </w:r>
      <w:r w:rsidR="001B5E2C" w:rsidRPr="001B5E2C">
        <w:rPr>
          <w:rFonts w:ascii="Calibri Light" w:hAnsi="Calibri Light" w:cs="Calibri Light"/>
          <w:noProof/>
          <w:color w:val="0070C0"/>
          <w:sz w:val="24"/>
          <w:szCs w:val="24"/>
          <w:lang w:val="id-ID"/>
        </w:rPr>
        <w:t xml:space="preserve">(Idris </w:t>
      </w:r>
      <w:r w:rsidR="005B3038" w:rsidRPr="005B3038">
        <w:rPr>
          <w:rFonts w:ascii="Calibri Light" w:hAnsi="Calibri Light" w:cs="Calibri Light"/>
          <w:i/>
          <w:noProof/>
          <w:color w:val="0070C0"/>
          <w:sz w:val="24"/>
          <w:szCs w:val="24"/>
          <w:lang w:val="id-ID"/>
        </w:rPr>
        <w:t>et al.</w:t>
      </w:r>
      <w:r w:rsidR="001B5E2C" w:rsidRPr="001B5E2C">
        <w:rPr>
          <w:rFonts w:ascii="Calibri Light" w:hAnsi="Calibri Light" w:cs="Calibri Light"/>
          <w:noProof/>
          <w:color w:val="0070C0"/>
          <w:sz w:val="24"/>
          <w:szCs w:val="24"/>
          <w:lang w:val="id-ID"/>
        </w:rPr>
        <w:t>, 2022)</w:t>
      </w:r>
      <w:r w:rsidR="00450868" w:rsidRPr="00450868">
        <w:rPr>
          <w:rFonts w:ascii="Calibri Light" w:hAnsi="Calibri Light" w:cs="Calibri Light"/>
          <w:color w:val="0070C0"/>
          <w:sz w:val="24"/>
          <w:szCs w:val="24"/>
          <w:lang w:val="id-ID"/>
        </w:rPr>
        <w:fldChar w:fldCharType="end"/>
      </w:r>
      <w:r w:rsidRPr="00734A28">
        <w:rPr>
          <w:rFonts w:ascii="Calibri Light" w:hAnsi="Calibri Light" w:cs="Calibri Light"/>
          <w:sz w:val="24"/>
          <w:szCs w:val="24"/>
          <w:lang w:val="id-ID"/>
        </w:rPr>
        <w:t xml:space="preserve">. At the opposite end of the scale, the weakest currencies are traded in small denominations against the US dollar. Some currencies even require tens of thousands of units to buy 1 US dollar. The following </w:t>
      </w:r>
      <w:r>
        <w:rPr>
          <w:rFonts w:ascii="Calibri Light" w:hAnsi="Calibri Light" w:cs="Calibri Light"/>
          <w:sz w:val="24"/>
          <w:szCs w:val="24"/>
        </w:rPr>
        <w:t>table</w:t>
      </w:r>
      <w:r w:rsidR="0042323F">
        <w:rPr>
          <w:rFonts w:ascii="Calibri Light" w:hAnsi="Calibri Light" w:cs="Calibri Light"/>
          <w:sz w:val="24"/>
          <w:szCs w:val="24"/>
        </w:rPr>
        <w:t xml:space="preserve"> </w:t>
      </w:r>
      <w:r w:rsidR="0042323F" w:rsidRPr="0042323F">
        <w:rPr>
          <w:rFonts w:ascii="Calibri Light" w:hAnsi="Calibri Light" w:cs="Calibri Light"/>
          <w:color w:val="0070C0"/>
          <w:sz w:val="24"/>
          <w:szCs w:val="24"/>
        </w:rPr>
        <w:fldChar w:fldCharType="begin" w:fldLock="1"/>
      </w:r>
      <w:r w:rsidR="0042323F">
        <w:rPr>
          <w:rFonts w:ascii="Calibri Light" w:hAnsi="Calibri Light" w:cs="Calibri Light"/>
          <w:color w:val="0070C0"/>
          <w:sz w:val="24"/>
          <w:szCs w:val="24"/>
        </w:rPr>
        <w:instrText>ADDIN CSL_CITATION {"citationItems":[{"id":"ITEM-1","itemData":{"author":[{"dropping-particle":"","family":"Stogdon","given":"E","non-dropping-particle":"","parse-names":false,"suffix":""}],"id":"ITEM-1","issued":{"date-parts":[["2025","1","7"]]},"title":"What are the weakest currencies in the world? (2025) Wise","type":"article-newspaper"},"uris":["http://www.mendeley.com/documents/?uuid=2329ce45-52a3-4cc2-b512-ba6eb992c995"]}],"mendeley":{"formattedCitation":"(Stogdon, 2025)","plainTextFormattedCitation":"(Stogdon, 2025)","previouslyFormattedCitation":"(Stogdon, 2025)"},"properties":{"noteIndex":0},"schema":"https://github.com/citation-style-language/schema/raw/master/csl-citation.json"}</w:instrText>
      </w:r>
      <w:r w:rsidR="0042323F" w:rsidRPr="0042323F">
        <w:rPr>
          <w:rFonts w:ascii="Calibri Light" w:hAnsi="Calibri Light" w:cs="Calibri Light"/>
          <w:color w:val="0070C0"/>
          <w:sz w:val="24"/>
          <w:szCs w:val="24"/>
        </w:rPr>
        <w:fldChar w:fldCharType="separate"/>
      </w:r>
      <w:r w:rsidR="0042323F" w:rsidRPr="0042323F">
        <w:rPr>
          <w:rFonts w:ascii="Calibri Light" w:hAnsi="Calibri Light" w:cs="Calibri Light"/>
          <w:noProof/>
          <w:color w:val="0070C0"/>
          <w:sz w:val="24"/>
          <w:szCs w:val="24"/>
        </w:rPr>
        <w:t>(Stogdon, 2025)</w:t>
      </w:r>
      <w:r w:rsidR="0042323F" w:rsidRPr="0042323F">
        <w:rPr>
          <w:rFonts w:ascii="Calibri Light" w:hAnsi="Calibri Light" w:cs="Calibri Light"/>
          <w:color w:val="0070C0"/>
          <w:sz w:val="24"/>
          <w:szCs w:val="24"/>
        </w:rPr>
        <w:fldChar w:fldCharType="end"/>
      </w:r>
      <w:r w:rsidRPr="0042323F">
        <w:rPr>
          <w:rFonts w:ascii="Calibri Light" w:hAnsi="Calibri Light" w:cs="Calibri Light"/>
          <w:color w:val="0070C0"/>
          <w:sz w:val="24"/>
          <w:szCs w:val="24"/>
        </w:rPr>
        <w:t xml:space="preserve"> </w:t>
      </w:r>
      <w:r>
        <w:rPr>
          <w:rFonts w:ascii="Calibri Light" w:hAnsi="Calibri Light" w:cs="Calibri Light"/>
          <w:sz w:val="24"/>
          <w:szCs w:val="24"/>
        </w:rPr>
        <w:t>lists</w:t>
      </w:r>
      <w:r w:rsidRPr="00734A28">
        <w:rPr>
          <w:rFonts w:ascii="Calibri Light" w:hAnsi="Calibri Light" w:cs="Calibri Light"/>
          <w:sz w:val="24"/>
          <w:szCs w:val="24"/>
          <w:lang w:val="id-ID"/>
        </w:rPr>
        <w:t xml:space="preserve"> the 10 weakest currencies against the US dollar.</w:t>
      </w:r>
    </w:p>
    <w:p w14:paraId="290F6C74" w14:textId="77777777" w:rsidR="00734A28" w:rsidRPr="00122F5F" w:rsidRDefault="00734A28" w:rsidP="00734A28">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Tab</w:t>
      </w:r>
      <w:r>
        <w:rPr>
          <w:rFonts w:ascii="Calibri Light" w:hAnsi="Calibri Light" w:cs="Calibri Light"/>
          <w:b/>
          <w:bCs/>
          <w:noProof/>
          <w:sz w:val="24"/>
          <w:szCs w:val="24"/>
        </w:rPr>
        <w:t>le</w:t>
      </w:r>
      <w:r w:rsidRPr="00122F5F">
        <w:rPr>
          <w:rFonts w:ascii="Calibri Light" w:hAnsi="Calibri Light" w:cs="Calibri Light"/>
          <w:b/>
          <w:bCs/>
          <w:noProof/>
          <w:sz w:val="24"/>
          <w:szCs w:val="24"/>
        </w:rPr>
        <w:t xml:space="preserve"> </w:t>
      </w:r>
      <w:r>
        <w:rPr>
          <w:rFonts w:ascii="Calibri Light" w:hAnsi="Calibri Light" w:cs="Calibri Light"/>
          <w:b/>
          <w:bCs/>
          <w:noProof/>
          <w:sz w:val="24"/>
          <w:szCs w:val="24"/>
        </w:rPr>
        <w:t>2</w:t>
      </w:r>
      <w:r w:rsidRPr="00122F5F">
        <w:rPr>
          <w:rFonts w:ascii="Calibri Light" w:hAnsi="Calibri Light" w:cs="Calibri Light"/>
          <w:b/>
          <w:bCs/>
          <w:noProof/>
          <w:sz w:val="24"/>
          <w:szCs w:val="24"/>
        </w:rPr>
        <w:t xml:space="preserve">. </w:t>
      </w:r>
      <w:r w:rsidRPr="004B1803">
        <w:rPr>
          <w:rFonts w:ascii="Calibri Light" w:hAnsi="Calibri Light" w:cs="Calibri Light"/>
          <w:b/>
          <w:bCs/>
          <w:sz w:val="24"/>
          <w:szCs w:val="24"/>
          <w:lang w:val="en"/>
        </w:rPr>
        <w:t xml:space="preserve">10 </w:t>
      </w:r>
      <w:r>
        <w:rPr>
          <w:rFonts w:ascii="Calibri Light" w:hAnsi="Calibri Light" w:cs="Calibri Light"/>
          <w:b/>
          <w:bCs/>
          <w:sz w:val="24"/>
          <w:szCs w:val="24"/>
          <w:lang w:val="en"/>
        </w:rPr>
        <w:t>Weak</w:t>
      </w:r>
      <w:r w:rsidRPr="004B1803">
        <w:rPr>
          <w:rFonts w:ascii="Calibri Light" w:hAnsi="Calibri Light" w:cs="Calibri Light"/>
          <w:b/>
          <w:bCs/>
          <w:sz w:val="24"/>
          <w:szCs w:val="24"/>
          <w:lang w:val="en"/>
        </w:rPr>
        <w:t>est Currencies in the World</w:t>
      </w:r>
      <w:r>
        <w:rPr>
          <w:rFonts w:ascii="Calibri Light" w:hAnsi="Calibri Light" w:cs="Calibri Light"/>
          <w:b/>
          <w:bCs/>
          <w:sz w:val="24"/>
          <w:szCs w:val="24"/>
          <w:lang w:val="en"/>
        </w:rPr>
        <w:t>*</w:t>
      </w:r>
    </w:p>
    <w:tbl>
      <w:tblPr>
        <w:tblW w:w="650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763"/>
        <w:gridCol w:w="2910"/>
        <w:gridCol w:w="2833"/>
      </w:tblGrid>
      <w:tr w:rsidR="00734A28" w:rsidRPr="00122F5F" w14:paraId="676B93F6" w14:textId="77777777" w:rsidTr="00E7088C">
        <w:trPr>
          <w:jc w:val="center"/>
        </w:trPr>
        <w:tc>
          <w:tcPr>
            <w:tcW w:w="763" w:type="dxa"/>
            <w:shd w:val="clear" w:color="auto" w:fill="D9D9D9"/>
          </w:tcPr>
          <w:p w14:paraId="4FC0695E" w14:textId="77777777" w:rsidR="00734A28" w:rsidRPr="00122F5F" w:rsidRDefault="00734A28"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2910" w:type="dxa"/>
            <w:shd w:val="clear" w:color="auto" w:fill="D9D9D9"/>
          </w:tcPr>
          <w:p w14:paraId="23972313" w14:textId="77777777" w:rsidR="00734A28" w:rsidRPr="004B1803" w:rsidRDefault="00734A28" w:rsidP="00E7088C">
            <w:pPr>
              <w:pStyle w:val="ListParagraph"/>
              <w:widowControl w:val="0"/>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Currency and Its Code</w:t>
            </w:r>
          </w:p>
        </w:tc>
        <w:tc>
          <w:tcPr>
            <w:tcW w:w="2833" w:type="dxa"/>
            <w:shd w:val="clear" w:color="auto" w:fill="D9D9D9"/>
          </w:tcPr>
          <w:p w14:paraId="78296744" w14:textId="77777777" w:rsidR="00734A28" w:rsidRPr="004B1803" w:rsidRDefault="00734A28" w:rsidP="00E7088C">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Exchange Rate against USD</w:t>
            </w:r>
          </w:p>
        </w:tc>
      </w:tr>
      <w:tr w:rsidR="00734A28" w:rsidRPr="00122F5F" w14:paraId="509C1231" w14:textId="77777777" w:rsidTr="00E7088C">
        <w:trPr>
          <w:jc w:val="center"/>
        </w:trPr>
        <w:tc>
          <w:tcPr>
            <w:tcW w:w="763" w:type="dxa"/>
          </w:tcPr>
          <w:p w14:paraId="251832BD"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4B1803">
              <w:rPr>
                <w:rFonts w:ascii="Calibri Light" w:hAnsi="Calibri Light" w:cs="Calibri Light"/>
                <w:szCs w:val="24"/>
              </w:rPr>
              <w:t>1.</w:t>
            </w:r>
          </w:p>
        </w:tc>
        <w:tc>
          <w:tcPr>
            <w:tcW w:w="2910" w:type="dxa"/>
          </w:tcPr>
          <w:p w14:paraId="2C5F457E" w14:textId="77777777" w:rsidR="00734A28" w:rsidRPr="00122F5F" w:rsidRDefault="00734A28" w:rsidP="00734A28">
            <w:pPr>
              <w:pStyle w:val="ListParagraph"/>
              <w:widowControl w:val="0"/>
              <w:tabs>
                <w:tab w:val="num" w:pos="851"/>
              </w:tabs>
              <w:suppressAutoHyphens/>
              <w:spacing w:after="0" w:line="240" w:lineRule="auto"/>
              <w:ind w:left="0"/>
              <w:contextualSpacing w:val="0"/>
              <w:rPr>
                <w:rFonts w:ascii="Calibri Light" w:hAnsi="Calibri Light" w:cs="Calibri Light"/>
                <w:b/>
                <w:bCs/>
                <w:noProof w:val="0"/>
                <w:szCs w:val="22"/>
                <w:lang w:val="en" w:eastAsia="en-GB"/>
              </w:rPr>
            </w:pPr>
            <w:r w:rsidRPr="001B1959">
              <w:t>Lebanese Pound (LBP)</w:t>
            </w:r>
          </w:p>
        </w:tc>
        <w:tc>
          <w:tcPr>
            <w:tcW w:w="2833" w:type="dxa"/>
          </w:tcPr>
          <w:p w14:paraId="5DF9BB87"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1B1959">
              <w:t>89.864</w:t>
            </w:r>
          </w:p>
        </w:tc>
      </w:tr>
      <w:tr w:rsidR="00734A28" w:rsidRPr="00122F5F" w14:paraId="448417AF" w14:textId="77777777" w:rsidTr="00E7088C">
        <w:trPr>
          <w:jc w:val="center"/>
        </w:trPr>
        <w:tc>
          <w:tcPr>
            <w:tcW w:w="763" w:type="dxa"/>
          </w:tcPr>
          <w:p w14:paraId="0E72CE13"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2910" w:type="dxa"/>
          </w:tcPr>
          <w:p w14:paraId="6558746F"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Iranian Real (IRR)</w:t>
            </w:r>
          </w:p>
        </w:tc>
        <w:tc>
          <w:tcPr>
            <w:tcW w:w="2833" w:type="dxa"/>
          </w:tcPr>
          <w:p w14:paraId="0D77B5BF"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42.071</w:t>
            </w:r>
          </w:p>
        </w:tc>
      </w:tr>
      <w:tr w:rsidR="00734A28" w:rsidRPr="00122F5F" w14:paraId="285158F2" w14:textId="77777777" w:rsidTr="00E7088C">
        <w:trPr>
          <w:jc w:val="center"/>
        </w:trPr>
        <w:tc>
          <w:tcPr>
            <w:tcW w:w="763" w:type="dxa"/>
          </w:tcPr>
          <w:p w14:paraId="1A8D705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2910" w:type="dxa"/>
          </w:tcPr>
          <w:p w14:paraId="3F1C66D1"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Vietnamese Dong (VND)</w:t>
            </w:r>
          </w:p>
        </w:tc>
        <w:tc>
          <w:tcPr>
            <w:tcW w:w="2833" w:type="dxa"/>
          </w:tcPr>
          <w:p w14:paraId="3FA14142"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25.519</w:t>
            </w:r>
          </w:p>
        </w:tc>
      </w:tr>
      <w:tr w:rsidR="00734A28" w:rsidRPr="00122F5F" w14:paraId="7B348219" w14:textId="77777777" w:rsidTr="00E7088C">
        <w:trPr>
          <w:jc w:val="center"/>
        </w:trPr>
        <w:tc>
          <w:tcPr>
            <w:tcW w:w="763" w:type="dxa"/>
          </w:tcPr>
          <w:p w14:paraId="53CDF8D4"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2910" w:type="dxa"/>
          </w:tcPr>
          <w:p w14:paraId="1FCFD0B5"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lang w:val="en"/>
              </w:rPr>
            </w:pPr>
            <w:r w:rsidRPr="001B1959">
              <w:t xml:space="preserve">Sierra Leonean Leone (SLL) </w:t>
            </w:r>
          </w:p>
        </w:tc>
        <w:tc>
          <w:tcPr>
            <w:tcW w:w="2833" w:type="dxa"/>
          </w:tcPr>
          <w:p w14:paraId="0286749E"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B1959">
              <w:t>22.934</w:t>
            </w:r>
          </w:p>
        </w:tc>
      </w:tr>
      <w:tr w:rsidR="00734A28" w:rsidRPr="00122F5F" w14:paraId="2CDCC581" w14:textId="77777777" w:rsidTr="00E7088C">
        <w:trPr>
          <w:jc w:val="center"/>
        </w:trPr>
        <w:tc>
          <w:tcPr>
            <w:tcW w:w="763" w:type="dxa"/>
          </w:tcPr>
          <w:p w14:paraId="286FFBD6"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4B1803">
              <w:rPr>
                <w:rFonts w:ascii="Calibri Light" w:hAnsi="Calibri Light" w:cs="Calibri Light"/>
                <w:szCs w:val="24"/>
              </w:rPr>
              <w:t>5</w:t>
            </w:r>
            <w:r w:rsidRPr="00122F5F">
              <w:rPr>
                <w:rFonts w:ascii="Calibri Light" w:hAnsi="Calibri Light" w:cs="Calibri Light"/>
                <w:i/>
                <w:iCs/>
                <w:szCs w:val="24"/>
              </w:rPr>
              <w:t>.</w:t>
            </w:r>
          </w:p>
        </w:tc>
        <w:tc>
          <w:tcPr>
            <w:tcW w:w="2910" w:type="dxa"/>
          </w:tcPr>
          <w:p w14:paraId="6B1D09CC"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Laotian Kip (LAK)</w:t>
            </w:r>
          </w:p>
        </w:tc>
        <w:tc>
          <w:tcPr>
            <w:tcW w:w="2833" w:type="dxa"/>
          </w:tcPr>
          <w:p w14:paraId="540DB4C5"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i/>
                <w:iCs/>
                <w:szCs w:val="24"/>
              </w:rPr>
            </w:pPr>
            <w:r w:rsidRPr="001B1959">
              <w:t>21.402</w:t>
            </w:r>
          </w:p>
        </w:tc>
      </w:tr>
      <w:tr w:rsidR="00734A28" w:rsidRPr="00122F5F" w14:paraId="2DC63CF0" w14:textId="77777777" w:rsidTr="00E7088C">
        <w:trPr>
          <w:jc w:val="center"/>
        </w:trPr>
        <w:tc>
          <w:tcPr>
            <w:tcW w:w="763" w:type="dxa"/>
          </w:tcPr>
          <w:p w14:paraId="2C91BAD5"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2910" w:type="dxa"/>
          </w:tcPr>
          <w:p w14:paraId="6DB95677"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Indonesian Rupiah (IDR)</w:t>
            </w:r>
          </w:p>
        </w:tc>
        <w:tc>
          <w:tcPr>
            <w:tcW w:w="2833" w:type="dxa"/>
          </w:tcPr>
          <w:p w14:paraId="7A37124E"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16.333</w:t>
            </w:r>
          </w:p>
        </w:tc>
      </w:tr>
      <w:tr w:rsidR="00734A28" w:rsidRPr="00122F5F" w14:paraId="1E5EDB60" w14:textId="77777777" w:rsidTr="00E7088C">
        <w:trPr>
          <w:jc w:val="center"/>
        </w:trPr>
        <w:tc>
          <w:tcPr>
            <w:tcW w:w="763" w:type="dxa"/>
          </w:tcPr>
          <w:p w14:paraId="291C8DBE"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2910" w:type="dxa"/>
          </w:tcPr>
          <w:p w14:paraId="47768199"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Uzbekistanis Som (UZS)</w:t>
            </w:r>
          </w:p>
        </w:tc>
        <w:tc>
          <w:tcPr>
            <w:tcW w:w="2833" w:type="dxa"/>
          </w:tcPr>
          <w:p w14:paraId="2856A0A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12.872</w:t>
            </w:r>
          </w:p>
        </w:tc>
      </w:tr>
      <w:tr w:rsidR="00734A28" w:rsidRPr="00122F5F" w14:paraId="5FC06BAA" w14:textId="77777777" w:rsidTr="00E7088C">
        <w:trPr>
          <w:jc w:val="center"/>
        </w:trPr>
        <w:tc>
          <w:tcPr>
            <w:tcW w:w="763" w:type="dxa"/>
          </w:tcPr>
          <w:p w14:paraId="3812B323"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2910" w:type="dxa"/>
          </w:tcPr>
          <w:p w14:paraId="406F2792"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Guinean Franc (GNF)</w:t>
            </w:r>
          </w:p>
        </w:tc>
        <w:tc>
          <w:tcPr>
            <w:tcW w:w="2833" w:type="dxa"/>
          </w:tcPr>
          <w:p w14:paraId="034DEE6D"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8.651</w:t>
            </w:r>
          </w:p>
        </w:tc>
      </w:tr>
      <w:tr w:rsidR="00734A28" w:rsidRPr="00122F5F" w14:paraId="7D36A9F1" w14:textId="77777777" w:rsidTr="00E7088C">
        <w:trPr>
          <w:jc w:val="center"/>
        </w:trPr>
        <w:tc>
          <w:tcPr>
            <w:tcW w:w="763" w:type="dxa"/>
          </w:tcPr>
          <w:p w14:paraId="73EF4F12"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2910" w:type="dxa"/>
          </w:tcPr>
          <w:p w14:paraId="3EB94F1D"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Paraguayan Guarani (PYG)</w:t>
            </w:r>
          </w:p>
        </w:tc>
        <w:tc>
          <w:tcPr>
            <w:tcW w:w="2833" w:type="dxa"/>
          </w:tcPr>
          <w:p w14:paraId="661CE2D3"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7.908</w:t>
            </w:r>
          </w:p>
        </w:tc>
      </w:tr>
      <w:tr w:rsidR="00734A28" w:rsidRPr="00122F5F" w14:paraId="368055F4" w14:textId="77777777" w:rsidTr="00E7088C">
        <w:trPr>
          <w:jc w:val="center"/>
        </w:trPr>
        <w:tc>
          <w:tcPr>
            <w:tcW w:w="763" w:type="dxa"/>
          </w:tcPr>
          <w:p w14:paraId="352274F8" w14:textId="77777777" w:rsidR="00734A28" w:rsidRPr="004B1803" w:rsidRDefault="00734A28" w:rsidP="00734A28">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10.</w:t>
            </w:r>
          </w:p>
        </w:tc>
        <w:tc>
          <w:tcPr>
            <w:tcW w:w="2910" w:type="dxa"/>
          </w:tcPr>
          <w:p w14:paraId="05EE0FA9" w14:textId="77777777" w:rsidR="00734A28" w:rsidRPr="00122F5F" w:rsidRDefault="00734A28" w:rsidP="00734A28">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i/>
                <w:iCs/>
                <w:lang w:val="en"/>
              </w:rPr>
            </w:pPr>
            <w:r w:rsidRPr="001B1959">
              <w:t>Malagasy Ariary (MGA)</w:t>
            </w:r>
          </w:p>
        </w:tc>
        <w:tc>
          <w:tcPr>
            <w:tcW w:w="2833" w:type="dxa"/>
          </w:tcPr>
          <w:p w14:paraId="18DB7766" w14:textId="77777777" w:rsidR="00734A28" w:rsidRPr="00122F5F" w:rsidRDefault="00734A28" w:rsidP="00734A28">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i/>
                <w:iCs/>
                <w:lang w:val="en"/>
              </w:rPr>
            </w:pPr>
            <w:r w:rsidRPr="001B1959">
              <w:t>4.661</w:t>
            </w:r>
          </w:p>
        </w:tc>
      </w:tr>
    </w:tbl>
    <w:p w14:paraId="746E3992" w14:textId="77777777" w:rsidR="00734A28" w:rsidRDefault="00734A28" w:rsidP="00734A28">
      <w:pPr>
        <w:ind w:left="426" w:firstLine="708"/>
        <w:jc w:val="both"/>
        <w:rPr>
          <w:rFonts w:ascii="Calibri Light" w:hAnsi="Calibri Light" w:cs="Calibri Light"/>
          <w:sz w:val="24"/>
          <w:szCs w:val="24"/>
        </w:rPr>
      </w:pPr>
      <w:r>
        <w:rPr>
          <w:rFonts w:ascii="Calibri Light" w:hAnsi="Calibri Light" w:cs="Calibri Light"/>
          <w:sz w:val="24"/>
          <w:szCs w:val="24"/>
        </w:rPr>
        <w:t xml:space="preserve">   *) </w:t>
      </w:r>
      <w:r w:rsidRPr="004B1803">
        <w:rPr>
          <w:rFonts w:ascii="Calibri Light" w:hAnsi="Calibri Light" w:cs="Calibri Light"/>
          <w:sz w:val="24"/>
          <w:szCs w:val="24"/>
        </w:rPr>
        <w:t xml:space="preserve">Valid as of 2025, March </w:t>
      </w:r>
      <w:r>
        <w:rPr>
          <w:rFonts w:ascii="Calibri Light" w:hAnsi="Calibri Light" w:cs="Calibri Light"/>
          <w:sz w:val="24"/>
          <w:szCs w:val="24"/>
        </w:rPr>
        <w:t>6</w:t>
      </w:r>
      <w:r w:rsidRPr="004B1803">
        <w:rPr>
          <w:rFonts w:ascii="Calibri Light" w:hAnsi="Calibri Light" w:cs="Calibri Light"/>
          <w:sz w:val="24"/>
          <w:szCs w:val="24"/>
        </w:rPr>
        <w:t>.</w:t>
      </w:r>
    </w:p>
    <w:p w14:paraId="722FC3A7" w14:textId="7FB2F0BA" w:rsidR="00783D53" w:rsidRPr="0042323F" w:rsidRDefault="00783D53" w:rsidP="00783D53">
      <w:pPr>
        <w:spacing w:before="120" w:after="120"/>
        <w:ind w:left="425"/>
        <w:jc w:val="both"/>
        <w:rPr>
          <w:rFonts w:ascii="Calibri Light" w:hAnsi="Calibri Light" w:cs="Calibri Light"/>
          <w:color w:val="0070C0"/>
          <w:sz w:val="24"/>
          <w:szCs w:val="24"/>
        </w:rPr>
      </w:pPr>
      <w:r w:rsidRPr="00783D53">
        <w:rPr>
          <w:rFonts w:ascii="Calibri Light" w:hAnsi="Calibri Light" w:cs="Calibri Light"/>
          <w:sz w:val="24"/>
          <w:szCs w:val="24"/>
        </w:rPr>
        <w:t>The redenomination plan is an attempt to simplify the rupiah currency fraction, which has a very large number of digits and implies inefficiency. The large denomination of the rupiah makes its value look smaller and lower compared to the currencies of other countries. The redenomination effort is based on the argument that the rupiah is considered uncompetitive when compared to other currencies. In addition, from the aspect of input processes and data reporting, the large number of digits in the rupiah tends to cause errors in reporting</w:t>
      </w:r>
      <w:r w:rsidR="0042323F">
        <w:rPr>
          <w:rFonts w:ascii="Calibri Light" w:hAnsi="Calibri Light" w:cs="Calibri Light"/>
          <w:sz w:val="24"/>
          <w:szCs w:val="24"/>
        </w:rPr>
        <w:t xml:space="preserve"> </w:t>
      </w:r>
      <w:r w:rsidR="0042323F" w:rsidRPr="0042323F">
        <w:rPr>
          <w:rFonts w:ascii="Calibri Light" w:hAnsi="Calibri Light" w:cs="Calibri Light"/>
          <w:color w:val="0070C0"/>
          <w:sz w:val="24"/>
          <w:szCs w:val="24"/>
        </w:rPr>
        <w:fldChar w:fldCharType="begin" w:fldLock="1"/>
      </w:r>
      <w:r w:rsidR="00AF33B1">
        <w:rPr>
          <w:rFonts w:ascii="Calibri Light" w:hAnsi="Calibri Light" w:cs="Calibri Light"/>
          <w:color w:val="0070C0"/>
          <w:sz w:val="24"/>
          <w:szCs w:val="24"/>
        </w:rPr>
        <w:instrText>ADDIN CSL_CITATION {"citationItems":[{"id":"ITEM-1","itemData":{"DOI":"https://doi.org/10.35706/value.v1i2.671","abstract":"Seiring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Kata","author":[{"dropping-particle":"","family":"Mada","given":"B. Andreas","non-dropping-particle":"","parse-names":false,"suffix":""}],"container-title":"Angewandte Chemie International Edition, 6(11), 951–952.","id":"ITEM-1","issue":"2","issued":{"date-parts":[["2017"]]},"title":"Mendorong Implementasi Redenominasi Rupiah Untuk Peningkatan Efisiensi Dan Daya Saing Ekonomi Indonesia Di Era Masyarakat Ekonomi Asean (Mea)","type":"article-journal","volume":"1"},"uris":["http://www.mendeley.com/documents/?uuid=53f47101-6836-305a-8d4b-c257e7a1e779"]}],"mendeley":{"formattedCitation":"(Mada, 2017)","plainTextFormattedCitation":"(Mada, 2017)","previouslyFormattedCitation":"(Mada, 2017)"},"properties":{"noteIndex":0},"schema":"https://github.com/citation-style-language/schema/raw/master/csl-citation.json"}</w:instrText>
      </w:r>
      <w:r w:rsidR="0042323F" w:rsidRPr="0042323F">
        <w:rPr>
          <w:rFonts w:ascii="Calibri Light" w:hAnsi="Calibri Light" w:cs="Calibri Light"/>
          <w:color w:val="0070C0"/>
          <w:sz w:val="24"/>
          <w:szCs w:val="24"/>
        </w:rPr>
        <w:fldChar w:fldCharType="separate"/>
      </w:r>
      <w:r w:rsidR="0042323F" w:rsidRPr="0042323F">
        <w:rPr>
          <w:rFonts w:ascii="Calibri Light" w:hAnsi="Calibri Light" w:cs="Calibri Light"/>
          <w:noProof/>
          <w:color w:val="0070C0"/>
          <w:sz w:val="24"/>
          <w:szCs w:val="24"/>
        </w:rPr>
        <w:t>(Mada</w:t>
      </w:r>
      <w:r w:rsidR="00700DE2">
        <w:rPr>
          <w:rFonts w:ascii="Calibri Light" w:hAnsi="Calibri Light" w:cs="Calibri Light"/>
          <w:noProof/>
          <w:color w:val="0070C0"/>
          <w:sz w:val="24"/>
          <w:szCs w:val="24"/>
        </w:rPr>
        <w:t xml:space="preserve"> WK</w:t>
      </w:r>
      <w:r w:rsidR="0042323F" w:rsidRPr="0042323F">
        <w:rPr>
          <w:rFonts w:ascii="Calibri Light" w:hAnsi="Calibri Light" w:cs="Calibri Light"/>
          <w:noProof/>
          <w:color w:val="0070C0"/>
          <w:sz w:val="24"/>
          <w:szCs w:val="24"/>
        </w:rPr>
        <w:t>, 2017)</w:t>
      </w:r>
      <w:r w:rsidR="0042323F" w:rsidRPr="0042323F">
        <w:rPr>
          <w:rFonts w:ascii="Calibri Light" w:hAnsi="Calibri Light" w:cs="Calibri Light"/>
          <w:color w:val="0070C0"/>
          <w:sz w:val="24"/>
          <w:szCs w:val="24"/>
        </w:rPr>
        <w:fldChar w:fldCharType="end"/>
      </w:r>
      <w:r w:rsidR="0042323F" w:rsidRPr="0042323F">
        <w:rPr>
          <w:rFonts w:ascii="Calibri Light" w:hAnsi="Calibri Light" w:cs="Calibri Light"/>
          <w:color w:val="0070C0"/>
          <w:sz w:val="24"/>
          <w:szCs w:val="24"/>
        </w:rPr>
        <w:t>.</w:t>
      </w:r>
    </w:p>
    <w:p w14:paraId="2D71CC6A" w14:textId="26E738D5" w:rsidR="00783D53" w:rsidRPr="00783D53" w:rsidRDefault="00783D53" w:rsidP="00783D53">
      <w:pPr>
        <w:spacing w:before="120" w:after="120"/>
        <w:ind w:left="425"/>
        <w:jc w:val="both"/>
        <w:rPr>
          <w:rFonts w:ascii="Calibri Light" w:hAnsi="Calibri Light" w:cs="Calibri Light"/>
          <w:sz w:val="24"/>
          <w:szCs w:val="24"/>
        </w:rPr>
      </w:pPr>
      <w:r w:rsidRPr="00783D53">
        <w:rPr>
          <w:rFonts w:ascii="Calibri Light" w:hAnsi="Calibri Light" w:cs="Calibri Light"/>
          <w:sz w:val="24"/>
          <w:szCs w:val="24"/>
        </w:rPr>
        <w:t xml:space="preserve">This article will analyze the legal policy of rupiah redenomination as the last resort in facilitating the improvement of rupiah credibility. The focus of the research is on the legal policy of redenomination in Indonesia by examining the redenomination policy, implementation predictions, and its impact on the credibility of the rupiah currency in the </w:t>
      </w:r>
      <w:r w:rsidRPr="00783D53">
        <w:rPr>
          <w:rFonts w:ascii="Calibri Light" w:hAnsi="Calibri Light" w:cs="Calibri Light"/>
          <w:sz w:val="24"/>
          <w:szCs w:val="24"/>
        </w:rPr>
        <w:lastRenderedPageBreak/>
        <w:t xml:space="preserve">context of monetary authority. Furthermore, this article analyzes how redenomination as a legal policy instrument can influence economic stability, public trust, and the role of </w:t>
      </w:r>
      <w:r w:rsidR="001A4705" w:rsidRPr="001A4705">
        <w:rPr>
          <w:rFonts w:ascii="Calibri Light" w:hAnsi="Calibri Light" w:cs="Calibri Light"/>
          <w:caps/>
          <w:sz w:val="24"/>
          <w:szCs w:val="24"/>
        </w:rPr>
        <w:t>BI</w:t>
      </w:r>
      <w:r w:rsidRPr="00783D53">
        <w:rPr>
          <w:rFonts w:ascii="Calibri Light" w:hAnsi="Calibri Light" w:cs="Calibri Light"/>
          <w:sz w:val="24"/>
          <w:szCs w:val="24"/>
        </w:rPr>
        <w:t xml:space="preserve"> and other monetary institutions in maintaining the credibility of the country's currency. This research also explores the role of law and monetary policy, as well as how redenomination is seen as a strategic </w:t>
      </w:r>
      <w:r w:rsidR="00700DE2">
        <w:rPr>
          <w:rFonts w:ascii="Calibri Light" w:hAnsi="Calibri Light" w:cs="Calibri Light"/>
          <w:sz w:val="24"/>
          <w:szCs w:val="24"/>
        </w:rPr>
        <w:t>last-resort</w:t>
      </w:r>
      <w:r w:rsidRPr="00783D53">
        <w:rPr>
          <w:rFonts w:ascii="Calibri Light" w:hAnsi="Calibri Light" w:cs="Calibri Light"/>
          <w:sz w:val="24"/>
          <w:szCs w:val="24"/>
        </w:rPr>
        <w:t xml:space="preserve"> measure </w:t>
      </w:r>
      <w:r w:rsidR="00700DE2">
        <w:rPr>
          <w:rFonts w:ascii="Calibri Light" w:hAnsi="Calibri Light" w:cs="Calibri Light"/>
          <w:sz w:val="24"/>
          <w:szCs w:val="24"/>
        </w:rPr>
        <w:t>to</w:t>
      </w:r>
      <w:r w:rsidRPr="00783D53">
        <w:rPr>
          <w:rFonts w:ascii="Calibri Light" w:hAnsi="Calibri Light" w:cs="Calibri Light"/>
          <w:sz w:val="24"/>
          <w:szCs w:val="24"/>
        </w:rPr>
        <w:t xml:space="preserve"> maintain confidence in the rupiah as a legitimate medium of exchange.</w:t>
      </w:r>
    </w:p>
    <w:p w14:paraId="01BBC3F8" w14:textId="77777777" w:rsidR="00783D53" w:rsidRDefault="00783D53" w:rsidP="00783D53">
      <w:pPr>
        <w:spacing w:before="120" w:after="120"/>
        <w:ind w:left="425"/>
        <w:jc w:val="both"/>
        <w:rPr>
          <w:rFonts w:ascii="Calibri Light" w:hAnsi="Calibri Light" w:cs="Calibri Light"/>
          <w:sz w:val="24"/>
          <w:szCs w:val="24"/>
        </w:rPr>
      </w:pPr>
      <w:r w:rsidRPr="00783D53">
        <w:rPr>
          <w:rFonts w:ascii="Calibri Light" w:hAnsi="Calibri Light" w:cs="Calibri Light"/>
          <w:sz w:val="24"/>
          <w:szCs w:val="24"/>
        </w:rPr>
        <w:t xml:space="preserve">Some crucial questions that can be discussed include: (1) What is the philosophical basis of the redenomination policy as a legal policy instrument in Indonesia? (2) How can the strategic plan for the redenomination policy in Indonesia affect the credibility of the rupiah in the eyes of the public and the international market? (3) How can the redenomination policy be seen as the last resort by monetary authorities in maintaining the credibility of the rupiah? (4) How is the social and psychological impact of redenomination predicted on the Indonesian society? (5) How can the aspect of legal philosophy underlying the redenomination policy be explained in the framework of a social justice rule of law? To complement the analysis, (6) what is the perspective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783D53">
        <w:rPr>
          <w:rFonts w:ascii="Calibri Light" w:hAnsi="Calibri Light" w:cs="Calibri Light"/>
          <w:sz w:val="24"/>
          <w:szCs w:val="24"/>
        </w:rPr>
        <w:t xml:space="preserve"> on the rupiah redenomination policy in Indonesia?</w:t>
      </w:r>
    </w:p>
    <w:p w14:paraId="1B59C32F" w14:textId="77777777" w:rsidR="000376DE" w:rsidRDefault="000376DE" w:rsidP="000376DE">
      <w:pPr>
        <w:spacing w:before="240" w:after="120"/>
        <w:ind w:left="425"/>
        <w:jc w:val="both"/>
        <w:rPr>
          <w:rFonts w:ascii="Calibri Light" w:hAnsi="Calibri Light" w:cs="Calibri Light"/>
          <w:b/>
          <w:bCs/>
          <w:sz w:val="24"/>
          <w:szCs w:val="24"/>
        </w:rPr>
      </w:pPr>
      <w:r w:rsidRPr="000376DE">
        <w:rPr>
          <w:rFonts w:ascii="Calibri Light" w:hAnsi="Calibri Light" w:cs="Calibri Light"/>
          <w:b/>
          <w:bCs/>
          <w:sz w:val="24"/>
          <w:szCs w:val="24"/>
        </w:rPr>
        <w:t>Literature Review</w:t>
      </w:r>
    </w:p>
    <w:p w14:paraId="5DA19D7E" w14:textId="213E8709"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In the last 10 years, there have been 180 articles about the redenomination of the rupiah. If mapped, the articles are roughly divided into the following themes: 1) description of redenomination</w:t>
      </w:r>
      <w:r w:rsidR="00FB5AB3">
        <w:rPr>
          <w:rFonts w:ascii="Calibri Light" w:hAnsi="Calibri Light" w:cs="Calibri Light"/>
          <w:sz w:val="24"/>
          <w:szCs w:val="24"/>
        </w:rPr>
        <w:t xml:space="preserve"> </w:t>
      </w:r>
      <w:r w:rsidR="00FB5AB3" w:rsidRPr="00FB5AB3">
        <w:rPr>
          <w:rFonts w:ascii="Calibri Light" w:hAnsi="Calibri Light" w:cs="Calibri Light"/>
          <w:color w:val="0070C0"/>
          <w:sz w:val="24"/>
          <w:szCs w:val="24"/>
        </w:rPr>
        <w:fldChar w:fldCharType="begin" w:fldLock="1"/>
      </w:r>
      <w:r w:rsidR="00744F6A">
        <w:rPr>
          <w:rFonts w:ascii="Calibri Light" w:hAnsi="Calibri Light" w:cs="Calibri Light"/>
          <w:color w:val="0070C0"/>
          <w:sz w:val="24"/>
          <w:szCs w:val="24"/>
        </w:rPr>
        <w:instrText>ADDIN CSL_CITATION {"citationItems":[{"id":"ITEM-1","itemData":{"author":[{"dropping-particle":"","family":"Turambi","given":"J. J. A.","non-dropping-particle":"","parse-names":false,"suffix":""}],"container-title":"Jurnal EBBANK","id":"ITEM-1","issue":"1","issued":{"date-parts":[["2015"]]},"page":"91-99","title":"Redenominasi Dan Sanering Mata Uang Rupiah (IDR): Analisis Komparasi","type":"article-journal","volume":"6"},"uris":["http://www.mendeley.com/documents/?uuid=e114ea16-a8f9-4267-9f47-143733156cef"]}],"mendeley":{"formattedCitation":"(Turambi, 2015)","manualFormatting":"(Turambi, 2015","plainTextFormattedCitation":"(Turambi, 2015)","previouslyFormattedCitation":"(Turambi, 2015)"},"properties":{"noteIndex":0},"schema":"https://github.com/citation-style-language/schema/raw/master/csl-citation.json"}</w:instrText>
      </w:r>
      <w:r w:rsidR="00FB5AB3" w:rsidRPr="00FB5AB3">
        <w:rPr>
          <w:rFonts w:ascii="Calibri Light" w:hAnsi="Calibri Light" w:cs="Calibri Light"/>
          <w:color w:val="0070C0"/>
          <w:sz w:val="24"/>
          <w:szCs w:val="24"/>
        </w:rPr>
        <w:fldChar w:fldCharType="separate"/>
      </w:r>
      <w:r w:rsidR="00FB5AB3" w:rsidRPr="00FB5AB3">
        <w:rPr>
          <w:rFonts w:ascii="Calibri Light" w:hAnsi="Calibri Light" w:cs="Calibri Light"/>
          <w:noProof/>
          <w:color w:val="0070C0"/>
          <w:sz w:val="24"/>
          <w:szCs w:val="24"/>
        </w:rPr>
        <w:t>(Turambi, 2015</w:t>
      </w:r>
      <w:r w:rsidR="00FB5AB3"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AF33B1" w:rsidRPr="00FB5AB3">
        <w:rPr>
          <w:rFonts w:ascii="Calibri Light" w:hAnsi="Calibri Light" w:cs="Calibri Light"/>
          <w:color w:val="0070C0"/>
          <w:sz w:val="24"/>
          <w:szCs w:val="24"/>
        </w:rPr>
        <w:t xml:space="preserve"> </w:t>
      </w:r>
      <w:r w:rsidR="00AF33B1"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{"citationItems":[{"id":"ITEM-1","itemData":{"author":[{"dropping-particle":"","family":"Nugroho","given":"S.","non-dropping-particle":"","parse-names":false,"suffix":""}],"container-title":"Bonus Demografi sebagai Peluang Indonesia dalam Percepatan Pembangunan Ekonomi","editor":[{"dropping-particle":"","family":"Bambang Parada Nugraha","given":"Malau","non-dropping-particle":"","parse-names":false,"suffix":""}],"id":"ITEM-1","issued":{"date-parts":[["2021"]]},"publisher":"Penerbit Insania","publisher-place":"Penerbit Insania","title":"Redenominasi Rupiah","type":"chapter"},"uris":["http://www.mendeley.com/documents/?uuid=2ef6af5b-1768-4fcd-ab04-c3c947b11f06"]}],"mendeley":{"formattedCitation":"(Nugroho, 2021)","manualFormatting":"Nugroho, 2021","plainTextFormattedCitation":"(Nugroho, 2021)","previouslyFormattedCitation":"(Nugroho, 2021)"},"properties":{"noteIndex":0},"schema":"https://github.com/citation-style-language/schema/raw/master/csl-citation.json"}</w:instrText>
      </w:r>
      <w:r w:rsidR="00AF33B1" w:rsidRPr="00FB5AB3">
        <w:rPr>
          <w:rFonts w:ascii="Calibri Light" w:hAnsi="Calibri Light" w:cs="Calibri Light"/>
          <w:color w:val="0070C0"/>
          <w:sz w:val="24"/>
          <w:szCs w:val="24"/>
        </w:rPr>
        <w:fldChar w:fldCharType="separate"/>
      </w:r>
      <w:r w:rsidR="00AF33B1" w:rsidRPr="00FB5AB3">
        <w:rPr>
          <w:rFonts w:ascii="Calibri Light" w:hAnsi="Calibri Light" w:cs="Calibri Light"/>
          <w:noProof/>
          <w:color w:val="0070C0"/>
          <w:sz w:val="24"/>
          <w:szCs w:val="24"/>
        </w:rPr>
        <w:t>Nugroho, 2021</w:t>
      </w:r>
      <w:r w:rsidR="00AF33B1"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0E4C89" w:rsidRPr="00FB5AB3">
        <w:rPr>
          <w:rFonts w:ascii="Calibri Light" w:hAnsi="Calibri Light" w:cs="Calibri Light"/>
          <w:color w:val="0070C0"/>
          <w:sz w:val="24"/>
          <w:szCs w:val="24"/>
        </w:rPr>
        <w:t xml:space="preserve"> </w:t>
      </w:r>
      <w:r w:rsidR="00245C56"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{"citationItems":[{"id":"ITEM-1","itemData":{"abstract":"The purpose of this study is the effectiveness and efficiency of work in various fields and sectors of activity, therefore the researchers took the topic \"discourse on redenomination in relation to the new rupiah currency\". economy, and redenomination plans have been rolled out since 2010, and only recently in 2019 the government through the ministry of finance rolled it back through a short-term work program, but due to the control of the covid 19 pandemic, geopolitical conditions and economic recession, the ministry tried to socialize this redenomination through printing of new banknotes for the 2022 Issue Year by inserting a subtraction of a three-digit zero which is disguised by the number by visualization, and the main issue raised is what redenomination is and how it differs from sanering, how is it related to the new banknotes, what is the design of new banknotes, because this research is a library model and uses a qualitative approach and qualitative descriptive analysis, namely providing an overview and explanation that is easier for the public to understand. and faona.","author":[{"dropping-particle":"","family":"Sihwinart","given":"Dwi","non-dropping-particle":"","parse-names":false,"suffix":""},{"dropping-particle":"","family":"Dewa","given":"I","non-dropping-particle":"","parse-names":false,"suffix":""},{"dropping-particle":"","family":"Sutedja","given":"Made","non-dropping-particle":"","parse-names":false,"suffix":""}],"container-title":"Online) SENADA","id":"ITEM-1","issued":{"date-parts":[["2023"]]},"title":"Wacana Redenominasi Kaitanya Uang Rupiah Baru Di Indonesia","type":"webpage","volume":"6"},"uris":["http://www.mendeley.com/documents/?uuid=57d6a371-a8d2-3e0d-8c73-57e4f5e1934c"]}],"mendeley":{"formattedCitation":"(Sihwinart et al., 2023)","manualFormatting":"Sihwinart et al., 2023","plainTextFormattedCitation":"(Sihwinart et al., 2023)","previouslyFormattedCitation":"(Sihwinart et al., 2023)"},"properties":{"noteIndex":0},"schema":"https://github.com/citation-style-language/schema/raw/master/csl-citation.json"}</w:instrText>
      </w:r>
      <w:r w:rsidR="00245C56" w:rsidRPr="00FB5AB3">
        <w:rPr>
          <w:rFonts w:ascii="Calibri Light" w:hAnsi="Calibri Light" w:cs="Calibri Light"/>
          <w:color w:val="0070C0"/>
          <w:sz w:val="24"/>
          <w:szCs w:val="24"/>
        </w:rPr>
        <w:fldChar w:fldCharType="separate"/>
      </w:r>
      <w:r w:rsidR="00245C56" w:rsidRPr="00FB5AB3">
        <w:rPr>
          <w:rFonts w:ascii="Calibri Light" w:hAnsi="Calibri Light" w:cs="Calibri Light"/>
          <w:noProof/>
          <w:color w:val="0070C0"/>
          <w:sz w:val="24"/>
          <w:szCs w:val="24"/>
        </w:rPr>
        <w:t xml:space="preserve">Sihwinart </w:t>
      </w:r>
      <w:r w:rsidR="005B3038" w:rsidRPr="005B3038">
        <w:rPr>
          <w:rFonts w:ascii="Calibri Light" w:hAnsi="Calibri Light" w:cs="Calibri Light"/>
          <w:i/>
          <w:noProof/>
          <w:color w:val="0070C0"/>
          <w:sz w:val="24"/>
          <w:szCs w:val="24"/>
        </w:rPr>
        <w:t>et al.</w:t>
      </w:r>
      <w:r w:rsidR="00245C56" w:rsidRPr="00FB5AB3">
        <w:rPr>
          <w:rFonts w:ascii="Calibri Light" w:hAnsi="Calibri Light" w:cs="Calibri Light"/>
          <w:noProof/>
          <w:color w:val="0070C0"/>
          <w:sz w:val="24"/>
          <w:szCs w:val="24"/>
        </w:rPr>
        <w:t>, 2023</w:t>
      </w:r>
      <w:r w:rsidR="00245C56"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FB5AB3" w:rsidRPr="00FB5AB3">
        <w:rPr>
          <w:rFonts w:ascii="Calibri Light" w:hAnsi="Calibri Light" w:cs="Calibri Light"/>
          <w:color w:val="0070C0"/>
          <w:sz w:val="24"/>
          <w:szCs w:val="24"/>
        </w:rPr>
        <w:t xml:space="preserve"> </w:t>
      </w:r>
      <w:r w:rsidR="00FB5AB3" w:rsidRPr="00FB5AB3">
        <w:rPr>
          <w:rFonts w:ascii="Calibri Light" w:hAnsi="Calibri Light" w:cs="Calibri Light"/>
          <w:color w:val="0070C0"/>
          <w:sz w:val="24"/>
          <w:szCs w:val="24"/>
        </w:rPr>
        <w:fldChar w:fldCharType="begin" w:fldLock="1"/>
      </w:r>
      <w:r w:rsidR="00FB5AB3">
        <w:rPr>
          <w:rFonts w:ascii="Calibri Light" w:hAnsi="Calibri Light" w:cs="Calibri Light"/>
          <w:color w:val="0070C0"/>
          <w:sz w:val="24"/>
          <w:szCs w:val="24"/>
        </w:rPr>
        <w:instrText>ADDIN CSL_CITATION {"citationItems":[{"id":"ITEM-1","itemData":{"author":[{"dropping-particle":"","family":"Simatupang","given":"B. M.","non-dropping-particle":"","parse-names":false,"suffix":""}],"container-title":"Bisnis.com","id":"ITEM-1","issued":{"date-parts":[["2023","5","22"]]},"title":"Digital Rupiah &amp; Rencana Redenominasi","type":"article-newspaper"},"uris":["http://www.mendeley.com/documents/?uuid=e31e387f-3746-4d1c-88e4-f36debc34e1b"]}],"mendeley":{"formattedCitation":"(Simatupang, 2023)","manualFormatting":"Simatupang, 2023","plainTextFormattedCitation":"(Simatupang, 2023)","previouslyFormattedCitation":"(Simatupang, 2023)"},"properties":{"noteIndex":0},"schema":"https://github.com/citation-style-language/schema/raw/master/csl-citation.json"}</w:instrText>
      </w:r>
      <w:r w:rsidR="00FB5AB3" w:rsidRPr="00FB5AB3">
        <w:rPr>
          <w:rFonts w:ascii="Calibri Light" w:hAnsi="Calibri Light" w:cs="Calibri Light"/>
          <w:color w:val="0070C0"/>
          <w:sz w:val="24"/>
          <w:szCs w:val="24"/>
        </w:rPr>
        <w:fldChar w:fldCharType="separate"/>
      </w:r>
      <w:r w:rsidR="00FB5AB3" w:rsidRPr="00FB5AB3">
        <w:rPr>
          <w:rFonts w:ascii="Calibri Light" w:hAnsi="Calibri Light" w:cs="Calibri Light"/>
          <w:noProof/>
          <w:color w:val="0070C0"/>
          <w:sz w:val="24"/>
          <w:szCs w:val="24"/>
        </w:rPr>
        <w:t>Simatupang, 2023</w:t>
      </w:r>
      <w:r w:rsidR="00FB5AB3"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w:t>
      </w:r>
      <w:r w:rsidR="00FB5AB3" w:rsidRPr="00FB5AB3">
        <w:rPr>
          <w:rFonts w:ascii="Calibri Light" w:hAnsi="Calibri Light" w:cs="Calibri Light"/>
          <w:color w:val="0070C0"/>
          <w:sz w:val="24"/>
          <w:szCs w:val="24"/>
        </w:rPr>
        <w:t xml:space="preserve">  </w:t>
      </w:r>
      <w:r w:rsidR="00245C56" w:rsidRPr="00FB5AB3">
        <w:rPr>
          <w:rFonts w:ascii="Calibri Light" w:hAnsi="Calibri Light" w:cs="Calibri Light"/>
          <w:color w:val="0070C0"/>
          <w:sz w:val="24"/>
          <w:szCs w:val="24"/>
        </w:rPr>
        <w:fldChar w:fldCharType="begin" w:fldLock="1"/>
      </w:r>
      <w:r w:rsidR="00B76173">
        <w:rPr>
          <w:rFonts w:ascii="Calibri Light" w:hAnsi="Calibri Light" w:cs="Calibri Light"/>
          <w:color w:val="0070C0"/>
          <w:sz w:val="24"/>
          <w:szCs w:val="24"/>
        </w:rPr>
        <w:instrText>ADDIN CSL_CITATION {"citationItems":[{"id":"ITEM-1","itemData":{"DOI":"10.26740/mathunesa.v12n1.p141-148","ISSN":"2716-506X","abstract":"Masyarakat sering memanfaatkan media sosial sebagai platform untuk mengungkapkan minat dan pandangan mereka terhadap berbagai topik. Di Indonesia, masyarakat juga sering menggunakan media sosial sebagai wadah untuk mengekspresikan minat dan pandangan mereka terhadap berbagai isu. Kemajuan teknologi informasi telah memperluas cakupan dan meningkatkan kecepatan dalam penyebaran informasi melalui media sosial. Salah satu isu yang ramai dibahas di Twitter adalah terkait Redenominasi Rupiah, yang tercermin dari tingginya jumlah retweet pada tweet yang terkait. Penelitian ini menerapkan Metode Analisis Jaringan Sosial (SNA) sebagai teknik untuk memetakan dan mengukur hubungan serta komunikasi di antara akun-akun. Hasil penelitian menunjukkan bahwa akun Twitter @BigAlphaID memunculkan nilai Degree Centrality tertinggi sebesar 1387, nilai Betweeness Centrality sebesar 1386, dan nilai Closeness Centrality mencapai 1.0. Closeness Centrality yang mencapai 1.0 menggambarkan bahwa akun tersebut menjadi simpul terdekat dengan akun lain dalam jaringan. Dengan kata lain, akun Twitter @BigAlphaID memiliki dampak signifikan dalam menyuarakan isu Redenominasi Rupiah","author":[{"dropping-particle":"","family":"Purnama","given":"Mohammad Dian","non-dropping-particle":"","parse-names":false,"suffix":""},{"dropping-particle":"","family":"Aisyah","given":"Ivon Tressyta Nanda","non-dropping-particle":"","parse-names":false,"suffix":""},{"dropping-particle":"","family":"Rasyidah","given":"Salma Azmi","non-dropping-particle":"","parse-names":false,"suffix":""},{"dropping-particle":"","family":"Juniati","given":"Dwi","non-dropping-particle":"","parse-names":false,"suffix":""},{"dropping-particle":"","family":"Yulistina","given":"Fika","non-dropping-particle":"","parse-names":false,"suffix":""}],"container-title":"MATHunesa: Jurnal Ilmiah Matematika","id":"ITEM-1","issue":"1","issued":{"date-parts":[["2024","1","10"]]},"page":"141-148","title":"Aplikasi Topologi Jaringan Pada Akun Twitter Paling Berpengaruh Terkait Redenominasi Rupiah dengan Metode SNA","type":"article-journal","volume":"12"},"uris":["http://www.mendeley.com/documents/?uuid=c80d414e-2b8f-4b94-9e59-a4a18f226a1b"]}],"mendeley":{"formattedCitation":"(Purnama et al., 2024)","manualFormatting":"Purnama et al., 2024)","plainTextFormattedCitation":"(Purnama et al., 2024)","previouslyFormattedCitation":"(Purnama et al., 2024)"},"properties":{"noteIndex":0},"schema":"https://github.com/citation-style-language/schema/raw/master/csl-citation.json"}</w:instrText>
      </w:r>
      <w:r w:rsidR="00245C56" w:rsidRPr="00FB5AB3">
        <w:rPr>
          <w:rFonts w:ascii="Calibri Light" w:hAnsi="Calibri Light" w:cs="Calibri Light"/>
          <w:color w:val="0070C0"/>
          <w:sz w:val="24"/>
          <w:szCs w:val="24"/>
        </w:rPr>
        <w:fldChar w:fldCharType="separate"/>
      </w:r>
      <w:r w:rsidR="00245C56" w:rsidRPr="00FB5AB3">
        <w:rPr>
          <w:rFonts w:ascii="Calibri Light" w:hAnsi="Calibri Light" w:cs="Calibri Light"/>
          <w:noProof/>
          <w:color w:val="0070C0"/>
          <w:sz w:val="24"/>
          <w:szCs w:val="24"/>
        </w:rPr>
        <w:t xml:space="preserve">Purnama </w:t>
      </w:r>
      <w:r w:rsidR="005B3038" w:rsidRPr="005B3038">
        <w:rPr>
          <w:rFonts w:ascii="Calibri Light" w:hAnsi="Calibri Light" w:cs="Calibri Light"/>
          <w:i/>
          <w:noProof/>
          <w:color w:val="0070C0"/>
          <w:sz w:val="24"/>
          <w:szCs w:val="24"/>
        </w:rPr>
        <w:t>et al.</w:t>
      </w:r>
      <w:r w:rsidR="00245C56" w:rsidRPr="00FB5AB3">
        <w:rPr>
          <w:rFonts w:ascii="Calibri Light" w:hAnsi="Calibri Light" w:cs="Calibri Light"/>
          <w:noProof/>
          <w:color w:val="0070C0"/>
          <w:sz w:val="24"/>
          <w:szCs w:val="24"/>
        </w:rPr>
        <w:t>, 2024)</w:t>
      </w:r>
      <w:r w:rsidR="00245C56" w:rsidRPr="00FB5AB3">
        <w:rPr>
          <w:rFonts w:ascii="Calibri Light" w:hAnsi="Calibri Light" w:cs="Calibri Light"/>
          <w:color w:val="0070C0"/>
          <w:sz w:val="24"/>
          <w:szCs w:val="24"/>
        </w:rPr>
        <w:fldChar w:fldCharType="end"/>
      </w:r>
      <w:r w:rsidR="00FB5AB3">
        <w:rPr>
          <w:rFonts w:ascii="Calibri Light" w:hAnsi="Calibri Light" w:cs="Calibri Light"/>
          <w:color w:val="0070C0"/>
          <w:sz w:val="24"/>
          <w:szCs w:val="24"/>
        </w:rPr>
        <w:t xml:space="preserve">, </w:t>
      </w:r>
      <w:r w:rsidRPr="000376DE">
        <w:rPr>
          <w:rFonts w:ascii="Calibri Light" w:hAnsi="Calibri Light" w:cs="Calibri Light"/>
          <w:sz w:val="24"/>
          <w:szCs w:val="24"/>
        </w:rPr>
        <w:t>2) perception of redenomination</w:t>
      </w:r>
      <w:r w:rsidR="00744F6A">
        <w:rPr>
          <w:rFonts w:ascii="Calibri Light" w:hAnsi="Calibri Light" w:cs="Calibri Light"/>
          <w:sz w:val="24"/>
          <w:szCs w:val="24"/>
        </w:rPr>
        <w:t xml:space="preserve"> </w:t>
      </w:r>
      <w:r w:rsidR="00744F6A" w:rsidRPr="00744F6A">
        <w:rPr>
          <w:rFonts w:ascii="Calibri Light" w:hAnsi="Calibri Light" w:cs="Calibri Light"/>
          <w:color w:val="0070C0"/>
          <w:sz w:val="24"/>
          <w:szCs w:val="24"/>
        </w:rPr>
        <w:fldChar w:fldCharType="begin" w:fldLock="1"/>
      </w:r>
      <w:r w:rsidR="003A3350">
        <w:rPr>
          <w:rFonts w:ascii="Calibri Light" w:hAnsi="Calibri Light" w:cs="Calibri Light"/>
          <w:color w:val="0070C0"/>
          <w:sz w:val="24"/>
          <w:szCs w:val="24"/>
        </w:rPr>
        <w:instrText>ADDIN CSL_CITATION {"citationItems":[{"id":"ITEM-1","itemData":{"DOI":"10.18860/psi.v14i2.6510","ISSN":"2655-5034","abstract":"The purpose of this study was to describe college student attitudes (positives or negatives) to denomination and redenomination issues of Rupiah. Study conducted by combining survey and thought experiment methods on 70 college students with 4 cases as treatment materials and 4 attitude scales as respon measurements which were valid and reliable. Result revealed that college students 89% would like to choose the smaller denomination, 57% respons negatively to negative effects of denomination, 20% respons negatively to the weakness of Rupiah competitiveness, and 24% respons positively to the redenomination of Rupiah. Weakness of Rupiah on the foreign currency impacts to the low collective self-esteem of Indonesian college students.","author":[{"dropping-particle":"","family":"Zamroni","given":"Zamroni","non-dropping-particle":"","parse-names":false,"suffix":""}],"container-title":"Psikoislamika : Jurnal Psikologi dan Psikologi Islam","id":"ITEM-1","issue":"2","issued":{"date-parts":[["2017","12","30"]]},"page":"39","title":"Sikap Mahasiswa Terhadap Denominasi dan Redenominasi Rupiah","type":"article-journal","volume":"14"},"uris":["http://www.mendeley.com/documents/?uuid=5ccdcf1c-0a1a-4310-94b7-0679eb77eef8"]}],"mendeley":{"formattedCitation":"(Zamroni, 2017)","manualFormatting":"(Zamroni, 2017","plainTextFormattedCitation":"(Zamroni, 2017)","previouslyFormattedCitation":"(Zamroni, 2017)"},"properties":{"noteIndex":0},"schema":"https://github.com/citation-style-language/schema/raw/master/csl-citation.json"}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(Zamroni, 2017</w:t>
      </w:r>
      <w:r w:rsidR="00744F6A" w:rsidRPr="00744F6A">
        <w:rPr>
          <w:rFonts w:ascii="Calibri Light" w:hAnsi="Calibri Light" w:cs="Calibri Light"/>
          <w:color w:val="0070C0"/>
          <w:sz w:val="24"/>
          <w:szCs w:val="24"/>
        </w:rPr>
        <w:fldChar w:fldCharType="end"/>
      </w:r>
      <w:r w:rsidR="00744F6A">
        <w:rPr>
          <w:rFonts w:ascii="Calibri Light" w:hAnsi="Calibri Light" w:cs="Calibri Light"/>
          <w:color w:val="0070C0"/>
          <w:sz w:val="24"/>
          <w:szCs w:val="24"/>
        </w:rPr>
        <w:t>;</w:t>
      </w:r>
      <w:r w:rsidR="00744F6A" w:rsidRPr="00744F6A">
        <w:rPr>
          <w:rFonts w:ascii="Calibri Light" w:hAnsi="Calibri Light" w:cs="Calibri Light"/>
          <w:color w:val="0070C0"/>
          <w:sz w:val="24"/>
          <w:szCs w:val="24"/>
        </w:rPr>
        <w:t xml:space="preserve"> </w:t>
      </w:r>
      <w:r w:rsidR="00744F6A" w:rsidRPr="00744F6A">
        <w:rPr>
          <w:rFonts w:ascii="Calibri Light" w:hAnsi="Calibri Light" w:cs="Calibri Light"/>
          <w:color w:val="0070C0"/>
          <w:sz w:val="24"/>
          <w:szCs w:val="24"/>
        </w:rPr>
        <w:fldChar w:fldCharType="begin" w:fldLock="1"/>
      </w:r>
      <w:r w:rsidR="00744F6A">
        <w:rPr>
          <w:rFonts w:ascii="Calibri Light" w:hAnsi="Calibri Light" w:cs="Calibri Light"/>
          <w:color w:val="0070C0"/>
          <w:sz w:val="24"/>
          <w:szCs w:val="24"/>
        </w:rPr>
        <w:instrText>ADDIN CSL_CITATION {"citationItems":[{"id":"ITEM-1","itemData":{"DOI":"10.15294/efficient.v1i1.27222","ISSN":"2655-318X","abstract":"The current redenomination of the rupiah needs to be implemented in Indonesia. The declining value of the rupiah is one reason the government wants to increase the dignity of the rupiah and in Indonesia the largest denomination now is Rp 100,000.-. The rupiah is the second largest in the world after Vietnam's 500,000 Dong. This study aims to determine whether there is a difference of knowledge and perception between the actors of SMEs men with female SMEs actors. The sample in this study amounted to 100 respondents UMKM perpetrators. The data used in this study is the primary data. The method of analysis used in this study is the difference test two free sample average (Independent sample t-test). The result of the test analysis difference of two free samples indicate that, firstly, there is no difference of understanding between the SMEs of men and the female SMEs against the policy of redenominasi rupiah which means most of UMKM perpetrators understand redenominasi rupiah. Secondly, there is no difference of perception between male SMEs and female SMEs against rupiah redenomination policy which means that most of SMEs actors agree to redenominasi rupiah. The suggestion in this research is government to socialize about existence of policy redenominasi rupiah as soon as possible by conducting socialization directly and through mass media so that perpetrator of SMEs actors better understand and more understand about existence of policy redenominasi rupiah. Redenominasi rupiah saat ini perlu dilaksanakan di Indonesia. Nilai rupiah yang semakin melemah menjadi salah satu alasan pemerintah ingin meningkatkan martabat rupiah dan di Indonesia uang pecahan yang terbesar saat ini adalah Rp 100.000,-. Uang rupiah tersebut merupakan pecahan terbesar kedua di dunia setelah mata uang Vietnam yang mencetak 500.000 Dong. Penelitian ini bertujuan untuk mengetahui ada tidaknya perbedaan pengetahuan dan persepsi antara pelaku UMKM laki-laki dengan pelaku UMKM perempuan. Sampel dalam penelitian ini berjumlah 100 responden pelaku UMKM. Data yang digunakan dalam penelitian ini adalah data primer. Metode analisis yang digunakan dalam penelitian ini adalah uji beda dua rata-rata sampel bebas (Independent sample t-test). Hasil analisis uji beda dua rata-rata sampel bebas menunjukkan bahwa pertama tidak terdapat perbedaan pemahaman antara pelaku UMKM laki-laki dengan pelaku UMKM perempuan terhadap kebijakan redenominasi rupiah yang berarti pelaku UMKM sebagian besar paham rede…","author":[{"dropping-particle":"","family":"Jati","given":"Sarwito Asmoro","non-dropping-particle":"","parse-names":false,"suffix":""},{"dropping-particle":"","family":"Prasetyo","given":"P Eko","non-dropping-particle":"","parse-names":false,"suffix":""}],"container-title":"Efficient: Indonesian Journal of Development Economics","id":"ITEM-1","issue":"1","issued":{"date-parts":[["2018","11","17"]]},"page":"69-76","title":"Analisis Persepsi Pelaku UMKM Terhadap Kebijakan Redenominasi Rupiah di Kota Semarang","type":"article-journal","volume":"1"},"uris":["http://www.mendeley.com/documents/?uuid=5d6083f1-a74a-4407-b39b-134663cdfae8"]}],"mendeley":{"formattedCitation":"(Jati &amp; Prasetyo, 2018)","manualFormatting":"Jati &amp; Prasetyo, 2018","plainTextFormattedCitation":"(Jati &amp; Prasetyo, 2018)","previouslyFormattedCitation":"(Jati &amp; Prasetyo, 2018)"},"properties":{"noteIndex":0},"schema":"https://github.com/citation-style-language/schema/raw/master/csl-citation.json"}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Jati &amp; Prasetyo, 2018</w:t>
      </w:r>
      <w:r w:rsidR="00744F6A" w:rsidRPr="00744F6A">
        <w:rPr>
          <w:rFonts w:ascii="Calibri Light" w:hAnsi="Calibri Light" w:cs="Calibri Light"/>
          <w:color w:val="0070C0"/>
          <w:sz w:val="24"/>
          <w:szCs w:val="24"/>
        </w:rPr>
        <w:fldChar w:fldCharType="end"/>
      </w:r>
      <w:r w:rsidR="00744F6A">
        <w:rPr>
          <w:rFonts w:ascii="Calibri Light" w:hAnsi="Calibri Light" w:cs="Calibri Light"/>
          <w:color w:val="0070C0"/>
          <w:sz w:val="24"/>
          <w:szCs w:val="24"/>
        </w:rPr>
        <w:t>;</w:t>
      </w:r>
      <w:r w:rsidR="00744F6A" w:rsidRPr="00744F6A">
        <w:rPr>
          <w:rFonts w:ascii="Calibri Light" w:hAnsi="Calibri Light" w:cs="Calibri Light"/>
          <w:color w:val="0070C0"/>
          <w:sz w:val="24"/>
          <w:szCs w:val="24"/>
        </w:rPr>
        <w:t xml:space="preserve"> </w:t>
      </w:r>
      <w:r w:rsidR="00744F6A" w:rsidRPr="00744F6A">
        <w:rPr>
          <w:rFonts w:ascii="Calibri Light" w:hAnsi="Calibri Light" w:cs="Calibri Light"/>
          <w:color w:val="0070C0"/>
          <w:sz w:val="24"/>
          <w:szCs w:val="24"/>
        </w:rPr>
        <w:fldChar w:fldCharType="begin" w:fldLock="1"/>
      </w:r>
      <w:r w:rsidR="00B045F0">
        <w:rPr>
          <w:rFonts w:ascii="Calibri Light" w:hAnsi="Calibri Light" w:cs="Calibri Light"/>
          <w:color w:val="0070C0"/>
          <w:sz w:val="24"/>
          <w:szCs w:val="24"/>
        </w:rPr>
        <w:instrText>ADDIN CSL_CITATION {"citationItems":[{"id":"ITEM-1","itemData":{"author":[{"dropping-particle":"","family":"Ekajaya","given":"C.","non-dropping-particle":"","parse-names":false,"suffix":""}],"id":"ITEM-1","issued":{"date-parts":[["2024"]]},"publisher":"Doctoral Dissertation, IAIN Pontianak","title":"Persepsi Pelaku UMKM Kota Pontianak Terhadap Wacana Redenominasi Rupiah di Indonesia","type":"thesis"},"uris":["http://www.mendeley.com/documents/?uuid=ee7e5a90-9d07-43a9-a3d0-ee124ca2954c"]}],"mendeley":{"formattedCitation":"(Ekajaya, 2024)","manualFormatting":"Ekajaya, 2024)","plainTextFormattedCitation":"(Ekajaya, 2024)","previouslyFormattedCitation":"(Ekajaya, 2024)"},"properties":{"noteIndex":0},"schema":"https://github.com/citation-style-language/schema/raw/master/csl-citation.json"}</w:instrText>
      </w:r>
      <w:r w:rsidR="00744F6A" w:rsidRPr="00744F6A">
        <w:rPr>
          <w:rFonts w:ascii="Calibri Light" w:hAnsi="Calibri Light" w:cs="Calibri Light"/>
          <w:color w:val="0070C0"/>
          <w:sz w:val="24"/>
          <w:szCs w:val="24"/>
        </w:rPr>
        <w:fldChar w:fldCharType="separate"/>
      </w:r>
      <w:r w:rsidR="00744F6A" w:rsidRPr="00744F6A">
        <w:rPr>
          <w:rFonts w:ascii="Calibri Light" w:hAnsi="Calibri Light" w:cs="Calibri Light"/>
          <w:noProof/>
          <w:color w:val="0070C0"/>
          <w:sz w:val="24"/>
          <w:szCs w:val="24"/>
        </w:rPr>
        <w:t>Ekajaya, 2024)</w:t>
      </w:r>
      <w:r w:rsidR="00744F6A" w:rsidRPr="00744F6A">
        <w:rPr>
          <w:rFonts w:ascii="Calibri Light" w:hAnsi="Calibri Light" w:cs="Calibri Light"/>
          <w:color w:val="0070C0"/>
          <w:sz w:val="24"/>
          <w:szCs w:val="24"/>
        </w:rPr>
        <w:fldChar w:fldCharType="end"/>
      </w:r>
      <w:r w:rsidR="00B045F0">
        <w:rPr>
          <w:rFonts w:ascii="Calibri Light" w:hAnsi="Calibri Light" w:cs="Calibri Light"/>
          <w:color w:val="0070C0"/>
          <w:sz w:val="24"/>
          <w:szCs w:val="24"/>
        </w:rPr>
        <w:t xml:space="preserve">, </w:t>
      </w:r>
      <w:r w:rsidRPr="000376DE">
        <w:rPr>
          <w:rFonts w:ascii="Calibri Light" w:hAnsi="Calibri Light" w:cs="Calibri Light"/>
          <w:sz w:val="24"/>
          <w:szCs w:val="24"/>
        </w:rPr>
        <w:t>3) urgency of redenomination</w:t>
      </w:r>
      <w:r w:rsidR="003A3350">
        <w:rPr>
          <w:rFonts w:ascii="Calibri Light" w:hAnsi="Calibri Light" w:cs="Calibri Light"/>
          <w:sz w:val="24"/>
          <w:szCs w:val="24"/>
        </w:rPr>
        <w:t xml:space="preserve"> </w:t>
      </w:r>
      <w:r w:rsidR="003A3350" w:rsidRPr="00CD59EE">
        <w:rPr>
          <w:rFonts w:ascii="Calibri Light" w:hAnsi="Calibri Light" w:cs="Calibri Light"/>
          <w:color w:val="0070C0"/>
          <w:sz w:val="24"/>
          <w:szCs w:val="24"/>
        </w:rPr>
        <w:fldChar w:fldCharType="begin" w:fldLock="1"/>
      </w:r>
      <w:r w:rsidR="00CD59EE" w:rsidRPr="00CD59EE">
        <w:rPr>
          <w:rFonts w:ascii="Calibri Light" w:hAnsi="Calibri Light" w:cs="Calibri Light"/>
          <w:color w:val="0070C0"/>
          <w:sz w:val="24"/>
          <w:szCs w:val="24"/>
        </w:rPr>
        <w:instrText>ADDIN CSL_CITATION {"citationItems":[{"id":"ITEM-1","itemData":{"DOI":"10.36987/ecobi.v4i2.51","ISSN":"2620-3391","abstract":"Disamping nilai uang, penerapan angaran surplus juga mempertimbangkan peningkatan inflasi yang diakibatkan ekspansifnya belanja yang dilakukan pemerintah. Dalam dua tahun terakhir belanja pemerintah sangat ekspansif. Pada APBN 2017, belanja ditetapkan sebesar Rp 2.070,5 triliun, turun sedikit dibandingkan belanja tahun 2016 sebesar Rp 2.095,7. Namun lebih tinggi dibandingkan belanja tahun 2015 sebesar Rp 2.039,5. Belanja pemerintah yang begitu ekspansif tersebut, tidak sebanding dengan tingkat penerimaan yang dipatok pemerintah. Tahun 2017 penerimaan dipatok sebesar Rp Rp 1.737,6 triliun, sedangkan pada tahun 2016 dari proyeksi penerimaan sebesar Rp 1.822,5, realisasi penerimaan hanya sebesar Rp 1.551,8 triliun. Untuk tahun 2015, dari proyeksi penerimaan sebesar Rp 1.762,3 triliun, realisasi penerimaan hanya mencapai Rp 1.491,5 triliun. Besarnya belanja dibandingkan penerimaan, membuat defisit dalam APBN terus membengkak dari tahun ke tahun. Defisit tersebut selalu ditutupi dengan mengajukan utang baru, baik utang langsung kepada debitur (lembaga donor) maupun melalui penerbitan SBN (Surat Berharga Negara). Dan seperti biasa utang akan menjadi beban pada APBN tahuntahun berikutnya. Defisit dan utang yang mengerogoti APBN tersebut harus segera diakhiri. Usaha untuk mengakhiri rezim defisit tersebut pertama-tama dapat ditempuh dengan mengajukan permohonan judicial review kepada Mahkamh Konstitusi (MK) atas UU No.17 tahun 2003 tentang keuangan negara.","author":[{"dropping-particle":"","family":"Burmansyah","given":"Edy","non-dropping-particle":"","parse-names":false,"suffix":""},{"dropping-particle":"","family":"Nasution","given":"Ade Parlaungan","non-dropping-particle":"","parse-names":false,"suffix":""}],"container-title":"ECOBISMA (JURNAL EKONOMI, BISNIS DAN MANAJEMEN)","id":"ITEM-1","issue":"2","issued":{"date-parts":[["2017","6","19"]]},"page":"1-12","title":"MENGAKHIRI REZIM DEFISIT PADA KEBIJAKAN FISKAL","type":"article-journal","volume":"4"},"uris":["http://www.mendeley.com/documents/?uuid=f516f40d-0f68-48fd-9f4e-e175c0ebb3be"]}],"mendeley":{"formattedCitation":"(Burmansyah &amp; Nasution, 2017)","manualFormatting":"(Burmansyah &amp; Nasution, 2017","plainTextFormattedCitation":"(Burmansyah &amp; Nasution, 2017)","previouslyFormattedCitation":"(Burmansyah &amp; Nasution, 2017)"},"properties":{"noteIndex":0},"schema":"https://github.com/citation-style-language/schema/raw/master/csl-citation.json"}</w:instrText>
      </w:r>
      <w:r w:rsidR="003A3350" w:rsidRPr="00CD59EE">
        <w:rPr>
          <w:rFonts w:ascii="Calibri Light" w:hAnsi="Calibri Light" w:cs="Calibri Light"/>
          <w:color w:val="0070C0"/>
          <w:sz w:val="24"/>
          <w:szCs w:val="24"/>
        </w:rPr>
        <w:fldChar w:fldCharType="separate"/>
      </w:r>
      <w:r w:rsidR="003A3350" w:rsidRPr="00CD59EE">
        <w:rPr>
          <w:rFonts w:ascii="Calibri Light" w:hAnsi="Calibri Light" w:cs="Calibri Light"/>
          <w:noProof/>
          <w:color w:val="0070C0"/>
          <w:sz w:val="24"/>
          <w:szCs w:val="24"/>
        </w:rPr>
        <w:t>(Burmansyah &amp; Nasution, 2017</w:t>
      </w:r>
      <w:r w:rsidR="003A3350"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w:t>
      </w:r>
      <w:r w:rsidR="00903CCF" w:rsidRPr="00CD59EE">
        <w:rPr>
          <w:rFonts w:ascii="Calibri Light" w:hAnsi="Calibri Light" w:cs="Calibri Light"/>
          <w:color w:val="0070C0"/>
          <w:sz w:val="24"/>
          <w:szCs w:val="24"/>
        </w:rPr>
        <w:t xml:space="preserve"> </w:t>
      </w:r>
      <w:r w:rsidRPr="00CD59EE">
        <w:rPr>
          <w:rFonts w:ascii="Calibri Light" w:hAnsi="Calibri Light" w:cs="Calibri Light"/>
          <w:color w:val="0070C0"/>
          <w:sz w:val="24"/>
          <w:szCs w:val="24"/>
        </w:rPr>
        <w:t xml:space="preserve"> </w:t>
      </w:r>
      <w:r w:rsidR="00CD59EE" w:rsidRPr="00CD59EE">
        <w:rPr>
          <w:rFonts w:ascii="Calibri Light" w:hAnsi="Calibri Light" w:cs="Calibri Light"/>
          <w:color w:val="0070C0"/>
          <w:sz w:val="24"/>
          <w:szCs w:val="24"/>
        </w:rPr>
        <w:fldChar w:fldCharType="begin" w:fldLock="1"/>
      </w:r>
      <w:r w:rsidR="00583A95">
        <w:rPr>
          <w:rFonts w:ascii="Calibri Light" w:hAnsi="Calibri Light" w:cs="Calibri Light"/>
          <w:color w:val="0070C0"/>
          <w:sz w:val="24"/>
          <w:szCs w:val="24"/>
        </w:rPr>
        <w:instrText>ADDIN CSL_CITATION {"citationItems":[{"id":"ITEM-1","itemData":{"abstract":"Rencana akan adanya redenominasi oleh Bank Indonesia menimbulkan sejumlah analisa pro dan kontra yang mengkhawatirkan bagi sektor perekonomian, khususnya nilai mata uang dan pola perubahan stigma di perekonomian secara makro dan mikro di Indonesia. Secara konsep redenominasi diibaratkan sebagai dua keping sisi mata uang, yang akan memiliki keuntungan, namun di salah satu sisi dapat menjadi kerugian dan bumerang bagi pemerintahan ekonomi Indonesia. Di satu sisi diharapkan menimbulkan keefektifan dan tingginya kualitas nilai mata uang, namun di sisi lain terjadi penolakan dan argumentasi kontradiktif akan dampak redenominasi yang kurang dalam sosialisasinya dapat memberikan gambaran pemotongan nilai intrisik mata uang. Tujuan dari penelitian ini adalah untuk mengetahui analisa atas rencana redenominasi rupiah terhadap kajian Akuntansi Pembangunan di Indonesia. Metode penelitian yang digunakan adalah metode kepustakaan, data diperoleh dari beberapa referensi yang kemudian diolah dan intepretasi hingga menghasilkan suatu analisa. Fokus analisa membahas pada kajian bagaimana berdasarkan sumber yang ada Indonesia mampu melaksanakan redenominasi rupiah Redenominasi akan membuat beberapa signifikansi khusus atas nilai keuntungan, salah satunya adalah redenominasi memberikan efisiensi dalam proses pencatatan sebab dengan redenominasi yang memang benar terjadi simplifikasi hitung-hitungan uang di Indonesia. Redenominasi rupiah adalah sesuatu hal yang menarik untuk dilaksanakan dan diimplementasikan di Indonesia. Redenominasi dapat diwujudkan di Indonesia dengan baik disertai kesiapan yang tercermin dari stabilitas ekonomi dan politik Indonesia. Sehingga untuk jangka waktu beberapa tahun ke depan (jangka pendek) redenominasi belum menjadi prioritas untuk segera diimplementasikan di Indonesia jika berkaca pada kestabilan aspek perekonomian dan politik di Indonesia.","author":[{"dropping-particle":"","family":"Dahliawati","given":"Anne","non-dropping-particle":"","parse-names":false,"suffix":""}],"container-title":"Jurnal UG","id":"ITEM-1","issue":"4","issued":{"date-parts":[["2020"]]},"title":"Analisa Teoritik Urgensi Redenominasi atas Nilai Rupiah","type":"article-journal","volume":"14"},"uris":["http://www.mendeley.com/documents/?uuid=0d397fa0-95b1-329b-8070-f2a569acaac6"]}],"mendeley":{"formattedCitation":"(Dahliawati, 2020)","manualFormatting":"Dahliawati, 2020","plainTextFormattedCitation":"(Dahliawati, 2020)","previouslyFormattedCitation":"(Dahliawati, 2020)"},"properties":{"noteIndex":0},"schema":"https://github.com/citation-style-language/schema/raw/master/csl-citation.json"}</w:instrText>
      </w:r>
      <w:r w:rsidR="00CD59EE" w:rsidRPr="00CD59EE">
        <w:rPr>
          <w:rFonts w:ascii="Calibri Light" w:hAnsi="Calibri Light" w:cs="Calibri Light"/>
          <w:color w:val="0070C0"/>
          <w:sz w:val="24"/>
          <w:szCs w:val="24"/>
        </w:rPr>
        <w:fldChar w:fldCharType="separate"/>
      </w:r>
      <w:r w:rsidR="00CD59EE" w:rsidRPr="00CD59EE">
        <w:rPr>
          <w:rFonts w:ascii="Calibri Light" w:hAnsi="Calibri Light" w:cs="Calibri Light"/>
          <w:noProof/>
          <w:color w:val="0070C0"/>
          <w:sz w:val="24"/>
          <w:szCs w:val="24"/>
        </w:rPr>
        <w:t>Dahliawati, 2020</w:t>
      </w:r>
      <w:r w:rsidR="00CD59EE"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 xml:space="preserve">; </w:t>
      </w:r>
      <w:r w:rsidR="00CD59EE" w:rsidRPr="00CD59EE">
        <w:rPr>
          <w:rFonts w:ascii="Calibri Light" w:hAnsi="Calibri Light" w:cs="Calibri Light"/>
          <w:color w:val="0070C0"/>
          <w:sz w:val="24"/>
          <w:szCs w:val="24"/>
        </w:rPr>
        <w:fldChar w:fldCharType="begin" w:fldLock="1"/>
      </w:r>
      <w:r w:rsidR="00CD59EE" w:rsidRPr="00CD59EE">
        <w:rPr>
          <w:rFonts w:ascii="Calibri Light" w:hAnsi="Calibri Light" w:cs="Calibri Light"/>
          <w:color w:val="0070C0"/>
          <w:sz w:val="24"/>
          <w:szCs w:val="24"/>
        </w:rPr>
        <w:instrText>ADDIN CSL_CITATION {"citationItems":[{"id":"ITEM-1","itemData":{"DOI":"10.55770/tn.v1i1.69","ISSN":"2442-8302","abstract":"Penulis mencermati suatu isu yang mencuat di dalam perekonomian Indonesia, yaitu isu mengenai redenominasi rupiahyang diangkat oleh Bank Indonesia. Secara konsep redenominasi diibaratkan sebagai dua keping sisi mata uang, yang mana akan memiliki keuntungan namun di salah satu sisi dapat menjadi kerugian dan bumerang bagi pemerintahan ekonomi Indonesia. Di satu sisi diharapkan menimbulkan keefektifan dan tingginya kualitas nilai mata uang, namun di sisi lain terjadi penolakkan dan argumentasi kontradiktif akan dampak redenominasi yang kurang dalam sosialisasinya dapat memberikan gambaran pemotongan nilai intrisik mata uang. Redenominasi akan membuat beberapa signifikansi khusus atas nilai keuntungan, di mana salah satunya adalah redenominasi memberikan efisiensi dalam proses pencatatan sebab dengan redenominasi yang memang benar terjadi simplifikasi hitung-hitungan uang di Indonesia. Karenanya,penulis menyimpulkan bahwa redenominasi rupiah adalah sesuatu hal yang menarik untuk dilaksanakan dan diimplementasikan di Indonesia. Redenominasi dapat diwujudkan di Indonesia dengan baik disertai kesiapan yang tercermin dari stabilitas ekonomi dan politik Indonesia. Sehingga, penulis menilai untuk jangka waktu beberapa tahun ke depan (jangka pendek) redenominasi belum menjadi prioritas untuk segera diimplementasikan di Indonesia jika berkaca pada kestabilan aspek perekonomian dan politik di Indonesia.","author":[{"dropping-particle":"","family":"Mubaroq","given":"Husni","non-dropping-particle":"","parse-names":false,"suffix":""}],"container-title":"TINTA NUSANTARA","id":"ITEM-1","issued":{"date-parts":[["2022"]]},"title":"Urgensi Redenominasi Atas Nilai Rupiah (Sebuah Analisa Teoritik)","type":"article-journal"},"uris":["http://www.mendeley.com/documents/?uuid=ea2e7386-90e0-4c76-b895-3479e1085048"]}],"mendeley":{"formattedCitation":"(Mubaroq, 2022)","manualFormatting":"Mubaroq, 2022)","plainTextFormattedCitation":"(Mubaroq, 2022)","previouslyFormattedCitation":"(Mubaroq, 2022)"},"properties":{"noteIndex":0},"schema":"https://github.com/citation-style-language/schema/raw/master/csl-citation.json"}</w:instrText>
      </w:r>
      <w:r w:rsidR="00CD59EE" w:rsidRPr="00CD59EE">
        <w:rPr>
          <w:rFonts w:ascii="Calibri Light" w:hAnsi="Calibri Light" w:cs="Calibri Light"/>
          <w:color w:val="0070C0"/>
          <w:sz w:val="24"/>
          <w:szCs w:val="24"/>
        </w:rPr>
        <w:fldChar w:fldCharType="separate"/>
      </w:r>
      <w:r w:rsidR="00CD59EE" w:rsidRPr="00CD59EE">
        <w:rPr>
          <w:rFonts w:ascii="Calibri Light" w:hAnsi="Calibri Light" w:cs="Calibri Light"/>
          <w:noProof/>
          <w:color w:val="0070C0"/>
          <w:sz w:val="24"/>
          <w:szCs w:val="24"/>
        </w:rPr>
        <w:t>Mubaroq, 2022)</w:t>
      </w:r>
      <w:r w:rsidR="00CD59EE" w:rsidRPr="00CD59EE">
        <w:rPr>
          <w:rFonts w:ascii="Calibri Light" w:hAnsi="Calibri Light" w:cs="Calibri Light"/>
          <w:color w:val="0070C0"/>
          <w:sz w:val="24"/>
          <w:szCs w:val="24"/>
        </w:rPr>
        <w:fldChar w:fldCharType="end"/>
      </w:r>
      <w:r w:rsidR="00CD59EE" w:rsidRPr="00CD59EE">
        <w:rPr>
          <w:rFonts w:ascii="Calibri Light" w:hAnsi="Calibri Light" w:cs="Calibri Light"/>
          <w:color w:val="0070C0"/>
          <w:sz w:val="24"/>
          <w:szCs w:val="24"/>
        </w:rPr>
        <w:t>,</w:t>
      </w:r>
      <w:r w:rsidRPr="000376DE">
        <w:rPr>
          <w:rFonts w:ascii="Calibri Light" w:hAnsi="Calibri Light" w:cs="Calibri Light"/>
          <w:sz w:val="24"/>
          <w:szCs w:val="24"/>
        </w:rPr>
        <w:t xml:space="preserve"> 4) redenomination in a legal perspective </w:t>
      </w:r>
      <w:r w:rsidR="00E82626" w:rsidRPr="00E82626">
        <w:rPr>
          <w:rFonts w:ascii="Calibri Light" w:hAnsi="Calibri Light" w:cs="Calibri Light"/>
          <w:color w:val="0070C0"/>
          <w:sz w:val="24"/>
          <w:szCs w:val="24"/>
        </w:rPr>
        <w:fldChar w:fldCharType="begin" w:fldLock="1"/>
      </w:r>
      <w:r w:rsidR="00B975EE">
        <w:rPr>
          <w:rFonts w:ascii="Calibri Light" w:hAnsi="Calibri Light" w:cs="Calibri Light"/>
          <w:color w:val="0070C0"/>
          <w:sz w:val="24"/>
          <w:szCs w:val="24"/>
        </w:rPr>
        <w:instrText>ADDIN CSL_CITATION {"citationItems":[{"id":"ITEM-1","itemData":{"author":[{"dropping-particle":"","family":"Kurnianingrum","given":"T. P.","non-dropping-particle":"","parse-names":false,"suffix":""}],"container-title":"Negara Hukum","id":"ITEM-1","issue":"1","issued":{"date-parts":[["2016"]]},"page":"67-85","title":"Redenominasi Rupiah Dalam Prespektif Hukum","type":"article-journal","volume":"4"},"uris":["http://www.mendeley.com/documents/?uuid=77b2c7f0-5ac3-4e5d-bf7e-0bbf7fc75ee2"]}],"mendeley":{"formattedCitation":"(Kurnianingrum, 2016)","plainTextFormattedCitation":"(Kurnianingrum, 2016)","previouslyFormattedCitation":"(Kurnianingrum, 2016)"},"properties":{"noteIndex":0},"schema":"https://github.com/citation-style-language/schema/raw/master/csl-citation.json"}</w:instrText>
      </w:r>
      <w:r w:rsidR="00E82626" w:rsidRPr="00E82626">
        <w:rPr>
          <w:rFonts w:ascii="Calibri Light" w:hAnsi="Calibri Light" w:cs="Calibri Light"/>
          <w:color w:val="0070C0"/>
          <w:sz w:val="24"/>
          <w:szCs w:val="24"/>
        </w:rPr>
        <w:fldChar w:fldCharType="separate"/>
      </w:r>
      <w:r w:rsidR="00E82626" w:rsidRPr="00E82626">
        <w:rPr>
          <w:rFonts w:ascii="Calibri Light" w:hAnsi="Calibri Light" w:cs="Calibri Light"/>
          <w:noProof/>
          <w:color w:val="0070C0"/>
          <w:sz w:val="24"/>
          <w:szCs w:val="24"/>
        </w:rPr>
        <w:t>(Kurnianingrum, 2016)</w:t>
      </w:r>
      <w:r w:rsidR="00E82626" w:rsidRPr="00E82626">
        <w:rPr>
          <w:rFonts w:ascii="Calibri Light" w:hAnsi="Calibri Light" w:cs="Calibri Light"/>
          <w:color w:val="0070C0"/>
          <w:sz w:val="24"/>
          <w:szCs w:val="24"/>
        </w:rPr>
        <w:fldChar w:fldCharType="end"/>
      </w:r>
      <w:r w:rsidR="00E82626" w:rsidRPr="00E82626">
        <w:rPr>
          <w:rFonts w:ascii="Calibri Light" w:hAnsi="Calibri Light" w:cs="Calibri Light"/>
          <w:color w:val="0070C0"/>
          <w:sz w:val="24"/>
          <w:szCs w:val="24"/>
        </w:rPr>
        <w:t xml:space="preserve">, </w:t>
      </w:r>
      <w:r w:rsidRPr="000376DE">
        <w:rPr>
          <w:rFonts w:ascii="Calibri Light" w:hAnsi="Calibri Light" w:cs="Calibri Light"/>
          <w:sz w:val="24"/>
          <w:szCs w:val="24"/>
        </w:rPr>
        <w:t>5) implementation of redenomination</w:t>
      </w:r>
      <w:r w:rsidR="00583A95">
        <w:rPr>
          <w:rFonts w:ascii="Calibri Light" w:hAnsi="Calibri Light" w:cs="Calibri Light"/>
          <w:sz w:val="24"/>
          <w:szCs w:val="24"/>
        </w:rPr>
        <w:t xml:space="preserve"> </w:t>
      </w:r>
      <w:r w:rsidR="00583A95" w:rsidRPr="00583A95">
        <w:rPr>
          <w:rFonts w:ascii="Calibri Light" w:hAnsi="Calibri Light" w:cs="Calibri Light"/>
          <w:color w:val="0070C0"/>
          <w:sz w:val="24"/>
          <w:szCs w:val="24"/>
        </w:rPr>
        <w:fldChar w:fldCharType="begin" w:fldLock="1"/>
      </w:r>
      <w:r w:rsidR="00E82626">
        <w:rPr>
          <w:rFonts w:ascii="Calibri Light" w:hAnsi="Calibri Light" w:cs="Calibri Light"/>
          <w:color w:val="0070C0"/>
          <w:sz w:val="24"/>
          <w:szCs w:val="24"/>
        </w:rPr>
        <w:instrText>ADDIN CSL_CITATION {"citationItems":[{"id":"ITEM-1","itemData":{"DOI":"https://doi.org/10.35706/value.v1i2.671","author":[{"dropping-particle":"","family":"Mada WK","given":"B. A.","non-dropping-particle":"","parse-names":false,"suffix":""}],"container-title":"Value Journal of Management and Business","id":"ITEM-1","issue":"2","issued":{"date-parts":[["2017"]]},"title":"MENDORONG IMPLEMENTASI REDENOMINASI RUPIAH UNTUK PENINGKATAN EFISIENSI DAN DAYA SAING EKONOMI INDONESIA DI ERA MASYARAKAT EKONOMI ASEAN (MEA)","type":"article-journal","volume":"1"},"uris":["http://www.mendeley.com/documents/?uuid=bd45d364-b31b-4671-b970-41659ee2814a"]}],"mendeley":{"formattedCitation":"(Mada WK, 2017)","plainTextFormattedCitation":"(Mada WK, 2017)","previouslyFormattedCitation":"(Mada WK, 2017)"},"properties":{"noteIndex":0},"schema":"https://github.com/citation-style-language/schema/raw/master/csl-citation.json"}</w:instrText>
      </w:r>
      <w:r w:rsidR="00583A95" w:rsidRPr="00583A95">
        <w:rPr>
          <w:rFonts w:ascii="Calibri Light" w:hAnsi="Calibri Light" w:cs="Calibri Light"/>
          <w:color w:val="0070C0"/>
          <w:sz w:val="24"/>
          <w:szCs w:val="24"/>
        </w:rPr>
        <w:fldChar w:fldCharType="separate"/>
      </w:r>
      <w:r w:rsidR="00583A95" w:rsidRPr="00583A95">
        <w:rPr>
          <w:rFonts w:ascii="Calibri Light" w:hAnsi="Calibri Light" w:cs="Calibri Light"/>
          <w:noProof/>
          <w:color w:val="0070C0"/>
          <w:sz w:val="24"/>
          <w:szCs w:val="24"/>
        </w:rPr>
        <w:t>(Mada WK, 2017)</w:t>
      </w:r>
      <w:r w:rsidR="00583A95" w:rsidRPr="00583A95">
        <w:rPr>
          <w:rFonts w:ascii="Calibri Light" w:hAnsi="Calibri Light" w:cs="Calibri Light"/>
          <w:color w:val="0070C0"/>
          <w:sz w:val="24"/>
          <w:szCs w:val="24"/>
        </w:rPr>
        <w:fldChar w:fldCharType="end"/>
      </w:r>
      <w:r w:rsidR="00583A95">
        <w:rPr>
          <w:rFonts w:ascii="Calibri Light" w:hAnsi="Calibri Light" w:cs="Calibri Light"/>
          <w:color w:val="0070C0"/>
          <w:sz w:val="24"/>
          <w:szCs w:val="24"/>
        </w:rPr>
        <w:t xml:space="preserve">, </w:t>
      </w:r>
      <w:r w:rsidRPr="000376DE">
        <w:rPr>
          <w:rFonts w:ascii="Calibri Light" w:hAnsi="Calibri Light" w:cs="Calibri Light"/>
          <w:sz w:val="24"/>
          <w:szCs w:val="24"/>
        </w:rPr>
        <w:t>6) impact of rupiah redenomination</w:t>
      </w:r>
      <w:r w:rsidR="008C5EA4">
        <w:rPr>
          <w:rFonts w:ascii="Calibri Light" w:hAnsi="Calibri Light" w:cs="Calibri Light"/>
          <w:sz w:val="24"/>
          <w:szCs w:val="24"/>
        </w:rPr>
        <w:t xml:space="preserve"> </w:t>
      </w:r>
      <w:r w:rsidR="008C5EA4" w:rsidRPr="008C5EA4">
        <w:rPr>
          <w:rFonts w:ascii="Calibri Light" w:hAnsi="Calibri Light" w:cs="Calibri Light"/>
          <w:color w:val="0070C0"/>
          <w:sz w:val="24"/>
          <w:szCs w:val="24"/>
        </w:rPr>
        <w:fldChar w:fldCharType="begin" w:fldLock="1"/>
      </w:r>
      <w:r w:rsidR="00B553D5">
        <w:rPr>
          <w:rFonts w:ascii="Calibri Light" w:hAnsi="Calibri Light" w:cs="Calibri Light"/>
          <w:color w:val="0070C0"/>
          <w:sz w:val="24"/>
          <w:szCs w:val="24"/>
        </w:rPr>
        <w:instrText>ADDIN CSL_CITATION {"citationItems":[{"id":"ITEM-1","itemData":{"DOI":"10.21098/bemp.v19i2.630","ISSN":"2460-9196","abstract":"Redenomination is a simplification of nominal value of currency by reducing digit (zero number) without reducing the real value of the currency. This paper provide an overview of the impact of redenomination to changes in transaction prices, transaction value and number of transactions using experimental methods. The results showed that the most substantial price reduction on the elastic goods can occur in conditions of low economic growth and high inflation. Price reductions also occur in conditions of high economic growth and low inflation. Based on results, there is no change between before and after redenomination on the number of transactions. So redenomination would not change the number of transactions in elastic goods. Conditions which can change the value of the transaction is low growth and high growth in high inflation condition. Conditions of high inflation and low growth will decrease the value of the transaction while the condition of high inflation with high growth will increase the value of the transaction.","author":[{"dropping-particle":"","family":"Astrini","given":"Danti","non-dropping-particle":"","parse-names":false,"suffix":""},{"dropping-particle":"","family":"Juanda","given":"Bambang","non-dropping-particle":"","parse-names":false,"suffix":""},{"dropping-particle":"","family":"Achsani","given":"Noer Azam","non-dropping-particle":"","parse-names":false,"suffix":""}],"container-title":"Buletin Ekonomi Moneter dan Perbankan","id":"ITEM-1","issue":"2","issued":{"date-parts":[["2016","12","29"]]},"page":"207-238","title":"IMPACT OF REDENOMINATION ON PRICE, VOLUME, AND VALUE OF TRANSACTION: AN EXPERIMENTAL ECONOMIC APPRAOCH","type":"article-journal","volume":"19"},"uris":["http://www.mendeley.com/documents/?uuid=7cc9bf5e-03ee-4fa4-9796-ba2726999c64"]}],"mendeley":{"formattedCitation":"(Astrini et al., 2016)","manualFormatting":"(Astrini et al., 2016","plainTextFormattedCitation":"(Astrini et al., 2016)","previouslyFormattedCitation":"(Astrini et al., 2016)"},"properties":{"noteIndex":0},"schema":"https://github.com/citation-style-language/schema/raw/master/csl-citation.json"}</w:instrText>
      </w:r>
      <w:r w:rsidR="008C5EA4" w:rsidRPr="008C5EA4">
        <w:rPr>
          <w:rFonts w:ascii="Calibri Light" w:hAnsi="Calibri Light" w:cs="Calibri Light"/>
          <w:color w:val="0070C0"/>
          <w:sz w:val="24"/>
          <w:szCs w:val="24"/>
        </w:rPr>
        <w:fldChar w:fldCharType="separate"/>
      </w:r>
      <w:r w:rsidR="008C5EA4" w:rsidRPr="008C5EA4">
        <w:rPr>
          <w:rFonts w:ascii="Calibri Light" w:hAnsi="Calibri Light" w:cs="Calibri Light"/>
          <w:noProof/>
          <w:color w:val="0070C0"/>
          <w:sz w:val="24"/>
          <w:szCs w:val="24"/>
        </w:rPr>
        <w:t xml:space="preserve">(Astrini </w:t>
      </w:r>
      <w:r w:rsidR="005B3038" w:rsidRPr="005B3038">
        <w:rPr>
          <w:rFonts w:ascii="Calibri Light" w:hAnsi="Calibri Light" w:cs="Calibri Light"/>
          <w:i/>
          <w:noProof/>
          <w:color w:val="0070C0"/>
          <w:sz w:val="24"/>
          <w:szCs w:val="24"/>
        </w:rPr>
        <w:t>et al.</w:t>
      </w:r>
      <w:r w:rsidR="008C5EA4" w:rsidRPr="008C5EA4">
        <w:rPr>
          <w:rFonts w:ascii="Calibri Light" w:hAnsi="Calibri Light" w:cs="Calibri Light"/>
          <w:noProof/>
          <w:color w:val="0070C0"/>
          <w:sz w:val="24"/>
          <w:szCs w:val="24"/>
        </w:rPr>
        <w:t>, 2016</w:t>
      </w:r>
      <w:r w:rsidR="008C5EA4" w:rsidRPr="008C5EA4">
        <w:rPr>
          <w:rFonts w:ascii="Calibri Light" w:hAnsi="Calibri Light" w:cs="Calibri Light"/>
          <w:color w:val="0070C0"/>
          <w:sz w:val="24"/>
          <w:szCs w:val="24"/>
        </w:rPr>
        <w:fldChar w:fldCharType="end"/>
      </w:r>
      <w:r w:rsidR="008C5EA4">
        <w:rPr>
          <w:rFonts w:ascii="Calibri Light" w:hAnsi="Calibri Light" w:cs="Calibri Light"/>
          <w:color w:val="0070C0"/>
          <w:sz w:val="24"/>
          <w:szCs w:val="24"/>
        </w:rPr>
        <w:t>;</w:t>
      </w:r>
      <w:r w:rsidR="00B975EE" w:rsidRPr="008C5EA4">
        <w:rPr>
          <w:rFonts w:ascii="Calibri Light" w:hAnsi="Calibri Light" w:cs="Calibri Light"/>
          <w:color w:val="0070C0"/>
          <w:sz w:val="24"/>
          <w:szCs w:val="24"/>
        </w:rPr>
        <w:t xml:space="preserve"> </w:t>
      </w:r>
      <w:r w:rsidR="00B975EE" w:rsidRPr="008C5EA4">
        <w:rPr>
          <w:rFonts w:ascii="Calibri Light" w:hAnsi="Calibri Light" w:cs="Calibri Light"/>
          <w:color w:val="0070C0"/>
          <w:sz w:val="24"/>
          <w:szCs w:val="24"/>
        </w:rPr>
        <w:fldChar w:fldCharType="begin" w:fldLock="1"/>
      </w:r>
      <w:r w:rsidR="00FC7F7E">
        <w:rPr>
          <w:rFonts w:ascii="Calibri Light" w:hAnsi="Calibri Light" w:cs="Calibri Light"/>
          <w:color w:val="0070C0"/>
          <w:sz w:val="24"/>
          <w:szCs w:val="24"/>
        </w:rPr>
        <w:instrText>ADDIN CSL_CITATION {"citationItems":[{"id":"ITEM-1","itemData":{"DOI":"10.31963/akunsika.v4i2.4277","ISSN":"2722-3590","abstract":"The purpose of this study is to see the impact of the redenomination of the rupiah on the presentation of audited financial statements. The research was conducted on auditors who work at Public Accounting Firms in Makassar. The data analysis method used is descriptive qualitative, the data collected from interviews will be processed and explained with reference to the literature study that has been done, then analyzed with three components, namely data reduction, data presentation and drawing conclusions. Based on the results of the research conducted, it can be seen that the rupiah redenomination policy will have an impact on simplifying financial calculations and reducing errors in financial transactions. carried out, as well as creating uniformity in simplifying the audited financial report assessment.","author":[{"dropping-particle":"","family":"Arsyad","given":"Muhammad","non-dropping-particle":"","parse-names":false,"suffix":""}],"container-title":"AKUNSIKA: Jurnal Akuntansi dan Keuangan","id":"ITEM-1","issue":"2","issued":{"date-parts":[["2023","7","31"]]},"page":"57-62","title":"Dampak Redenominasi Rupiah terhadap Penyajian Laporan Keuangan Audited","type":"article-journal","volume":"4"},"uris":["http://www.mendeley.com/documents/?uuid=ae958aa5-28a0-31b1-a9a2-4a3c82320394"]}],"mendeley":{"formattedCitation":"(Arsyad, 2023)","manualFormatting":"Arsyad, 2023)","plainTextFormattedCitation":"(Arsyad, 2023)","previouslyFormattedCitation":"(Arsyad, 2023)"},"properties":{"noteIndex":0},"schema":"https://github.com/citation-style-language/schema/raw/master/csl-citation.json"}</w:instrText>
      </w:r>
      <w:r w:rsidR="00B975EE" w:rsidRPr="008C5EA4">
        <w:rPr>
          <w:rFonts w:ascii="Calibri Light" w:hAnsi="Calibri Light" w:cs="Calibri Light"/>
          <w:color w:val="0070C0"/>
          <w:sz w:val="24"/>
          <w:szCs w:val="24"/>
        </w:rPr>
        <w:fldChar w:fldCharType="separate"/>
      </w:r>
      <w:r w:rsidR="00B975EE" w:rsidRPr="008C5EA4">
        <w:rPr>
          <w:rFonts w:ascii="Calibri Light" w:hAnsi="Calibri Light" w:cs="Calibri Light"/>
          <w:noProof/>
          <w:color w:val="0070C0"/>
          <w:sz w:val="24"/>
          <w:szCs w:val="24"/>
        </w:rPr>
        <w:t>Arsyad, 2023)</w:t>
      </w:r>
      <w:r w:rsidR="00B975EE" w:rsidRPr="008C5EA4">
        <w:rPr>
          <w:rFonts w:ascii="Calibri Light" w:hAnsi="Calibri Light" w:cs="Calibri Light"/>
          <w:color w:val="0070C0"/>
          <w:sz w:val="24"/>
          <w:szCs w:val="24"/>
        </w:rPr>
        <w:fldChar w:fldCharType="end"/>
      </w:r>
      <w:r w:rsidR="00FC7F7E">
        <w:rPr>
          <w:rFonts w:ascii="Calibri Light" w:hAnsi="Calibri Light" w:cs="Calibri Light"/>
          <w:color w:val="0070C0"/>
          <w:sz w:val="24"/>
          <w:szCs w:val="24"/>
        </w:rPr>
        <w:t>,</w:t>
      </w:r>
      <w:r w:rsidRPr="000376DE">
        <w:rPr>
          <w:rFonts w:ascii="Calibri Light" w:hAnsi="Calibri Light" w:cs="Calibri Light"/>
          <w:sz w:val="24"/>
          <w:szCs w:val="24"/>
        </w:rPr>
        <w:t xml:space="preserve"> 7) redenomination analysis </w:t>
      </w:r>
      <w:r w:rsidR="00B553D5">
        <w:rPr>
          <w:rFonts w:ascii="Calibri Light" w:hAnsi="Calibri Light" w:cs="Calibri Light"/>
          <w:sz w:val="24"/>
          <w:szCs w:val="24"/>
        </w:rPr>
        <w:t xml:space="preserve"> </w:t>
      </w:r>
      <w:r w:rsidR="00B553D5" w:rsidRPr="00B553D5">
        <w:rPr>
          <w:rFonts w:ascii="Calibri Light" w:hAnsi="Calibri Light" w:cs="Calibri Light"/>
          <w:color w:val="0070C0"/>
          <w:sz w:val="24"/>
          <w:szCs w:val="24"/>
        </w:rPr>
        <w:fldChar w:fldCharType="begin" w:fldLock="1"/>
      </w:r>
      <w:r w:rsidR="00B553D5">
        <w:rPr>
          <w:rFonts w:ascii="Calibri Light" w:hAnsi="Calibri Light" w:cs="Calibri Light"/>
          <w:color w:val="0070C0"/>
          <w:sz w:val="24"/>
          <w:szCs w:val="24"/>
        </w:rPr>
        <w:instrText>ADDIN CSL_CITATION {"citationItems":[{"id":"ITEM-1","itemData":{"DOI":"10.15294/edaj.v5i2.22028","ISSN":"2502-2725","abstract":"Rencana redenominasi rupiah di Indonesia menjadikan pengalaman beberapa negara yang telah menerapkan redenominasi mata uang penting untuk ditinjau dari sisi makro ekonomi saat sebelum dan sesudah redenominasi sehingga menjadi dasar pertimbangan bagi Indonesia mengambil keputusan dalam rencana penerapan redenominasi rupiah. Tujuan penelitian ini untuk mengetahui ada tidaknya perbedaan kondisi inflasi, nilai tukar, ekspor, penanaman modal asing (PMA) dan pertumbuhan ekonomi 1 tahun sebelum dan 1 tahun sesudah menerapkan redenominasi pada 20 negara yang telah menerapkan redenominasi. Penelitian ini menggunakan metode penelitian kuantitatif dengan alat analisis uji beda dua rata-rata sampel berpasangan. Hasil analisis menunjukkan bahwa pada variabel nilai tukar terdapat perbedaan antara sebelum dan sesudah redenominasi yaitu nilai tukar semakin lemah setelah penerapan redenominasi, sedangkan pada variabel inflasi, ekspor, PMA, dan pertumbuhan ekonomi tidak terdapat perbedaan sebelum dan sesudah redenominasi. Rupiah redenomination which planned by Indonesia make the experience of countries that have implemented the currency redenomination is important to be reviewed in terms of macroeconomic before and after the redenomination so that it becomes a basic consideration for Indonesia to take decisions in the plan of implementation rupiah redenomination. The purpose of this study is to determine whether there is difference in the conditions of inflation, exchange rate, exports, foreign direct investment (FDI) and economic growth in the current 1 year before and 1 year after implementing the redenomination in the 20 countries that have implemented the currency redenomination. This study used a quantitative method, with analysis dependent sample t-test which showed that there is a difference between before and after redenomination in exchange rate variable is getting weaker after the implementation of the redenomination, while there is no difference before and after the redenomination in inflation, exports, FDI, and economic growth.","author":[{"dropping-particle":"","family":"Febrida","given":"Maria","non-dropping-particle":"","parse-names":false,"suffix":""},{"dropping-particle":"","family":"Karolina Br. Sebayang","given":"Lesta","non-dropping-particle":"","parse-names":false,"suffix":""}],"container-title":"Economics Development Analysis Journal","id":"ITEM-1","issue":"2","issued":{"date-parts":[["2018","3","8"]]},"page":"153-162","title":"Analisis Makro Ekonomi Sebelum dan Sesudah Penerapan Redenominasi Mata Uang","type":"article-journal","volume":"5"},"uris":["http://www.mendeley.com/documents/?uuid=cc0004c8-887d-4ec7-9ba8-ebccb60eacd0"]}],"mendeley":{"formattedCitation":"(Febrida &amp; Karolina Br. Sebayang, 2018)","plainTextFormattedCitation":"(Febrida &amp; Karolina Br. Sebayang, 2018)","previouslyFormattedCitation":"(Febrida &amp; Karolina Br. Sebayang, 2018)"},"properties":{"noteIndex":0},"schema":"https://github.com/citation-style-language/schema/raw/master/csl-citation.json"}</w:instrText>
      </w:r>
      <w:r w:rsidR="00B553D5" w:rsidRPr="00B553D5">
        <w:rPr>
          <w:rFonts w:ascii="Calibri Light" w:hAnsi="Calibri Light" w:cs="Calibri Light"/>
          <w:color w:val="0070C0"/>
          <w:sz w:val="24"/>
          <w:szCs w:val="24"/>
        </w:rPr>
        <w:fldChar w:fldCharType="separate"/>
      </w:r>
      <w:r w:rsidR="00B553D5" w:rsidRPr="00B553D5">
        <w:rPr>
          <w:rFonts w:ascii="Calibri Light" w:hAnsi="Calibri Light" w:cs="Calibri Light"/>
          <w:noProof/>
          <w:color w:val="0070C0"/>
          <w:sz w:val="24"/>
          <w:szCs w:val="24"/>
        </w:rPr>
        <w:t>(Febrida &amp; Karolina Br. Sebayang, 2018)</w:t>
      </w:r>
      <w:r w:rsidR="00B553D5" w:rsidRPr="00B553D5">
        <w:rPr>
          <w:rFonts w:ascii="Calibri Light" w:hAnsi="Calibri Light" w:cs="Calibri Light"/>
          <w:color w:val="0070C0"/>
          <w:sz w:val="24"/>
          <w:szCs w:val="24"/>
        </w:rPr>
        <w:fldChar w:fldCharType="end"/>
      </w:r>
      <w:r w:rsidR="00B553D5">
        <w:rPr>
          <w:rFonts w:ascii="Calibri Light" w:hAnsi="Calibri Light" w:cs="Calibri Light"/>
          <w:sz w:val="24"/>
          <w:szCs w:val="24"/>
        </w:rPr>
        <w:t xml:space="preserve">, </w:t>
      </w:r>
      <w:r w:rsidRPr="000376DE">
        <w:rPr>
          <w:rFonts w:ascii="Calibri Light" w:hAnsi="Calibri Light" w:cs="Calibri Light"/>
          <w:sz w:val="24"/>
          <w:szCs w:val="24"/>
        </w:rPr>
        <w:t>8) redenomination prospects</w:t>
      </w:r>
      <w:r w:rsidR="00B553D5">
        <w:rPr>
          <w:rFonts w:ascii="Calibri Light" w:hAnsi="Calibri Light" w:cs="Calibri Light"/>
          <w:sz w:val="24"/>
          <w:szCs w:val="24"/>
        </w:rPr>
        <w:t xml:space="preserve"> </w:t>
      </w:r>
      <w:r w:rsidR="00B553D5" w:rsidRPr="00B553D5">
        <w:rPr>
          <w:rFonts w:ascii="Calibri Light" w:hAnsi="Calibri Light" w:cs="Calibri Light"/>
          <w:color w:val="0070C0"/>
          <w:sz w:val="24"/>
          <w:szCs w:val="24"/>
        </w:rPr>
        <w:fldChar w:fldCharType="begin" w:fldLock="1"/>
      </w:r>
      <w:r w:rsidR="00B22D38">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2015)","plainTextFormattedCitation":"(Permana, 2015)","previouslyFormattedCitation":"(Permana, 2015)"},"properties":{"noteIndex":0},"schema":"https://github.com/citation-style-language/schema/raw/master/csl-citation.json"}</w:instrText>
      </w:r>
      <w:r w:rsidR="00B553D5" w:rsidRPr="00B553D5">
        <w:rPr>
          <w:rFonts w:ascii="Calibri Light" w:hAnsi="Calibri Light" w:cs="Calibri Light"/>
          <w:color w:val="0070C0"/>
          <w:sz w:val="24"/>
          <w:szCs w:val="24"/>
        </w:rPr>
        <w:fldChar w:fldCharType="separate"/>
      </w:r>
      <w:r w:rsidR="00B553D5" w:rsidRPr="00B553D5">
        <w:rPr>
          <w:rFonts w:ascii="Calibri Light" w:hAnsi="Calibri Light" w:cs="Calibri Light"/>
          <w:noProof/>
          <w:color w:val="0070C0"/>
          <w:sz w:val="24"/>
          <w:szCs w:val="24"/>
        </w:rPr>
        <w:t>(Permana, 2015)</w:t>
      </w:r>
      <w:r w:rsidR="00B553D5" w:rsidRPr="00B553D5">
        <w:rPr>
          <w:rFonts w:ascii="Calibri Light" w:hAnsi="Calibri Light" w:cs="Calibri Light"/>
          <w:color w:val="0070C0"/>
          <w:sz w:val="24"/>
          <w:szCs w:val="24"/>
        </w:rPr>
        <w:fldChar w:fldCharType="end"/>
      </w:r>
      <w:r w:rsidR="00B553D5">
        <w:rPr>
          <w:rFonts w:ascii="Calibri Light" w:hAnsi="Calibri Light" w:cs="Calibri Light"/>
          <w:color w:val="0070C0"/>
          <w:sz w:val="24"/>
          <w:szCs w:val="24"/>
        </w:rPr>
        <w:t xml:space="preserve">, </w:t>
      </w:r>
      <w:r w:rsidRPr="000376DE">
        <w:rPr>
          <w:rFonts w:ascii="Calibri Light" w:hAnsi="Calibri Light" w:cs="Calibri Light"/>
          <w:sz w:val="24"/>
          <w:szCs w:val="24"/>
        </w:rPr>
        <w:t>and 9) redenomination risk testing</w:t>
      </w:r>
      <w:r w:rsidR="00B22D38">
        <w:rPr>
          <w:rFonts w:ascii="Calibri Light" w:hAnsi="Calibri Light" w:cs="Calibri Light"/>
          <w:sz w:val="24"/>
          <w:szCs w:val="24"/>
        </w:rPr>
        <w:t xml:space="preserve"> </w:t>
      </w:r>
      <w:r w:rsidR="00B22D38" w:rsidRPr="00B22D38">
        <w:rPr>
          <w:rFonts w:ascii="Calibri Light" w:hAnsi="Calibri Light" w:cs="Calibri Light"/>
          <w:color w:val="0070C0"/>
          <w:sz w:val="24"/>
          <w:szCs w:val="24"/>
        </w:rPr>
        <w:fldChar w:fldCharType="begin" w:fldLock="1"/>
      </w:r>
      <w:r w:rsidR="00001612">
        <w:rPr>
          <w:rFonts w:ascii="Calibri Light" w:hAnsi="Calibri Light" w:cs="Calibri Light"/>
          <w:color w:val="0070C0"/>
          <w:sz w:val="24"/>
          <w:szCs w:val="24"/>
        </w:rPr>
        <w:instrText>ADDIN CSL_CITATION {"citationItems":[{"id":"ITEM-1","itemData":{"DOI":"10.33395/owner.v5i2.495","ISSN":"2548-7507","abstract":"The redenomination is a breakthrough policy to induce stabilization because making transactions easier among the economic agents. This quantitative research aims to find the properness of the redenomination policy in Indonesia. The focus of this research is to analyze the impact of redenomination risk on rupiah exchange rate performance. It is conducted from April 1st, 2015 until May 9th, 2016. The method of analysis used here is VECM (Vector Error Correction Model) to find relation reciprocally among the three variables: CDS (Credit Default Swap) as a proxy for redenomination risk, exchange rate, and sovereign yields. Based on the result, we find that there are negative impacts in the long-run and short-run from redenomination risk on the rupiah exchange rate. Meanwhile, the sovereign yield has a positive impact on the rupiah exchange rate in the long run. In the short run, the exchange rate has a positive impact on redenomination, as well as on sovereign yield. The sovereign yield also has a positive effect on the exchange rate, as well as on the redenomination risk. But there is no impact of redenomination risk on the sovereign yield. From this finding, we should suggest that redenomination is a not proper decision yet. It is because the weakness of rupiah after its implementation due to sentiment of over-confidence among the economic agents sometimes triggers uncontrollable and high inflation rate. For the successful policy, previously the government should take action to reduce the inflation rate.","author":[{"dropping-particle":"","family":"Holik","given":"Abdul","non-dropping-particle":"","parse-names":false,"suffix":""}],"container-title":"Owner","id":"ITEM-1","issued":{"date-parts":[["2021"]]},"title":"Pengujian Resiko Redenominasi terhadap Nilai Tukar Rupiah","type":"article-journal"},"uris":["http://www.mendeley.com/documents/?uuid=524d554c-bec8-454c-8bb2-8527a2b00f42"]}],"mendeley":{"formattedCitation":"(Holik, 2021)","manualFormatting":"(Holik, 2021","plainTextFormattedCitation":"(Holik, 2021)","previouslyFormattedCitation":"(Holik, 2021)"},"properties":{"noteIndex":0},"schema":"https://github.com/citation-style-language/schema/raw/master/csl-citation.json"}</w:instrText>
      </w:r>
      <w:r w:rsidR="00B22D38" w:rsidRPr="00B22D38">
        <w:rPr>
          <w:rFonts w:ascii="Calibri Light" w:hAnsi="Calibri Light" w:cs="Calibri Light"/>
          <w:color w:val="0070C0"/>
          <w:sz w:val="24"/>
          <w:szCs w:val="24"/>
        </w:rPr>
        <w:fldChar w:fldCharType="separate"/>
      </w:r>
      <w:r w:rsidR="00B22D38" w:rsidRPr="00B22D38">
        <w:rPr>
          <w:rFonts w:ascii="Calibri Light" w:hAnsi="Calibri Light" w:cs="Calibri Light"/>
          <w:noProof/>
          <w:color w:val="0070C0"/>
          <w:sz w:val="24"/>
          <w:szCs w:val="24"/>
        </w:rPr>
        <w:t>(Holik, 2021</w:t>
      </w:r>
      <w:r w:rsidR="00B22D38" w:rsidRPr="00B22D38">
        <w:rPr>
          <w:rFonts w:ascii="Calibri Light" w:hAnsi="Calibri Light" w:cs="Calibri Light"/>
          <w:color w:val="0070C0"/>
          <w:sz w:val="24"/>
          <w:szCs w:val="24"/>
        </w:rPr>
        <w:fldChar w:fldCharType="end"/>
      </w:r>
      <w:r w:rsidR="00001612">
        <w:rPr>
          <w:rFonts w:ascii="Calibri Light" w:hAnsi="Calibri Light" w:cs="Calibri Light"/>
          <w:color w:val="0070C0"/>
          <w:sz w:val="24"/>
          <w:szCs w:val="24"/>
        </w:rPr>
        <w:t>;</w:t>
      </w:r>
      <w:r w:rsidRPr="00B22D38">
        <w:rPr>
          <w:rFonts w:ascii="Calibri Light" w:hAnsi="Calibri Light" w:cs="Calibri Light"/>
          <w:color w:val="0070C0"/>
          <w:sz w:val="24"/>
          <w:szCs w:val="24"/>
        </w:rPr>
        <w:t xml:space="preserve"> </w:t>
      </w:r>
      <w:r w:rsidR="00B22D38" w:rsidRPr="00B22D38">
        <w:rPr>
          <w:rFonts w:ascii="Calibri Light" w:hAnsi="Calibri Light" w:cs="Calibri Light"/>
          <w:color w:val="0070C0"/>
          <w:sz w:val="24"/>
          <w:szCs w:val="24"/>
        </w:rPr>
        <w:fldChar w:fldCharType="begin" w:fldLock="1"/>
      </w:r>
      <w:r w:rsidR="00001612">
        <w:rPr>
          <w:rFonts w:ascii="Calibri Light" w:hAnsi="Calibri Light" w:cs="Calibri Light"/>
          <w:color w:val="0070C0"/>
          <w:sz w:val="24"/>
          <w:szCs w:val="24"/>
        </w:rPr>
        <w:instrText>ADDIN CSL_CITATION {"citationItems":[{"id":"ITEM-1","itemData":{"author":[{"dropping-particle":"","family":"Aulia","given":"Bintang Putri","non-dropping-particle":"","parse-names":false,"suffix":""},{"dropping-particle":"","family":"Pamungkas","given":"Khrisna Aji","non-dropping-particle":"","parse-names":false,"suffix":""},{"dropping-particle":"","family":"Mauboy","given":"Lourna Mariska","non-dropping-particle":"","parse-names":false,"suffix":""},{"dropping-particle":"","family":"Wijayanti","given":"Tyas Kurnia","non-dropping-particle":"","parse-names":false,"suffix":""}],"container-title":"Jurnal BPPK: Badan Pendidikan dan Pelatihan Keuangan","id":"ITEM-1","issue":"2","issued":{"date-parts":[["2024"]]},"page":"37-50","title":"FORECASTING MONEY SUPPLY USING GARCH METHOD FOR INDONESIA REDENOMINATION POLICY","type":"article-journal","volume":"17"},"uris":["http://www.mendeley.com/documents/?uuid=27f2f34e-af8d-4b78-83d8-460015e7c248"]}],"mendeley":{"formattedCitation":"(Aulia et al., 2024)","manualFormatting":"Aulia et al., 2024)","plainTextFormattedCitation":"(Aulia et al., 2024)","previouslyFormattedCitation":"(Aulia et al., 2024)"},"properties":{"noteIndex":0},"schema":"https://github.com/citation-style-language/schema/raw/master/csl-citation.json"}</w:instrText>
      </w:r>
      <w:r w:rsidR="00B22D38" w:rsidRPr="00B22D38">
        <w:rPr>
          <w:rFonts w:ascii="Calibri Light" w:hAnsi="Calibri Light" w:cs="Calibri Light"/>
          <w:color w:val="0070C0"/>
          <w:sz w:val="24"/>
          <w:szCs w:val="24"/>
        </w:rPr>
        <w:fldChar w:fldCharType="separate"/>
      </w:r>
      <w:r w:rsidR="00B22D38" w:rsidRPr="00B22D38">
        <w:rPr>
          <w:rFonts w:ascii="Calibri Light" w:hAnsi="Calibri Light" w:cs="Calibri Light"/>
          <w:noProof/>
          <w:color w:val="0070C0"/>
          <w:sz w:val="24"/>
          <w:szCs w:val="24"/>
        </w:rPr>
        <w:t xml:space="preserve">Aulia </w:t>
      </w:r>
      <w:r w:rsidR="005B3038" w:rsidRPr="005B3038">
        <w:rPr>
          <w:rFonts w:ascii="Calibri Light" w:hAnsi="Calibri Light" w:cs="Calibri Light"/>
          <w:i/>
          <w:noProof/>
          <w:color w:val="0070C0"/>
          <w:sz w:val="24"/>
          <w:szCs w:val="24"/>
        </w:rPr>
        <w:t>et al.</w:t>
      </w:r>
      <w:r w:rsidR="00B22D38" w:rsidRPr="00B22D38">
        <w:rPr>
          <w:rFonts w:ascii="Calibri Light" w:hAnsi="Calibri Light" w:cs="Calibri Light"/>
          <w:noProof/>
          <w:color w:val="0070C0"/>
          <w:sz w:val="24"/>
          <w:szCs w:val="24"/>
        </w:rPr>
        <w:t>, 2024)</w:t>
      </w:r>
      <w:r w:rsidR="00B22D38" w:rsidRPr="00B22D38">
        <w:rPr>
          <w:rFonts w:ascii="Calibri Light" w:hAnsi="Calibri Light" w:cs="Calibri Light"/>
          <w:color w:val="0070C0"/>
          <w:sz w:val="24"/>
          <w:szCs w:val="24"/>
        </w:rPr>
        <w:fldChar w:fldCharType="end"/>
      </w:r>
      <w:r w:rsidR="00B22D38">
        <w:rPr>
          <w:rFonts w:ascii="Calibri Light" w:hAnsi="Calibri Light" w:cs="Calibri Light"/>
          <w:color w:val="0070C0"/>
          <w:sz w:val="24"/>
          <w:szCs w:val="24"/>
        </w:rPr>
        <w:t>.</w:t>
      </w:r>
    </w:p>
    <w:p w14:paraId="1C23DD31" w14:textId="7838B78A"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To illustrate, </w:t>
      </w:r>
      <w:r w:rsidR="00001612" w:rsidRPr="00001612">
        <w:rPr>
          <w:rFonts w:ascii="Calibri Light" w:hAnsi="Calibri Light" w:cs="Calibri Light"/>
          <w:color w:val="0070C0"/>
          <w:sz w:val="24"/>
          <w:szCs w:val="24"/>
        </w:rPr>
        <w:t xml:space="preserve"> </w:t>
      </w:r>
      <w:r w:rsidR="00001612" w:rsidRPr="00001612">
        <w:rPr>
          <w:rFonts w:ascii="Calibri Light" w:hAnsi="Calibri Light" w:cs="Calibri Light"/>
          <w:color w:val="0070C0"/>
          <w:sz w:val="24"/>
          <w:szCs w:val="24"/>
        </w:rPr>
        <w:fldChar w:fldCharType="begin" w:fldLock="1"/>
      </w:r>
      <w:r w:rsidR="00FF28AE">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2015)","manualFormatting":"Permana, (2015)","plainTextFormattedCitation":"(Permana, 2015)","previouslyFormattedCitation":"(Permana, 2015)"},"properties":{"noteIndex":0},"schema":"https://github.com/citation-style-language/schema/raw/master/csl-citation.json"}</w:instrText>
      </w:r>
      <w:r w:rsidR="00001612" w:rsidRPr="00001612">
        <w:rPr>
          <w:rFonts w:ascii="Calibri Light" w:hAnsi="Calibri Light" w:cs="Calibri Light"/>
          <w:color w:val="0070C0"/>
          <w:sz w:val="24"/>
          <w:szCs w:val="24"/>
        </w:rPr>
        <w:fldChar w:fldCharType="separate"/>
      </w:r>
      <w:r w:rsidR="00001612" w:rsidRPr="00001612">
        <w:rPr>
          <w:rFonts w:ascii="Calibri Light" w:hAnsi="Calibri Light" w:cs="Calibri Light"/>
          <w:noProof/>
          <w:color w:val="0070C0"/>
          <w:sz w:val="24"/>
          <w:szCs w:val="24"/>
        </w:rPr>
        <w:t>Permana</w:t>
      </w:r>
      <w:r w:rsidR="005277E5">
        <w:rPr>
          <w:rFonts w:ascii="Calibri Light" w:hAnsi="Calibri Light" w:cs="Calibri Light"/>
          <w:noProof/>
          <w:color w:val="0070C0"/>
          <w:sz w:val="24"/>
          <w:szCs w:val="24"/>
        </w:rPr>
        <w:t>'s</w:t>
      </w:r>
      <w:r w:rsidR="00001612" w:rsidRPr="00001612">
        <w:rPr>
          <w:rFonts w:ascii="Calibri Light" w:hAnsi="Calibri Light" w:cs="Calibri Light"/>
          <w:noProof/>
          <w:color w:val="0070C0"/>
          <w:sz w:val="24"/>
          <w:szCs w:val="24"/>
        </w:rPr>
        <w:t xml:space="preserve"> (2015)</w:t>
      </w:r>
      <w:r w:rsidR="00001612" w:rsidRPr="00001612">
        <w:rPr>
          <w:rFonts w:ascii="Calibri Light" w:hAnsi="Calibri Light" w:cs="Calibri Light"/>
          <w:color w:val="0070C0"/>
          <w:sz w:val="24"/>
          <w:szCs w:val="24"/>
        </w:rPr>
        <w:fldChar w:fldCharType="end"/>
      </w:r>
      <w:r w:rsidR="00001612">
        <w:rPr>
          <w:rFonts w:ascii="Calibri Light" w:hAnsi="Calibri Light" w:cs="Calibri Light"/>
          <w:sz w:val="24"/>
          <w:szCs w:val="24"/>
        </w:rPr>
        <w:t xml:space="preserve"> </w:t>
      </w:r>
      <w:r w:rsidRPr="000376DE">
        <w:rPr>
          <w:rFonts w:ascii="Calibri Light" w:hAnsi="Calibri Light" w:cs="Calibri Light"/>
          <w:sz w:val="24"/>
          <w:szCs w:val="24"/>
        </w:rPr>
        <w:t xml:space="preserve">research outlined various matters that need attention in the plan to implement redenomination in Indonesia. The research explains Indonesia's macroeconomic fundamental readiness in facing the redenomination program and the impact it may cause. The urgency of implementing redenomination in Indonesia is based on economic inefficiency, technical constraints in business operations, and support for the national economy in entering the era of the ASEAN Economic Community (AEC). Indonesia's current macroeconomic indicators are considered strong enough and capable of supporting the implementation of redenomination. Redenomination is expected to provide positive benefits for the state, business actors, and the community. For the state, it can increase the credibility of the rupiah, save money on printing costs, and facilitate government transactions. For business actors, it can facilitate financial transactions, speed up operational time, minimize potential errors, and reduce the cost of adjusting hardware and software in accounting and information technology systems. For the public, it can simplify daily transactions, reduce the risk of currency damage, and support the teaching and learning process at the primary education level. However, the government and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also need to be aware of the risks that may arise from redenomination, such as inflation, </w:t>
      </w:r>
      <w:r w:rsidRPr="000376DE">
        <w:rPr>
          <w:rFonts w:ascii="Calibri Light" w:hAnsi="Calibri Light" w:cs="Calibri Light"/>
          <w:sz w:val="24"/>
          <w:szCs w:val="24"/>
        </w:rPr>
        <w:lastRenderedPageBreak/>
        <w:t>additional state expenditures, rejection from some members of the public, increased production costs, psychological effects, and potential disputes between businesses and consumers.</w:t>
      </w:r>
    </w:p>
    <w:p w14:paraId="26E9624A" w14:textId="03E45CF7" w:rsidR="000376DE" w:rsidRPr="000376DE" w:rsidRDefault="00FF28AE" w:rsidP="000376DE">
      <w:pPr>
        <w:spacing w:before="120" w:after="120"/>
        <w:ind w:left="425"/>
        <w:jc w:val="both"/>
        <w:rPr>
          <w:rFonts w:ascii="Calibri Light" w:hAnsi="Calibri Light" w:cs="Calibri Light"/>
          <w:sz w:val="24"/>
          <w:szCs w:val="24"/>
        </w:rPr>
      </w:pPr>
      <w:r w:rsidRPr="00FF28AE">
        <w:rPr>
          <w:rFonts w:ascii="Calibri Light" w:hAnsi="Calibri Light" w:cs="Calibri Light"/>
          <w:color w:val="0070C0"/>
          <w:sz w:val="24"/>
          <w:szCs w:val="24"/>
        </w:rPr>
        <w:fldChar w:fldCharType="begin" w:fldLock="1"/>
      </w:r>
      <w:r w:rsidR="00EB78F5">
        <w:rPr>
          <w:rFonts w:ascii="Calibri Light" w:hAnsi="Calibri Light" w:cs="Calibri Light"/>
          <w:color w:val="0070C0"/>
          <w:sz w:val="24"/>
          <w:szCs w:val="24"/>
        </w:rPr>
        <w:instrText>ADDIN CSL_CITATION {"citationItems":[{"id":"ITEM-1","itemData":{"DOI":"https://doi.org/10.35706/value.v1i2.671","author":[{"dropping-particle":"","family":"Mada WK","given":"B. A.","non-dropping-particle":"","parse-names":false,"suffix":""}],"container-title":"Value Journal of Management and Business","id":"ITEM-1","issue":"2","issued":{"date-parts":[["2017"]]},"title":"MENDORONG IMPLEMENTASI REDENOMINASI RUPIAH UNTUK PENINGKATAN EFISIENSI DAN DAYA SAING EKONOMI INDONESIA DI ERA MASYARAKAT EKONOMI ASEAN (MEA)","type":"article-journal","volume":"1"},"uris":["http://www.mendeley.com/documents/?uuid=bd45d364-b31b-4671-b970-41659ee2814a"]}],"mendeley":{"formattedCitation":"(Mada WK, 2017)","manualFormatting":"Mada WK, (2017)","plainTextFormattedCitation":"(Mada WK, 2017)","previouslyFormattedCitation":"(Mada WK, 2017)"},"properties":{"noteIndex":0},"schema":"https://github.com/citation-style-language/schema/raw/master/csl-citation.json"}</w:instrText>
      </w:r>
      <w:r w:rsidRPr="00FF28AE">
        <w:rPr>
          <w:rFonts w:ascii="Calibri Light" w:hAnsi="Calibri Light" w:cs="Calibri Light"/>
          <w:color w:val="0070C0"/>
          <w:sz w:val="24"/>
          <w:szCs w:val="24"/>
        </w:rPr>
        <w:fldChar w:fldCharType="separate"/>
      </w:r>
      <w:r w:rsidRPr="00FF28AE">
        <w:rPr>
          <w:rFonts w:ascii="Calibri Light" w:hAnsi="Calibri Light" w:cs="Calibri Light"/>
          <w:noProof/>
          <w:color w:val="0070C0"/>
          <w:sz w:val="24"/>
          <w:szCs w:val="24"/>
        </w:rPr>
        <w:t>Mada WK</w:t>
      </w:r>
      <w:r w:rsidR="005F6FDF">
        <w:rPr>
          <w:rFonts w:ascii="Calibri Light" w:hAnsi="Calibri Light" w:cs="Calibri Light"/>
          <w:noProof/>
          <w:color w:val="0070C0"/>
          <w:sz w:val="24"/>
          <w:szCs w:val="24"/>
        </w:rPr>
        <w:t>'s</w:t>
      </w:r>
      <w:r w:rsidRPr="00FF28AE">
        <w:rPr>
          <w:rFonts w:ascii="Calibri Light" w:hAnsi="Calibri Light" w:cs="Calibri Light"/>
          <w:noProof/>
          <w:color w:val="0070C0"/>
          <w:sz w:val="24"/>
          <w:szCs w:val="24"/>
        </w:rPr>
        <w:t xml:space="preserve"> (2017)</w:t>
      </w:r>
      <w:r w:rsidRPr="00FF28AE">
        <w:rPr>
          <w:rFonts w:ascii="Calibri Light" w:hAnsi="Calibri Light" w:cs="Calibri Light"/>
          <w:color w:val="0070C0"/>
          <w:sz w:val="24"/>
          <w:szCs w:val="24"/>
        </w:rPr>
        <w:fldChar w:fldCharType="end"/>
      </w:r>
      <w:r w:rsidRPr="00FF28AE">
        <w:rPr>
          <w:rFonts w:ascii="Calibri Light" w:hAnsi="Calibri Light" w:cs="Calibri Light"/>
          <w:color w:val="0070C0"/>
          <w:sz w:val="24"/>
          <w:szCs w:val="24"/>
        </w:rPr>
        <w:t xml:space="preserve"> </w:t>
      </w:r>
      <w:r w:rsidR="000376DE" w:rsidRPr="000376DE">
        <w:rPr>
          <w:rFonts w:ascii="Calibri Light" w:hAnsi="Calibri Light" w:cs="Calibri Light"/>
          <w:sz w:val="24"/>
          <w:szCs w:val="24"/>
        </w:rPr>
        <w:t xml:space="preserve">article concluded that the redenomination policy is a discourse that will be implemented by the Indonesian Government </w:t>
      </w:r>
      <w:r w:rsidR="005F6FDF">
        <w:rPr>
          <w:rFonts w:ascii="Calibri Light" w:hAnsi="Calibri Light" w:cs="Calibri Light"/>
          <w:sz w:val="24"/>
          <w:szCs w:val="24"/>
        </w:rPr>
        <w:t>to improve</w:t>
      </w:r>
      <w:r w:rsidR="000376DE" w:rsidRPr="000376DE">
        <w:rPr>
          <w:rFonts w:ascii="Calibri Light" w:hAnsi="Calibri Light" w:cs="Calibri Light"/>
          <w:sz w:val="24"/>
          <w:szCs w:val="24"/>
        </w:rPr>
        <w:t xml:space="preserve"> the efficiency of the economy and the dignity and sovereignty of the rupiah in the international arena, especially since the enactment of the ASEAN Economic Community (AEC) in 2015. However, realizing this is not an easy matter</w:t>
      </w:r>
      <w:r w:rsidR="005F6FDF">
        <w:rPr>
          <w:rFonts w:ascii="Calibri Light" w:hAnsi="Calibri Light" w:cs="Calibri Light"/>
          <w:sz w:val="24"/>
          <w:szCs w:val="24"/>
        </w:rPr>
        <w:t>,</w:t>
      </w:r>
      <w:r w:rsidR="000376DE" w:rsidRPr="000376DE">
        <w:rPr>
          <w:rFonts w:ascii="Calibri Light" w:hAnsi="Calibri Light" w:cs="Calibri Light"/>
          <w:sz w:val="24"/>
          <w:szCs w:val="24"/>
        </w:rPr>
        <w:t xml:space="preserve"> considering that there are still pros and cons related to this policy. Redenomination does provide many benefits, but it can also have negative impacts, such as inflation due to price rounding and the phenomenon of money illusion, where the price of goods is perceived to be cheaper. Therefore, careful preparation is needed from the Indonesian Government, including preparing adequate infrastructure and socializing to the public that redenomination is different from </w:t>
      </w:r>
      <w:proofErr w:type="spellStart"/>
      <w:r w:rsidR="00647C72" w:rsidRPr="00647C72">
        <w:rPr>
          <w:rFonts w:ascii="Calibri Light" w:hAnsi="Calibri Light" w:cs="Calibri Light"/>
          <w:i/>
          <w:sz w:val="24"/>
          <w:szCs w:val="24"/>
        </w:rPr>
        <w:t>sanering</w:t>
      </w:r>
      <w:proofErr w:type="spellEnd"/>
      <w:r w:rsidR="000376DE" w:rsidRPr="000376DE">
        <w:rPr>
          <w:rFonts w:ascii="Calibri Light" w:hAnsi="Calibri Light" w:cs="Calibri Light"/>
          <w:sz w:val="24"/>
          <w:szCs w:val="24"/>
        </w:rPr>
        <w:t>. This study used the Internal Factor Evaluation (IFE) and External Factor Evaluation (EFE) matrices. In the IFE matrix, two variables from the SWOT analysis will be analyzed, namely the strengths possessed by Indonesia and the weaknesses that exist within the country itself. Meanwhile, the External Factor Evaluation (EFE) matrix allows the government and strategists to summarize and evaluate information related to economic, social, cultural, demographic, environmental, political, governmental, legal, technological, and other aspects. This is intended so that the redenomination policy can increase economic efficiency and competitiveness, especially since the enactment of the ASEAN Economic Community (AEC).</w:t>
      </w:r>
    </w:p>
    <w:p w14:paraId="626C8147" w14:textId="02B3951F"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Research conducted by </w:t>
      </w:r>
      <w:r w:rsidR="00982D92" w:rsidRPr="00982D92">
        <w:rPr>
          <w:rFonts w:ascii="Calibri Light" w:hAnsi="Calibri Light" w:cs="Calibri Light"/>
          <w:color w:val="0070C0"/>
          <w:sz w:val="24"/>
          <w:szCs w:val="24"/>
        </w:rPr>
        <w:fldChar w:fldCharType="begin" w:fldLock="1"/>
      </w:r>
      <w:r w:rsidR="007F6E1A">
        <w:rPr>
          <w:rFonts w:ascii="Calibri Light" w:hAnsi="Calibri Light" w:cs="Calibri Light"/>
          <w:color w:val="0070C0"/>
          <w:sz w:val="24"/>
          <w:szCs w:val="24"/>
        </w:rPr>
        <w:instrText>ADDIN CSL_CITATION {"citationItems":[{"id":"ITEM-1","itemData":{"author":[{"dropping-particle":"","family":"Priyono","given":"","non-dropping-particle":"","parse-names":false,"suffix":""}],"container-title":"International Journal of Business and Management InventionI","id":"ITEM-1","issue":"4","issued":{"date-parts":[["2013"]]},"page":"36-40","title":"Redenomination; Between Hope and Reality(The study of the implementation of the Redenomination in Indonesia","type":"article-journal","volume":"2"},"uris":["http://www.mendeley.com/documents/?uuid=805ce6f4-64a5-4aea-a788-75fe0335a794"]}],"mendeley":{"formattedCitation":"(Priyono, 2013)","manualFormatting":"Priyono, (2013)","plainTextFormattedCitation":"(Priyono, 2013)","previouslyFormattedCitation":"(Priyono, 2013)"},"properties":{"noteIndex":0},"schema":"https://github.com/citation-style-language/schema/raw/master/csl-citation.json"}</w:instrText>
      </w:r>
      <w:r w:rsidR="00982D92" w:rsidRPr="00982D92">
        <w:rPr>
          <w:rFonts w:ascii="Calibri Light" w:hAnsi="Calibri Light" w:cs="Calibri Light"/>
          <w:color w:val="0070C0"/>
          <w:sz w:val="24"/>
          <w:szCs w:val="24"/>
        </w:rPr>
        <w:fldChar w:fldCharType="separate"/>
      </w:r>
      <w:r w:rsidR="00982D92" w:rsidRPr="00982D92">
        <w:rPr>
          <w:rFonts w:ascii="Calibri Light" w:hAnsi="Calibri Light" w:cs="Calibri Light"/>
          <w:noProof/>
          <w:color w:val="0070C0"/>
          <w:sz w:val="24"/>
          <w:szCs w:val="24"/>
        </w:rPr>
        <w:t>Priyono (2013)</w:t>
      </w:r>
      <w:r w:rsidR="00982D92" w:rsidRPr="00982D92">
        <w:rPr>
          <w:rFonts w:ascii="Calibri Light" w:hAnsi="Calibri Light" w:cs="Calibri Light"/>
          <w:color w:val="0070C0"/>
          <w:sz w:val="24"/>
          <w:szCs w:val="24"/>
        </w:rPr>
        <w:fldChar w:fldCharType="end"/>
      </w:r>
      <w:r w:rsidR="00982D92" w:rsidRPr="00982D92">
        <w:rPr>
          <w:rFonts w:ascii="Calibri Light" w:hAnsi="Calibri Light" w:cs="Calibri Light"/>
          <w:color w:val="0070C0"/>
          <w:sz w:val="24"/>
          <w:szCs w:val="24"/>
        </w:rPr>
        <w:t xml:space="preserve"> </w:t>
      </w:r>
      <w:r w:rsidRPr="000376DE">
        <w:rPr>
          <w:rFonts w:ascii="Calibri Light" w:hAnsi="Calibri Light" w:cs="Calibri Light"/>
          <w:sz w:val="24"/>
          <w:szCs w:val="24"/>
        </w:rPr>
        <w:t>on the opportunities and challenges of redenomination in Indonesia found that a strong understanding of the redenomination policy is a key factor for its successful implementation in Indonesia. In addition, business people consider that the Indonesian economy is better in terms of prices and exchange rates. At the microeconomic level, business people believe that redenomination can facilitate simpler financial transactions, encourage business dynamics, and increase productivity.</w:t>
      </w:r>
    </w:p>
    <w:p w14:paraId="77A87D2C" w14:textId="430057A9"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Research conducted by</w:t>
      </w:r>
      <w:r w:rsidR="00EB78F5">
        <w:rPr>
          <w:rFonts w:ascii="Calibri Light" w:hAnsi="Calibri Light" w:cs="Calibri Light"/>
          <w:sz w:val="24"/>
          <w:szCs w:val="24"/>
        </w:rPr>
        <w:t xml:space="preserve"> </w:t>
      </w:r>
      <w:r w:rsidR="00EB78F5" w:rsidRPr="00EB78F5">
        <w:rPr>
          <w:rFonts w:ascii="Calibri Light" w:hAnsi="Calibri Light" w:cs="Calibri Light"/>
          <w:color w:val="0070C0"/>
          <w:sz w:val="24"/>
          <w:szCs w:val="24"/>
        </w:rPr>
        <w:fldChar w:fldCharType="begin" w:fldLock="1"/>
      </w:r>
      <w:r w:rsidR="00692B63">
        <w:rPr>
          <w:rFonts w:ascii="Calibri Light" w:hAnsi="Calibri Light" w:cs="Calibri Light"/>
          <w:color w:val="0070C0"/>
          <w:sz w:val="24"/>
          <w:szCs w:val="24"/>
        </w:rPr>
        <w:instrText>ADDIN CSL_CITATION {"citationItems":[{"id":"ITEM-1","itemData":{"DOI":"10.29244/ijsa.v3i3.360","ISSN":"2599-0802","abstract":"Indonesia is the country with the third largest currency digit after Vietnam and Zimbabwe. In 2010, Indonesia conveyed a discourse on the application of rupiah redenomination, but in its implementation it was necessary to estimate the economic factors that would be affected, especially inflation, where inflation was one of the decisive indicators of the success of the redenomination policy of the currency. To estimate the impact of redenomination on inflation, Indonesia can reflect on the historical data of countries that have implemented the policy. Based on historical data, a model can be applied to Indonesia. Historical data includes macroeconomic variables and forms of government. To get a model with better precision, complete data needs to be considered. The historical missing will make the inferencing obtained invalid and important information that can be used for analysis also diminishes. The case deletion method, mean matching predictive, random forest, and bayesian linear regression can be used to handle it. The results showed that there were 38.18% missing data from total observations and the case deletion method as the best method. Then the condition of hyperinflation, economic growth, and the index of government forms significantly impacted inflation after the implementation of redenomination. So, if Indonesia applies redenomination between the period 2010-2017, with the classification accuracy of 64.71%, it is estimated that it will have a negative impact because the inflation will increase after redenomination is implemented.","author":[{"dropping-particle":"","family":"Bemi","given":"Windri Wucika","non-dropping-particle":"","parse-names":false,"suffix":""},{"dropping-particle":"","family":"Nooraeni","given":"Rani","non-dropping-particle":"","parse-names":false,"suffix":""}],"container-title":"Indonesian Journal of Statistics and Its Applications","id":"ITEM-1","issue":"3","issued":{"date-parts":[["2019","10","31"]]},"page":"272-286","title":"DAMPAK REDENOMINASI TERHADAP INFLASI INDONESIA: PENANGANAN MISSING MENGGUNAKAN METODE CASE DELETION, PMM, RF DAN BAYESIAN","type":"article-journal","volume":"3"},"uris":["http://www.mendeley.com/documents/?uuid=476f676b-03fe-41b4-9bb2-3a88167d3b0d"]}],"mendeley":{"formattedCitation":"(Bemi &amp; Nooraeni, 2019)","manualFormatting":"Bemi &amp; Nooraeni, (2019)","plainTextFormattedCitation":"(Bemi &amp; Nooraeni, 2019)","previouslyFormattedCitation":"(Bemi &amp; Nooraeni, 2019)"},"properties":{"noteIndex":0},"schema":"https://github.com/citation-style-language/schema/raw/master/csl-citation.json"}</w:instrText>
      </w:r>
      <w:r w:rsidR="00EB78F5" w:rsidRPr="00EB78F5">
        <w:rPr>
          <w:rFonts w:ascii="Calibri Light" w:hAnsi="Calibri Light" w:cs="Calibri Light"/>
          <w:color w:val="0070C0"/>
          <w:sz w:val="24"/>
          <w:szCs w:val="24"/>
        </w:rPr>
        <w:fldChar w:fldCharType="separate"/>
      </w:r>
      <w:r w:rsidR="00EB78F5" w:rsidRPr="00EB78F5">
        <w:rPr>
          <w:rFonts w:ascii="Calibri Light" w:hAnsi="Calibri Light" w:cs="Calibri Light"/>
          <w:noProof/>
          <w:color w:val="0070C0"/>
          <w:sz w:val="24"/>
          <w:szCs w:val="24"/>
        </w:rPr>
        <w:t>Bemi &amp; Nooraeni (2019)</w:t>
      </w:r>
      <w:r w:rsidR="00EB78F5" w:rsidRPr="00EB78F5">
        <w:rPr>
          <w:rFonts w:ascii="Calibri Light" w:hAnsi="Calibri Light" w:cs="Calibri Light"/>
          <w:color w:val="0070C0"/>
          <w:sz w:val="24"/>
          <w:szCs w:val="24"/>
        </w:rPr>
        <w:fldChar w:fldCharType="end"/>
      </w:r>
      <w:r w:rsidRPr="000376DE">
        <w:rPr>
          <w:rFonts w:ascii="Calibri Light" w:hAnsi="Calibri Light" w:cs="Calibri Light"/>
          <w:sz w:val="24"/>
          <w:szCs w:val="24"/>
        </w:rPr>
        <w:t xml:space="preserve"> on the impact of redenomination on inflation in Indonesia revealed that although Indonesia has raised the discourse on the implementation of rupiah redenomination, its implementation needs to consider the economic factors that will be affected, especially inflation. Inflation is one of the indicators that determine the success of the rupiah redenomination policy. Indonesia can learn from the historical data of countries that have implemented similar policies. In this study, it was found that 38.18% of the data was missing from the total observations, and the case deletion method was considered the best method. In addition, hyperinflation, economic growth, and the government index were found to have a significant impact on inflation after redenomination. In conclusion, if Indonesia implements redenomination in the 2010-2017 period, with a classification accuracy of 64.71%, it is estimated to have a negative impact because inflation increases after redenomination is implemented.</w:t>
      </w:r>
    </w:p>
    <w:p w14:paraId="15D6EEE8" w14:textId="38FD2B47" w:rsidR="000376DE" w:rsidRPr="000376DE" w:rsidRDefault="00692B63" w:rsidP="000376DE">
      <w:pPr>
        <w:spacing w:before="120" w:after="120"/>
        <w:ind w:left="425"/>
        <w:jc w:val="both"/>
        <w:rPr>
          <w:rFonts w:ascii="Calibri Light" w:hAnsi="Calibri Light" w:cs="Calibri Light"/>
          <w:sz w:val="24"/>
          <w:szCs w:val="24"/>
        </w:rPr>
      </w:pPr>
      <w:r w:rsidRPr="00692B63">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{"citationItems":[{"id":"ITEM-1","itemData":{"DOI":"10.29259/jep.v18i1.9826","ISSN":"2685-0788","abstract":"This study to determine the money supply, interest rates, inflation, and imports toward rupiah exchange rates. The analysis method in this study used a quantitative approach that applies multiple regression models. Data used secondary data in the form of time series during the period of August 2016 until June 2019. The finding's results show that jointly money supply, interest rates, inflation, and imports have a significant effect on the rupiah exchange rate. While partially, the variable of money supply, interest rates, and imports has a positive and significant effect on the rupiah exchange rate. But the inflation rate has an insignificant effect on the Rupiah exchange rate. From the results of this study the government is expected to control the money supply and maintain the balance of payments by minimizing the amount of imports.","author":[{"dropping-particle":"","family":"Carissa","given":"Nadya","non-dropping-particle":"","parse-names":false,"suffix":""},{"dropping-particle":"","family":"Khoirudin","given":"Rifki","non-dropping-particle":"","parse-names":false,"suffix":""}],"container-title":"Jurnal Ekonomi Pembangunan","id":"ITEM-1","issue":"1","issued":{"date-parts":[["2020","7","12"]]},"page":"37-46","title":"The factors affecting the rupiah exchange rate in Indonesia","type":"article-journal","volume":"18"},"uris":["http://www.mendeley.com/documents/?uuid=81505fa4-4d49-4f81-8c15-fef35a8c1a0d"]}],"mendeley":{"formattedCitation":"(Carissa &amp; Khoirudin, 2020)","manualFormatting":"Carissa &amp; Khoirudin, (2020)","plainTextFormattedCitation":"(Carissa &amp; Khoirudin, 2020)","previouslyFormattedCitation":"(Carissa &amp; Khoirudin, 2020)"},"properties":{"noteIndex":0},"schema":"https://github.com/citation-style-language/schema/raw/master/csl-citation.json"}</w:instrText>
      </w:r>
      <w:r w:rsidRPr="00692B63">
        <w:rPr>
          <w:rFonts w:ascii="Calibri Light" w:hAnsi="Calibri Light" w:cs="Calibri Light"/>
          <w:color w:val="0070C0"/>
          <w:sz w:val="24"/>
          <w:szCs w:val="24"/>
        </w:rPr>
        <w:fldChar w:fldCharType="separate"/>
      </w:r>
      <w:r w:rsidRPr="00692B63">
        <w:rPr>
          <w:rFonts w:ascii="Calibri Light" w:hAnsi="Calibri Light" w:cs="Calibri Light"/>
          <w:noProof/>
          <w:color w:val="0070C0"/>
          <w:sz w:val="24"/>
          <w:szCs w:val="24"/>
        </w:rPr>
        <w:t>Carissa &amp; Khoirudin (2020)</w:t>
      </w:r>
      <w:r w:rsidRPr="00692B63">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5F6FDF">
        <w:rPr>
          <w:rFonts w:ascii="Calibri Light" w:hAnsi="Calibri Light" w:cs="Calibri Light"/>
          <w:sz w:val="24"/>
          <w:szCs w:val="24"/>
        </w:rPr>
        <w:t>researched</w:t>
      </w:r>
      <w:r w:rsidR="000376DE" w:rsidRPr="000376DE">
        <w:rPr>
          <w:rFonts w:ascii="Calibri Light" w:hAnsi="Calibri Light" w:cs="Calibri Light"/>
          <w:sz w:val="24"/>
          <w:szCs w:val="24"/>
        </w:rPr>
        <w:t xml:space="preserve"> the factors that influence the rupiah exchange rate. This study sought to determine the effect of money supply, interest rates, inflation, and imports on the rupiah exchange rate. The results showed that together, money supply, </w:t>
      </w:r>
      <w:r w:rsidR="000376DE" w:rsidRPr="000376DE">
        <w:rPr>
          <w:rFonts w:ascii="Calibri Light" w:hAnsi="Calibri Light" w:cs="Calibri Light"/>
          <w:sz w:val="24"/>
          <w:szCs w:val="24"/>
        </w:rPr>
        <w:lastRenderedPageBreak/>
        <w:t>interest rates, inflation, and imports have a significant effect on the rupiah exchange rate. Meanwhile, partially, the variables of money supply, interest rates, and imports have a positive and significant effect on the rupiah exchange rate. However, the inflation rate has no significant effect on the rupiah exchange rate.</w:t>
      </w:r>
    </w:p>
    <w:p w14:paraId="7197FFBD" w14:textId="0A412DD0" w:rsidR="000376DE" w:rsidRPr="000376DE" w:rsidRDefault="00D31234" w:rsidP="000376DE">
      <w:pPr>
        <w:spacing w:before="120" w:after="120"/>
        <w:ind w:left="425"/>
        <w:jc w:val="both"/>
        <w:rPr>
          <w:rFonts w:ascii="Calibri Light" w:hAnsi="Calibri Light" w:cs="Calibri Light"/>
          <w:sz w:val="24"/>
          <w:szCs w:val="24"/>
        </w:rPr>
      </w:pPr>
      <w:r w:rsidRPr="00D31234">
        <w:rPr>
          <w:rFonts w:ascii="Calibri Light" w:hAnsi="Calibri Light" w:cs="Calibri Light"/>
          <w:color w:val="0070C0"/>
          <w:sz w:val="24"/>
          <w:szCs w:val="24"/>
        </w:rPr>
        <w:fldChar w:fldCharType="begin" w:fldLock="1"/>
      </w:r>
      <w:r w:rsidR="00A1034F">
        <w:rPr>
          <w:rFonts w:ascii="Calibri Light" w:hAnsi="Calibri Light" w:cs="Calibri Light"/>
          <w:color w:val="0070C0"/>
          <w:sz w:val="24"/>
          <w:szCs w:val="24"/>
        </w:rPr>
        <w:instrText>ADDIN CSL_CITATION {"citationItems":[{"id":"ITEM-1","itemData":{"DOI":"10.14421/ajish.v54i2.926","ISSN":"2443-0757","abstract":"Abstract: This paper discusses the phenomenon of reducing zero from national currencies carried out in several countries to simplify their value. The current floating exchange rate has proven to be unable to guarantee a currency has a stable value. This study shows that the reduction of zero from national currencies only occurs in the fiat money system, where its production and distribution is full of state political interests. In practice, there are many countries that have succeeded in reducing zero from their national currencies, but many have failed. The successful countries in reducing zero from national currencies make their society prosperous; on the other hand, the failed countries can create an economic instability which harms the societies. However, the impact of the policy, whether successful or unsuccessful, in the perspective of maqasid as-shariah is not justifiable because it decreases the value of currency. With this policy, society will lose their property without anything real from their work.Abstrak: Tulisan ini mengkaji fenomena pengurangan nol mata uang yang dilakukan di beberapa negara untuk menyederhanakan nilainya. Float exchange rate saat ini terbukti tidak bisa menjamin suatu mata uang memiliki nilai yang stabil. Tulisan ini menunjukkan bahwa pengurangan nol mata uang hanya terjadi dalam sistem fiat money, di mana produksi dan distribusinya sarat dengan kepentingan politik negara. Dalam praktiknya, ada banyak negara yang sukses melakukan pengurangan nol mata uang namun banyak juga yang gagal. Negara yang sukses melakukan pengurangan nol mata uang menjadikan rakyatnya sejahtera; sebaliknya, negara yang gagal melakukannya berdampak pada instabilitas ekonomi yang merugikan rakyat. Namun demikian, dampak kebijakan tersebut, baik sukses maupun gagal, jika dilihat dari perspektif maqāṣid al-sharī’ah sesungguhnya tidaklah bisa dibenarkan karena menjadikan suatu mata uang semakin menurun nilainya. Dengan kebijakan tersebut, masyarakat juga akan kehilangan harta mereka tanpa sesuatu hal yang riil dari pekerjaan mereka.","author":[{"dropping-particle":"","family":"Hasan","given":"Asyari","non-dropping-particle":"","parse-names":false,"suffix":""}],"container-title":"Asy-Syir'ah: Jurnal Ilmu Syari'ah dan Hukum","id":"ITEM-1","issue":"2","issued":{"date-parts":[["2020","12","25"]]},"page":"467","title":"Dampak Pengurangan Nol Mata Uang terhadap Ekonomi Masyarakat Perspektif Maqāṣid al-Sharī‘ah","type":"article-journal","volume":"54"},"uris":["http://www.mendeley.com/documents/?uuid=db0f532b-20f7-43b1-b6d7-d88efb835e3e"]}],"mendeley":{"formattedCitation":"(Hasan, 2020)","manualFormatting":"Hasan, (2020)","plainTextFormattedCitation":"(Hasan, 2020)","previouslyFormattedCitation":"(Hasan, 2020)"},"properties":{"noteIndex":0},"schema":"https://github.com/citation-style-language/schema/raw/master/csl-citation.json"}</w:instrText>
      </w:r>
      <w:r w:rsidRPr="00D31234">
        <w:rPr>
          <w:rFonts w:ascii="Calibri Light" w:hAnsi="Calibri Light" w:cs="Calibri Light"/>
          <w:color w:val="0070C0"/>
          <w:sz w:val="24"/>
          <w:szCs w:val="24"/>
        </w:rPr>
        <w:fldChar w:fldCharType="separate"/>
      </w:r>
      <w:r w:rsidRPr="00D31234">
        <w:rPr>
          <w:rFonts w:ascii="Calibri Light" w:hAnsi="Calibri Light" w:cs="Calibri Light"/>
          <w:noProof/>
          <w:color w:val="0070C0"/>
          <w:sz w:val="24"/>
          <w:szCs w:val="24"/>
        </w:rPr>
        <w:t>Hasan</w:t>
      </w:r>
      <w:r w:rsidR="005F6FDF">
        <w:rPr>
          <w:rFonts w:ascii="Calibri Light" w:hAnsi="Calibri Light" w:cs="Calibri Light"/>
          <w:noProof/>
          <w:color w:val="0070C0"/>
          <w:sz w:val="24"/>
          <w:szCs w:val="24"/>
        </w:rPr>
        <w:t>'s</w:t>
      </w:r>
      <w:r w:rsidRPr="00D31234">
        <w:rPr>
          <w:rFonts w:ascii="Calibri Light" w:hAnsi="Calibri Light" w:cs="Calibri Light"/>
          <w:noProof/>
          <w:color w:val="0070C0"/>
          <w:sz w:val="24"/>
          <w:szCs w:val="24"/>
        </w:rPr>
        <w:t xml:space="preserve"> (2020)</w:t>
      </w:r>
      <w:r w:rsidRPr="00D31234">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0376DE" w:rsidRPr="000376DE">
        <w:rPr>
          <w:rFonts w:ascii="Calibri Light" w:hAnsi="Calibri Light" w:cs="Calibri Light"/>
          <w:sz w:val="24"/>
          <w:szCs w:val="24"/>
        </w:rPr>
        <w:t xml:space="preserve">article examined the phenomenon of zero reduction in currencies carried out in several countries to simplify their value. The float exchange rate has proven unable to guarantee the stability of a currency's value. This paper shows that the reduction of currency zeros only occurs in the fiat money system, where production and distribution are fraught with the political interests of the state. In practice, many countries have successfully reduced zero currency, but </w:t>
      </w:r>
      <w:r w:rsidR="005F6FDF">
        <w:rPr>
          <w:rFonts w:ascii="Calibri Light" w:hAnsi="Calibri Light" w:cs="Calibri Light"/>
          <w:sz w:val="24"/>
          <w:szCs w:val="24"/>
        </w:rPr>
        <w:t>many</w:t>
      </w:r>
      <w:r w:rsidR="000376DE" w:rsidRPr="000376DE">
        <w:rPr>
          <w:rFonts w:ascii="Calibri Light" w:hAnsi="Calibri Light" w:cs="Calibri Light"/>
          <w:sz w:val="24"/>
          <w:szCs w:val="24"/>
        </w:rPr>
        <w:t xml:space="preserve"> have failed. Countries that are successful in this policy </w:t>
      </w:r>
      <w:r w:rsidR="005F6FDF">
        <w:rPr>
          <w:rFonts w:ascii="Calibri Light" w:hAnsi="Calibri Light" w:cs="Calibri Light"/>
          <w:sz w:val="24"/>
          <w:szCs w:val="24"/>
        </w:rPr>
        <w:t>can</w:t>
      </w:r>
      <w:r w:rsidR="000376DE" w:rsidRPr="000376DE">
        <w:rPr>
          <w:rFonts w:ascii="Calibri Light" w:hAnsi="Calibri Light" w:cs="Calibri Light"/>
          <w:sz w:val="24"/>
          <w:szCs w:val="24"/>
        </w:rPr>
        <w:t xml:space="preserve"> prosper their people, while countries that fail face economic instability that harms the people. However, the impact of this policy</w:t>
      </w:r>
      <w:r w:rsidR="007B7376">
        <w:rPr>
          <w:rFonts w:ascii="Calibri Light" w:hAnsi="Calibri Light" w:cs="Calibri Light"/>
          <w:sz w:val="24"/>
          <w:szCs w:val="24"/>
        </w:rPr>
        <w:t xml:space="preserve"> - </w:t>
      </w:r>
      <w:r w:rsidR="000376DE" w:rsidRPr="000376DE">
        <w:rPr>
          <w:rFonts w:ascii="Calibri Light" w:hAnsi="Calibri Light" w:cs="Calibri Light"/>
          <w:sz w:val="24"/>
          <w:szCs w:val="24"/>
        </w:rPr>
        <w:t>both successful and failed</w:t>
      </w:r>
      <w:r w:rsidR="007B7376">
        <w:rPr>
          <w:rFonts w:ascii="Calibri Light" w:hAnsi="Calibri Light" w:cs="Calibri Light"/>
          <w:sz w:val="24"/>
          <w:szCs w:val="24"/>
        </w:rPr>
        <w:t xml:space="preserve"> - </w:t>
      </w:r>
      <w:r w:rsidR="000376DE" w:rsidRPr="000376DE">
        <w:rPr>
          <w:rFonts w:ascii="Calibri Light" w:hAnsi="Calibri Light" w:cs="Calibri Light"/>
          <w:sz w:val="24"/>
          <w:szCs w:val="24"/>
        </w:rPr>
        <w:t xml:space="preserve">when viewed from the perspective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000376DE" w:rsidRPr="000376DE">
        <w:rPr>
          <w:rFonts w:ascii="Calibri Light" w:hAnsi="Calibri Light" w:cs="Calibri Light"/>
          <w:sz w:val="24"/>
          <w:szCs w:val="24"/>
        </w:rPr>
        <w:t xml:space="preserve">, is unjustified because it causes a decline in the value of the currency. In addition, this policy also has the potential to make people lose their property without obtaining real compensation </w:t>
      </w:r>
      <w:r w:rsidR="005F6FDF">
        <w:rPr>
          <w:rFonts w:ascii="Calibri Light" w:hAnsi="Calibri Light" w:cs="Calibri Light"/>
          <w:sz w:val="24"/>
          <w:szCs w:val="24"/>
        </w:rPr>
        <w:t>for</w:t>
      </w:r>
      <w:r w:rsidR="000376DE" w:rsidRPr="000376DE">
        <w:rPr>
          <w:rFonts w:ascii="Calibri Light" w:hAnsi="Calibri Light" w:cs="Calibri Light"/>
          <w:sz w:val="24"/>
          <w:szCs w:val="24"/>
        </w:rPr>
        <w:t xml:space="preserve"> their work.</w:t>
      </w:r>
    </w:p>
    <w:p w14:paraId="6F3ADE1C" w14:textId="023C0726" w:rsidR="000376DE" w:rsidRPr="000376DE" w:rsidRDefault="00540451" w:rsidP="000376DE">
      <w:pPr>
        <w:spacing w:before="120" w:after="120"/>
        <w:ind w:left="425"/>
        <w:jc w:val="both"/>
        <w:rPr>
          <w:rFonts w:ascii="Calibri Light" w:hAnsi="Calibri Light" w:cs="Calibri Light"/>
          <w:sz w:val="24"/>
          <w:szCs w:val="24"/>
        </w:rPr>
      </w:pPr>
      <w:r w:rsidRPr="00540451">
        <w:rPr>
          <w:rFonts w:ascii="Calibri Light" w:hAnsi="Calibri Light" w:cs="Calibri Light"/>
          <w:color w:val="0070C0"/>
          <w:sz w:val="24"/>
          <w:szCs w:val="24"/>
        </w:rPr>
        <w:fldChar w:fldCharType="begin" w:fldLock="1"/>
      </w:r>
      <w:r>
        <w:rPr>
          <w:rFonts w:ascii="Calibri Light" w:hAnsi="Calibri Light" w:cs="Calibri Light"/>
          <w:color w:val="0070C0"/>
          <w:sz w:val="24"/>
          <w:szCs w:val="24"/>
        </w:rPr>
        <w:instrText>ADDIN CSL_CITATION {"citationItems":[{"id":"ITEM-1","itemData":{"DOI":"10.14710/jbs.30.2.127-138","ISSN":"2580-1171","abstract":"This study discusses the effect of inflation on unemployment by comparing the perspective of Islam with capitalism. The purpose of this study is to identify the driving factors that cause inflation and unemployment. This research is conducted using descriptive analysis through linear regression analysis on Indonesia’s unemployment and inflation data from 2001 to 2019. This study found that inflation was not the main contributor to unemployment and only accounted for 18.6% of unemployment, whereas the remaining 80.4% was caused by other factors. This occurs because the increase in prices are not due to aggregate demand, but due to natural and man-made factors. To overcome inflation, the government should create policies to promoting a culture of saving, investing and discouraging wasteful and excessive spending from early age and improve the morale of officials and entrepreneurs. In addition to that, the government can also implement the law firmly and consistently to all parties who commit unethical behaviour; second, increasing the role of the community to observe and report corruption. To reduce the rate of unemployment, the government can implement several policies. Those are implementing policies that make it easier for startups to obtain capital, create investment security and facilitate licensing bureaucracy; second, providing more free and accessible work training courses, especially in urban areas; third, implement 12-year compulsory education consistently.","author":[{"dropping-particle":"","family":"Suharti","given":"Sri","non-dropping-particle":"","parse-names":false,"suffix":""},{"dropping-particle":"","family":"Naufal","given":"Muhammad Dzaki","non-dropping-particle":"","parse-names":false,"suffix":""},{"dropping-particle":"","family":"Paiman","given":"Farah Ladina","non-dropping-particle":"","parse-names":false,"suffix":""}],"container-title":"JURNAL BISNIS STRATEGI","id":"ITEM-1","issue":"2","issued":{"date-parts":[["2021","12","31"]]},"page":"127-138","title":"Inflation Effect on Unemployment in Indonesia: A Comparative Studies Between Sharia and Conventional Economic Perspectives","type":"article-journal","volume":"30"},"uris":["http://www.mendeley.com/documents/?uuid=ea5412b2-5ffe-47b2-bf71-5663deebbd7c"]}],"mendeley":{"formattedCitation":"(Suharti et al., 2021)","manualFormatting":"Suharti et al., (2021)","plainTextFormattedCitation":"(Suharti et al., 2021)","previouslyFormattedCitation":"(Suharti et al., 2021)"},"properties":{"noteIndex":0},"schema":"https://github.com/citation-style-language/schema/raw/master/csl-citation.json"}</w:instrText>
      </w:r>
      <w:r w:rsidRPr="00540451">
        <w:rPr>
          <w:rFonts w:ascii="Calibri Light" w:hAnsi="Calibri Light" w:cs="Calibri Light"/>
          <w:color w:val="0070C0"/>
          <w:sz w:val="24"/>
          <w:szCs w:val="24"/>
        </w:rPr>
        <w:fldChar w:fldCharType="separate"/>
      </w:r>
      <w:r w:rsidRPr="00540451">
        <w:rPr>
          <w:rFonts w:ascii="Calibri Light" w:hAnsi="Calibri Light" w:cs="Calibri Light"/>
          <w:noProof/>
          <w:color w:val="0070C0"/>
          <w:sz w:val="24"/>
          <w:szCs w:val="24"/>
        </w:rPr>
        <w:t xml:space="preserve">Suharti </w:t>
      </w:r>
      <w:r w:rsidR="005B3038" w:rsidRPr="005B3038">
        <w:rPr>
          <w:rFonts w:ascii="Calibri Light" w:hAnsi="Calibri Light" w:cs="Calibri Light"/>
          <w:i/>
          <w:noProof/>
          <w:color w:val="0070C0"/>
          <w:sz w:val="24"/>
          <w:szCs w:val="24"/>
        </w:rPr>
        <w:t>et al.</w:t>
      </w:r>
      <w:r w:rsidRPr="00540451">
        <w:rPr>
          <w:rFonts w:ascii="Calibri Light" w:hAnsi="Calibri Light" w:cs="Calibri Light"/>
          <w:noProof/>
          <w:color w:val="0070C0"/>
          <w:sz w:val="24"/>
          <w:szCs w:val="24"/>
        </w:rPr>
        <w:t xml:space="preserve"> (2021)</w:t>
      </w:r>
      <w:r w:rsidRPr="00540451">
        <w:rPr>
          <w:rFonts w:ascii="Calibri Light" w:hAnsi="Calibri Light" w:cs="Calibri Light"/>
          <w:color w:val="0070C0"/>
          <w:sz w:val="24"/>
          <w:szCs w:val="24"/>
        </w:rPr>
        <w:fldChar w:fldCharType="end"/>
      </w:r>
      <w:r w:rsidRPr="00540451">
        <w:rPr>
          <w:rFonts w:ascii="Calibri Light" w:hAnsi="Calibri Light" w:cs="Calibri Light"/>
          <w:color w:val="0070C0"/>
          <w:sz w:val="24"/>
          <w:szCs w:val="24"/>
        </w:rPr>
        <w:t xml:space="preserve"> </w:t>
      </w:r>
      <w:r w:rsidR="000376DE" w:rsidRPr="000376DE">
        <w:rPr>
          <w:rFonts w:ascii="Calibri Light" w:hAnsi="Calibri Light" w:cs="Calibri Light"/>
          <w:sz w:val="24"/>
          <w:szCs w:val="24"/>
        </w:rPr>
        <w:t>examined the effect of inflation on unemployment. This study discusses the effect of inflation on unemployment by comparing the perspectives of Islam and capitalism. The results showed that inflation is not the main contributor to unemployment, accounting for only 18.6% of the total, while the remaining 80.4% is due to other factors. This is because price increases are not caused by competitive demand but by natural and man-made factors. Therefore, to overcome inflation, the government needs to make policies that promote a culture of saving and investing, as well as preventing wasteful and excessive spending from an early age. In addition, the morals of officials and business people need to be improved, and the law must be applied firmly and consistently to all those who engage in unethical behavior. The government also needs to increase the role of the community in monitoring and reporting corruption. Furthermore, to reduce the unemployment rate, the government can implement several policies, including: (1) making it easier for startups to obtain capital, creating investment security, and simplifying licensing bureaucracy; (2) providing free and easily accessible job training courses, especially in urban areas; and (3) implementing a consistent 12-year compulsory education program.</w:t>
      </w:r>
    </w:p>
    <w:p w14:paraId="4067BA1A" w14:textId="3701F1E4"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Research by </w:t>
      </w:r>
      <w:r w:rsidR="00540451" w:rsidRPr="00540451">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{"citationItems":[{"id":"ITEM-1","itemData":{"DOI":"10.21098/bemp.v25i1.1045","ISSN":"2460-9196","abstract":"This paper investigated the linear and nonlinear relationships between inflation and economic growth in Indonesia using provincial data from 1994 to 2019. The linear model revealed that inflation has a significant negative effect on economic growth, while the nonlinear model revealed that inflation would negatively affect economic growth only after exceeding a threshold value of 9.59 percent. Excluding a high inflationarystructural break, we found an inflation threshold of 5.22 percent. Furthermore, we found that the threshold of inflation rate in the eastern regions of Indonesia was higher than that of the western regions, namely 9.64 percent and 5.75 percent, respectively. These findings have significant implications for inflation targeting and management both at the national and regional levels.","author":[{"dropping-particle":"","family":"Kusumatrisna","given":"Adam Luthfi","non-dropping-particle":"","parse-names":false,"suffix":""},{"dropping-particle":"","family":"Sugema","given":"Iman","non-dropping-particle":"","parse-names":false,"suffix":""},{"dropping-particle":"","family":"Pasaribu","given":"Syamsul H.","non-dropping-particle":"","parse-names":false,"suffix":""}],"container-title":"Buletin Ekonomi Moneter dan Perbankan","id":"ITEM-1","issue":"1","issued":{"date-parts":[["2022","6","20"]]},"page":"117-126","title":"THRESHOLD EFFECT IN THE RELATIONSHIP BETWEEN INFLATION RATE AND ECONOMIC GROWTH IN INDONESIA","type":"article-journal","volume":"25"},"uris":["http://www.mendeley.com/documents/?uuid=943c207c-6f2a-414b-83ea-2a0034fbc702"]}],"mendeley":{"formattedCitation":"(Kusumatrisna et al., 2022)","manualFormatting":"(Kusumatrisna et al., (2022)","plainTextFormattedCitation":"(Kusumatrisna et al., 2022)","previouslyFormattedCitation":"(Kusumatrisna et al., 2022)"},"properties":{"noteIndex":0},"schema":"https://github.com/citation-style-language/schema/raw/master/csl-citation.json"}</w:instrText>
      </w:r>
      <w:r w:rsidR="00540451" w:rsidRPr="00540451">
        <w:rPr>
          <w:rFonts w:ascii="Calibri Light" w:hAnsi="Calibri Light" w:cs="Calibri Light"/>
          <w:color w:val="0070C0"/>
          <w:sz w:val="24"/>
          <w:szCs w:val="24"/>
        </w:rPr>
        <w:fldChar w:fldCharType="separate"/>
      </w:r>
      <w:r w:rsidR="00540451" w:rsidRPr="00540451">
        <w:rPr>
          <w:rFonts w:ascii="Calibri Light" w:hAnsi="Calibri Light" w:cs="Calibri Light"/>
          <w:noProof/>
          <w:color w:val="0070C0"/>
          <w:sz w:val="24"/>
          <w:szCs w:val="24"/>
        </w:rPr>
        <w:t xml:space="preserve">Kusumatrisna </w:t>
      </w:r>
      <w:r w:rsidR="00540451" w:rsidRPr="005B3038">
        <w:rPr>
          <w:rFonts w:ascii="Calibri Light" w:hAnsi="Calibri Light" w:cs="Calibri Light"/>
          <w:i/>
          <w:iCs/>
          <w:noProof/>
          <w:color w:val="0070C0"/>
          <w:sz w:val="24"/>
          <w:szCs w:val="24"/>
        </w:rPr>
        <w:t>et al.</w:t>
      </w:r>
      <w:r w:rsidR="00540451" w:rsidRPr="00540451">
        <w:rPr>
          <w:rFonts w:ascii="Calibri Light" w:hAnsi="Calibri Light" w:cs="Calibri Light"/>
          <w:noProof/>
          <w:color w:val="0070C0"/>
          <w:sz w:val="24"/>
          <w:szCs w:val="24"/>
        </w:rPr>
        <w:t xml:space="preserve"> (2022)</w:t>
      </w:r>
      <w:r w:rsidR="00540451" w:rsidRPr="00540451">
        <w:rPr>
          <w:rFonts w:ascii="Calibri Light" w:hAnsi="Calibri Light" w:cs="Calibri Light"/>
          <w:color w:val="0070C0"/>
          <w:sz w:val="24"/>
          <w:szCs w:val="24"/>
        </w:rPr>
        <w:fldChar w:fldCharType="end"/>
      </w:r>
      <w:r w:rsidR="00540451">
        <w:rPr>
          <w:rFonts w:ascii="Calibri Light" w:hAnsi="Calibri Light" w:cs="Calibri Light"/>
          <w:sz w:val="24"/>
          <w:szCs w:val="24"/>
        </w:rPr>
        <w:t xml:space="preserve"> </w:t>
      </w:r>
      <w:r w:rsidRPr="000376DE">
        <w:rPr>
          <w:rFonts w:ascii="Calibri Light" w:hAnsi="Calibri Light" w:cs="Calibri Light"/>
          <w:sz w:val="24"/>
          <w:szCs w:val="24"/>
        </w:rPr>
        <w:t xml:space="preserve">on the relationship between inflation and economic growth in Indonesia analyzed inflation and economic growth in Indonesia using provincial inflation data from 1994 to 2019. The linear model revealed that inflation has a significant negative effect on economic growth. Meanwhile, the nonlinear model shows that inflation will only </w:t>
      </w:r>
      <w:r w:rsidR="003D0FE7">
        <w:rPr>
          <w:rFonts w:ascii="Calibri Light" w:hAnsi="Calibri Light" w:cs="Calibri Light"/>
          <w:sz w:val="24"/>
          <w:szCs w:val="24"/>
        </w:rPr>
        <w:t>hurt</w:t>
      </w:r>
      <w:r w:rsidRPr="000376DE">
        <w:rPr>
          <w:rFonts w:ascii="Calibri Light" w:hAnsi="Calibri Light" w:cs="Calibri Light"/>
          <w:sz w:val="24"/>
          <w:szCs w:val="24"/>
        </w:rPr>
        <w:t xml:space="preserve"> economic growth after exceeding a threshold value of 9.59 percent. A structural breakthrough in high inflation also found an inflation threshold of 5.22 percent. In addition, the inflation rate threshold in eastern Indonesia is higher than in the west, at 9.64 percent and 5.75 percent, respectively.</w:t>
      </w:r>
    </w:p>
    <w:p w14:paraId="665B60DE" w14:textId="63184C5F" w:rsidR="000376DE" w:rsidRPr="000376DE" w:rsidRDefault="000376DE" w:rsidP="000376DE">
      <w:pPr>
        <w:spacing w:before="120" w:after="120"/>
        <w:ind w:left="425"/>
        <w:jc w:val="both"/>
        <w:rPr>
          <w:rFonts w:ascii="Calibri Light" w:hAnsi="Calibri Light" w:cs="Calibri Light"/>
          <w:sz w:val="24"/>
          <w:szCs w:val="24"/>
        </w:rPr>
      </w:pPr>
      <w:r w:rsidRPr="000376DE">
        <w:rPr>
          <w:rFonts w:ascii="Calibri Light" w:hAnsi="Calibri Light" w:cs="Calibri Light"/>
          <w:sz w:val="24"/>
          <w:szCs w:val="24"/>
        </w:rPr>
        <w:t xml:space="preserve">From several studies above, </w:t>
      </w:r>
      <w:r w:rsidR="003D0FE7">
        <w:rPr>
          <w:rFonts w:ascii="Calibri Light" w:hAnsi="Calibri Light" w:cs="Calibri Light"/>
          <w:sz w:val="24"/>
          <w:szCs w:val="24"/>
        </w:rPr>
        <w:t>it</w:t>
      </w:r>
      <w:r w:rsidRPr="000376DE">
        <w:rPr>
          <w:rFonts w:ascii="Calibri Light" w:hAnsi="Calibri Light" w:cs="Calibri Light"/>
          <w:sz w:val="24"/>
          <w:szCs w:val="24"/>
        </w:rPr>
        <w:t xml:space="preserve"> can be ascertained that this research fills an academic gap, especially in the study of political law and the analysis of Islamic legal perspectives.</w:t>
      </w:r>
    </w:p>
    <w:p w14:paraId="5AA0144A" w14:textId="77777777" w:rsidR="00734A28" w:rsidRPr="00734A28" w:rsidRDefault="00734A28" w:rsidP="00734A28">
      <w:pPr>
        <w:spacing w:before="120" w:after="120"/>
        <w:ind w:left="426"/>
        <w:jc w:val="both"/>
        <w:rPr>
          <w:rFonts w:ascii="Calibri Light" w:hAnsi="Calibri Light" w:cs="Calibri Light"/>
          <w:sz w:val="24"/>
          <w:szCs w:val="24"/>
          <w:lang w:val="id-ID"/>
        </w:rPr>
      </w:pPr>
    </w:p>
    <w:p w14:paraId="4A374D73" w14:textId="55DCAAF4"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METHOD</w:t>
      </w:r>
    </w:p>
    <w:p w14:paraId="46A30434" w14:textId="3A5B5C7B" w:rsidR="000376DE" w:rsidRPr="00EF3F70" w:rsidRDefault="000376DE" w:rsidP="000376DE">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 xml:space="preserve">This </w:t>
      </w:r>
      <w:r>
        <w:rPr>
          <w:rFonts w:ascii="Calibri Light" w:hAnsi="Calibri Light" w:cs="Calibri Light"/>
          <w:sz w:val="24"/>
          <w:szCs w:val="24"/>
        </w:rPr>
        <w:t xml:space="preserve">study </w:t>
      </w:r>
      <w:r w:rsidRPr="000376DE">
        <w:rPr>
          <w:rFonts w:ascii="Calibri Light" w:hAnsi="Calibri Light" w:cs="Calibri Light"/>
          <w:sz w:val="24"/>
          <w:szCs w:val="24"/>
        </w:rPr>
        <w:t xml:space="preserve">on the redenomination of the rupiah was virtual-data-based qualitative research. The data collected in this article were news clippings, statements, press releases, and opinions of experts, politicians, government officials, academics, NGOs, and </w:t>
      </w:r>
      <w:r w:rsidR="005B3038">
        <w:rPr>
          <w:rFonts w:ascii="Calibri Light" w:hAnsi="Calibri Light" w:cs="Calibri Light"/>
          <w:sz w:val="24"/>
          <w:szCs w:val="24"/>
        </w:rPr>
        <w:t>businesspeople</w:t>
      </w:r>
      <w:r w:rsidRPr="000376DE">
        <w:rPr>
          <w:rFonts w:ascii="Calibri Light" w:hAnsi="Calibri Light" w:cs="Calibri Light"/>
          <w:sz w:val="24"/>
          <w:szCs w:val="24"/>
        </w:rPr>
        <w:t xml:space="preserve"> related to the redenomination of the rupiah. </w:t>
      </w:r>
      <w:r w:rsidR="005B3038">
        <w:rPr>
          <w:rFonts w:ascii="Calibri Light" w:hAnsi="Calibri Light" w:cs="Calibri Light"/>
          <w:sz w:val="24"/>
          <w:szCs w:val="24"/>
        </w:rPr>
        <w:t>The authors used virtual data in this study because of</w:t>
      </w:r>
      <w:r w:rsidRPr="000376DE">
        <w:rPr>
          <w:rFonts w:ascii="Calibri Light" w:hAnsi="Calibri Light" w:cs="Calibri Light"/>
          <w:sz w:val="24"/>
          <w:szCs w:val="24"/>
        </w:rPr>
        <w:t xml:space="preserve"> the limitations in conducting face-to-face interviews with participants. Pure virtual research conducted by Schlegel and colleagues concluded that despite new challenges in methodological adaptation, virtual data-based research can still be justified</w:t>
      </w:r>
      <w:r w:rsidR="003571B3">
        <w:rPr>
          <w:rFonts w:ascii="Calibri Light" w:hAnsi="Calibri Light" w:cs="Calibri Light"/>
          <w:sz w:val="24"/>
          <w:szCs w:val="24"/>
        </w:rPr>
        <w:t xml:space="preserve"> </w:t>
      </w:r>
      <w:r w:rsidR="00540451">
        <w:rPr>
          <w:rFonts w:ascii="Calibri Light" w:hAnsi="Calibri Light" w:cs="Calibri Light"/>
          <w:sz w:val="24"/>
          <w:szCs w:val="24"/>
        </w:rPr>
        <w:t xml:space="preserve"> </w:t>
      </w:r>
      <w:r w:rsidR="00540451" w:rsidRPr="00540451">
        <w:rPr>
          <w:rFonts w:ascii="Calibri Light" w:hAnsi="Calibri Light" w:cs="Calibri Light"/>
          <w:color w:val="0070C0"/>
          <w:sz w:val="24"/>
          <w:szCs w:val="24"/>
        </w:rPr>
        <w:fldChar w:fldCharType="begin" w:fldLock="1"/>
      </w:r>
      <w:r w:rsidR="00540451">
        <w:rPr>
          <w:rFonts w:ascii="Calibri Light" w:hAnsi="Calibri Light" w:cs="Calibri Light"/>
          <w:color w:val="0070C0"/>
          <w:sz w:val="24"/>
          <w:szCs w:val="24"/>
        </w:rPr>
        <w:instrText>ADDIN CSL_CITATION {"citationItems":[{"id":"ITEM-1","itemData":{"DOI":"10.1111/jan.15000","ISSN":"0309-2402","PMID":"34346514","abstract":"Aim: The aim of this article is to provide practical strategies for maintaining methodological rigour in executing a virtual qualitative study. Strategies are based on evidence from existing research about virtual qualitative methods and on the strategies used by the authors to convert a planned in-person qualitative, grounded theory study to an entirely virtual grounded theory study during the COVID-19 pandemic. The study began in-person in September 2019 and was converted to virtual in March 2020. Virtual data collection was completed in September 2020. Design: This article provides a case exemplar of virtual adaptations made to a study underway when the pandemic rendered all in-person research impractical and potentially dangerous. Data sources: The strategies discussed are based on our own experiences and the supporting theoretical assumptions of qualitative research, specifically grounded theory methods. Implications for nursing: Nursing scholars conducting qualitative inquiry may find these strategies helpful in continuing research activities during periods of limited access to the phenomena or persons of interest. Furthermore, these strategies allow nursing scholars to conduct rigorous, in-depth research without geographical limitations, providing greater possibilities for international collaborations and cross-institution research. Conclusion: Despite novel challenges, methodological adaptations that are carefully planned and purposeful allow qualitative and non-qualitative scholars to continue research activities in a fully virtual manner. Impact: This case exemplar and discussion provide practical strategies for qualitative scholars to consider while planning new studies or converting an in-person study to a virtual one. Despite the in-person nature of in-depth qualitative inquiry, a historic pandemic and a changing research environment require qualitative researchers to adapt to virtual methods while still conducting high quality, methodologically rigorous research. Qualitative scholars can use the strategies presented here to continue rigorous qualitative inquiry despite limited access to phenomena or persons.","author":[{"dropping-particle":"","family":"Schlegel","given":"Emma C.","non-dropping-particle":"","parse-names":false,"suffix":""},{"dropping-particle":"","family":"Tate","given":"Judith A.","non-dropping-particle":"","parse-names":false,"suffix":""},{"dropping-particle":"","family":"Pickler","given":"Rita H.","non-dropping-particle":"","parse-names":false,"suffix":""},{"dropping-particle":"","family":"Smith","given":"Laureen H.","non-dropping-particle":"","parse-names":false,"suffix":""}],"container-title":"Journal of Advanced Nursing","id":"ITEM-1","issue":"10","issued":{"date-parts":[["2021","10","4"]]},"page":"4035-4044","title":"Practical strategies for qualitative inquiry in a virtual world","type":"article-journal","volume":"77"},"uris":["http://www.mendeley.com/documents/?uuid=7d51bd7a-bb35-4de4-9243-87024df74e38"]}],"mendeley":{"formattedCitation":"(Schlegel et al., 2021)","plainTextFormattedCitation":"(Schlegel et al., 2021)","previouslyFormattedCitation":"(Schlegel et al., 2021)"},"properties":{"noteIndex":0},"schema":"https://github.com/citation-style-language/schema/raw/master/csl-citation.json"}</w:instrText>
      </w:r>
      <w:r w:rsidR="00540451" w:rsidRPr="00540451">
        <w:rPr>
          <w:rFonts w:ascii="Calibri Light" w:hAnsi="Calibri Light" w:cs="Calibri Light"/>
          <w:color w:val="0070C0"/>
          <w:sz w:val="24"/>
          <w:szCs w:val="24"/>
        </w:rPr>
        <w:fldChar w:fldCharType="separate"/>
      </w:r>
      <w:r w:rsidR="00540451" w:rsidRPr="00540451">
        <w:rPr>
          <w:rFonts w:ascii="Calibri Light" w:hAnsi="Calibri Light" w:cs="Calibri Light"/>
          <w:noProof/>
          <w:color w:val="0070C0"/>
          <w:sz w:val="24"/>
          <w:szCs w:val="24"/>
        </w:rPr>
        <w:t xml:space="preserve">(Schlegel </w:t>
      </w:r>
      <w:r w:rsidR="005B3038" w:rsidRPr="005B3038">
        <w:rPr>
          <w:rFonts w:ascii="Calibri Light" w:hAnsi="Calibri Light" w:cs="Calibri Light"/>
          <w:i/>
          <w:noProof/>
          <w:color w:val="0070C0"/>
          <w:sz w:val="24"/>
          <w:szCs w:val="24"/>
        </w:rPr>
        <w:t>et al.</w:t>
      </w:r>
      <w:r w:rsidR="00540451" w:rsidRPr="00540451">
        <w:rPr>
          <w:rFonts w:ascii="Calibri Light" w:hAnsi="Calibri Light" w:cs="Calibri Light"/>
          <w:noProof/>
          <w:color w:val="0070C0"/>
          <w:sz w:val="24"/>
          <w:szCs w:val="24"/>
        </w:rPr>
        <w:t>, 2021)</w:t>
      </w:r>
      <w:r w:rsidR="00540451" w:rsidRPr="00540451">
        <w:rPr>
          <w:rFonts w:ascii="Calibri Light" w:hAnsi="Calibri Light" w:cs="Calibri Light"/>
          <w:color w:val="0070C0"/>
          <w:sz w:val="24"/>
          <w:szCs w:val="24"/>
        </w:rPr>
        <w:fldChar w:fldCharType="end"/>
      </w:r>
      <w:r w:rsidR="00540451">
        <w:rPr>
          <w:rFonts w:ascii="Calibri Light" w:hAnsi="Calibri Light" w:cs="Calibri Light"/>
          <w:sz w:val="24"/>
          <w:szCs w:val="24"/>
        </w:rPr>
        <w:t>.</w:t>
      </w:r>
      <w:r w:rsidRPr="000376DE">
        <w:rPr>
          <w:rFonts w:ascii="Calibri Light" w:hAnsi="Calibri Light" w:cs="Calibri Light"/>
          <w:sz w:val="24"/>
          <w:szCs w:val="24"/>
        </w:rPr>
        <w:t xml:space="preserve"> The abundant availability of virtual data also strengthens the literature review</w:t>
      </w:r>
      <w:r w:rsidR="001A0F2D">
        <w:rPr>
          <w:rFonts w:ascii="Calibri Light" w:hAnsi="Calibri Light" w:cs="Calibri Light"/>
          <w:sz w:val="24"/>
          <w:szCs w:val="24"/>
        </w:rPr>
        <w:t xml:space="preserve"> </w:t>
      </w:r>
      <w:r w:rsidR="001A0F2D" w:rsidRPr="001A0F2D">
        <w:rPr>
          <w:rFonts w:ascii="Calibri Light" w:hAnsi="Calibri Light" w:cs="Calibri Light"/>
          <w:color w:val="0070C0"/>
          <w:sz w:val="24"/>
          <w:szCs w:val="24"/>
        </w:rPr>
        <w:fldChar w:fldCharType="begin" w:fldLock="1"/>
      </w:r>
      <w:r w:rsidR="00EF3F70">
        <w:rPr>
          <w:rFonts w:ascii="Calibri Light" w:hAnsi="Calibri Light" w:cs="Calibri Light"/>
          <w:color w:val="0070C0"/>
          <w:sz w:val="24"/>
          <w:szCs w:val="24"/>
        </w:rPr>
        <w:instrText>ADDIN CSL_CITATION {"citationItems":[{"id":"ITEM-1","itemData":{"DOI":"10.1080/13561820.2020.1791808","ISSN":"1356-1820","PMID":"32718262","abstract":"The COVID-19 pandemic, and ensuing physical distancing measures, poses challenges for researchers in the field of interprofessional care. Pandemic management has highlighted the centrality of interprofessional working to effective healthcare delivery during crises. It is essential to find ways to maintain interprofessional research that has commenced, while also designing research to capture important learning from pandemic management and response. However, it also creates opportunities for new research projects and novel research designs. This discussion paper explores ways of adapting existing research methodologies and outlines potential avenues for new research. Specifically, considerations to bear in mind when designing interprofessional research during the pandemic include research ethics and integrity, research design, data collection methods, research opportunities, implications and limitations. Interprofessional research can continue to make a valuable contribution in informing global responses to COVID-19 and in planning for future global health crises. We call for, insofar as possible, for interprofessional research to continue to be developed during this time.","author":[{"dropping-particle":"","family":"Sy","given":"Michael","non-dropping-particle":"","parse-names":false,"suffix":""},{"dropping-particle":"","family":"O’Leary","given":"Noreen","non-dropping-particle":"","parse-names":false,"suffix":""},{"dropping-particle":"","family":"Nagraj","given":"Shobhana","non-dropping-particle":"","parse-names":false,"suffix":""},{"dropping-particle":"","family":"El-Awaisi","given":"Alla","non-dropping-particle":"","parse-names":false,"suffix":""},{"dropping-particle":"","family":"O’Carroll","given":"Veronica","non-dropping-particle":"","parse-names":false,"suffix":""},{"dropping-particle":"","family":"Xyrichis","given":"Andreas","non-dropping-particle":"","parse-names":false,"suffix":""}],"container-title":"Journal of Interprofessional Care","id":"ITEM-1","issue":"5","issued":{"date-parts":[["2020","9","2"]]},"page":"600-606","title":"Doing interprofessional research in the COVID-19 era: a discussion paper","type":"article-journal","volume":"34"},"uris":["http://www.mendeley.com/documents/?uuid=6c4a2778-bb36-4b91-a1df-1a5bd7bb4aa0"]}],"mendeley":{"formattedCitation":"(Sy et al., 2020)","manualFormatting":"(Sy et al., 2020","plainTextFormattedCitation":"(Sy et al., 2020)","previouslyFormattedCitation":"(Sy et al., 2020)"},"properties":{"noteIndex":0},"schema":"https://github.com/citation-style-language/schema/raw/master/csl-citation.json"}</w:instrText>
      </w:r>
      <w:r w:rsidR="001A0F2D" w:rsidRPr="001A0F2D">
        <w:rPr>
          <w:rFonts w:ascii="Calibri Light" w:hAnsi="Calibri Light" w:cs="Calibri Light"/>
          <w:color w:val="0070C0"/>
          <w:sz w:val="24"/>
          <w:szCs w:val="24"/>
        </w:rPr>
        <w:fldChar w:fldCharType="separate"/>
      </w:r>
      <w:r w:rsidR="001A0F2D" w:rsidRPr="001A0F2D">
        <w:rPr>
          <w:rFonts w:ascii="Calibri Light" w:hAnsi="Calibri Light" w:cs="Calibri Light"/>
          <w:noProof/>
          <w:color w:val="0070C0"/>
          <w:sz w:val="24"/>
          <w:szCs w:val="24"/>
        </w:rPr>
        <w:t xml:space="preserve">(Sy </w:t>
      </w:r>
      <w:r w:rsidR="005B3038" w:rsidRPr="005B3038">
        <w:rPr>
          <w:rFonts w:ascii="Calibri Light" w:hAnsi="Calibri Light" w:cs="Calibri Light"/>
          <w:i/>
          <w:noProof/>
          <w:color w:val="0070C0"/>
          <w:sz w:val="24"/>
          <w:szCs w:val="24"/>
        </w:rPr>
        <w:t>et al.</w:t>
      </w:r>
      <w:r w:rsidR="001A0F2D" w:rsidRPr="001A0F2D">
        <w:rPr>
          <w:rFonts w:ascii="Calibri Light" w:hAnsi="Calibri Light" w:cs="Calibri Light"/>
          <w:noProof/>
          <w:color w:val="0070C0"/>
          <w:sz w:val="24"/>
          <w:szCs w:val="24"/>
        </w:rPr>
        <w:t>, 2020</w:t>
      </w:r>
      <w:r w:rsidR="001A0F2D" w:rsidRPr="001A0F2D">
        <w:rPr>
          <w:rFonts w:ascii="Calibri Light" w:hAnsi="Calibri Light" w:cs="Calibri Light"/>
          <w:color w:val="0070C0"/>
          <w:sz w:val="24"/>
          <w:szCs w:val="24"/>
        </w:rPr>
        <w:fldChar w:fldCharType="end"/>
      </w:r>
      <w:r w:rsidR="001A0F2D">
        <w:rPr>
          <w:rFonts w:ascii="Calibri Light" w:hAnsi="Calibri Light" w:cs="Calibri Light"/>
          <w:color w:val="0070C0"/>
          <w:sz w:val="24"/>
          <w:szCs w:val="24"/>
        </w:rPr>
        <w:t>;</w:t>
      </w:r>
      <w:r w:rsidR="00A1034F" w:rsidRPr="001A0F2D">
        <w:rPr>
          <w:rFonts w:ascii="Calibri Light" w:hAnsi="Calibri Light" w:cs="Calibri Light"/>
          <w:color w:val="0070C0"/>
          <w:sz w:val="24"/>
          <w:szCs w:val="24"/>
        </w:rPr>
        <w:t xml:space="preserve"> </w:t>
      </w:r>
      <w:r w:rsidR="001A0F2D">
        <w:rPr>
          <w:rFonts w:ascii="Calibri Light" w:hAnsi="Calibri Light" w:cs="Calibri Light"/>
          <w:sz w:val="24"/>
          <w:szCs w:val="24"/>
        </w:rPr>
        <w:t xml:space="preserve">  </w:t>
      </w:r>
      <w:r w:rsidR="00A1034F" w:rsidRPr="00A1034F">
        <w:rPr>
          <w:rFonts w:ascii="Calibri Light" w:hAnsi="Calibri Light" w:cs="Calibri Light"/>
          <w:color w:val="0070C0"/>
          <w:sz w:val="24"/>
          <w:szCs w:val="24"/>
        </w:rPr>
        <w:fldChar w:fldCharType="begin" w:fldLock="1"/>
      </w:r>
      <w:r w:rsidR="000741B9">
        <w:rPr>
          <w:rFonts w:ascii="Calibri Light" w:hAnsi="Calibri Light" w:cs="Calibri Light"/>
          <w:color w:val="0070C0"/>
          <w:sz w:val="24"/>
          <w:szCs w:val="24"/>
        </w:rPr>
        <w:instrText>ADDIN CSL_CITATION {"citationItems":[{"id":"ITEM-1","itemData":{"DOI":"10.1177/16094069211002959","ISSN":"1609-4069","abstract":"COVID-19 has necessitated innovation in many parts of our lives and qualitative research is no exception, as in-person qualitative data collection has been complicated by the constraints of social distancing and the prioritization of participants’ and researchers’ safety. Consequently, virtual methods have quickly gained traction. However, there is little research that comprehensively explores the range of practical, rigorous, and ethical considerations that arise when designing and engaging in virtual qualitative research. Addressing this gap, we examine the process of designing and conducting a virtual qualitative study, using specific examples from our case study of student homelessness in Houston, Texas that drew from semi-structured interviews and the analysis of over 50 documents. Garnering insights from Salmons’ Qualitative e-Research Framework (2016), and benefiting from 22 technical memos that documented our process, we profile the challenges we faced—and choices we made in response—as we designed and conducted our study. Our findings suggest that in practice, engaging in virtual qualitative research, particularly in the era of COVID-19, is a purposive exercise that requires thoughtful, careful analysis around a number of methodological challenges as well as ethical and equity-oriented questions. Our exploratory work has timely implications for qualitative scholars in the current COVID-19 context, but also showcases the potential to conduct high-quality, rigorous, ethical qualitative research in a virtual format, offering a glimmer of hope for more equitable qualitative research in contexts of crisis and beyond.","author":[{"dropping-particle":"","family":"Roberts","given":"J. Kessa","non-dropping-particle":"","parse-names":false,"suffix":""},{"dropping-particle":"","family":"Pavlakis","given":"Alexandra E.","non-dropping-particle":"","parse-names":false,"suffix":""},{"dropping-particle":"","family":"Richards","given":"Meredith P.","non-dropping-particle":"","parse-names":false,"suffix":""}],"container-title":"International Journal of Qualitative Methods","id":"ITEM-1","issued":{"date-parts":[["2021","1","1"]]},"title":"It’s More Complicated Than It Seems: Virtual Qualitative Research in the COVID-19 Era","type":"article-journal","volume":"20"},"uris":["http://www.mendeley.com/documents/?uuid=c3ae8e49-0af7-4086-a3f7-2848de39a4d2"]}],"mendeley":{"formattedCitation":"(Roberts et al., 2021)","manualFormatting":"Roberts et al., 2021","plainTextFormattedCitation":"(Roberts et al., 2021)","previouslyFormattedCitation":"(Roberts et al., 2021)"},"properties":{"noteIndex":0},"schema":"https://github.com/citation-style-language/schema/raw/master/csl-citation.json"}</w:instrText>
      </w:r>
      <w:r w:rsidR="00A1034F" w:rsidRPr="00A1034F">
        <w:rPr>
          <w:rFonts w:ascii="Calibri Light" w:hAnsi="Calibri Light" w:cs="Calibri Light"/>
          <w:color w:val="0070C0"/>
          <w:sz w:val="24"/>
          <w:szCs w:val="24"/>
        </w:rPr>
        <w:fldChar w:fldCharType="separate"/>
      </w:r>
      <w:r w:rsidR="00A1034F" w:rsidRPr="00A1034F">
        <w:rPr>
          <w:rFonts w:ascii="Calibri Light" w:hAnsi="Calibri Light" w:cs="Calibri Light"/>
          <w:noProof/>
          <w:color w:val="0070C0"/>
          <w:sz w:val="24"/>
          <w:szCs w:val="24"/>
        </w:rPr>
        <w:t xml:space="preserve">Roberts </w:t>
      </w:r>
      <w:r w:rsidR="005B3038" w:rsidRPr="005B3038">
        <w:rPr>
          <w:rFonts w:ascii="Calibri Light" w:hAnsi="Calibri Light" w:cs="Calibri Light"/>
          <w:i/>
          <w:noProof/>
          <w:color w:val="0070C0"/>
          <w:sz w:val="24"/>
          <w:szCs w:val="24"/>
        </w:rPr>
        <w:t>et al.</w:t>
      </w:r>
      <w:r w:rsidR="00A1034F" w:rsidRPr="00A1034F">
        <w:rPr>
          <w:rFonts w:ascii="Calibri Light" w:hAnsi="Calibri Light" w:cs="Calibri Light"/>
          <w:noProof/>
          <w:color w:val="0070C0"/>
          <w:sz w:val="24"/>
          <w:szCs w:val="24"/>
        </w:rPr>
        <w:t>, 2021</w:t>
      </w:r>
      <w:r w:rsidR="00A1034F" w:rsidRPr="00A1034F">
        <w:rPr>
          <w:rFonts w:ascii="Calibri Light" w:hAnsi="Calibri Light" w:cs="Calibri Light"/>
          <w:color w:val="0070C0"/>
          <w:sz w:val="24"/>
          <w:szCs w:val="24"/>
        </w:rPr>
        <w:fldChar w:fldCharType="end"/>
      </w:r>
      <w:r w:rsidR="001A0F2D">
        <w:rPr>
          <w:rFonts w:ascii="Calibri Light" w:hAnsi="Calibri Light" w:cs="Calibri Light"/>
          <w:color w:val="0070C0"/>
          <w:sz w:val="24"/>
          <w:szCs w:val="24"/>
        </w:rPr>
        <w:t xml:space="preserve">; </w:t>
      </w:r>
      <w:r w:rsidR="001A0F2D">
        <w:rPr>
          <w:rFonts w:ascii="Calibri Light" w:hAnsi="Calibri Light" w:cs="Calibri Light"/>
          <w:color w:val="0070C0"/>
          <w:sz w:val="24"/>
          <w:szCs w:val="24"/>
        </w:rPr>
        <w:fldChar w:fldCharType="begin" w:fldLock="1"/>
      </w:r>
      <w:r w:rsidR="001A0F2D">
        <w:rPr>
          <w:rFonts w:ascii="Calibri Light" w:hAnsi="Calibri Light" w:cs="Calibri Light"/>
          <w:color w:val="0070C0"/>
          <w:sz w:val="24"/>
          <w:szCs w:val="24"/>
        </w:rPr>
        <w:instrText>ADDIN CSL_CITATION {"citationItems":[{"id":"ITEM-1","itemData":{"DOI":"10.1177/16094069221107144","ISSN":"16094069","abstract":"Background: During the COVID-19 pandemic, rapid virtual qualitative methods have gained attention in applied health research to produce timely, actionable results while complying with the pandemic restrictions. However, rigour and analytical depth may be two areas of concern for rapid qualitative methods. Methods: In this paper, we present an overview of a virtual team-based rapid qualitative method within a study that explored health care providers’ perspectives of how the COVID-19 pandemic has impacted hospital-to-home transitions, lessons learned in applying this method, and recommendations for changes. Using this method, qualitative data were collected and analyzed using the Zoom Healthcare videoconferencing platform and telephone. Visual summary maps were iteratively created from the audio recordings of each interview through virtual analytic meetings with the team. Maps representing similar settings (e.g. hospital providers and community providers) and Sites were combined to form meta-maps representing that group’s experience. The combinations of data that best fit together were used to form the final meta-map through discussion. Results: This case example is used to provide a description of how to apply a virtual team-based rapid qualitative method. This paper also offers a discussion of the opportunities and challenges of applying this method, in particular how the virtual team-based rapid qualitative method could be modified to produce timely results virtually while attending to rigour and depth. Conclusions: We contend that the virtual team-based rapid qualitative data collection and analysis method was useful for generating timely, rigorous, and in-depth knowledge about transitional care during the COVID-19 pandemic. The recommended modifications to this method may enhance its utility for researchers to apply to their qualitative research studies.","author":[{"dropping-particle":"","family":"Singh","given":"Hardeep","non-dropping-particle":"","parse-names":false,"suffix":""},{"dropping-particle":"","family":"Tang","given":"Terence","non-dropping-particle":"","parse-names":false,"suffix":""},{"dropping-particle":"","family":"Thombs","given":"Rachel","non-dropping-particle":"","parse-names":false,"suffix":""},{"dropping-particle":"","family":"Armas","given":"Alana","non-dropping-particle":"","parse-names":false,"suffix":""},{"dropping-particle":"","family":"Nie","given":"Jason X.","non-dropping-particle":"","parse-names":false,"suffix":""},{"dropping-particle":"","family":"Nelson","given":"Michelle L.A.","non-dropping-particle":"","parse-names":false,"suffix":""},{"dropping-particle":"","family":"Gray","given":"Carolyn Steele","non-dropping-particle":"","parse-names":false,"suffix":""}],"container-title":"International Journal of Qualitative Methods","id":"ITEM-1","issued":{"date-parts":[["2022"]]},"title":"Methodological Insights From a Virtual, Team-Based Rapid Qualitative Method Applied to a Study of Providers’ Perspectives of the COVID-19 Pandemic Impact on Hospital-To-Home Transitions","type":"article-journal"},"uris":["http://www.mendeley.com/documents/?uuid=e424d687-0194-4705-8e9b-942bc66691d4"]}],"mendeley":{"formattedCitation":"(Singh et al., 2022)","manualFormatting":"Singh et al., 2022)","plainTextFormattedCitation":"(Singh et al., 2022)","previouslyFormattedCitation":"(Singh et al., 2022)"},"properties":{"noteIndex":0},"schema":"https://github.com/citation-style-language/schema/raw/master/csl-citation.json"}</w:instrText>
      </w:r>
      <w:r w:rsidR="001A0F2D">
        <w:rPr>
          <w:rFonts w:ascii="Calibri Light" w:hAnsi="Calibri Light" w:cs="Calibri Light"/>
          <w:color w:val="0070C0"/>
          <w:sz w:val="24"/>
          <w:szCs w:val="24"/>
        </w:rPr>
        <w:fldChar w:fldCharType="separate"/>
      </w:r>
      <w:r w:rsidR="001A0F2D" w:rsidRPr="001A0F2D">
        <w:rPr>
          <w:rFonts w:ascii="Calibri Light" w:hAnsi="Calibri Light" w:cs="Calibri Light"/>
          <w:noProof/>
          <w:color w:val="0070C0"/>
          <w:sz w:val="24"/>
          <w:szCs w:val="24"/>
        </w:rPr>
        <w:t xml:space="preserve">Singh </w:t>
      </w:r>
      <w:r w:rsidR="005B3038" w:rsidRPr="005B3038">
        <w:rPr>
          <w:rFonts w:ascii="Calibri Light" w:hAnsi="Calibri Light" w:cs="Calibri Light"/>
          <w:i/>
          <w:noProof/>
          <w:color w:val="0070C0"/>
          <w:sz w:val="24"/>
          <w:szCs w:val="24"/>
        </w:rPr>
        <w:t>et al.</w:t>
      </w:r>
      <w:r w:rsidR="001A0F2D" w:rsidRPr="001A0F2D">
        <w:rPr>
          <w:rFonts w:ascii="Calibri Light" w:hAnsi="Calibri Light" w:cs="Calibri Light"/>
          <w:noProof/>
          <w:color w:val="0070C0"/>
          <w:sz w:val="24"/>
          <w:szCs w:val="24"/>
        </w:rPr>
        <w:t>, 2022)</w:t>
      </w:r>
      <w:r w:rsidR="001A0F2D">
        <w:rPr>
          <w:rFonts w:ascii="Calibri Light" w:hAnsi="Calibri Light" w:cs="Calibri Light"/>
          <w:color w:val="0070C0"/>
          <w:sz w:val="24"/>
          <w:szCs w:val="24"/>
        </w:rPr>
        <w:fldChar w:fldCharType="end"/>
      </w:r>
      <w:r w:rsidR="000741B9">
        <w:rPr>
          <w:rFonts w:ascii="Calibri Light" w:hAnsi="Calibri Light" w:cs="Calibri Light"/>
          <w:sz w:val="24"/>
          <w:szCs w:val="24"/>
        </w:rPr>
        <w:t xml:space="preserve">. </w:t>
      </w:r>
      <w:r w:rsidRPr="000376DE">
        <w:rPr>
          <w:rFonts w:ascii="Calibri Light" w:hAnsi="Calibri Light" w:cs="Calibri Light"/>
          <w:sz w:val="24"/>
          <w:szCs w:val="24"/>
        </w:rPr>
        <w:t>Although it has the potential to reduce the social desirability bias due to the absence of the researcher's physical presence, virtual data collection allows for real-time, direct data elaboration, free from simplification or reduction, because primary data is quoted directly</w:t>
      </w:r>
      <w:r w:rsidR="00697494">
        <w:rPr>
          <w:rFonts w:ascii="Calibri Light" w:hAnsi="Calibri Light" w:cs="Calibri Light"/>
          <w:sz w:val="24"/>
          <w:szCs w:val="24"/>
        </w:rPr>
        <w:t xml:space="preserve"> </w:t>
      </w:r>
      <w:r w:rsidR="00EF3F70" w:rsidRPr="00D426D5">
        <w:rPr>
          <w:rFonts w:ascii="Calibri Light" w:hAnsi="Calibri Light" w:cs="Calibri Light"/>
          <w:color w:val="0070C0"/>
          <w:sz w:val="24"/>
          <w:szCs w:val="24"/>
        </w:rPr>
        <w:fldChar w:fldCharType="begin" w:fldLock="1"/>
      </w:r>
      <w:r w:rsidR="00ED719C">
        <w:rPr>
          <w:rFonts w:ascii="Calibri Light" w:hAnsi="Calibri Light" w:cs="Calibri Light"/>
          <w:color w:val="0070C0"/>
          <w:sz w:val="24"/>
          <w:szCs w:val="24"/>
        </w:rPr>
        <w:instrText>ADDIN CSL_CITATION {"citationItems":[{"id":"ITEM-1","itemData":{"DOI":"10.1111/apps.12302","ISSN":"0269-994X","abstract":"Online platforms such as Amazon's Mechanical Turk (MTurk) are increasingly used by researchers to collect survey and experimental data. Yet, such platforms often represent a tumultuous terrain for both researchers and reviewers. Researchers have to navigate the complexities of obtaining representative samples from online participant cohorts, ensuring data quality, ethically incentivizing participant engagement, and maintaining transparency. Reviewers, on the other hand, have to navigate the complexities of evaluating the efficacy of such data collection and execution efforts in answering important research questions. In order to provide clarity to these issues, this article provides researchers and reviewers with a series of recommendations for effectively executing and evaluating data collection via online platforms, respectively.","author":[{"dropping-particle":"","family":"Newman","given":"Alexander","non-dropping-particle":"","parse-names":false,"suffix":""},{"dropping-particle":"","family":"Bavik","given":"Yuen Lam","non-dropping-particle":"","parse-names":false,"suffix":""},{"dropping-particle":"","family":"Mount","given":"Matthew","non-dropping-particle":"","parse-names":false,"suffix":""},{"dropping-particle":"","family":"Shao","given":"Bo","non-dropping-particle":"","parse-names":false,"suffix":""}],"container-title":"Applied Psychology","id":"ITEM-1","issue":"3","issued":{"date-parts":[["2021","7","15"]]},"page":"1380-1402","title":"Data Collection via Online Platforms: Challenges and Recommendations for Future Research","type":"article-journal","volume":"70"},"uris":["http://www.mendeley.com/documents/?uuid=64a73c2e-b4a5-4108-996e-43c267f606f2"]}],"mendeley":{"formattedCitation":"(Newman et al., 2021)","manualFormatting":"(Newman et al., 2021","plainTextFormattedCitation":"(Newman et al., 2021)","previouslyFormattedCitation":"(Newman et al., 2021)"},"properties":{"noteIndex":0},"schema":"https://github.com/citation-style-language/schema/raw/master/csl-citation.json"}</w:instrText>
      </w:r>
      <w:r w:rsidR="00EF3F70" w:rsidRPr="00D426D5">
        <w:rPr>
          <w:rFonts w:ascii="Calibri Light" w:hAnsi="Calibri Light" w:cs="Calibri Light"/>
          <w:color w:val="0070C0"/>
          <w:sz w:val="24"/>
          <w:szCs w:val="24"/>
        </w:rPr>
        <w:fldChar w:fldCharType="separate"/>
      </w:r>
      <w:r w:rsidR="00EF3F70" w:rsidRPr="00D426D5">
        <w:rPr>
          <w:rFonts w:ascii="Calibri Light" w:hAnsi="Calibri Light" w:cs="Calibri Light"/>
          <w:noProof/>
          <w:color w:val="0070C0"/>
          <w:sz w:val="24"/>
          <w:szCs w:val="24"/>
        </w:rPr>
        <w:t xml:space="preserve">(Newman </w:t>
      </w:r>
      <w:r w:rsidR="005B3038" w:rsidRPr="005B3038">
        <w:rPr>
          <w:rFonts w:ascii="Calibri Light" w:hAnsi="Calibri Light" w:cs="Calibri Light"/>
          <w:i/>
          <w:noProof/>
          <w:color w:val="0070C0"/>
          <w:sz w:val="24"/>
          <w:szCs w:val="24"/>
        </w:rPr>
        <w:t>et al.</w:t>
      </w:r>
      <w:r w:rsidR="00EF3F70" w:rsidRPr="00D426D5">
        <w:rPr>
          <w:rFonts w:ascii="Calibri Light" w:hAnsi="Calibri Light" w:cs="Calibri Light"/>
          <w:noProof/>
          <w:color w:val="0070C0"/>
          <w:sz w:val="24"/>
          <w:szCs w:val="24"/>
        </w:rPr>
        <w:t>, 2021</w:t>
      </w:r>
      <w:r w:rsidR="00EF3F70" w:rsidRPr="00D426D5">
        <w:rPr>
          <w:rFonts w:ascii="Calibri Light" w:hAnsi="Calibri Light" w:cs="Calibri Light"/>
          <w:color w:val="0070C0"/>
          <w:sz w:val="24"/>
          <w:szCs w:val="24"/>
        </w:rPr>
        <w:fldChar w:fldCharType="end"/>
      </w:r>
      <w:r w:rsidR="00EF3F70" w:rsidRPr="00D426D5">
        <w:rPr>
          <w:rFonts w:ascii="Calibri Light" w:hAnsi="Calibri Light" w:cs="Calibri Light"/>
          <w:color w:val="0070C0"/>
          <w:sz w:val="24"/>
          <w:szCs w:val="24"/>
        </w:rPr>
        <w:t xml:space="preserve">; </w:t>
      </w:r>
      <w:r w:rsidR="00EF3F70" w:rsidRPr="00D426D5">
        <w:rPr>
          <w:rFonts w:ascii="Calibri Light" w:hAnsi="Calibri Light" w:cs="Calibri Light"/>
          <w:color w:val="0070C0"/>
          <w:sz w:val="24"/>
          <w:szCs w:val="24"/>
        </w:rPr>
        <w:fldChar w:fldCharType="begin" w:fldLock="1"/>
      </w:r>
      <w:r w:rsidR="00D426D5" w:rsidRPr="00D426D5">
        <w:rPr>
          <w:rFonts w:ascii="Calibri Light" w:hAnsi="Calibri Light" w:cs="Calibri Light"/>
          <w:color w:val="0070C0"/>
          <w:sz w:val="24"/>
          <w:szCs w:val="24"/>
        </w:rPr>
        <w:instrText>ADDIN CSL_CITATION {"citationItems":[{"id":"ITEM-1","itemData":{"DOI":"10.1177/16094069221105075","ISSN":"1609-4069","abstract":"COVID-19 has required researchers to adapt methodologies for remote data collection. While virtual interviewing has traditionally received limited attention in the qualitative literature, recent adaptations to the pandemic have prompted increased discussion and adoption. Yet, current discussion has focussed on practical and ethical concerns and retained a tone of compromise, of coping in a crisis. This paper extends the nascent conversations begun prior to the pandemic to consider the wider methodological implications of video-call interviews. Beyond the short-term, practical challenges of the pandemic, these adaptations demonstrate scope for longer-term, beneficial digitalisation of both traditional and emergent interview methods. Updating traditional interview methods digitally has demonstrated how conversion to video interviewing proves beneficial in its own right. Virtual focus-group-based research during COVID-19, for example, accessed marginalised populations and elicited notable rapport and rich data, uniting people in synchronous conversation across many environments. Moreover, emergent interview methods such as the Grid Elaboration Method (a specialised free-associative method) demonstrated further digitalised enhancements, including effective online recruitment with flexible scheduling, virtual interactions with significant rapport, and valuable recording and transcription functions. This paper looks beyond the pandemic to future research contexts where such forms of virtual interviewing may confer unique advantages: supporting researcher and participant populations with mobility challenges; enhancing international research where researcher presence or travel may be problematic. When opportunities for traditional face-to-face methods return, the opportunity for virtual innovation should not be overlooked.","author":[{"dropping-particle":"","family":"Keen","given":"Sam","non-dropping-particle":"","parse-names":false,"suffix":""},{"dropping-particle":"","family":"Lomeli-Rodriguez","given":"Martha","non-dropping-particle":"","parse-names":false,"suffix":""},{"dropping-particle":"","family":"Joffe","given":"Helene","non-dropping-particle":"","parse-names":false,"suffix":""}],"container-title":"International Journal of Qualitative Methods","id":"ITEM-1","issued":{"date-parts":[["2022","4","4"]]},"title":"From Challenge to Opportunity: Virtual Qualitative Research During COVID-19 and Beyond","type":"article-journal","volume":"21"},"uris":["http://www.mendeley.com/documents/?uuid=0bf02be5-9810-4945-8dcc-a7fc5c832a46"]}],"mendeley":{"formattedCitation":"(Keen et al., 2022)","manualFormatting":"Keen et al., 2022)","plainTextFormattedCitation":"(Keen et al., 2022)","previouslyFormattedCitation":"(Keen et al., 2022)"},"properties":{"noteIndex":0},"schema":"https://github.com/citation-style-language/schema/raw/master/csl-citation.json"}</w:instrText>
      </w:r>
      <w:r w:rsidR="00EF3F70" w:rsidRPr="00D426D5">
        <w:rPr>
          <w:rFonts w:ascii="Calibri Light" w:hAnsi="Calibri Light" w:cs="Calibri Light"/>
          <w:color w:val="0070C0"/>
          <w:sz w:val="24"/>
          <w:szCs w:val="24"/>
        </w:rPr>
        <w:fldChar w:fldCharType="separate"/>
      </w:r>
      <w:r w:rsidR="00EF3F70" w:rsidRPr="00D426D5">
        <w:rPr>
          <w:rFonts w:ascii="Calibri Light" w:hAnsi="Calibri Light" w:cs="Calibri Light"/>
          <w:noProof/>
          <w:color w:val="0070C0"/>
          <w:sz w:val="24"/>
          <w:szCs w:val="24"/>
        </w:rPr>
        <w:t xml:space="preserve">Keen </w:t>
      </w:r>
      <w:r w:rsidR="005B3038" w:rsidRPr="005B3038">
        <w:rPr>
          <w:rFonts w:ascii="Calibri Light" w:hAnsi="Calibri Light" w:cs="Calibri Light"/>
          <w:i/>
          <w:noProof/>
          <w:color w:val="0070C0"/>
          <w:sz w:val="24"/>
          <w:szCs w:val="24"/>
        </w:rPr>
        <w:t>et al.</w:t>
      </w:r>
      <w:r w:rsidR="00EF3F70" w:rsidRPr="00D426D5">
        <w:rPr>
          <w:rFonts w:ascii="Calibri Light" w:hAnsi="Calibri Light" w:cs="Calibri Light"/>
          <w:noProof/>
          <w:color w:val="0070C0"/>
          <w:sz w:val="24"/>
          <w:szCs w:val="24"/>
        </w:rPr>
        <w:t>, 2022)</w:t>
      </w:r>
      <w:r w:rsidR="00EF3F70" w:rsidRPr="00D426D5">
        <w:rPr>
          <w:rFonts w:ascii="Calibri Light" w:hAnsi="Calibri Light" w:cs="Calibri Light"/>
          <w:color w:val="0070C0"/>
          <w:sz w:val="24"/>
          <w:szCs w:val="24"/>
        </w:rPr>
        <w:fldChar w:fldCharType="end"/>
      </w:r>
    </w:p>
    <w:p w14:paraId="76E5070B" w14:textId="4B7ED78C" w:rsidR="000376DE" w:rsidRPr="000376DE" w:rsidRDefault="000376DE" w:rsidP="000376DE">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The virtual data was then analyzed using a discourse analysis approach</w:t>
      </w:r>
      <w:r w:rsidR="00ED719C">
        <w:rPr>
          <w:rFonts w:ascii="Calibri Light" w:hAnsi="Calibri Light" w:cs="Calibri Light"/>
          <w:sz w:val="24"/>
          <w:szCs w:val="24"/>
        </w:rPr>
        <w:t xml:space="preserve"> </w:t>
      </w:r>
      <w:r w:rsidR="00ED719C" w:rsidRPr="00ED719C">
        <w:rPr>
          <w:rFonts w:ascii="Calibri Light" w:hAnsi="Calibri Light" w:cs="Calibri Light"/>
          <w:color w:val="0070C0"/>
          <w:sz w:val="24"/>
          <w:szCs w:val="24"/>
        </w:rPr>
        <w:fldChar w:fldCharType="begin" w:fldLock="1"/>
      </w:r>
      <w:r w:rsidR="00D327F8">
        <w:rPr>
          <w:rFonts w:ascii="Calibri Light" w:hAnsi="Calibri Light" w:cs="Calibri Light"/>
          <w:color w:val="0070C0"/>
          <w:sz w:val="24"/>
          <w:szCs w:val="24"/>
        </w:rPr>
        <w:instrText>ADDIN CSL_CITATION {"citationItems":[{"id":"ITEM-1","itemData":{"DOI":"10.1177/00483931241255229","ISSN":"0048-3931","abstract":"This paper discusses the explanatory power of discourse analysis, an approach to typically considered one of the main qualitative methods for data analysis. Although discourse analysis is typically not used to develop explanatory models, some have claimed that discourse models can causally explain social phenomena, such as institutional change. I analyze a case of institutional change to discuss and provide arguments for two claims. First, discourse analysis cannot generate causal explanations of social phenomena. Secondly, discourse analysis can generate non-causal explanations, specifically constitutive explanations of social phenomena. I conclude the paper by discussing possible implications for social research.","author":[{"dropping-particle":"","family":"Matta","given":"Corrado","non-dropping-particle":"","parse-names":false,"suffix":""}],"container-title":"Philosophy of the Social Sciences","id":"ITEM-1","issue":"5","issued":{"date-parts":[["2024","9","20"]]},"page":"363-386","title":"The Explanatory Power of Discourse Analysis","type":"article-journal","volume":"54"},"uris":["http://www.mendeley.com/documents/?uuid=dac0c861-5852-4ec2-b503-8cdbd91034e8"]}],"mendeley":{"formattedCitation":"(Matta, 2024)","plainTextFormattedCitation":"(Matta, 2024)","previouslyFormattedCitation":"(Matta, 2024)"},"properties":{"noteIndex":0},"schema":"https://github.com/citation-style-language/schema/raw/master/csl-citation.json"}</w:instrText>
      </w:r>
      <w:r w:rsidR="00ED719C" w:rsidRPr="00ED719C">
        <w:rPr>
          <w:rFonts w:ascii="Calibri Light" w:hAnsi="Calibri Light" w:cs="Calibri Light"/>
          <w:color w:val="0070C0"/>
          <w:sz w:val="24"/>
          <w:szCs w:val="24"/>
        </w:rPr>
        <w:fldChar w:fldCharType="separate"/>
      </w:r>
      <w:r w:rsidR="00ED719C" w:rsidRPr="00ED719C">
        <w:rPr>
          <w:rFonts w:ascii="Calibri Light" w:hAnsi="Calibri Light" w:cs="Calibri Light"/>
          <w:noProof/>
          <w:color w:val="0070C0"/>
          <w:sz w:val="24"/>
          <w:szCs w:val="24"/>
        </w:rPr>
        <w:t>(Matta, 2024)</w:t>
      </w:r>
      <w:r w:rsidR="00ED719C" w:rsidRPr="00ED719C">
        <w:rPr>
          <w:rFonts w:ascii="Calibri Light" w:hAnsi="Calibri Light" w:cs="Calibri Light"/>
          <w:color w:val="0070C0"/>
          <w:sz w:val="24"/>
          <w:szCs w:val="24"/>
        </w:rPr>
        <w:fldChar w:fldCharType="end"/>
      </w:r>
      <w:r w:rsidR="00ED719C">
        <w:rPr>
          <w:rFonts w:ascii="Calibri Light" w:hAnsi="Calibri Light" w:cs="Calibri Light"/>
          <w:sz w:val="24"/>
          <w:szCs w:val="24"/>
        </w:rPr>
        <w:t xml:space="preserve">, </w:t>
      </w:r>
      <w:r w:rsidRPr="000376DE">
        <w:rPr>
          <w:rFonts w:ascii="Calibri Light" w:hAnsi="Calibri Light" w:cs="Calibri Light"/>
          <w:sz w:val="24"/>
          <w:szCs w:val="24"/>
        </w:rPr>
        <w:t>which is often used to analyze data in the form of conversations or statements</w:t>
      </w:r>
      <w:r w:rsidR="00550F2E">
        <w:rPr>
          <w:rFonts w:ascii="Calibri Light" w:hAnsi="Calibri Light" w:cs="Calibri Light"/>
          <w:sz w:val="24"/>
          <w:szCs w:val="24"/>
        </w:rPr>
        <w:t xml:space="preserve"> or </w:t>
      </w:r>
      <w:r w:rsidR="00550F2E" w:rsidRPr="00550F2E">
        <w:rPr>
          <w:rFonts w:ascii="Calibri Light" w:hAnsi="Calibri Light" w:cs="Calibri Light"/>
          <w:sz w:val="24"/>
          <w:szCs w:val="24"/>
        </w:rPr>
        <w:t xml:space="preserve">to study written and spoken language </w:t>
      </w:r>
      <w:r w:rsidR="003D0FE7">
        <w:rPr>
          <w:rFonts w:ascii="Calibri Light" w:hAnsi="Calibri Light" w:cs="Calibri Light"/>
          <w:sz w:val="24"/>
          <w:szCs w:val="24"/>
        </w:rPr>
        <w:t>concerning</w:t>
      </w:r>
      <w:r w:rsidR="00550F2E" w:rsidRPr="00550F2E">
        <w:rPr>
          <w:rFonts w:ascii="Calibri Light" w:hAnsi="Calibri Light" w:cs="Calibri Light"/>
          <w:sz w:val="24"/>
          <w:szCs w:val="24"/>
        </w:rPr>
        <w:t xml:space="preserve"> its social context</w:t>
      </w:r>
      <w:r w:rsidR="00A353C6">
        <w:rPr>
          <w:rFonts w:ascii="Calibri Light" w:hAnsi="Calibri Light" w:cs="Calibri Light"/>
          <w:sz w:val="24"/>
          <w:szCs w:val="24"/>
        </w:rPr>
        <w:t xml:space="preserve"> </w:t>
      </w:r>
      <w:r w:rsidR="00A353C6" w:rsidRPr="00A353C6">
        <w:rPr>
          <w:rFonts w:ascii="Calibri Light" w:hAnsi="Calibri Light" w:cs="Calibri Light"/>
          <w:color w:val="0070C0"/>
          <w:sz w:val="24"/>
          <w:szCs w:val="24"/>
        </w:rPr>
        <w:fldChar w:fldCharType="begin" w:fldLock="1"/>
      </w:r>
      <w:r w:rsidR="0027427C">
        <w:rPr>
          <w:rFonts w:ascii="Calibri Light" w:hAnsi="Calibri Light" w:cs="Calibri Light"/>
          <w:color w:val="0070C0"/>
          <w:sz w:val="24"/>
          <w:szCs w:val="24"/>
        </w:rPr>
        <w:instrText>ADDIN CSL_CITATION {"citationItems":[{"id":"ITEM-1","itemData":{"DOI":"10.1007/978-3-030-90769-3_10","abstract":"The aim of this chapter is to show how values can be identified through discourse analysis. To elaborate on this, we describe what discourse analysis is by drawing on theoretical contributions and earlier writings on the approach. Discourse analysis is presented here...","author":[{"dropping-particle":"","family":"Kivle","given":"Benedicte Maria Tveter","non-dropping-particle":"","parse-names":false,"suffix":""},{"dropping-particle":"","family":"Espedal","given":"Gry","non-dropping-particle":"","parse-names":false,"suffix":""}],"container-title":"Researching Values","id":"ITEM-1","issued":{"date-parts":[["2022"]]},"page":"171-187","publisher":"Springer International Publishing","publisher-place":"Cham","title":"Identifying Values Through Discourse Analysis","type":"chapter"},"uris":["http://www.mendeley.com/documents/?uuid=d8d25004-d2b6-45d5-8bdd-3c33e9af9e10"]}],"mendeley":{"formattedCitation":"(Kivle &amp; Espedal, 2022)","manualFormatting":"(Kivle &amp; Espedal, 2022","plainTextFormattedCitation":"(Kivle &amp; Espedal, 2022)","previouslyFormattedCitation":"(Kivle &amp; Espedal, 2022)"},"properties":{"noteIndex":0},"schema":"https://github.com/citation-style-language/schema/raw/master/csl-citation.json"}</w:instrText>
      </w:r>
      <w:r w:rsidR="00A353C6" w:rsidRPr="00A353C6">
        <w:rPr>
          <w:rFonts w:ascii="Calibri Light" w:hAnsi="Calibri Light" w:cs="Calibri Light"/>
          <w:color w:val="0070C0"/>
          <w:sz w:val="24"/>
          <w:szCs w:val="24"/>
        </w:rPr>
        <w:fldChar w:fldCharType="separate"/>
      </w:r>
      <w:r w:rsidR="00A353C6" w:rsidRPr="00A353C6">
        <w:rPr>
          <w:rFonts w:ascii="Calibri Light" w:hAnsi="Calibri Light" w:cs="Calibri Light"/>
          <w:noProof/>
          <w:color w:val="0070C0"/>
          <w:sz w:val="24"/>
          <w:szCs w:val="24"/>
        </w:rPr>
        <w:t>(Kivle &amp; Espedal, 2022</w:t>
      </w:r>
      <w:r w:rsidR="00A353C6" w:rsidRPr="00A353C6">
        <w:rPr>
          <w:rFonts w:ascii="Calibri Light" w:hAnsi="Calibri Light" w:cs="Calibri Light"/>
          <w:color w:val="0070C0"/>
          <w:sz w:val="24"/>
          <w:szCs w:val="24"/>
        </w:rPr>
        <w:fldChar w:fldCharType="end"/>
      </w:r>
      <w:r w:rsidR="00A353C6">
        <w:rPr>
          <w:rFonts w:ascii="Calibri Light" w:hAnsi="Calibri Light" w:cs="Calibri Light"/>
          <w:color w:val="0070C0"/>
          <w:sz w:val="24"/>
          <w:szCs w:val="24"/>
        </w:rPr>
        <w:t>;</w:t>
      </w:r>
      <w:r w:rsidR="00D327F8" w:rsidRPr="00A353C6">
        <w:rPr>
          <w:rFonts w:ascii="Calibri Light" w:hAnsi="Calibri Light" w:cs="Calibri Light"/>
          <w:color w:val="0070C0"/>
          <w:sz w:val="24"/>
          <w:szCs w:val="24"/>
        </w:rPr>
        <w:t xml:space="preserve"> </w:t>
      </w:r>
      <w:r w:rsidR="00D327F8" w:rsidRPr="00D327F8">
        <w:rPr>
          <w:rFonts w:ascii="Calibri Light" w:hAnsi="Calibri Light" w:cs="Calibri Light"/>
          <w:color w:val="0070C0"/>
          <w:sz w:val="24"/>
          <w:szCs w:val="24"/>
        </w:rPr>
        <w:fldChar w:fldCharType="begin" w:fldLock="1"/>
      </w:r>
      <w:r w:rsidR="00CE7D9C">
        <w:rPr>
          <w:rFonts w:ascii="Calibri Light" w:hAnsi="Calibri Light" w:cs="Calibri Light"/>
          <w:color w:val="0070C0"/>
          <w:sz w:val="24"/>
          <w:szCs w:val="24"/>
        </w:rPr>
        <w:instrText>ADDIN CSL_CITATION {"citationItems":[{"id":"ITEM-1","itemData":{"author":[{"dropping-particle":"","family":"McLeod","given":"S","non-dropping-particle":"","parse-names":false,"suffix":""}],"container-title":"Simply Psychology.","id":"ITEM-1","issued":{"date-parts":[["2024","6","19"]]},"title":"Discourse analysis","type":"article-newspaper"},"uris":["http://www.mendeley.com/documents/?uuid=a6837831-d457-4224-b1a4-627dc458c7ef"]}],"mendeley":{"formattedCitation":"(McLeod, 2024)","manualFormatting":"McLeod, 2024)","plainTextFormattedCitation":"(McLeod, 2024)","previouslyFormattedCitation":"(McLeod, 2024)"},"properties":{"noteIndex":0},"schema":"https://github.com/citation-style-language/schema/raw/master/csl-citation.json"}</w:instrText>
      </w:r>
      <w:r w:rsidR="00D327F8" w:rsidRPr="00D327F8">
        <w:rPr>
          <w:rFonts w:ascii="Calibri Light" w:hAnsi="Calibri Light" w:cs="Calibri Light"/>
          <w:color w:val="0070C0"/>
          <w:sz w:val="24"/>
          <w:szCs w:val="24"/>
        </w:rPr>
        <w:fldChar w:fldCharType="separate"/>
      </w:r>
      <w:r w:rsidR="00D327F8" w:rsidRPr="00D327F8">
        <w:rPr>
          <w:rFonts w:ascii="Calibri Light" w:hAnsi="Calibri Light" w:cs="Calibri Light"/>
          <w:noProof/>
          <w:color w:val="0070C0"/>
          <w:sz w:val="24"/>
          <w:szCs w:val="24"/>
        </w:rPr>
        <w:t>McLeod, 2024)</w:t>
      </w:r>
      <w:r w:rsidR="00D327F8" w:rsidRPr="00D327F8">
        <w:rPr>
          <w:rFonts w:ascii="Calibri Light" w:hAnsi="Calibri Light" w:cs="Calibri Light"/>
          <w:color w:val="0070C0"/>
          <w:sz w:val="24"/>
          <w:szCs w:val="24"/>
        </w:rPr>
        <w:fldChar w:fldCharType="end"/>
      </w:r>
      <w:r w:rsidR="00550F2E" w:rsidRPr="00D327F8">
        <w:rPr>
          <w:rFonts w:ascii="Calibri Light" w:hAnsi="Calibri Light" w:cs="Calibri Light"/>
          <w:color w:val="0070C0"/>
          <w:sz w:val="24"/>
          <w:szCs w:val="24"/>
        </w:rPr>
        <w:t xml:space="preserve"> </w:t>
      </w:r>
      <w:r w:rsidRPr="000376DE">
        <w:rPr>
          <w:rFonts w:ascii="Calibri Light" w:hAnsi="Calibri Light" w:cs="Calibri Light"/>
          <w:sz w:val="24"/>
          <w:szCs w:val="24"/>
        </w:rPr>
        <w:t>In addition, the author also referred to several general procedures of the data analysis spiral, as illustrated by</w:t>
      </w:r>
      <w:r w:rsidR="0027427C">
        <w:rPr>
          <w:rFonts w:ascii="Calibri Light" w:hAnsi="Calibri Light" w:cs="Calibri Light"/>
          <w:sz w:val="24"/>
          <w:szCs w:val="24"/>
        </w:rPr>
        <w:t xml:space="preserve"> </w:t>
      </w:r>
      <w:r w:rsidR="0027427C" w:rsidRPr="0027427C">
        <w:rPr>
          <w:rFonts w:ascii="Calibri Light" w:hAnsi="Calibri Light" w:cs="Calibri Light"/>
          <w:color w:val="0070C0"/>
          <w:sz w:val="24"/>
          <w:szCs w:val="24"/>
        </w:rPr>
        <w:fldChar w:fldCharType="begin" w:fldLock="1"/>
      </w:r>
      <w:r w:rsidR="0027427C">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27427C" w:rsidRPr="0027427C">
        <w:rPr>
          <w:rFonts w:ascii="Calibri Light" w:hAnsi="Calibri Light" w:cs="Calibri Light"/>
          <w:color w:val="0070C0"/>
          <w:sz w:val="24"/>
          <w:szCs w:val="24"/>
        </w:rPr>
        <w:fldChar w:fldCharType="separate"/>
      </w:r>
      <w:r w:rsidR="0027427C" w:rsidRPr="0027427C">
        <w:rPr>
          <w:rFonts w:ascii="Calibri Light" w:hAnsi="Calibri Light" w:cs="Calibri Light"/>
          <w:noProof/>
          <w:color w:val="0070C0"/>
          <w:sz w:val="24"/>
          <w:szCs w:val="24"/>
        </w:rPr>
        <w:t>Creswell &amp; Creswell (2018)</w:t>
      </w:r>
      <w:r w:rsidR="0027427C" w:rsidRPr="0027427C">
        <w:rPr>
          <w:rFonts w:ascii="Calibri Light" w:hAnsi="Calibri Light" w:cs="Calibri Light"/>
          <w:color w:val="0070C0"/>
          <w:sz w:val="24"/>
          <w:szCs w:val="24"/>
        </w:rPr>
        <w:fldChar w:fldCharType="end"/>
      </w:r>
      <w:r w:rsidRPr="000376DE">
        <w:rPr>
          <w:rFonts w:ascii="Calibri Light" w:hAnsi="Calibri Light" w:cs="Calibri Light"/>
          <w:sz w:val="24"/>
          <w:szCs w:val="24"/>
        </w:rPr>
        <w:t xml:space="preserve">, using inductive reasoning, sorting, and categorization according to the theme of rupiah redenomination. As noted by </w:t>
      </w:r>
      <w:r w:rsidR="0027427C" w:rsidRPr="0027427C">
        <w:rPr>
          <w:rFonts w:ascii="Calibri Light" w:hAnsi="Calibri Light" w:cs="Calibri Light"/>
          <w:color w:val="0070C0"/>
          <w:sz w:val="24"/>
          <w:szCs w:val="24"/>
        </w:rPr>
        <w:fldChar w:fldCharType="begin" w:fldLock="1"/>
      </w:r>
      <w:r w:rsidR="00E074C7">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27427C" w:rsidRPr="0027427C">
        <w:rPr>
          <w:rFonts w:ascii="Calibri Light" w:hAnsi="Calibri Light" w:cs="Calibri Light"/>
          <w:color w:val="0070C0"/>
          <w:sz w:val="24"/>
          <w:szCs w:val="24"/>
        </w:rPr>
        <w:fldChar w:fldCharType="separate"/>
      </w:r>
      <w:r w:rsidR="0027427C" w:rsidRPr="0027427C">
        <w:rPr>
          <w:rFonts w:ascii="Calibri Light" w:hAnsi="Calibri Light" w:cs="Calibri Light"/>
          <w:noProof/>
          <w:color w:val="0070C0"/>
          <w:sz w:val="24"/>
          <w:szCs w:val="24"/>
        </w:rPr>
        <w:t>Creswell &amp; Creswell (2018)</w:t>
      </w:r>
      <w:r w:rsidR="0027427C" w:rsidRPr="0027427C">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27427C">
        <w:rPr>
          <w:rFonts w:ascii="Calibri Light" w:hAnsi="Calibri Light" w:cs="Calibri Light"/>
          <w:sz w:val="24"/>
          <w:szCs w:val="24"/>
        </w:rPr>
        <w:t xml:space="preserve"> </w:t>
      </w:r>
      <w:r w:rsidRPr="000376DE">
        <w:rPr>
          <w:rFonts w:ascii="Calibri Light" w:hAnsi="Calibri Light" w:cs="Calibri Light"/>
          <w:sz w:val="24"/>
          <w:szCs w:val="24"/>
        </w:rPr>
        <w:t xml:space="preserve">a qualitative researcher must be careful in extracting information that has meaningful characteristics. The database in this study was in the form of individual sentences or words from participant statements, which must be read carefully to get a complete, comprehensive, and valid picture. The data was obtained through writing on the web, social media, YouTube, and TikTok. Interpretation was done after identifying and classifying categories according to </w:t>
      </w:r>
      <w:r w:rsidR="003D0FE7">
        <w:rPr>
          <w:rFonts w:ascii="Calibri Light" w:hAnsi="Calibri Light" w:cs="Calibri Light"/>
          <w:sz w:val="24"/>
          <w:szCs w:val="24"/>
        </w:rPr>
        <w:t xml:space="preserve">the </w:t>
      </w:r>
      <w:r w:rsidRPr="000376DE">
        <w:rPr>
          <w:rFonts w:ascii="Calibri Light" w:hAnsi="Calibri Light" w:cs="Calibri Light"/>
          <w:sz w:val="24"/>
          <w:szCs w:val="24"/>
        </w:rPr>
        <w:t xml:space="preserve">theme. Data integration led to the proof of relationships from categories that have been determined by the researcher before data collection. On certain topics, data analysis is carried out according to Atkinson's approach, </w:t>
      </w:r>
      <w:r w:rsidR="00525454">
        <w:rPr>
          <w:rFonts w:ascii="Calibri Light" w:hAnsi="Calibri Light" w:cs="Calibri Light"/>
          <w:sz w:val="24"/>
          <w:szCs w:val="24"/>
        </w:rPr>
        <w:t xml:space="preserve">as cited by </w:t>
      </w:r>
      <w:r w:rsidR="00E074C7" w:rsidRPr="00E074C7">
        <w:rPr>
          <w:rFonts w:ascii="Calibri Light" w:hAnsi="Calibri Light" w:cs="Calibri Light"/>
          <w:color w:val="0070C0"/>
          <w:sz w:val="24"/>
          <w:szCs w:val="24"/>
        </w:rPr>
        <w:fldChar w:fldCharType="begin" w:fldLock="1"/>
      </w:r>
      <w:r w:rsidR="007F3168">
        <w:rPr>
          <w:rFonts w:ascii="Calibri Light" w:hAnsi="Calibri Light" w:cs="Calibri Light"/>
          <w:color w:val="0070C0"/>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Modeling","id":"ITEM-1","issued":{"date-parts":[["2018"]]},"title":"Research Design: Qualitative, Quantitative adn Mixed Methods Approaches","type":"book"},"uris":["http://www.mendeley.com/documents/?uuid=a4ba9b04-2983-489f-b748-0087ad3fc2fd"]}],"mendeley":{"formattedCitation":"(Creswell &amp; Creswell, 2018)","manualFormatting":"Creswell &amp; Creswell, (2018)","plainTextFormattedCitation":"(Creswell &amp; Creswell, 2018)","previouslyFormattedCitation":"(Creswell &amp; Creswell, 2018)"},"properties":{"noteIndex":0},"schema":"https://github.com/citation-style-language/schema/raw/master/csl-citation.json"}</w:instrText>
      </w:r>
      <w:r w:rsidR="00E074C7" w:rsidRPr="00E074C7">
        <w:rPr>
          <w:rFonts w:ascii="Calibri Light" w:hAnsi="Calibri Light" w:cs="Calibri Light"/>
          <w:color w:val="0070C0"/>
          <w:sz w:val="24"/>
          <w:szCs w:val="24"/>
        </w:rPr>
        <w:fldChar w:fldCharType="separate"/>
      </w:r>
      <w:r w:rsidR="00E074C7" w:rsidRPr="00E074C7">
        <w:rPr>
          <w:rFonts w:ascii="Calibri Light" w:hAnsi="Calibri Light" w:cs="Calibri Light"/>
          <w:noProof/>
          <w:color w:val="0070C0"/>
          <w:sz w:val="24"/>
          <w:szCs w:val="24"/>
        </w:rPr>
        <w:t>Creswell &amp; Creswell (2018)</w:t>
      </w:r>
      <w:r w:rsidR="00E074C7" w:rsidRPr="00E074C7">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E074C7" w:rsidRPr="00E074C7">
        <w:rPr>
          <w:rFonts w:ascii="Calibri Light" w:hAnsi="Calibri Light" w:cs="Calibri Light"/>
          <w:color w:val="0070C0"/>
          <w:sz w:val="24"/>
          <w:szCs w:val="24"/>
        </w:rPr>
        <w:t xml:space="preserve"> </w:t>
      </w:r>
      <w:r w:rsidRPr="000376DE">
        <w:rPr>
          <w:rFonts w:ascii="Calibri Light" w:hAnsi="Calibri Light" w:cs="Calibri Light"/>
          <w:sz w:val="24"/>
          <w:szCs w:val="24"/>
        </w:rPr>
        <w:t>namely: (1) proposing the creation of a data repository using basic relational database theory; (2) involving the creation of codes to identify data 'chunks', where the resulting codes are then analyzed and rationalized; (3) involving data analysis; and (4) producing final propositions.</w:t>
      </w:r>
    </w:p>
    <w:p w14:paraId="4B4C2E20" w14:textId="3AA4BF44" w:rsidR="00F369EC" w:rsidRDefault="000376DE" w:rsidP="008D21A5">
      <w:pPr>
        <w:spacing w:before="120" w:after="120"/>
        <w:ind w:left="426"/>
        <w:jc w:val="both"/>
        <w:rPr>
          <w:rFonts w:ascii="Calibri Light" w:hAnsi="Calibri Light" w:cs="Calibri Light"/>
          <w:sz w:val="24"/>
          <w:szCs w:val="24"/>
        </w:rPr>
      </w:pPr>
      <w:r w:rsidRPr="000376DE">
        <w:rPr>
          <w:rFonts w:ascii="Calibri Light" w:hAnsi="Calibri Light" w:cs="Calibri Light"/>
          <w:sz w:val="24"/>
          <w:szCs w:val="24"/>
        </w:rPr>
        <w:t>The validity of the data was examined by the author to determine how the statement was produced interactively between the researcher and the participant or made by the participant to convey a particular agenda or message.</w:t>
      </w:r>
      <w:r w:rsidR="008D21A5">
        <w:rPr>
          <w:rFonts w:ascii="Calibri Light" w:hAnsi="Calibri Light" w:cs="Calibri Light"/>
          <w:sz w:val="24"/>
          <w:szCs w:val="24"/>
        </w:rPr>
        <w:t xml:space="preserve"> This was done by </w:t>
      </w:r>
      <w:r w:rsidR="008D21A5" w:rsidRPr="008D21A5">
        <w:rPr>
          <w:rFonts w:ascii="Calibri Light" w:hAnsi="Calibri Light" w:cs="Calibri Light"/>
          <w:sz w:val="24"/>
          <w:szCs w:val="24"/>
        </w:rPr>
        <w:t>‘member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checking’, which involves the researcher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informally confirming the accuracy of their</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understanding with participants during the data</w:t>
      </w:r>
      <w:r w:rsidR="008D21A5">
        <w:rPr>
          <w:rFonts w:ascii="Calibri Light" w:hAnsi="Calibri Light" w:cs="Calibri Light"/>
          <w:sz w:val="24"/>
          <w:szCs w:val="24"/>
        </w:rPr>
        <w:t xml:space="preserve"> </w:t>
      </w:r>
      <w:r w:rsidR="008D21A5" w:rsidRPr="008D21A5">
        <w:rPr>
          <w:rFonts w:ascii="Calibri Light" w:hAnsi="Calibri Light" w:cs="Calibri Light"/>
          <w:sz w:val="24"/>
          <w:szCs w:val="24"/>
        </w:rPr>
        <w:t>collection process</w:t>
      </w:r>
      <w:r w:rsidR="007F3168">
        <w:rPr>
          <w:rFonts w:ascii="Calibri Light" w:hAnsi="Calibri Light" w:cs="Calibri Light"/>
          <w:sz w:val="24"/>
          <w:szCs w:val="24"/>
        </w:rPr>
        <w:t xml:space="preserve"> </w:t>
      </w:r>
      <w:r w:rsidR="007F3168" w:rsidRPr="007F3168">
        <w:rPr>
          <w:rFonts w:ascii="Calibri Light" w:hAnsi="Calibri Light" w:cs="Calibri Light"/>
          <w:color w:val="0070C0"/>
          <w:sz w:val="24"/>
          <w:szCs w:val="24"/>
        </w:rPr>
        <w:fldChar w:fldCharType="begin" w:fldLock="1"/>
      </w:r>
      <w:r w:rsidR="00C13817">
        <w:rPr>
          <w:rFonts w:ascii="Calibri Light" w:hAnsi="Calibri Light" w:cs="Calibri Light"/>
          <w:color w:val="0070C0"/>
          <w:sz w:val="24"/>
          <w:szCs w:val="24"/>
        </w:rPr>
        <w:instrText>ADDIN CSL_CITATION {"citationItems":[{"id":"ITEM-1","itemData":{"ISBN":"9781526418524","abstract":"4th edition. This helpful book takes a pragmatic, real-world approach to research methods that gives readers the tools and confidence to carry out their own research in and out of the classroom. Expertly weaving quantitative, qualitative, and mixed methods together, it encourages readers to be open-minded in choosing the most appropriate methods for their projects. Featuring a full set of updated and integrated digital resources, as well as three new chapters on visual methods, qualitative data analysis with NVivo, and digital research, the new Fourth Edition remains on the forefront of practical, applied research and guides readers through every step of the research process from start to finish. Brimming with checklists, interdisciplinary examples, and tips about navigating the realities of planning a project, collecting and analyzing data, and sharing research findings, Doing Research in the Real World is still the companion for any student undertaking a research project. -- Machine generated contents note: 1. Introduction -- pt. A PRINCIPLES AND PLANNING FOR RESEARCH -- 2. Theoretical Perspectives and Research Methodologies -- 3. Selecting and Planning Research Proposals and Projects -- 4. Research Ethics -- 5. Searching, Critically Reviewing and Using the Literature -- pt. B RESEARCH METHODOLOGY -- 6. Research Design: Quantitative Methods -- 7. Research Design: Qualitative Methods -- 8. Research Design: Mixed Methods -- 9. Sampling Strategies -- 10. Designing Descriptive and Analytical Surveys -- 11. Designing Case Studies -- 12. Designing Evaluations -- 13. Action Research and Change -- pt. C DATA COLLECTION METHODS -- 14. Questionnaires and Surveys -- 15. Interviewing -- 16. Non-Participant Observation -- 17. Ethnography and Participant Observation -- 18. Focus Groups -- 19. Unobtrusive Measures -- 20. Visual Research Methods -- 21. Digital Research Methods -- 22. Secondary Data and Research -- pt. D ANALYSIS AND REPORT WRITING -- 23. Getting Started Using SPSS -- 24. Analysing and Presenting Quantitative Data -- 25. Getting Started Using NVivo -- 26. Analysing and Presenting Qualitative Data -- 27. Writing Up the Research -- 28. Preparing for Presentations and Vivas.","author":[{"dropping-particle":"","family":"Grey David E.","given":"","non-dropping-particle":"","parse-names":false,"suffix":""}],"container-title":"Sage","id":"ITEM-1","issued":{"date-parts":[["2014"]]},"title":"Doing Research in the Real World (3rd edition)","type":"article-journal"},"uris":["http://www.mendeley.com/documents/?uuid=9a7b15fb-ac66-42fb-9f0a-ea7f0846d824"]}],"mendeley":{"formattedCitation":"(Grey David E., 2014)","plainTextFormattedCitation":"(Grey David E., 2014)","previouslyFormattedCitation":"(Grey David E., 2014)"},"properties":{"noteIndex":0},"schema":"https://github.com/citation-style-language/schema/raw/master/csl-citation.json"}</w:instrText>
      </w:r>
      <w:r w:rsidR="007F3168" w:rsidRPr="007F3168">
        <w:rPr>
          <w:rFonts w:ascii="Calibri Light" w:hAnsi="Calibri Light" w:cs="Calibri Light"/>
          <w:color w:val="0070C0"/>
          <w:sz w:val="24"/>
          <w:szCs w:val="24"/>
        </w:rPr>
        <w:fldChar w:fldCharType="separate"/>
      </w:r>
      <w:r w:rsidR="007F3168" w:rsidRPr="007F3168">
        <w:rPr>
          <w:rFonts w:ascii="Calibri Light" w:hAnsi="Calibri Light" w:cs="Calibri Light"/>
          <w:noProof/>
          <w:color w:val="0070C0"/>
          <w:sz w:val="24"/>
          <w:szCs w:val="24"/>
        </w:rPr>
        <w:t>(Grey</w:t>
      </w:r>
      <w:r w:rsidR="005B6DEC">
        <w:rPr>
          <w:rFonts w:ascii="Calibri Light" w:hAnsi="Calibri Light" w:cs="Calibri Light"/>
          <w:noProof/>
          <w:color w:val="0070C0"/>
          <w:sz w:val="24"/>
          <w:szCs w:val="24"/>
        </w:rPr>
        <w:t>,</w:t>
      </w:r>
      <w:r w:rsidR="007F3168" w:rsidRPr="007F3168">
        <w:rPr>
          <w:rFonts w:ascii="Calibri Light" w:hAnsi="Calibri Light" w:cs="Calibri Light"/>
          <w:noProof/>
          <w:color w:val="0070C0"/>
          <w:sz w:val="24"/>
          <w:szCs w:val="24"/>
        </w:rPr>
        <w:t xml:space="preserve"> 201</w:t>
      </w:r>
      <w:r w:rsidR="005B6DEC">
        <w:rPr>
          <w:rFonts w:ascii="Calibri Light" w:hAnsi="Calibri Light" w:cs="Calibri Light"/>
          <w:noProof/>
          <w:color w:val="0070C0"/>
          <w:sz w:val="24"/>
          <w:szCs w:val="24"/>
        </w:rPr>
        <w:t>8</w:t>
      </w:r>
      <w:r w:rsidR="007F3168" w:rsidRPr="007F3168">
        <w:rPr>
          <w:rFonts w:ascii="Calibri Light" w:hAnsi="Calibri Light" w:cs="Calibri Light"/>
          <w:noProof/>
          <w:color w:val="0070C0"/>
          <w:sz w:val="24"/>
          <w:szCs w:val="24"/>
        </w:rPr>
        <w:t>)</w:t>
      </w:r>
      <w:r w:rsidR="007F3168" w:rsidRPr="007F3168">
        <w:rPr>
          <w:rFonts w:ascii="Calibri Light" w:hAnsi="Calibri Light" w:cs="Calibri Light"/>
          <w:color w:val="0070C0"/>
          <w:sz w:val="24"/>
          <w:szCs w:val="24"/>
        </w:rPr>
        <w:fldChar w:fldCharType="end"/>
      </w:r>
      <w:r w:rsidR="003D0FE7" w:rsidRPr="003D0FE7">
        <w:rPr>
          <w:rFonts w:ascii="Calibri Light" w:hAnsi="Calibri Light" w:cs="Calibri Light"/>
          <w:sz w:val="24"/>
          <w:szCs w:val="24"/>
        </w:rPr>
        <w:t>.</w:t>
      </w:r>
      <w:r w:rsidR="008D21A5" w:rsidRPr="003D0FE7">
        <w:rPr>
          <w:rFonts w:ascii="Calibri Light" w:hAnsi="Calibri Light" w:cs="Calibri Light"/>
          <w:sz w:val="24"/>
          <w:szCs w:val="24"/>
        </w:rPr>
        <w:t xml:space="preserve"> </w:t>
      </w:r>
    </w:p>
    <w:p w14:paraId="449268A7" w14:textId="77777777" w:rsidR="000376DE" w:rsidRPr="00122F5F" w:rsidRDefault="000376DE" w:rsidP="000376DE">
      <w:pPr>
        <w:spacing w:before="120" w:after="120"/>
        <w:ind w:left="426"/>
        <w:jc w:val="both"/>
        <w:rPr>
          <w:rFonts w:ascii="Calibri Light" w:hAnsi="Calibri Light" w:cs="Calibri Light"/>
          <w:color w:val="FF0000"/>
          <w:sz w:val="24"/>
          <w:szCs w:val="24"/>
          <w:lang w:val="id-ID"/>
        </w:rPr>
      </w:pPr>
    </w:p>
    <w:p w14:paraId="3FC59F24" w14:textId="77777777" w:rsidR="00D26ADD" w:rsidRDefault="00334792" w:rsidP="00CB4CFA">
      <w:pPr>
        <w:numPr>
          <w:ilvl w:val="0"/>
          <w:numId w:val="15"/>
        </w:numPr>
        <w:spacing w:before="120" w:after="120"/>
        <w:rPr>
          <w:rFonts w:ascii="Calibri Light" w:hAnsi="Calibri Light" w:cs="Calibri Light"/>
          <w:b/>
          <w:sz w:val="24"/>
          <w:szCs w:val="24"/>
        </w:rPr>
      </w:pPr>
      <w:r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1B770511" w14:textId="77777777" w:rsidR="00CB4CFA" w:rsidRPr="00122F5F" w:rsidRDefault="00CB4CFA" w:rsidP="00CB4CFA">
      <w:pPr>
        <w:spacing w:before="120" w:after="120"/>
        <w:ind w:left="360"/>
        <w:rPr>
          <w:rFonts w:ascii="Calibri Light" w:hAnsi="Calibri Light" w:cs="Calibri Light"/>
          <w:b/>
          <w:sz w:val="24"/>
          <w:szCs w:val="24"/>
          <w:lang w:val="id-ID"/>
        </w:rPr>
      </w:pPr>
      <w:r>
        <w:rPr>
          <w:rFonts w:ascii="Calibri Light" w:hAnsi="Calibri Light" w:cs="Calibri Light"/>
          <w:b/>
          <w:sz w:val="24"/>
          <w:szCs w:val="24"/>
        </w:rPr>
        <w:t>Results:</w:t>
      </w:r>
    </w:p>
    <w:p w14:paraId="400A209D" w14:textId="77777777" w:rsidR="000376DE" w:rsidRDefault="000376DE" w:rsidP="00B25EDF">
      <w:pPr>
        <w:spacing w:before="120" w:after="120"/>
        <w:ind w:left="440" w:right="-1" w:hanging="14"/>
        <w:jc w:val="both"/>
        <w:rPr>
          <w:rFonts w:ascii="Calibri Light" w:hAnsi="Calibri Light" w:cs="Calibri Light"/>
          <w:sz w:val="24"/>
          <w:szCs w:val="24"/>
        </w:rPr>
      </w:pPr>
      <w:r w:rsidRPr="000376DE">
        <w:rPr>
          <w:rFonts w:ascii="Calibri Light" w:hAnsi="Calibri Light" w:cs="Calibri Light"/>
          <w:b/>
          <w:bCs/>
          <w:sz w:val="24"/>
          <w:szCs w:val="24"/>
        </w:rPr>
        <w:t>1.</w:t>
      </w:r>
      <w:r w:rsidRPr="000376DE">
        <w:rPr>
          <w:rFonts w:ascii="Calibri Light" w:hAnsi="Calibri Light" w:cs="Calibri Light"/>
          <w:sz w:val="24"/>
          <w:szCs w:val="24"/>
        </w:rPr>
        <w:tab/>
      </w:r>
      <w:r w:rsidRPr="000376DE">
        <w:rPr>
          <w:rFonts w:ascii="Calibri Light" w:hAnsi="Calibri Light" w:cs="Calibri Light"/>
          <w:b/>
          <w:bCs/>
          <w:sz w:val="24"/>
          <w:szCs w:val="24"/>
        </w:rPr>
        <w:t>The epistemology of the rupiah redenomination strategic plan</w:t>
      </w:r>
    </w:p>
    <w:p w14:paraId="5F91ECCB" w14:textId="2488E626"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lastRenderedPageBreak/>
        <w:t xml:space="preserve">The rupiah as the official </w:t>
      </w:r>
      <w:r w:rsidR="009D7D1F">
        <w:rPr>
          <w:rFonts w:ascii="Calibri Light" w:hAnsi="Calibri Light" w:cs="Calibri Light"/>
          <w:sz w:val="24"/>
          <w:szCs w:val="24"/>
        </w:rPr>
        <w:t xml:space="preserve">Indonesian </w:t>
      </w:r>
      <w:r w:rsidRPr="000376DE">
        <w:rPr>
          <w:rFonts w:ascii="Calibri Light" w:hAnsi="Calibri Light" w:cs="Calibri Light"/>
          <w:sz w:val="24"/>
          <w:szCs w:val="24"/>
        </w:rPr>
        <w:t xml:space="preserve">currency began to be used in 1944. Since then, the rupiah has undergone several adjustments, namely in 1946, 1950, 1959, and 1966. These adjustments were made through various policies, such as </w:t>
      </w:r>
      <w:proofErr w:type="spellStart"/>
      <w:r w:rsidR="00647C72" w:rsidRPr="00647C72">
        <w:rPr>
          <w:rFonts w:ascii="Calibri Light" w:hAnsi="Calibri Light" w:cs="Calibri Light"/>
          <w:i/>
          <w:iCs/>
          <w:sz w:val="24"/>
          <w:szCs w:val="24"/>
        </w:rPr>
        <w:t>sanering</w:t>
      </w:r>
      <w:proofErr w:type="spellEnd"/>
      <w:r w:rsidRPr="000376DE">
        <w:rPr>
          <w:rFonts w:ascii="Calibri Light" w:hAnsi="Calibri Light" w:cs="Calibri Light"/>
          <w:sz w:val="24"/>
          <w:szCs w:val="24"/>
        </w:rPr>
        <w:t xml:space="preserve"> or cutting the value of the rupiah, pegging the value of the rupiah, setting maximum prices, and prohibiting the storage of goods</w:t>
      </w:r>
      <w:r w:rsidR="007F6E1A">
        <w:rPr>
          <w:rFonts w:ascii="Calibri Light" w:hAnsi="Calibri Light" w:cs="Calibri Light"/>
          <w:sz w:val="24"/>
          <w:szCs w:val="24"/>
        </w:rPr>
        <w:t xml:space="preserve"> </w:t>
      </w:r>
      <w:r w:rsidR="007F6E1A" w:rsidRPr="007F6E1A">
        <w:rPr>
          <w:rFonts w:ascii="Calibri Light" w:hAnsi="Calibri Light" w:cs="Calibri Light"/>
          <w:color w:val="0070C0"/>
          <w:sz w:val="24"/>
          <w:szCs w:val="24"/>
        </w:rPr>
        <w:fldChar w:fldCharType="begin" w:fldLock="1"/>
      </w:r>
      <w:r w:rsidR="009E69AC">
        <w:rPr>
          <w:rFonts w:ascii="Calibri Light" w:hAnsi="Calibri Light" w:cs="Calibri Light"/>
          <w:color w:val="0070C0"/>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7F6E1A" w:rsidRPr="007F6E1A">
        <w:rPr>
          <w:rFonts w:ascii="Calibri Light" w:hAnsi="Calibri Light" w:cs="Calibri Light"/>
          <w:color w:val="0070C0"/>
          <w:sz w:val="24"/>
          <w:szCs w:val="24"/>
        </w:rPr>
        <w:fldChar w:fldCharType="separate"/>
      </w:r>
      <w:r w:rsidR="007F6E1A" w:rsidRPr="007F6E1A">
        <w:rPr>
          <w:rFonts w:ascii="Calibri Light" w:hAnsi="Calibri Light" w:cs="Calibri Light"/>
          <w:noProof/>
          <w:color w:val="0070C0"/>
          <w:sz w:val="24"/>
          <w:szCs w:val="24"/>
        </w:rPr>
        <w:t>(Sukirno, 2016)</w:t>
      </w:r>
      <w:r w:rsidR="007F6E1A" w:rsidRPr="007F6E1A">
        <w:rPr>
          <w:rFonts w:ascii="Calibri Light" w:hAnsi="Calibri Light" w:cs="Calibri Light"/>
          <w:color w:val="0070C0"/>
          <w:sz w:val="24"/>
          <w:szCs w:val="24"/>
        </w:rPr>
        <w:fldChar w:fldCharType="end"/>
      </w:r>
      <w:r w:rsidRPr="007F6E1A">
        <w:rPr>
          <w:rFonts w:ascii="Calibri Light" w:hAnsi="Calibri Light" w:cs="Calibri Light"/>
          <w:color w:val="0070C0"/>
          <w:sz w:val="24"/>
          <w:szCs w:val="24"/>
        </w:rPr>
        <w:t>.</w:t>
      </w:r>
      <w:r w:rsidRPr="000376DE">
        <w:rPr>
          <w:rFonts w:ascii="Calibri Light" w:hAnsi="Calibri Light" w:cs="Calibri Light"/>
          <w:sz w:val="24"/>
          <w:szCs w:val="24"/>
        </w:rPr>
        <w:t xml:space="preserve"> It is noted that Indonesia has experienced </w:t>
      </w:r>
      <w:r w:rsidR="005B3038">
        <w:rPr>
          <w:rFonts w:ascii="Calibri Light" w:hAnsi="Calibri Light" w:cs="Calibri Light"/>
          <w:sz w:val="24"/>
          <w:szCs w:val="24"/>
        </w:rPr>
        <w:t>several</w:t>
      </w:r>
      <w:r w:rsidRPr="000376DE">
        <w:rPr>
          <w:rFonts w:ascii="Calibri Light" w:hAnsi="Calibri Light" w:cs="Calibri Light"/>
          <w:sz w:val="24"/>
          <w:szCs w:val="24"/>
        </w:rPr>
        <w:t xml:space="preserve"> periods of hyperinflation, which is a very rapid and high increase in prices in a short </w:t>
      </w:r>
      <w:r w:rsidR="005B3038">
        <w:rPr>
          <w:rFonts w:ascii="Calibri Light" w:hAnsi="Calibri Light" w:cs="Calibri Light"/>
          <w:sz w:val="24"/>
          <w:szCs w:val="24"/>
        </w:rPr>
        <w:t>period</w:t>
      </w:r>
      <w:r w:rsidRPr="000376DE">
        <w:rPr>
          <w:rFonts w:ascii="Calibri Light" w:hAnsi="Calibri Light" w:cs="Calibri Light"/>
          <w:sz w:val="24"/>
          <w:szCs w:val="24"/>
        </w:rPr>
        <w:t>. However, the redenomination step has never been an option in dealing with this hyperinflation. Periods of hyperinflation occurred in 1962 (131%), 1963 (146%), 1964 (109%), 1965 (307%), 1966 (1,136%), 1967 (106%), and 1968 (129%)</w:t>
      </w:r>
      <w:r w:rsidR="00C13817">
        <w:rPr>
          <w:rFonts w:ascii="Calibri Light" w:hAnsi="Calibri Light" w:cs="Calibri Light"/>
          <w:sz w:val="24"/>
          <w:szCs w:val="24"/>
        </w:rPr>
        <w:t xml:space="preserve"> </w:t>
      </w:r>
      <w:r w:rsidR="00C13817" w:rsidRPr="00C13817">
        <w:rPr>
          <w:rFonts w:ascii="Calibri Light" w:hAnsi="Calibri Light" w:cs="Calibri Light"/>
          <w:color w:val="0070C0"/>
          <w:sz w:val="24"/>
          <w:szCs w:val="24"/>
        </w:rPr>
        <w:fldChar w:fldCharType="begin" w:fldLock="1"/>
      </w:r>
      <w:r w:rsidR="00FC65C4">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2019)","plainTextFormattedCitation":"(Prabawani, 2019)","previouslyFormattedCitation":"(Prabawani, 2019)"},"properties":{"noteIndex":0},"schema":"https://github.com/citation-style-language/schema/raw/master/csl-citation.json"}</w:instrText>
      </w:r>
      <w:r w:rsidR="00C13817" w:rsidRPr="00C13817">
        <w:rPr>
          <w:rFonts w:ascii="Calibri Light" w:hAnsi="Calibri Light" w:cs="Calibri Light"/>
          <w:color w:val="0070C0"/>
          <w:sz w:val="24"/>
          <w:szCs w:val="24"/>
        </w:rPr>
        <w:fldChar w:fldCharType="separate"/>
      </w:r>
      <w:r w:rsidR="00C13817" w:rsidRPr="00C13817">
        <w:rPr>
          <w:rFonts w:ascii="Calibri Light" w:hAnsi="Calibri Light" w:cs="Calibri Light"/>
          <w:noProof/>
          <w:color w:val="0070C0"/>
          <w:sz w:val="24"/>
          <w:szCs w:val="24"/>
        </w:rPr>
        <w:t>(Prabawani, 2019)</w:t>
      </w:r>
      <w:r w:rsidR="00C13817" w:rsidRPr="00C13817">
        <w:rPr>
          <w:rFonts w:ascii="Calibri Light" w:hAnsi="Calibri Light" w:cs="Calibri Light"/>
          <w:color w:val="0070C0"/>
          <w:sz w:val="24"/>
          <w:szCs w:val="24"/>
        </w:rPr>
        <w:fldChar w:fldCharType="end"/>
      </w:r>
      <w:r w:rsidR="00C13817" w:rsidRPr="00C13817">
        <w:rPr>
          <w:rFonts w:ascii="Calibri Light" w:hAnsi="Calibri Light" w:cs="Calibri Light"/>
          <w:color w:val="0070C0"/>
          <w:sz w:val="24"/>
          <w:szCs w:val="24"/>
        </w:rPr>
        <w:t>.</w:t>
      </w:r>
    </w:p>
    <w:p w14:paraId="7C3605B4" w14:textId="267E206C"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In the history of </w:t>
      </w:r>
      <w:r w:rsidR="001A4705" w:rsidRPr="001A4705">
        <w:rPr>
          <w:rFonts w:ascii="Calibri Light" w:hAnsi="Calibri Light" w:cs="Calibri Light"/>
          <w:caps/>
          <w:sz w:val="24"/>
          <w:szCs w:val="24"/>
        </w:rPr>
        <w:t>BI</w:t>
      </w:r>
      <w:r w:rsidR="006F02EB">
        <w:rPr>
          <w:rFonts w:ascii="Calibri Light" w:hAnsi="Calibri Light" w:cs="Calibri Light"/>
          <w:sz w:val="24"/>
          <w:szCs w:val="24"/>
        </w:rPr>
        <w:t xml:space="preserve"> (BI)</w:t>
      </w:r>
      <w:r w:rsidRPr="000376DE">
        <w:rPr>
          <w:rFonts w:ascii="Calibri Light" w:hAnsi="Calibri Light" w:cs="Calibri Light"/>
          <w:sz w:val="24"/>
          <w:szCs w:val="24"/>
        </w:rPr>
        <w:t xml:space="preserve">,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was once implemented in Indonesia during the Soekarno administration. According to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history book, the decision was based on Law (UU) No. 2 </w:t>
      </w:r>
      <w:proofErr w:type="spellStart"/>
      <w:r w:rsidRPr="000376DE">
        <w:rPr>
          <w:rFonts w:ascii="Calibri Light" w:hAnsi="Calibri Light" w:cs="Calibri Light"/>
          <w:sz w:val="24"/>
          <w:szCs w:val="24"/>
        </w:rPr>
        <w:t>Prp</w:t>
      </w:r>
      <w:proofErr w:type="spellEnd"/>
      <w:r w:rsidRPr="000376DE">
        <w:rPr>
          <w:rFonts w:ascii="Calibri Light" w:hAnsi="Calibri Light" w:cs="Calibri Light"/>
          <w:sz w:val="24"/>
          <w:szCs w:val="24"/>
        </w:rPr>
        <w:t>. of 1959. The content regulates that the government carried out a currency reform on August 25, 1959, by reducing the value of Rp. 500 and Rp. 1,000 denominations to Rp. 50 and Rp. 100. The first phase of the currency reform policy during the Soekarno administration was carried out to overcome the rate of inflation that continued until the early 1960s</w:t>
      </w:r>
      <w:r w:rsidR="006F02EB">
        <w:rPr>
          <w:rFonts w:ascii="Calibri Light" w:hAnsi="Calibri Light" w:cs="Calibri Light"/>
          <w:sz w:val="24"/>
          <w:szCs w:val="24"/>
        </w:rPr>
        <w:t xml:space="preserve"> </w:t>
      </w:r>
      <w:r w:rsidR="00FC65C4" w:rsidRPr="00FC65C4">
        <w:rPr>
          <w:rFonts w:ascii="Calibri Light" w:hAnsi="Calibri Light" w:cs="Calibri Light"/>
          <w:color w:val="0070C0"/>
          <w:sz w:val="24"/>
          <w:szCs w:val="24"/>
        </w:rPr>
        <w:fldChar w:fldCharType="begin" w:fldLock="1"/>
      </w:r>
      <w:r w:rsidR="00843308">
        <w:rPr>
          <w:rFonts w:ascii="Calibri Light" w:hAnsi="Calibri Light" w:cs="Calibri Light"/>
          <w:color w:val="0070C0"/>
          <w:sz w:val="24"/>
          <w:szCs w:val="24"/>
        </w:rPr>
        <w:instrText>ADDIN CSL_CITATION {"citationItems":[{"id":"ITEM-1","itemData":{"author":[{"dropping-particle":"","family":"Investasi","given":"B. P.","non-dropping-particle":"","parse-names":false,"suffix":""}],"container-title":"Bareksa.com","id":"ITEM-1","issued":{"date-parts":[["2017","7","24"]]},"title":"Apa Beda Redenominasi dengan Sanering? Ini Penjelasannya","type":"article-newspaper"},"uris":["http://www.mendeley.com/documents/?uuid=86a57b7f-c1b3-4bbc-88cd-dcc4ef4a81e0"]}],"mendeley":{"formattedCitation":"(Investasi, 2017)","plainTextFormattedCitation":"(Investasi, 2017)","previouslyFormattedCitation":"(Investasi, 2017)"},"properties":{"noteIndex":0},"schema":"https://github.com/citation-style-language/schema/raw/master/csl-citation.json"}</w:instrText>
      </w:r>
      <w:r w:rsidR="00FC65C4" w:rsidRPr="00FC65C4">
        <w:rPr>
          <w:rFonts w:ascii="Calibri Light" w:hAnsi="Calibri Light" w:cs="Calibri Light"/>
          <w:color w:val="0070C0"/>
          <w:sz w:val="24"/>
          <w:szCs w:val="24"/>
        </w:rPr>
        <w:fldChar w:fldCharType="separate"/>
      </w:r>
      <w:r w:rsidR="00FC65C4" w:rsidRPr="00FC65C4">
        <w:rPr>
          <w:rFonts w:ascii="Calibri Light" w:hAnsi="Calibri Light" w:cs="Calibri Light"/>
          <w:noProof/>
          <w:color w:val="0070C0"/>
          <w:sz w:val="24"/>
          <w:szCs w:val="24"/>
        </w:rPr>
        <w:t>(Investasi, 2017)</w:t>
      </w:r>
      <w:r w:rsidR="00FC65C4" w:rsidRPr="00FC65C4">
        <w:rPr>
          <w:rFonts w:ascii="Calibri Light" w:hAnsi="Calibri Light" w:cs="Calibri Light"/>
          <w:color w:val="0070C0"/>
          <w:sz w:val="24"/>
          <w:szCs w:val="24"/>
        </w:rPr>
        <w:fldChar w:fldCharType="end"/>
      </w:r>
      <w:r w:rsidR="00FC65C4" w:rsidRPr="00FC65C4">
        <w:rPr>
          <w:rFonts w:ascii="Calibri Light" w:hAnsi="Calibri Light" w:cs="Calibri Light"/>
          <w:color w:val="0070C0"/>
          <w:sz w:val="24"/>
          <w:szCs w:val="24"/>
        </w:rPr>
        <w:t>.</w:t>
      </w:r>
    </w:p>
    <w:p w14:paraId="3F85C20D" w14:textId="31E20F7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Indonesian government once redenominated the rupiah on December 13, 1965. This policy was implemented by issuing Rp1 denominations that had a value or purchasing power equivalent to Rp1,000 in the old currency. The regulation was based on Presidential Decree Number 27 of 1965, which aimed to realize monetary unity for all regions of Indonesia, including West Papua Province. Donny Ananta, an economic researcher at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Solo Statistical and Survey Research Unit, stated that the redenomination policy in 1965 did not only apply to Rp1,000 denominations but also to all rupiah denominations in circulation at that time</w:t>
      </w:r>
      <w:r w:rsidR="00843308">
        <w:rPr>
          <w:rFonts w:ascii="Calibri Light" w:hAnsi="Calibri Light" w:cs="Calibri Light"/>
          <w:sz w:val="24"/>
          <w:szCs w:val="24"/>
        </w:rPr>
        <w:t xml:space="preserve"> </w:t>
      </w:r>
      <w:r w:rsidR="00843308" w:rsidRPr="00843308">
        <w:rPr>
          <w:rFonts w:ascii="Calibri Light" w:hAnsi="Calibri Light" w:cs="Calibri Light"/>
          <w:color w:val="0070C0"/>
          <w:sz w:val="24"/>
          <w:szCs w:val="24"/>
        </w:rPr>
        <w:fldChar w:fldCharType="begin" w:fldLock="1"/>
      </w:r>
      <w:r w:rsidR="00931F25">
        <w:rPr>
          <w:rFonts w:ascii="Calibri Light" w:hAnsi="Calibri Light" w:cs="Calibri Light"/>
          <w:color w:val="0070C0"/>
          <w:sz w:val="24"/>
          <w:szCs w:val="24"/>
        </w:rPr>
        <w:instrText>ADDIN CSL_CITATION {"citationItems":[{"id":"ITEM-1","itemData":{"author":[{"dropping-particle":"","family":"Kustiani","given":"R","non-dropping-particle":"","parse-names":false,"suffix":""}],"container-title":"tempo.co.","id":"ITEM-1","issued":{"date-parts":[["2013","3","4"]]},"title":"Indonesia Pernah Lakukan Redenominasi pada 1965","type":"article-newspaper"},"uris":["http://www.mendeley.com/documents/?uuid=e2ae24ef-817f-4b94-82d9-89a9f816ab69"]}],"mendeley":{"formattedCitation":"(Kustiani, 2013)","plainTextFormattedCitation":"(Kustiani, 2013)","previouslyFormattedCitation":"(Kustiani, 2013)"},"properties":{"noteIndex":0},"schema":"https://github.com/citation-style-language/schema/raw/master/csl-citation.json"}</w:instrText>
      </w:r>
      <w:r w:rsidR="00843308" w:rsidRPr="00843308">
        <w:rPr>
          <w:rFonts w:ascii="Calibri Light" w:hAnsi="Calibri Light" w:cs="Calibri Light"/>
          <w:color w:val="0070C0"/>
          <w:sz w:val="24"/>
          <w:szCs w:val="24"/>
        </w:rPr>
        <w:fldChar w:fldCharType="separate"/>
      </w:r>
      <w:r w:rsidR="00843308" w:rsidRPr="00843308">
        <w:rPr>
          <w:rFonts w:ascii="Calibri Light" w:hAnsi="Calibri Light" w:cs="Calibri Light"/>
          <w:noProof/>
          <w:color w:val="0070C0"/>
          <w:sz w:val="24"/>
          <w:szCs w:val="24"/>
        </w:rPr>
        <w:t>(Kustiani, 2013)</w:t>
      </w:r>
      <w:r w:rsidR="00843308" w:rsidRPr="00843308">
        <w:rPr>
          <w:rFonts w:ascii="Calibri Light" w:hAnsi="Calibri Light" w:cs="Calibri Light"/>
          <w:color w:val="0070C0"/>
          <w:sz w:val="24"/>
          <w:szCs w:val="24"/>
        </w:rPr>
        <w:fldChar w:fldCharType="end"/>
      </w:r>
      <w:r w:rsidR="00843308" w:rsidRPr="00843308">
        <w:rPr>
          <w:rFonts w:ascii="Calibri Light" w:hAnsi="Calibri Light" w:cs="Calibri Light"/>
          <w:color w:val="0070C0"/>
          <w:sz w:val="24"/>
          <w:szCs w:val="24"/>
        </w:rPr>
        <w:t>.</w:t>
      </w:r>
      <w:r w:rsidR="006F02EB" w:rsidRPr="00843308">
        <w:rPr>
          <w:rFonts w:ascii="Calibri Light" w:hAnsi="Calibri Light" w:cs="Calibri Light"/>
          <w:color w:val="0070C0"/>
          <w:sz w:val="24"/>
          <w:szCs w:val="24"/>
        </w:rPr>
        <w:t xml:space="preserve"> </w:t>
      </w:r>
    </w:p>
    <w:p w14:paraId="097249B6" w14:textId="3367DACC"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Another view is that the redenomination was triggered by the increasing need for the government budget for political projects, mainly due to the continuing issue of confrontation with the Netherlands and Malaysia. In addition, the large amount of government spending to finance lighthouse projects, such as the Games of the New Emerging Forces (Ganefo) and the Conference of the Emerging Forces (</w:t>
      </w:r>
      <w:proofErr w:type="spellStart"/>
      <w:r w:rsidRPr="000376DE">
        <w:rPr>
          <w:rFonts w:ascii="Calibri Light" w:hAnsi="Calibri Light" w:cs="Calibri Light"/>
          <w:sz w:val="24"/>
          <w:szCs w:val="24"/>
        </w:rPr>
        <w:t>Conefo</w:t>
      </w:r>
      <w:proofErr w:type="spellEnd"/>
      <w:r w:rsidRPr="000376DE">
        <w:rPr>
          <w:rFonts w:ascii="Calibri Light" w:hAnsi="Calibri Light" w:cs="Calibri Light"/>
          <w:sz w:val="24"/>
          <w:szCs w:val="24"/>
        </w:rPr>
        <w:t>), was also a driving factor. However, this policy increased the government's burden, the amount of money in circulation, and inflation. The budget deficit was getting bigger. In 1961, the government experienced a budget deficit of 29.7%, which then increased to 38.7% (1962), 50.8% (1963), 58.4% (1964), and 63.4% (1965)</w:t>
      </w:r>
      <w:r w:rsidR="00931F25">
        <w:rPr>
          <w:rFonts w:ascii="Calibri Light" w:hAnsi="Calibri Light" w:cs="Calibri Light"/>
          <w:sz w:val="24"/>
          <w:szCs w:val="24"/>
        </w:rPr>
        <w:t xml:space="preserve"> </w:t>
      </w:r>
      <w:r w:rsidR="00931F25" w:rsidRPr="00086498">
        <w:rPr>
          <w:rFonts w:ascii="Calibri Light" w:hAnsi="Calibri Light" w:cs="Calibri Light"/>
          <w:color w:val="0070C0"/>
          <w:sz w:val="24"/>
          <w:szCs w:val="24"/>
        </w:rPr>
        <w:fldChar w:fldCharType="begin" w:fldLock="1"/>
      </w:r>
      <w:r w:rsidR="002B1A37">
        <w:rPr>
          <w:rFonts w:ascii="Calibri Light" w:hAnsi="Calibri Light" w:cs="Calibri Light"/>
          <w:color w:val="0070C0"/>
          <w:sz w:val="24"/>
          <w:szCs w:val="24"/>
        </w:rPr>
        <w:instrText>ADDIN CSL_CITATION {"citationItems":[{"id":"ITEM-1","itemData":{"author":[{"dropping-particle":"","family":"Investasi","given":"B. P.","non-dropping-particle":"","parse-names":false,"suffix":""}],"container-title":"Bareksa.com","id":"ITEM-1","issued":{"date-parts":[["2017","7","24"]]},"title":"Apa Beda Redenominasi dengan Sanering? Ini Penjelasannya","type":"article-newspaper"},"uris":["http://www.mendeley.com/documents/?uuid=86a57b7f-c1b3-4bbc-88cd-dcc4ef4a81e0"]}],"mendeley":{"formattedCitation":"(Investasi, 2017)","plainTextFormattedCitation":"(Investasi, 2017)","previouslyFormattedCitation":"(Investasi, 2017)"},"properties":{"noteIndex":0},"schema":"https://github.com/citation-style-language/schema/raw/master/csl-citation.json"}</w:instrText>
      </w:r>
      <w:r w:rsidR="00931F25" w:rsidRPr="00086498">
        <w:rPr>
          <w:rFonts w:ascii="Calibri Light" w:hAnsi="Calibri Light" w:cs="Calibri Light"/>
          <w:color w:val="0070C0"/>
          <w:sz w:val="24"/>
          <w:szCs w:val="24"/>
        </w:rPr>
        <w:fldChar w:fldCharType="separate"/>
      </w:r>
      <w:r w:rsidR="00931F25" w:rsidRPr="00086498">
        <w:rPr>
          <w:rFonts w:ascii="Calibri Light" w:hAnsi="Calibri Light" w:cs="Calibri Light"/>
          <w:noProof/>
          <w:color w:val="0070C0"/>
          <w:sz w:val="24"/>
          <w:szCs w:val="24"/>
        </w:rPr>
        <w:t>(Investasi, 2017)</w:t>
      </w:r>
      <w:r w:rsidR="00931F25" w:rsidRPr="00086498">
        <w:rPr>
          <w:rFonts w:ascii="Calibri Light" w:hAnsi="Calibri Light" w:cs="Calibri Light"/>
          <w:color w:val="0070C0"/>
          <w:sz w:val="24"/>
          <w:szCs w:val="24"/>
        </w:rPr>
        <w:fldChar w:fldCharType="end"/>
      </w:r>
      <w:r w:rsidR="00931F25" w:rsidRPr="00086498">
        <w:rPr>
          <w:rFonts w:ascii="Calibri Light" w:hAnsi="Calibri Light" w:cs="Calibri Light"/>
          <w:color w:val="0070C0"/>
          <w:sz w:val="24"/>
          <w:szCs w:val="24"/>
        </w:rPr>
        <w:t>.</w:t>
      </w:r>
    </w:p>
    <w:p w14:paraId="00828E8F" w14:textId="4DD65AD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In mid-2013, the Ministry of Finance issued an illustration of the redenominated rupiah. The money is depicted as having a different design</w:t>
      </w:r>
      <w:r w:rsidR="006F02EB">
        <w:rPr>
          <w:rFonts w:ascii="Calibri Light" w:hAnsi="Calibri Light" w:cs="Calibri Light"/>
          <w:sz w:val="24"/>
          <w:szCs w:val="24"/>
        </w:rPr>
        <w:t>,</w:t>
      </w:r>
      <w:r w:rsidRPr="000376DE">
        <w:rPr>
          <w:rFonts w:ascii="Calibri Light" w:hAnsi="Calibri Light" w:cs="Calibri Light"/>
          <w:sz w:val="24"/>
          <w:szCs w:val="24"/>
        </w:rPr>
        <w:t xml:space="preserve"> although the basic color remains the same. The three zeros were eliminated after the simplification process so that the value of Rp100,000 was written as Rp100</w:t>
      </w:r>
      <w:r w:rsidR="00931F25">
        <w:rPr>
          <w:rFonts w:ascii="Calibri Light" w:hAnsi="Calibri Light" w:cs="Calibri Light"/>
          <w:sz w:val="24"/>
          <w:szCs w:val="24"/>
        </w:rPr>
        <w:t xml:space="preserve"> </w:t>
      </w:r>
      <w:r w:rsidR="00931F25" w:rsidRPr="00781481">
        <w:rPr>
          <w:rFonts w:ascii="Calibri Light" w:hAnsi="Calibri Light" w:cs="Calibri Light"/>
          <w:color w:val="0070C0"/>
          <w:sz w:val="24"/>
          <w:szCs w:val="24"/>
        </w:rPr>
        <w:fldChar w:fldCharType="begin" w:fldLock="1"/>
      </w:r>
      <w:r w:rsidR="007E7F6E" w:rsidRPr="00781481">
        <w:rPr>
          <w:rFonts w:ascii="Calibri Light" w:hAnsi="Calibri Light" w:cs="Calibri Light"/>
          <w:color w:val="0070C0"/>
          <w:sz w:val="24"/>
          <w:szCs w:val="24"/>
        </w:rPr>
        <w:instrText>ADDIN CSL_CITATION {"citationItems":[{"id":"ITEM-1","itemData":{"author":[{"dropping-particle":"","family":"Indonesia","given":"CNBC","non-dropping-particle":"","parse-names":false,"suffix":""}],"container-title":"Youtube","id":"ITEM-1","issued":{"date-parts":[["2023","6","23"]]},"title":"BI Siap Redenominasi Rupiah, Tinggal Tunggu gong saja","type":"article-newspaper"},"uris":["http://www.mendeley.com/documents/?uuid=eaadcd9b-947c-42fe-b67a-ca6bb4a5fd70"]}],"mendeley":{"formattedCitation":"(C. Indonesia, 2023)","plainTextFormattedCitation":"(C. Indonesia, 2023)","previouslyFormattedCitation":"(C. Indonesia, 2023)"},"properties":{"noteIndex":0},"schema":"https://github.com/citation-style-language/schema/raw/master/csl-citation.json"}</w:instrText>
      </w:r>
      <w:r w:rsidR="00931F25" w:rsidRPr="00781481">
        <w:rPr>
          <w:rFonts w:ascii="Calibri Light" w:hAnsi="Calibri Light" w:cs="Calibri Light"/>
          <w:color w:val="0070C0"/>
          <w:sz w:val="24"/>
          <w:szCs w:val="24"/>
        </w:rPr>
        <w:fldChar w:fldCharType="separate"/>
      </w:r>
      <w:r w:rsidR="008E7B56" w:rsidRPr="00781481">
        <w:rPr>
          <w:rFonts w:ascii="Calibri Light" w:hAnsi="Calibri Light" w:cs="Calibri Light"/>
          <w:noProof/>
          <w:color w:val="0070C0"/>
          <w:sz w:val="24"/>
          <w:szCs w:val="24"/>
        </w:rPr>
        <w:t>(C</w:t>
      </w:r>
      <w:r w:rsidR="0018182C">
        <w:rPr>
          <w:rFonts w:ascii="Calibri Light" w:hAnsi="Calibri Light" w:cs="Calibri Light"/>
          <w:noProof/>
          <w:color w:val="0070C0"/>
          <w:sz w:val="24"/>
          <w:szCs w:val="24"/>
        </w:rPr>
        <w:t>NBC</w:t>
      </w:r>
      <w:r w:rsidR="008E7B56" w:rsidRPr="00781481">
        <w:rPr>
          <w:rFonts w:ascii="Calibri Light" w:hAnsi="Calibri Light" w:cs="Calibri Light"/>
          <w:noProof/>
          <w:color w:val="0070C0"/>
          <w:sz w:val="24"/>
          <w:szCs w:val="24"/>
        </w:rPr>
        <w:t>Indonesia, 2023)</w:t>
      </w:r>
      <w:r w:rsidR="00931F25" w:rsidRPr="00781481">
        <w:rPr>
          <w:rFonts w:ascii="Calibri Light" w:hAnsi="Calibri Light" w:cs="Calibri Light"/>
          <w:color w:val="0070C0"/>
          <w:sz w:val="24"/>
          <w:szCs w:val="24"/>
        </w:rPr>
        <w:fldChar w:fldCharType="end"/>
      </w:r>
      <w:r w:rsidR="005B3038" w:rsidRPr="005B3038">
        <w:rPr>
          <w:rFonts w:ascii="Calibri Light" w:hAnsi="Calibri Light" w:cs="Calibri Light"/>
          <w:sz w:val="24"/>
          <w:szCs w:val="24"/>
        </w:rPr>
        <w:t>.</w:t>
      </w:r>
      <w:r w:rsidR="006F02EB" w:rsidRPr="00781481">
        <w:rPr>
          <w:rFonts w:ascii="Calibri Light" w:hAnsi="Calibri Light" w:cs="Calibri Light"/>
          <w:color w:val="0070C0"/>
          <w:sz w:val="24"/>
          <w:szCs w:val="24"/>
        </w:rPr>
        <w:t xml:space="preserve"> </w:t>
      </w:r>
      <w:r w:rsidRPr="000376DE">
        <w:rPr>
          <w:rFonts w:ascii="Calibri Light" w:hAnsi="Calibri Light" w:cs="Calibri Light"/>
          <w:sz w:val="24"/>
          <w:szCs w:val="24"/>
        </w:rPr>
        <w:t xml:space="preserve">The plan to redenominate the rupiah, which had been temporarily shelved, resurfaced on June 29, 2020. </w:t>
      </w:r>
      <w:r w:rsidR="00432533">
        <w:rPr>
          <w:rFonts w:ascii="Calibri Light" w:hAnsi="Calibri Light" w:cs="Calibri Light"/>
          <w:sz w:val="24"/>
          <w:szCs w:val="24"/>
        </w:rPr>
        <w:t xml:space="preserve">The </w:t>
      </w:r>
      <w:r w:rsidRPr="000376DE">
        <w:rPr>
          <w:rFonts w:ascii="Calibri Light" w:hAnsi="Calibri Light" w:cs="Calibri Light"/>
          <w:sz w:val="24"/>
          <w:szCs w:val="24"/>
        </w:rPr>
        <w:t>Finance Minister</w:t>
      </w:r>
      <w:r w:rsidR="006622CD">
        <w:rPr>
          <w:rFonts w:ascii="Calibri Light" w:hAnsi="Calibri Light" w:cs="Calibri Light"/>
          <w:sz w:val="24"/>
          <w:szCs w:val="24"/>
        </w:rPr>
        <w:t>,</w:t>
      </w:r>
      <w:r w:rsidRPr="000376DE">
        <w:rPr>
          <w:rFonts w:ascii="Calibri Light" w:hAnsi="Calibri Light" w:cs="Calibri Light"/>
          <w:sz w:val="24"/>
          <w:szCs w:val="24"/>
        </w:rPr>
        <w:t xml:space="preserve"> Sri </w:t>
      </w:r>
      <w:proofErr w:type="spellStart"/>
      <w:r w:rsidRPr="000376DE">
        <w:rPr>
          <w:rFonts w:ascii="Calibri Light" w:hAnsi="Calibri Light" w:cs="Calibri Light"/>
          <w:sz w:val="24"/>
          <w:szCs w:val="24"/>
        </w:rPr>
        <w:t>Mulyani</w:t>
      </w:r>
      <w:proofErr w:type="spellEnd"/>
      <w:r w:rsidR="006622CD">
        <w:rPr>
          <w:rFonts w:ascii="Calibri Light" w:hAnsi="Calibri Light" w:cs="Calibri Light"/>
          <w:sz w:val="24"/>
          <w:szCs w:val="24"/>
        </w:rPr>
        <w:t>,</w:t>
      </w:r>
      <w:r w:rsidRPr="000376DE">
        <w:rPr>
          <w:rFonts w:ascii="Calibri Light" w:hAnsi="Calibri Light" w:cs="Calibri Light"/>
          <w:sz w:val="24"/>
          <w:szCs w:val="24"/>
        </w:rPr>
        <w:t xml:space="preserve"> signed </w:t>
      </w:r>
      <w:r w:rsidR="00432533">
        <w:rPr>
          <w:rFonts w:ascii="Calibri Light" w:hAnsi="Calibri Light" w:cs="Calibri Light"/>
          <w:sz w:val="24"/>
          <w:szCs w:val="24"/>
        </w:rPr>
        <w:t xml:space="preserve">the </w:t>
      </w:r>
      <w:r w:rsidRPr="000376DE">
        <w:rPr>
          <w:rFonts w:ascii="Calibri Light" w:hAnsi="Calibri Light" w:cs="Calibri Light"/>
          <w:sz w:val="24"/>
          <w:szCs w:val="24"/>
        </w:rPr>
        <w:t>Regulation N</w:t>
      </w:r>
      <w:r w:rsidR="00432533">
        <w:rPr>
          <w:rFonts w:ascii="Calibri Light" w:hAnsi="Calibri Light" w:cs="Calibri Light"/>
          <w:sz w:val="24"/>
          <w:szCs w:val="24"/>
        </w:rPr>
        <w:t>o.</w:t>
      </w:r>
      <w:r w:rsidRPr="000376DE">
        <w:rPr>
          <w:rFonts w:ascii="Calibri Light" w:hAnsi="Calibri Light" w:cs="Calibri Light"/>
          <w:sz w:val="24"/>
          <w:szCs w:val="24"/>
        </w:rPr>
        <w:t xml:space="preserve"> 77/PMK.01/2020 concerning the Strategic Plan of the Ministry of Finance for 2020 to 2024. In the Regulation, the plan to simplify the value of the rupiah is included as one of the bills in the medium-term National Legislation Program (</w:t>
      </w:r>
      <w:proofErr w:type="spellStart"/>
      <w:r w:rsidRPr="000376DE">
        <w:rPr>
          <w:rFonts w:ascii="Calibri Light" w:hAnsi="Calibri Light" w:cs="Calibri Light"/>
          <w:sz w:val="24"/>
          <w:szCs w:val="24"/>
        </w:rPr>
        <w:t>Prolegnas</w:t>
      </w:r>
      <w:proofErr w:type="spellEnd"/>
      <w:r w:rsidRPr="000376DE">
        <w:rPr>
          <w:rFonts w:ascii="Calibri Light" w:hAnsi="Calibri Light" w:cs="Calibri Light"/>
          <w:sz w:val="24"/>
          <w:szCs w:val="24"/>
        </w:rPr>
        <w:t>) and is targeted for completion between 2021 and 2024.</w:t>
      </w:r>
    </w:p>
    <w:p w14:paraId="2BA3A359" w14:textId="7777777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lastRenderedPageBreak/>
        <w:t xml:space="preserve">The issue of rupiah redenomination reappeared at the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Board of Governors meeting in June 2023. Perry </w:t>
      </w:r>
      <w:proofErr w:type="spellStart"/>
      <w:r w:rsidRPr="000376DE">
        <w:rPr>
          <w:rFonts w:ascii="Calibri Light" w:hAnsi="Calibri Light" w:cs="Calibri Light"/>
          <w:sz w:val="24"/>
          <w:szCs w:val="24"/>
        </w:rPr>
        <w:t>Warjiyo</w:t>
      </w:r>
      <w:proofErr w:type="spellEnd"/>
      <w:r w:rsidRPr="000376DE">
        <w:rPr>
          <w:rFonts w:ascii="Calibri Light" w:hAnsi="Calibri Light" w:cs="Calibri Light"/>
          <w:sz w:val="24"/>
          <w:szCs w:val="24"/>
        </w:rPr>
        <w:t xml:space="preserve">, Governor of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revealed that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had prepared the design up to the implementation stage. However, the legal basis for this policy must first be agreed upon by the government and the DPR. The redenomination discourse has been going on in the past 15 years, precisely in 2010, but until now</w:t>
      </w:r>
      <w:r w:rsidR="006622CD">
        <w:rPr>
          <w:rFonts w:ascii="Calibri Light" w:hAnsi="Calibri Light" w:cs="Calibri Light"/>
          <w:sz w:val="24"/>
          <w:szCs w:val="24"/>
        </w:rPr>
        <w:t>,</w:t>
      </w:r>
      <w:r w:rsidRPr="000376DE">
        <w:rPr>
          <w:rFonts w:ascii="Calibri Light" w:hAnsi="Calibri Light" w:cs="Calibri Light"/>
          <w:sz w:val="24"/>
          <w:szCs w:val="24"/>
        </w:rPr>
        <w:t xml:space="preserve"> it has not been realized. This statement was emphasized by the Governor of </w:t>
      </w:r>
      <w:r w:rsidR="001A4705" w:rsidRPr="001A4705">
        <w:rPr>
          <w:rFonts w:ascii="Calibri Light" w:hAnsi="Calibri Light" w:cs="Calibri Light"/>
          <w:caps/>
          <w:sz w:val="24"/>
          <w:szCs w:val="24"/>
        </w:rPr>
        <w:t>BI</w:t>
      </w:r>
      <w:r w:rsidR="006622CD">
        <w:rPr>
          <w:rFonts w:ascii="Calibri Light" w:hAnsi="Calibri Light" w:cs="Calibri Light"/>
          <w:sz w:val="24"/>
          <w:szCs w:val="24"/>
        </w:rPr>
        <w:t>,</w:t>
      </w:r>
      <w:r w:rsidRPr="000376DE">
        <w:rPr>
          <w:rFonts w:ascii="Calibri Light" w:hAnsi="Calibri Light" w:cs="Calibri Light"/>
          <w:sz w:val="24"/>
          <w:szCs w:val="24"/>
        </w:rPr>
        <w:t xml:space="preserve"> who stated that BI was ready to carry out the redenomination.</w:t>
      </w:r>
    </w:p>
    <w:p w14:paraId="3FBE44EE" w14:textId="218DC96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In a YouTube channel entitled “BI Ready for Rupiah Redenomination, Just Waiting for the Gong”, Perry </w:t>
      </w:r>
      <w:proofErr w:type="spellStart"/>
      <w:r w:rsidRPr="000376DE">
        <w:rPr>
          <w:rFonts w:ascii="Calibri Light" w:hAnsi="Calibri Light" w:cs="Calibri Light"/>
          <w:sz w:val="24"/>
          <w:szCs w:val="24"/>
        </w:rPr>
        <w:t>Warjiyo</w:t>
      </w:r>
      <w:proofErr w:type="spellEnd"/>
      <w:r w:rsidRPr="000376DE">
        <w:rPr>
          <w:rFonts w:ascii="Calibri Light" w:hAnsi="Calibri Light" w:cs="Calibri Light"/>
          <w:sz w:val="24"/>
          <w:szCs w:val="24"/>
        </w:rPr>
        <w:t xml:space="preserve"> explained that redenomination is not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(cutting the value of money). According to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Press Release Number 12 of 2023, redenomination is the equalization of the rupiah value. In redenomination, both the value of money and the value of goods are not reduced</w:t>
      </w:r>
      <w:r w:rsidR="006622CD">
        <w:rPr>
          <w:rFonts w:ascii="Calibri Light" w:hAnsi="Calibri Light" w:cs="Calibri Light"/>
          <w:sz w:val="24"/>
          <w:szCs w:val="24"/>
        </w:rPr>
        <w:t>;</w:t>
      </w:r>
      <w:r w:rsidRPr="000376DE">
        <w:rPr>
          <w:rFonts w:ascii="Calibri Light" w:hAnsi="Calibri Light" w:cs="Calibri Light"/>
          <w:sz w:val="24"/>
          <w:szCs w:val="24"/>
        </w:rPr>
        <w:t xml:space="preserve"> only a few zeros are eliminated. Thus, redenomination will simplify the writing of the value of goods and services, which is then followed by the simplification of the writing of </w:t>
      </w:r>
      <w:r w:rsidR="006622CD">
        <w:rPr>
          <w:rFonts w:ascii="Calibri Light" w:hAnsi="Calibri Light" w:cs="Calibri Light"/>
          <w:sz w:val="24"/>
          <w:szCs w:val="24"/>
        </w:rPr>
        <w:t xml:space="preserve">the </w:t>
      </w:r>
      <w:r w:rsidRPr="000376DE">
        <w:rPr>
          <w:rFonts w:ascii="Calibri Light" w:hAnsi="Calibri Light" w:cs="Calibri Light"/>
          <w:sz w:val="24"/>
          <w:szCs w:val="24"/>
        </w:rPr>
        <w:t>means of payment or money</w:t>
      </w:r>
      <w:r w:rsidR="002B1A37">
        <w:rPr>
          <w:rFonts w:ascii="Calibri Light" w:hAnsi="Calibri Light" w:cs="Calibri Light"/>
          <w:sz w:val="24"/>
          <w:szCs w:val="24"/>
        </w:rPr>
        <w:t xml:space="preserve"> </w:t>
      </w:r>
      <w:r w:rsidR="002B1A37" w:rsidRPr="004B2784">
        <w:rPr>
          <w:rFonts w:ascii="Calibri Light" w:hAnsi="Calibri Light" w:cs="Calibri Light"/>
          <w:color w:val="0070C0"/>
          <w:sz w:val="24"/>
          <w:szCs w:val="24"/>
        </w:rPr>
        <w:fldChar w:fldCharType="begin" w:fldLock="1"/>
      </w:r>
      <w:r w:rsidR="000E7DCF">
        <w:rPr>
          <w:rFonts w:ascii="Calibri Light" w:hAnsi="Calibri Light" w:cs="Calibri Light"/>
          <w:color w:val="0070C0"/>
          <w:sz w:val="24"/>
          <w:szCs w:val="24"/>
        </w:rPr>
        <w:instrText>ADDIN CSL_CITATION {"citationItems":[{"id":"ITEM-1","itemData":{"author":[{"dropping-particle":"","family":"BI","given":"","non-dropping-particle":"","parse-names":false,"suffix":""}],"container-title":"BI","id":"ITEM-1","issued":{"date-parts":[["0"]]},"title":"Redenominasi bukan pemotongan uang","type":"article-magazine"},"uris":["http://www.mendeley.com/documents/?uuid=071dad02-84c0-4555-906c-b8ebe81bb8cc"]}],"mendeley":{"formattedCitation":"(BI, n.d.)","plainTextFormattedCitation":"(BI, n.d.)","previouslyFormattedCitation":"(BI, n.d.)"},"properties":{"noteIndex":0},"schema":"https://github.com/citation-style-language/schema/raw/master/csl-citation.json"}</w:instrText>
      </w:r>
      <w:r w:rsidR="002B1A37" w:rsidRPr="004B2784">
        <w:rPr>
          <w:rFonts w:ascii="Calibri Light" w:hAnsi="Calibri Light" w:cs="Calibri Light"/>
          <w:color w:val="0070C0"/>
          <w:sz w:val="24"/>
          <w:szCs w:val="24"/>
        </w:rPr>
        <w:fldChar w:fldCharType="separate"/>
      </w:r>
      <w:r w:rsidR="002B1A37" w:rsidRPr="004B2784">
        <w:rPr>
          <w:rFonts w:ascii="Calibri Light" w:hAnsi="Calibri Light" w:cs="Calibri Light"/>
          <w:noProof/>
          <w:color w:val="0070C0"/>
          <w:sz w:val="24"/>
          <w:szCs w:val="24"/>
        </w:rPr>
        <w:t>(BI, n.d.)</w:t>
      </w:r>
      <w:r w:rsidR="002B1A37" w:rsidRPr="004B2784">
        <w:rPr>
          <w:rFonts w:ascii="Calibri Light" w:hAnsi="Calibri Light" w:cs="Calibri Light"/>
          <w:color w:val="0070C0"/>
          <w:sz w:val="24"/>
          <w:szCs w:val="24"/>
        </w:rPr>
        <w:fldChar w:fldCharType="end"/>
      </w:r>
      <w:r w:rsidR="002B1A37" w:rsidRPr="004B2784">
        <w:rPr>
          <w:rFonts w:ascii="Calibri Light" w:hAnsi="Calibri Light" w:cs="Calibri Light"/>
          <w:color w:val="0070C0"/>
          <w:sz w:val="24"/>
          <w:szCs w:val="24"/>
        </w:rPr>
        <w:t>.</w:t>
      </w:r>
    </w:p>
    <w:p w14:paraId="01673B44" w14:textId="7394EBD2"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w:t>
      </w:r>
      <w:r w:rsidR="00432533">
        <w:rPr>
          <w:rFonts w:ascii="Calibri Light" w:hAnsi="Calibri Light" w:cs="Calibri Light"/>
          <w:sz w:val="24"/>
          <w:szCs w:val="24"/>
        </w:rPr>
        <w:t xml:space="preserve">Indonesian </w:t>
      </w:r>
      <w:r w:rsidRPr="000376DE">
        <w:rPr>
          <w:rFonts w:ascii="Calibri Light" w:hAnsi="Calibri Light" w:cs="Calibri Light"/>
          <w:sz w:val="24"/>
          <w:szCs w:val="24"/>
        </w:rPr>
        <w:t xml:space="preserve">Ministry of Finance has launched a redenomination program in the 2020-2024 Strategic Plan. This effort is being made by the government through the Ministry of Finance to simplify the value or nominal written in rupiah currency without reducing the exchange rate of the rupiah itself. As is well known, the highest denomination of rupiah is currently Rp100,000, which is classified as the </w:t>
      </w:r>
      <w:r w:rsidR="006622CD">
        <w:rPr>
          <w:rFonts w:ascii="Calibri Light" w:hAnsi="Calibri Light" w:cs="Calibri Light"/>
          <w:sz w:val="24"/>
          <w:szCs w:val="24"/>
        </w:rPr>
        <w:t>second-largest</w:t>
      </w:r>
      <w:r w:rsidRPr="000376DE">
        <w:rPr>
          <w:rFonts w:ascii="Calibri Light" w:hAnsi="Calibri Light" w:cs="Calibri Light"/>
          <w:sz w:val="24"/>
          <w:szCs w:val="24"/>
        </w:rPr>
        <w:t xml:space="preserve"> denomination after Vietnam, which has the highest denomination of 500,000 Dong</w:t>
      </w:r>
      <w:r w:rsidR="00432533">
        <w:rPr>
          <w:rFonts w:ascii="Calibri Light" w:hAnsi="Calibri Light" w:cs="Calibri Light"/>
          <w:sz w:val="24"/>
          <w:szCs w:val="24"/>
        </w:rPr>
        <w:t xml:space="preserve"> </w:t>
      </w:r>
      <w:r w:rsidR="000E7DCF" w:rsidRPr="000C683D">
        <w:rPr>
          <w:rFonts w:ascii="Calibri Light" w:hAnsi="Calibri Light" w:cs="Calibri Light"/>
          <w:color w:val="0070C0"/>
          <w:sz w:val="24"/>
          <w:szCs w:val="24"/>
        </w:rPr>
        <w:fldChar w:fldCharType="begin" w:fldLock="1"/>
      </w:r>
      <w:r w:rsidR="00E25502">
        <w:rPr>
          <w:rFonts w:ascii="Calibri Light" w:hAnsi="Calibri Light" w:cs="Calibri Light"/>
          <w:color w:val="0070C0"/>
          <w:sz w:val="24"/>
          <w:szCs w:val="24"/>
        </w:rPr>
        <w:instrText>ADDIN CSL_CITATION {"citationItems":[{"id":"ITEM-1","itemData":{"author":[{"dropping-particle":"","family":"Ashari","given":"M","non-dropping-particle":"","parse-names":false,"suffix":""}],"container-title":"kemenkeu.go.id","id":"ITEM-1","issued":{"date-parts":[["2020","7","28"]]},"title":"Menanti Redenominasi","type":"article-newspaper"},"uris":["http://www.mendeley.com/documents/?uuid=c5a3fc89-5e0b-42db-8cdf-adcb3d1a9361"]}],"mendeley":{"formattedCitation":"(Ashari, 2020)","plainTextFormattedCitation":"(Ashari, 2020)","previouslyFormattedCitation":"(Ashari, 2020)"},"properties":{"noteIndex":0},"schema":"https://github.com/citation-style-language/schema/raw/master/csl-citation.json"}</w:instrText>
      </w:r>
      <w:r w:rsidR="000E7DCF" w:rsidRPr="000C683D">
        <w:rPr>
          <w:rFonts w:ascii="Calibri Light" w:hAnsi="Calibri Light" w:cs="Calibri Light"/>
          <w:color w:val="0070C0"/>
          <w:sz w:val="24"/>
          <w:szCs w:val="24"/>
        </w:rPr>
        <w:fldChar w:fldCharType="separate"/>
      </w:r>
      <w:r w:rsidR="000E7DCF" w:rsidRPr="000C683D">
        <w:rPr>
          <w:rFonts w:ascii="Calibri Light" w:hAnsi="Calibri Light" w:cs="Calibri Light"/>
          <w:noProof/>
          <w:color w:val="0070C0"/>
          <w:sz w:val="24"/>
          <w:szCs w:val="24"/>
        </w:rPr>
        <w:t>(Ashari, 2020)</w:t>
      </w:r>
      <w:r w:rsidR="000E7DCF" w:rsidRPr="000C683D">
        <w:rPr>
          <w:rFonts w:ascii="Calibri Light" w:hAnsi="Calibri Light" w:cs="Calibri Light"/>
          <w:color w:val="0070C0"/>
          <w:sz w:val="24"/>
          <w:szCs w:val="24"/>
        </w:rPr>
        <w:fldChar w:fldCharType="end"/>
      </w:r>
      <w:r w:rsidR="000E7DCF">
        <w:rPr>
          <w:rFonts w:ascii="Calibri Light" w:hAnsi="Calibri Light" w:cs="Calibri Light"/>
          <w:sz w:val="24"/>
          <w:szCs w:val="24"/>
        </w:rPr>
        <w:t>.</w:t>
      </w:r>
    </w:p>
    <w:p w14:paraId="70593E92" w14:textId="1ED543CA" w:rsid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The large denominations of the rupiah currency </w:t>
      </w:r>
      <w:r w:rsidR="006622CD">
        <w:rPr>
          <w:rFonts w:ascii="Calibri Light" w:hAnsi="Calibri Light" w:cs="Calibri Light"/>
          <w:sz w:val="24"/>
          <w:szCs w:val="24"/>
        </w:rPr>
        <w:t>have</w:t>
      </w:r>
      <w:r w:rsidRPr="000376DE">
        <w:rPr>
          <w:rFonts w:ascii="Calibri Light" w:hAnsi="Calibri Light" w:cs="Calibri Light"/>
          <w:sz w:val="24"/>
          <w:szCs w:val="24"/>
        </w:rPr>
        <w:t xml:space="preserve"> raised concerns about the status of the rupiah, which is considered weak compared to other currencies such as the US dollar, the euro, and other global currencies. On February 28, 2025, the exchange rate of the rupiah against the US dollar depreciated again to 16,595. In transaction practice, large denominations of the rupiah often lead to errors in data input, database management, data reporting, data storage, time wasting in report presentation and accounting, and inefficient calculations. In addition, a currency with a large number of digits can make calculations complicated, potentially leading to many errors</w:t>
      </w:r>
      <w:r w:rsidR="00E25502">
        <w:rPr>
          <w:rFonts w:ascii="Calibri Light" w:hAnsi="Calibri Light" w:cs="Calibri Light"/>
          <w:sz w:val="24"/>
          <w:szCs w:val="24"/>
        </w:rPr>
        <w:t xml:space="preserve"> </w:t>
      </w:r>
      <w:r w:rsidR="00E25502" w:rsidRPr="00E25502">
        <w:rPr>
          <w:rFonts w:ascii="Calibri Light" w:hAnsi="Calibri Light" w:cs="Calibri Light"/>
          <w:color w:val="0070C0"/>
          <w:sz w:val="24"/>
          <w:szCs w:val="24"/>
        </w:rPr>
        <w:fldChar w:fldCharType="begin" w:fldLock="1"/>
      </w:r>
      <w:r w:rsidR="00C54EF1">
        <w:rPr>
          <w:rFonts w:ascii="Calibri Light" w:hAnsi="Calibri Light" w:cs="Calibri Light"/>
          <w:color w:val="0070C0"/>
          <w:sz w:val="24"/>
          <w:szCs w:val="24"/>
        </w:rPr>
        <w:instrText>ADDIN CSL_CITATION {"citationItems":[{"id":"ITEM-1","itemData":{"author":[{"dropping-particle":"","family":"Agustiningtyas","given":"Wahyu Eka Putri","non-dropping-particle":"","parse-names":false,"suffix":""},{"dropping-particle":"","family":"Hendrasto","given":"Ferdian","non-dropping-particle":"","parse-names":false,"suffix":""}],"container-title":"International Economics and Business Proceedings","id":"ITEM-1","issue":"2","issued":{"date-parts":[["2024"]]},"title":"USING MODIFIED TECHNOLOGY ACCEPTANCE MODEL TO INVESTIGATE QRIS ADOPTION AMONG UNIVERSITY STUDENT","type":"article-journal","volume":"1"},"uris":["http://www.mendeley.com/documents/?uuid=a03427fd-7704-442d-aca2-1cecf5cb6e2a"]}],"mendeley":{"formattedCitation":"(Agustiningtyas &amp; Hendrasto, 2024)","plainTextFormattedCitation":"(Agustiningtyas &amp; Hendrasto, 2024)","previouslyFormattedCitation":"(Agustiningtyas &amp; Hendrasto, 2024)"},"properties":{"noteIndex":0},"schema":"https://github.com/citation-style-language/schema/raw/master/csl-citation.json"}</w:instrText>
      </w:r>
      <w:r w:rsidR="00E25502" w:rsidRPr="00E25502">
        <w:rPr>
          <w:rFonts w:ascii="Calibri Light" w:hAnsi="Calibri Light" w:cs="Calibri Light"/>
          <w:color w:val="0070C0"/>
          <w:sz w:val="24"/>
          <w:szCs w:val="24"/>
        </w:rPr>
        <w:fldChar w:fldCharType="separate"/>
      </w:r>
      <w:r w:rsidR="00E25502" w:rsidRPr="00E25502">
        <w:rPr>
          <w:rFonts w:ascii="Calibri Light" w:hAnsi="Calibri Light" w:cs="Calibri Light"/>
          <w:noProof/>
          <w:color w:val="0070C0"/>
          <w:sz w:val="24"/>
          <w:szCs w:val="24"/>
        </w:rPr>
        <w:t>(Agustiningtyas &amp; Hendrasto, 2024)</w:t>
      </w:r>
      <w:r w:rsidR="00E25502" w:rsidRPr="00E25502">
        <w:rPr>
          <w:rFonts w:ascii="Calibri Light" w:hAnsi="Calibri Light" w:cs="Calibri Light"/>
          <w:color w:val="0070C0"/>
          <w:sz w:val="24"/>
          <w:szCs w:val="24"/>
        </w:rPr>
        <w:fldChar w:fldCharType="end"/>
      </w:r>
      <w:r w:rsidR="00E25502">
        <w:rPr>
          <w:rFonts w:ascii="Calibri Light" w:hAnsi="Calibri Light" w:cs="Calibri Light"/>
          <w:color w:val="0070C0"/>
          <w:sz w:val="24"/>
          <w:szCs w:val="24"/>
        </w:rPr>
        <w:t>.</w:t>
      </w:r>
    </w:p>
    <w:p w14:paraId="2AC260F3" w14:textId="77777777" w:rsidR="000376DE" w:rsidRPr="000376DE" w:rsidRDefault="000376DE" w:rsidP="000376DE">
      <w:pPr>
        <w:spacing w:before="120" w:after="120"/>
        <w:ind w:left="440" w:right="-1" w:hanging="14"/>
        <w:jc w:val="both"/>
        <w:rPr>
          <w:rFonts w:ascii="Calibri Light" w:hAnsi="Calibri Light" w:cs="Calibri Light"/>
          <w:b/>
          <w:bCs/>
          <w:sz w:val="24"/>
          <w:szCs w:val="24"/>
        </w:rPr>
      </w:pPr>
      <w:r w:rsidRPr="000376DE">
        <w:rPr>
          <w:rFonts w:ascii="Calibri Light" w:hAnsi="Calibri Light" w:cs="Calibri Light"/>
          <w:b/>
          <w:bCs/>
          <w:sz w:val="24"/>
          <w:szCs w:val="24"/>
        </w:rPr>
        <w:t>2.</w:t>
      </w:r>
      <w:r w:rsidRPr="000376DE">
        <w:rPr>
          <w:rFonts w:ascii="Calibri Light" w:hAnsi="Calibri Light" w:cs="Calibri Light"/>
          <w:b/>
          <w:bCs/>
          <w:sz w:val="24"/>
          <w:szCs w:val="24"/>
        </w:rPr>
        <w:tab/>
        <w:t>The urgency of rupiah redenomination in Indonesia</w:t>
      </w:r>
    </w:p>
    <w:p w14:paraId="7E0E1DAB" w14:textId="41EA5686"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According to Bhima </w:t>
      </w:r>
      <w:proofErr w:type="spellStart"/>
      <w:r w:rsidRPr="000376DE">
        <w:rPr>
          <w:rFonts w:ascii="Calibri Light" w:hAnsi="Calibri Light" w:cs="Calibri Light"/>
          <w:sz w:val="24"/>
          <w:szCs w:val="24"/>
        </w:rPr>
        <w:t>Adhinegara</w:t>
      </w:r>
      <w:proofErr w:type="spellEnd"/>
      <w:r w:rsidRPr="000376DE">
        <w:rPr>
          <w:rFonts w:ascii="Calibri Light" w:hAnsi="Calibri Light" w:cs="Calibri Light"/>
          <w:sz w:val="24"/>
          <w:szCs w:val="24"/>
        </w:rPr>
        <w:t>, Director of CELIOS, the redenomination policy can increase the credibility of the currency and make transactions more efficient. However, if it is carried out when inflation is still high, there are concerns of hyperinflation because traders tend to round up the nominal price, so that the price of goods rises significantly and is difficult for the government to control</w:t>
      </w:r>
      <w:r w:rsidR="00C54EF1">
        <w:rPr>
          <w:rFonts w:ascii="Calibri Light" w:hAnsi="Calibri Light" w:cs="Calibri Light"/>
          <w:sz w:val="24"/>
          <w:szCs w:val="24"/>
        </w:rPr>
        <w:t xml:space="preserve"> </w:t>
      </w:r>
      <w:r w:rsidR="00C54EF1" w:rsidRPr="00C54EF1">
        <w:rPr>
          <w:rFonts w:ascii="Calibri Light" w:hAnsi="Calibri Light" w:cs="Calibri Light"/>
          <w:color w:val="0070C0"/>
          <w:sz w:val="24"/>
          <w:szCs w:val="24"/>
        </w:rPr>
        <w:fldChar w:fldCharType="begin" w:fldLock="1"/>
      </w:r>
      <w:r w:rsidR="00DC1CC8">
        <w:rPr>
          <w:rFonts w:ascii="Calibri Light" w:hAnsi="Calibri Light" w:cs="Calibri Light"/>
          <w:color w:val="0070C0"/>
          <w:sz w:val="24"/>
          <w:szCs w:val="24"/>
        </w:rPr>
        <w:instrText>ADDIN CSL_CITATION {"citationItems":[{"id":"ITEM-1","itemData":{"author":[{"dropping-particle":"","family":"Sopiah","given":"A.","non-dropping-particle":"","parse-names":false,"suffix":""}],"container-title":"CNBC Indonesia","id":"ITEM-1","issued":{"date-parts":[["2023","3","23"]]},"title":"Kapan Waktu yang Tepat Bagi RI Ubah Rp 1.000 Jadi Rp 1?","type":"article-newspaper"},"uris":["http://www.mendeley.com/documents/?uuid=8f1956bc-9803-4c51-b9fc-948b53f0c12b"]}],"mendeley":{"formattedCitation":"(Sopiah, 2023)","plainTextFormattedCitation":"(Sopiah, 2023)","previouslyFormattedCitation":"(Sopiah, 2023)"},"properties":{"noteIndex":0},"schema":"https://github.com/citation-style-language/schema/raw/master/csl-citation.json"}</w:instrText>
      </w:r>
      <w:r w:rsidR="00C54EF1" w:rsidRPr="00C54EF1">
        <w:rPr>
          <w:rFonts w:ascii="Calibri Light" w:hAnsi="Calibri Light" w:cs="Calibri Light"/>
          <w:color w:val="0070C0"/>
          <w:sz w:val="24"/>
          <w:szCs w:val="24"/>
        </w:rPr>
        <w:fldChar w:fldCharType="separate"/>
      </w:r>
      <w:r w:rsidR="00C54EF1" w:rsidRPr="00C54EF1">
        <w:rPr>
          <w:rFonts w:ascii="Calibri Light" w:hAnsi="Calibri Light" w:cs="Calibri Light"/>
          <w:noProof/>
          <w:color w:val="0070C0"/>
          <w:sz w:val="24"/>
          <w:szCs w:val="24"/>
        </w:rPr>
        <w:t>(Sopiah, 2023)</w:t>
      </w:r>
      <w:r w:rsidR="00C54EF1" w:rsidRPr="00C54EF1">
        <w:rPr>
          <w:rFonts w:ascii="Calibri Light" w:hAnsi="Calibri Light" w:cs="Calibri Light"/>
          <w:color w:val="0070C0"/>
          <w:sz w:val="24"/>
          <w:szCs w:val="24"/>
        </w:rPr>
        <w:fldChar w:fldCharType="end"/>
      </w:r>
      <w:r w:rsidR="00C54EF1" w:rsidRPr="00C54EF1">
        <w:rPr>
          <w:rFonts w:ascii="Calibri Light" w:hAnsi="Calibri Light" w:cs="Calibri Light"/>
          <w:color w:val="0070C0"/>
          <w:sz w:val="24"/>
          <w:szCs w:val="24"/>
        </w:rPr>
        <w:t>.</w:t>
      </w:r>
      <w:r w:rsidR="00C54EF1">
        <w:rPr>
          <w:rFonts w:ascii="Calibri Light" w:hAnsi="Calibri Light" w:cs="Calibri Light"/>
          <w:sz w:val="24"/>
          <w:szCs w:val="24"/>
        </w:rPr>
        <w:t xml:space="preserve"> </w:t>
      </w:r>
      <w:r w:rsidRPr="000376DE">
        <w:rPr>
          <w:rFonts w:ascii="Calibri Light" w:hAnsi="Calibri Light" w:cs="Calibri Light"/>
          <w:sz w:val="24"/>
          <w:szCs w:val="24"/>
        </w:rPr>
        <w:t>Moreover, in the stock exchange, there will be complications related to stock fractions or prices that can be negotiated by investors, as explained by Hasan Zein Mahmud, former Director of the Indonesia Stock Exchange</w:t>
      </w:r>
      <w:r w:rsidR="00DC1CC8">
        <w:rPr>
          <w:rFonts w:ascii="Calibri Light" w:hAnsi="Calibri Light" w:cs="Calibri Light"/>
          <w:sz w:val="24"/>
          <w:szCs w:val="24"/>
        </w:rPr>
        <w:t xml:space="preserve"> </w:t>
      </w:r>
      <w:r w:rsidR="00DC1CC8" w:rsidRPr="00AC263D">
        <w:rPr>
          <w:rFonts w:ascii="Calibri Light" w:hAnsi="Calibri Light" w:cs="Calibri Light"/>
          <w:color w:val="0070C0"/>
          <w:sz w:val="24"/>
          <w:szCs w:val="24"/>
        </w:rPr>
        <w:fldChar w:fldCharType="begin" w:fldLock="1"/>
      </w:r>
      <w:r w:rsidR="009865FF">
        <w:rPr>
          <w:rFonts w:ascii="Calibri Light" w:hAnsi="Calibri Light" w:cs="Calibri Light"/>
          <w:color w:val="0070C0"/>
          <w:sz w:val="24"/>
          <w:szCs w:val="24"/>
        </w:rPr>
        <w:instrText>ADDIN CSL_CITATION {"citationItems":[{"id":"ITEM-1","itemData":{"author":[{"dropping-particle":"","family":"Bineksari","given":"R.","non-dropping-particle":"","parse-names":false,"suffix":""}],"container-title":"CNBC Indonesia","id":"ITEM-1","issued":{"date-parts":[["2023","7","10"]]},"title":"Dampak Redenominasi Rp 1.000 Jadi Rp 1 ke Saham, Ini Kata BEI","type":"article-newspaper"},"uris":["http://www.mendeley.com/documents/?uuid=7721cf31-4ad8-4938-8df0-15aea5ff0f50"]}],"mendeley":{"formattedCitation":"(Bineksari, 2023)","plainTextFormattedCitation":"(Bineksari, 2023)","previouslyFormattedCitation":"(Bineksari, 2023)"},"properties":{"noteIndex":0},"schema":"https://github.com/citation-style-language/schema/raw/master/csl-citation.json"}</w:instrText>
      </w:r>
      <w:r w:rsidR="00DC1CC8" w:rsidRPr="00AC263D">
        <w:rPr>
          <w:rFonts w:ascii="Calibri Light" w:hAnsi="Calibri Light" w:cs="Calibri Light"/>
          <w:color w:val="0070C0"/>
          <w:sz w:val="24"/>
          <w:szCs w:val="24"/>
        </w:rPr>
        <w:fldChar w:fldCharType="separate"/>
      </w:r>
      <w:r w:rsidR="00DC1CC8" w:rsidRPr="00AC263D">
        <w:rPr>
          <w:rFonts w:ascii="Calibri Light" w:hAnsi="Calibri Light" w:cs="Calibri Light"/>
          <w:noProof/>
          <w:color w:val="0070C0"/>
          <w:sz w:val="24"/>
          <w:szCs w:val="24"/>
        </w:rPr>
        <w:t>(Bineksari, 2023)</w:t>
      </w:r>
      <w:r w:rsidR="00DC1CC8" w:rsidRPr="00AC263D">
        <w:rPr>
          <w:rFonts w:ascii="Calibri Light" w:hAnsi="Calibri Light" w:cs="Calibri Light"/>
          <w:color w:val="0070C0"/>
          <w:sz w:val="24"/>
          <w:szCs w:val="24"/>
        </w:rPr>
        <w:fldChar w:fldCharType="end"/>
      </w:r>
      <w:r w:rsidR="00DC1CC8" w:rsidRPr="00AC263D">
        <w:rPr>
          <w:rFonts w:ascii="Calibri Light" w:hAnsi="Calibri Light" w:cs="Calibri Light"/>
          <w:color w:val="0070C0"/>
          <w:sz w:val="24"/>
          <w:szCs w:val="24"/>
        </w:rPr>
        <w:t>.</w:t>
      </w:r>
    </w:p>
    <w:p w14:paraId="7E952FB0" w14:textId="3734ED12" w:rsidR="000376DE" w:rsidRPr="000376DE" w:rsidRDefault="001A4705" w:rsidP="000376DE">
      <w:pPr>
        <w:spacing w:before="120" w:after="120"/>
        <w:ind w:left="440" w:right="-1" w:hanging="14"/>
        <w:jc w:val="both"/>
        <w:rPr>
          <w:rFonts w:ascii="Calibri Light" w:hAnsi="Calibri Light" w:cs="Calibri Light"/>
          <w:sz w:val="24"/>
          <w:szCs w:val="24"/>
        </w:rPr>
      </w:pPr>
      <w:r w:rsidRPr="001A4705">
        <w:rPr>
          <w:rFonts w:ascii="Calibri Light" w:hAnsi="Calibri Light" w:cs="Calibri Light"/>
          <w:caps/>
          <w:sz w:val="24"/>
          <w:szCs w:val="24"/>
        </w:rPr>
        <w:t>BI</w:t>
      </w:r>
      <w:r w:rsidR="000376DE" w:rsidRPr="000376DE">
        <w:rPr>
          <w:rFonts w:ascii="Calibri Light" w:hAnsi="Calibri Light" w:cs="Calibri Light"/>
          <w:sz w:val="24"/>
          <w:szCs w:val="24"/>
        </w:rPr>
        <w:t xml:space="preserve"> has prepared the design and operational stages of redenomination. However, the factor that hinders its implementation is that even though Indonesia's macroeconomic conditions have improved and recovered, there is still the potential for spillover effects from global economic instability. Likewise, even though monetary conditions and financial system </w:t>
      </w:r>
      <w:r w:rsidR="000376DE" w:rsidRPr="000376DE">
        <w:rPr>
          <w:rFonts w:ascii="Calibri Light" w:hAnsi="Calibri Light" w:cs="Calibri Light"/>
          <w:sz w:val="24"/>
          <w:szCs w:val="24"/>
        </w:rPr>
        <w:lastRenderedPageBreak/>
        <w:t xml:space="preserve">stability have stabilized, Indonesia is still faced with global uncertainty. To carry out redenomination, conducive, supportive, positive, and strong social and political conditions are needed, as stated by Perry </w:t>
      </w:r>
      <w:proofErr w:type="spellStart"/>
      <w:r w:rsidR="000376DE" w:rsidRPr="000376DE">
        <w:rPr>
          <w:rFonts w:ascii="Calibri Light" w:hAnsi="Calibri Light" w:cs="Calibri Light"/>
          <w:sz w:val="24"/>
          <w:szCs w:val="24"/>
        </w:rPr>
        <w:t>Warjiyo</w:t>
      </w:r>
      <w:proofErr w:type="spellEnd"/>
      <w:r w:rsidR="000376DE" w:rsidRPr="000376DE">
        <w:rPr>
          <w:rFonts w:ascii="Calibri Light" w:hAnsi="Calibri Light" w:cs="Calibri Light"/>
          <w:sz w:val="24"/>
          <w:szCs w:val="24"/>
        </w:rPr>
        <w:t xml:space="preserve">, Governor of </w:t>
      </w:r>
      <w:r w:rsidRPr="001A4705">
        <w:rPr>
          <w:rFonts w:ascii="Calibri Light" w:hAnsi="Calibri Light" w:cs="Calibri Light"/>
          <w:caps/>
          <w:sz w:val="24"/>
          <w:szCs w:val="24"/>
        </w:rPr>
        <w:t>BI</w:t>
      </w:r>
      <w:r w:rsidR="000376DE" w:rsidRPr="000376DE">
        <w:rPr>
          <w:rFonts w:ascii="Calibri Light" w:hAnsi="Calibri Light" w:cs="Calibri Light"/>
          <w:sz w:val="24"/>
          <w:szCs w:val="24"/>
        </w:rPr>
        <w:t xml:space="preserve"> for the 2018-2023 period</w:t>
      </w:r>
      <w:r w:rsidR="009865FF">
        <w:rPr>
          <w:rFonts w:ascii="Calibri Light" w:hAnsi="Calibri Light" w:cs="Calibri Light"/>
          <w:sz w:val="24"/>
          <w:szCs w:val="24"/>
        </w:rPr>
        <w:t xml:space="preserve"> </w:t>
      </w:r>
      <w:r w:rsidR="009865FF" w:rsidRPr="00A429ED">
        <w:rPr>
          <w:rFonts w:ascii="Calibri Light" w:hAnsi="Calibri Light" w:cs="Calibri Light"/>
          <w:color w:val="0070C0"/>
          <w:sz w:val="24"/>
          <w:szCs w:val="24"/>
        </w:rPr>
        <w:fldChar w:fldCharType="begin" w:fldLock="1"/>
      </w:r>
      <w:r w:rsidR="00E605AF">
        <w:rPr>
          <w:rFonts w:ascii="Calibri Light" w:hAnsi="Calibri Light" w:cs="Calibri Light"/>
          <w:color w:val="0070C0"/>
          <w:sz w:val="24"/>
          <w:szCs w:val="24"/>
        </w:rPr>
        <w:instrText>ADDIN CSL_CITATION {"citationItems":[{"id":"ITEM-1","itemData":{"author":[{"dropping-particle":"","family":"Rachman","given":"Faisal","non-dropping-particle":"","parse-names":false,"suffix":""}],"container-title":"Valid news","id":"ITEM-1","issued":{"date-parts":[["2023","6","22"]]},"title":"BI Siap Lakukan Redenominasi Rupiah, Tapi Tidak Sekarang”","type":"article-newspaper"},"uris":["http://www.mendeley.com/documents/?uuid=1a8c6d0a-d3fd-4119-a824-572418769242"]}],"mendeley":{"formattedCitation":"(Rachman, 2023)","plainTextFormattedCitation":"(Rachman, 2023)","previouslyFormattedCitation":"(Rachman, 2023)"},"properties":{"noteIndex":0},"schema":"https://github.com/citation-style-language/schema/raw/master/csl-citation.json"}</w:instrText>
      </w:r>
      <w:r w:rsidR="009865FF" w:rsidRPr="00A429ED">
        <w:rPr>
          <w:rFonts w:ascii="Calibri Light" w:hAnsi="Calibri Light" w:cs="Calibri Light"/>
          <w:color w:val="0070C0"/>
          <w:sz w:val="24"/>
          <w:szCs w:val="24"/>
        </w:rPr>
        <w:fldChar w:fldCharType="separate"/>
      </w:r>
      <w:r w:rsidR="009865FF" w:rsidRPr="00A429ED">
        <w:rPr>
          <w:rFonts w:ascii="Calibri Light" w:hAnsi="Calibri Light" w:cs="Calibri Light"/>
          <w:noProof/>
          <w:color w:val="0070C0"/>
          <w:sz w:val="24"/>
          <w:szCs w:val="24"/>
        </w:rPr>
        <w:t>(Rachman, 2023)</w:t>
      </w:r>
      <w:r w:rsidR="009865FF" w:rsidRPr="00A429ED">
        <w:rPr>
          <w:rFonts w:ascii="Calibri Light" w:hAnsi="Calibri Light" w:cs="Calibri Light"/>
          <w:color w:val="0070C0"/>
          <w:sz w:val="24"/>
          <w:szCs w:val="24"/>
        </w:rPr>
        <w:fldChar w:fldCharType="end"/>
      </w:r>
      <w:r w:rsidR="009865FF" w:rsidRPr="00A429ED">
        <w:rPr>
          <w:rFonts w:ascii="Calibri Light" w:hAnsi="Calibri Light" w:cs="Calibri Light"/>
          <w:color w:val="0070C0"/>
          <w:sz w:val="24"/>
          <w:szCs w:val="24"/>
        </w:rPr>
        <w:t>.</w:t>
      </w:r>
    </w:p>
    <w:p w14:paraId="3C537BD5" w14:textId="1E394249"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According to Sri </w:t>
      </w:r>
      <w:proofErr w:type="spellStart"/>
      <w:r w:rsidRPr="000376DE">
        <w:rPr>
          <w:rFonts w:ascii="Calibri Light" w:hAnsi="Calibri Light" w:cs="Calibri Light"/>
          <w:sz w:val="24"/>
          <w:szCs w:val="24"/>
        </w:rPr>
        <w:t>Mulyani</w:t>
      </w:r>
      <w:proofErr w:type="spellEnd"/>
      <w:r w:rsidRPr="000376DE">
        <w:rPr>
          <w:rFonts w:ascii="Calibri Light" w:hAnsi="Calibri Light" w:cs="Calibri Light"/>
          <w:sz w:val="24"/>
          <w:szCs w:val="24"/>
        </w:rPr>
        <w:t>, Minister of Finance, the impact of redenomination on the economy will be very positive, including in terms of the efficiency of the transaction system, accounting, state budget reporting, and reducing the risk of human error</w:t>
      </w:r>
      <w:r w:rsidR="00E605AF">
        <w:rPr>
          <w:rFonts w:ascii="Calibri Light" w:hAnsi="Calibri Light" w:cs="Calibri Light"/>
          <w:sz w:val="24"/>
          <w:szCs w:val="24"/>
        </w:rPr>
        <w:t xml:space="preserve"> </w:t>
      </w:r>
      <w:r w:rsidR="00E605AF" w:rsidRPr="00E605AF">
        <w:rPr>
          <w:rFonts w:ascii="Calibri Light" w:hAnsi="Calibri Light" w:cs="Calibri Light"/>
          <w:color w:val="0070C0"/>
          <w:sz w:val="24"/>
          <w:szCs w:val="24"/>
        </w:rPr>
        <w:fldChar w:fldCharType="begin" w:fldLock="1"/>
      </w:r>
      <w:r w:rsidR="00FA5D4C">
        <w:rPr>
          <w:rFonts w:ascii="Calibri Light" w:hAnsi="Calibri Light" w:cs="Calibri Light"/>
          <w:color w:val="0070C0"/>
          <w:sz w:val="24"/>
          <w:szCs w:val="24"/>
        </w:rPr>
        <w:instrText>ADDIN CSL_CITATION {"citationItems":[{"id":"ITEM-1","itemData":{"author":[{"dropping-particle":"","family":"Editorial","given":"Team","non-dropping-particle":"","parse-names":false,"suffix":""}],"container-title":"CNBC Indonesia","id":"ITEM-1","issued":{"date-parts":[["2023","5","6"]]},"title":"BI Bakal Ubah Duit Rp 1.000 Jadi Rp 1? Ini Kabar Terbarunya","type":"article-newspaper"},"uris":["http://www.mendeley.com/documents/?uuid=e35cd7bd-0af5-4ebe-ab75-fdee5da0401e"]}],"mendeley":{"formattedCitation":"(Editorial, 2023)","plainTextFormattedCitation":"(Editorial, 2023)","previouslyFormattedCitation":"(Editorial, 2023)"},"properties":{"noteIndex":0},"schema":"https://github.com/citation-style-language/schema/raw/master/csl-citation.json"}</w:instrText>
      </w:r>
      <w:r w:rsidR="00E605AF" w:rsidRPr="00E605AF">
        <w:rPr>
          <w:rFonts w:ascii="Calibri Light" w:hAnsi="Calibri Light" w:cs="Calibri Light"/>
          <w:color w:val="0070C0"/>
          <w:sz w:val="24"/>
          <w:szCs w:val="24"/>
        </w:rPr>
        <w:fldChar w:fldCharType="separate"/>
      </w:r>
      <w:r w:rsidR="00E605AF" w:rsidRPr="00E605AF">
        <w:rPr>
          <w:rFonts w:ascii="Calibri Light" w:hAnsi="Calibri Light" w:cs="Calibri Light"/>
          <w:noProof/>
          <w:color w:val="0070C0"/>
          <w:sz w:val="24"/>
          <w:szCs w:val="24"/>
        </w:rPr>
        <w:t>(Editorial, 2023)</w:t>
      </w:r>
      <w:r w:rsidR="00E605AF" w:rsidRPr="00E605AF">
        <w:rPr>
          <w:rFonts w:ascii="Calibri Light" w:hAnsi="Calibri Light" w:cs="Calibri Light"/>
          <w:color w:val="0070C0"/>
          <w:sz w:val="24"/>
          <w:szCs w:val="24"/>
        </w:rPr>
        <w:fldChar w:fldCharType="end"/>
      </w:r>
      <w:r w:rsidR="00E605AF">
        <w:rPr>
          <w:rFonts w:ascii="Calibri Light" w:hAnsi="Calibri Light" w:cs="Calibri Light"/>
          <w:color w:val="0070C0"/>
          <w:sz w:val="24"/>
          <w:szCs w:val="24"/>
        </w:rPr>
        <w:t xml:space="preserve">. </w:t>
      </w:r>
      <w:r w:rsidRPr="000376DE">
        <w:rPr>
          <w:rFonts w:ascii="Calibri Light" w:hAnsi="Calibri Light" w:cs="Calibri Light"/>
          <w:sz w:val="24"/>
          <w:szCs w:val="24"/>
        </w:rPr>
        <w:t xml:space="preserve">The technical preparations carried out by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have reached the retail stage using price tagging. However, it should be noted that all parties, from law enforcement officials to ministries, must control the prices of goods on a one-to-one basis before the goods reach the market, as explained by Destry Damayanti, Senior Deputy Governor of BI (Rahman, 2023</w:t>
      </w:r>
      <w:r w:rsidR="009C58BB">
        <w:rPr>
          <w:rFonts w:ascii="Calibri Light" w:hAnsi="Calibri Light" w:cs="Calibri Light"/>
          <w:sz w:val="24"/>
          <w:szCs w:val="24"/>
        </w:rPr>
        <w:t>a</w:t>
      </w:r>
      <w:r w:rsidRPr="000376DE">
        <w:rPr>
          <w:rFonts w:ascii="Calibri Light" w:hAnsi="Calibri Light" w:cs="Calibri Light"/>
          <w:sz w:val="24"/>
          <w:szCs w:val="24"/>
        </w:rPr>
        <w:t xml:space="preserve">). </w:t>
      </w:r>
      <w:proofErr w:type="spellStart"/>
      <w:r w:rsidRPr="000376DE">
        <w:rPr>
          <w:rFonts w:ascii="Calibri Light" w:hAnsi="Calibri Light" w:cs="Calibri Light"/>
          <w:sz w:val="24"/>
          <w:szCs w:val="24"/>
        </w:rPr>
        <w:t>Sugeng</w:t>
      </w:r>
      <w:proofErr w:type="spellEnd"/>
      <w:r w:rsidRPr="000376DE">
        <w:rPr>
          <w:rFonts w:ascii="Calibri Light" w:hAnsi="Calibri Light" w:cs="Calibri Light"/>
          <w:sz w:val="24"/>
          <w:szCs w:val="24"/>
        </w:rPr>
        <w:t xml:space="preserve">, Deputy Governor of BI, added that with BI's readiness, the </w:t>
      </w:r>
      <w:r w:rsidR="001A4705">
        <w:rPr>
          <w:rFonts w:ascii="Calibri Light" w:hAnsi="Calibri Light" w:cs="Calibri Light"/>
          <w:sz w:val="24"/>
          <w:szCs w:val="24"/>
        </w:rPr>
        <w:t>Indonesian Parliament</w:t>
      </w:r>
      <w:r w:rsidRPr="000376DE">
        <w:rPr>
          <w:rFonts w:ascii="Calibri Light" w:hAnsi="Calibri Light" w:cs="Calibri Light"/>
          <w:sz w:val="24"/>
          <w:szCs w:val="24"/>
        </w:rPr>
        <w:t xml:space="preserve"> had supported the immediate submission of the redenomination policy</w:t>
      </w:r>
      <w:r w:rsidR="00FA5D4C">
        <w:rPr>
          <w:rFonts w:ascii="Calibri Light" w:hAnsi="Calibri Light" w:cs="Calibri Light"/>
          <w:sz w:val="24"/>
          <w:szCs w:val="24"/>
        </w:rPr>
        <w:t xml:space="preserve"> </w:t>
      </w:r>
      <w:r w:rsidR="00FA5D4C" w:rsidRPr="00F64F55">
        <w:rPr>
          <w:rFonts w:ascii="Calibri Light" w:hAnsi="Calibri Light" w:cs="Calibri Light"/>
          <w:color w:val="0070C0"/>
          <w:sz w:val="24"/>
          <w:szCs w:val="24"/>
        </w:rPr>
        <w:fldChar w:fldCharType="begin" w:fldLock="1"/>
      </w:r>
      <w:r w:rsidR="00D41DEC">
        <w:rPr>
          <w:rFonts w:ascii="Calibri Light" w:hAnsi="Calibri Light" w:cs="Calibri Light"/>
          <w:color w:val="0070C0"/>
          <w:sz w:val="24"/>
          <w:szCs w:val="24"/>
        </w:rPr>
        <w:instrText>ADDIN CSL_CITATION {"citationItems":[{"id":"ITEM-1","itemData":{"author":[{"dropping-particle":"","family":"Syurkani","given":"P","non-dropping-particle":"","parse-names":false,"suffix":""}],"container-title":"Media Indonesia","id":"ITEM-1","issued":{"date-parts":[["2017","7","18"]]},"title":"DPR Sudah Dukung Pembahasan RUU Redenominasi Rupiah","type":"article-newspaper"},"uris":["http://www.mendeley.com/documents/?uuid=11f1c680-8136-4292-af57-7c83afec8cfe"]}],"mendeley":{"formattedCitation":"(Syurkani, 2017)","plainTextFormattedCitation":"(Syurkani, 2017)","previouslyFormattedCitation":"(Syurkani, 2017)"},"properties":{"noteIndex":0},"schema":"https://github.com/citation-style-language/schema/raw/master/csl-citation.json"}</w:instrText>
      </w:r>
      <w:r w:rsidR="00FA5D4C" w:rsidRPr="00F64F55">
        <w:rPr>
          <w:rFonts w:ascii="Calibri Light" w:hAnsi="Calibri Light" w:cs="Calibri Light"/>
          <w:color w:val="0070C0"/>
          <w:sz w:val="24"/>
          <w:szCs w:val="24"/>
        </w:rPr>
        <w:fldChar w:fldCharType="separate"/>
      </w:r>
      <w:r w:rsidR="00FA5D4C" w:rsidRPr="00F64F55">
        <w:rPr>
          <w:rFonts w:ascii="Calibri Light" w:hAnsi="Calibri Light" w:cs="Calibri Light"/>
          <w:noProof/>
          <w:color w:val="0070C0"/>
          <w:sz w:val="24"/>
          <w:szCs w:val="24"/>
        </w:rPr>
        <w:t>(Syurkani, 2017)</w:t>
      </w:r>
      <w:r w:rsidR="00FA5D4C" w:rsidRPr="00F64F55">
        <w:rPr>
          <w:rFonts w:ascii="Calibri Light" w:hAnsi="Calibri Light" w:cs="Calibri Light"/>
          <w:color w:val="0070C0"/>
          <w:sz w:val="24"/>
          <w:szCs w:val="24"/>
        </w:rPr>
        <w:fldChar w:fldCharType="end"/>
      </w:r>
      <w:r w:rsidR="00FA5D4C">
        <w:rPr>
          <w:rFonts w:ascii="Calibri Light" w:hAnsi="Calibri Light" w:cs="Calibri Light"/>
          <w:sz w:val="24"/>
          <w:szCs w:val="24"/>
        </w:rPr>
        <w:t>.</w:t>
      </w:r>
    </w:p>
    <w:p w14:paraId="69C26ED2" w14:textId="521FE397" w:rsidR="000376DE" w:rsidRPr="000376DE" w:rsidRDefault="000376DE" w:rsidP="000376DE">
      <w:pPr>
        <w:spacing w:before="120" w:after="120"/>
        <w:ind w:left="440" w:right="-1" w:hanging="14"/>
        <w:jc w:val="both"/>
        <w:rPr>
          <w:rFonts w:ascii="Calibri Light" w:hAnsi="Calibri Light" w:cs="Calibri Light"/>
          <w:sz w:val="24"/>
          <w:szCs w:val="24"/>
        </w:rPr>
      </w:pPr>
      <w:r w:rsidRPr="000376DE">
        <w:rPr>
          <w:rFonts w:ascii="Calibri Light" w:hAnsi="Calibri Light" w:cs="Calibri Light"/>
          <w:sz w:val="24"/>
          <w:szCs w:val="24"/>
        </w:rPr>
        <w:t xml:space="preserve">Redenomination does not harm the community at all because it is different from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xml:space="preserve"> (cutting the value of money). In redenomination, the value of money against goods (purchasing power) will not change. The implementation of redenomination must be preceded by public consultation so that the public understands that redenomination is not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so that this policy can be implemented properly, as explained by Darmin Nasution, Governor of BI for the period 2010-2013</w:t>
      </w:r>
      <w:r w:rsidR="00D41DEC">
        <w:rPr>
          <w:rFonts w:ascii="Calibri Light" w:hAnsi="Calibri Light" w:cs="Calibri Light"/>
          <w:sz w:val="24"/>
          <w:szCs w:val="24"/>
        </w:rPr>
        <w:t xml:space="preserve"> </w:t>
      </w:r>
      <w:r w:rsidR="00D41DEC">
        <w:rPr>
          <w:rFonts w:ascii="Calibri Light" w:hAnsi="Calibri Light" w:cs="Calibri Light"/>
          <w:sz w:val="24"/>
          <w:szCs w:val="24"/>
        </w:rPr>
        <w:fldChar w:fldCharType="begin" w:fldLock="1"/>
      </w:r>
      <w:r w:rsidR="008E7B56">
        <w:rPr>
          <w:rFonts w:ascii="Calibri Light" w:hAnsi="Calibri Light" w:cs="Calibri Light"/>
          <w:sz w:val="24"/>
          <w:szCs w:val="24"/>
        </w:rPr>
        <w:instrText>ADDIN CSL_CITATION {"citationItems":[{"id":"ITEM-1","itemData":{"author":[{"dropping-particle":"","family":"Rini","given":"A. S.","non-dropping-particle":"","parse-names":false,"suffix":""}],"container-title":"Ekonomi Bisnis","id":"ITEM-1","issued":{"date-parts":[["2020","7","7"]]},"title":"). Sri Mulyani Kembali Gagas Redenominasi, Rp 1.000 Jadi Rp 1. Kapan?","type":"article-newspaper"},"uris":["http://www.mendeley.com/documents/?uuid=2ee0c969-4858-4e6d-a183-11cb00dbae66"]}],"mendeley":{"formattedCitation":"(Rini, 2020)","plainTextFormattedCitation":"(Rini, 2020)","previouslyFormattedCitation":"(Rini, 2020)"},"properties":{"noteIndex":0},"schema":"https://github.com/citation-style-language/schema/raw/master/csl-citation.json"}</w:instrText>
      </w:r>
      <w:r w:rsidR="00D41DEC">
        <w:rPr>
          <w:rFonts w:ascii="Calibri Light" w:hAnsi="Calibri Light" w:cs="Calibri Light"/>
          <w:sz w:val="24"/>
          <w:szCs w:val="24"/>
        </w:rPr>
        <w:fldChar w:fldCharType="separate"/>
      </w:r>
      <w:r w:rsidR="00D41DEC" w:rsidRPr="00D41DEC">
        <w:rPr>
          <w:rFonts w:ascii="Calibri Light" w:hAnsi="Calibri Light" w:cs="Calibri Light"/>
          <w:noProof/>
          <w:sz w:val="24"/>
          <w:szCs w:val="24"/>
        </w:rPr>
        <w:t>(</w:t>
      </w:r>
      <w:r w:rsidR="00D41DEC" w:rsidRPr="00D41DEC">
        <w:rPr>
          <w:rFonts w:ascii="Calibri Light" w:hAnsi="Calibri Light" w:cs="Calibri Light"/>
          <w:noProof/>
          <w:color w:val="0070C0"/>
          <w:sz w:val="24"/>
          <w:szCs w:val="24"/>
        </w:rPr>
        <w:t>Rini, 2020)</w:t>
      </w:r>
      <w:r w:rsidR="00D41DEC">
        <w:rPr>
          <w:rFonts w:ascii="Calibri Light" w:hAnsi="Calibri Light" w:cs="Calibri Light"/>
          <w:sz w:val="24"/>
          <w:szCs w:val="24"/>
        </w:rPr>
        <w:fldChar w:fldCharType="end"/>
      </w:r>
      <w:r w:rsidR="00D41DEC">
        <w:rPr>
          <w:rFonts w:ascii="Calibri Light" w:hAnsi="Calibri Light" w:cs="Calibri Light"/>
          <w:sz w:val="24"/>
          <w:szCs w:val="24"/>
        </w:rPr>
        <w:t xml:space="preserve">. </w:t>
      </w:r>
      <w:r w:rsidRPr="000376DE">
        <w:rPr>
          <w:rFonts w:ascii="Calibri Light" w:hAnsi="Calibri Light" w:cs="Calibri Light"/>
          <w:sz w:val="24"/>
          <w:szCs w:val="24"/>
        </w:rPr>
        <w:t xml:space="preserve">Redenomination does not reduce the value of the currency because the exchange rate and value remain the same. Only the psychological factor needs to be overcome, and this can be resolved in one semester. However, </w:t>
      </w:r>
      <w:proofErr w:type="spellStart"/>
      <w:r w:rsidRPr="000376DE">
        <w:rPr>
          <w:rFonts w:ascii="Calibri Light" w:hAnsi="Calibri Light" w:cs="Calibri Light"/>
          <w:sz w:val="24"/>
          <w:szCs w:val="24"/>
        </w:rPr>
        <w:t>Teuku</w:t>
      </w:r>
      <w:proofErr w:type="spellEnd"/>
      <w:r w:rsidRPr="000376DE">
        <w:rPr>
          <w:rFonts w:ascii="Calibri Light" w:hAnsi="Calibri Light" w:cs="Calibri Light"/>
          <w:sz w:val="24"/>
          <w:szCs w:val="24"/>
        </w:rPr>
        <w:t xml:space="preserve"> </w:t>
      </w:r>
      <w:proofErr w:type="spellStart"/>
      <w:r w:rsidRPr="000376DE">
        <w:rPr>
          <w:rFonts w:ascii="Calibri Light" w:hAnsi="Calibri Light" w:cs="Calibri Light"/>
          <w:sz w:val="24"/>
          <w:szCs w:val="24"/>
        </w:rPr>
        <w:t>Riefky</w:t>
      </w:r>
      <w:proofErr w:type="spellEnd"/>
      <w:r w:rsidRPr="000376DE">
        <w:rPr>
          <w:rFonts w:ascii="Calibri Light" w:hAnsi="Calibri Light" w:cs="Calibri Light"/>
          <w:sz w:val="24"/>
          <w:szCs w:val="24"/>
        </w:rPr>
        <w:t>, an economics lecturer at the University of Indonesia, believes that if carried out at this time, redenomination will not bring significant benefits to the Indonesian economy and instead has the potential to cause forced inflation. According to him, what is more important to do is to control inflation so that people's purchasing power is not eroded and to control Indonesia's debt so that its credit rating improves</w:t>
      </w:r>
      <w:r w:rsidR="008E7B56">
        <w:rPr>
          <w:rFonts w:ascii="Calibri Light" w:hAnsi="Calibri Light" w:cs="Calibri Light"/>
          <w:sz w:val="24"/>
          <w:szCs w:val="24"/>
        </w:rPr>
        <w:t xml:space="preserve"> </w:t>
      </w:r>
      <w:r w:rsidR="008E7B56" w:rsidRPr="00446467">
        <w:rPr>
          <w:rFonts w:ascii="Calibri Light" w:hAnsi="Calibri Light" w:cs="Calibri Light"/>
          <w:color w:val="0070C0"/>
          <w:sz w:val="24"/>
          <w:szCs w:val="24"/>
        </w:rPr>
        <w:fldChar w:fldCharType="begin" w:fldLock="1"/>
      </w:r>
      <w:r w:rsidR="007E7F6E">
        <w:rPr>
          <w:rFonts w:ascii="Calibri Light" w:hAnsi="Calibri Light" w:cs="Calibri Light"/>
          <w:color w:val="0070C0"/>
          <w:sz w:val="24"/>
          <w:szCs w:val="24"/>
        </w:rPr>
        <w:instrText>ADDIN CSL_CITATION {"citationItems":[{"id":"ITEM-1","itemData":{"author":[{"dropping-particle":"","family":"Indonesia","given":"The Conversation","non-dropping-particle":"","parse-names":false,"suffix":""}],"container-title":"Youtube","id":"ITEM-1","issued":{"date-parts":[["2023","7","10"]]},"title":"Redenominasi Rupiah: kebijakan yang mendesak?","type":"article-newspaper"},"uris":["http://www.mendeley.com/documents/?uuid=6c79d220-ceb0-492d-974c-3272d54e05e5"]}],"mendeley":{"formattedCitation":"(T. C. Indonesia, 2023)","plainTextFormattedCitation":"(T. C. Indonesia, 2023)","previouslyFormattedCitation":"(T. C. Indonesia, 2023)"},"properties":{"noteIndex":0},"schema":"https://github.com/citation-style-language/schema/raw/master/csl-citation.json"}</w:instrText>
      </w:r>
      <w:r w:rsidR="008E7B56" w:rsidRPr="00446467">
        <w:rPr>
          <w:rFonts w:ascii="Calibri Light" w:hAnsi="Calibri Light" w:cs="Calibri Light"/>
          <w:color w:val="0070C0"/>
          <w:sz w:val="24"/>
          <w:szCs w:val="24"/>
        </w:rPr>
        <w:fldChar w:fldCharType="separate"/>
      </w:r>
      <w:r w:rsidR="008E7B56" w:rsidRPr="00446467">
        <w:rPr>
          <w:rFonts w:ascii="Calibri Light" w:hAnsi="Calibri Light" w:cs="Calibri Light"/>
          <w:noProof/>
          <w:color w:val="0070C0"/>
          <w:sz w:val="24"/>
          <w:szCs w:val="24"/>
        </w:rPr>
        <w:t>(T</w:t>
      </w:r>
      <w:r w:rsidR="0018182C">
        <w:rPr>
          <w:rFonts w:ascii="Calibri Light" w:hAnsi="Calibri Light" w:cs="Calibri Light"/>
          <w:noProof/>
          <w:color w:val="0070C0"/>
          <w:sz w:val="24"/>
          <w:szCs w:val="24"/>
        </w:rPr>
        <w:t>heConversation</w:t>
      </w:r>
      <w:r w:rsidR="008E7B56" w:rsidRPr="00446467">
        <w:rPr>
          <w:rFonts w:ascii="Calibri Light" w:hAnsi="Calibri Light" w:cs="Calibri Light"/>
          <w:noProof/>
          <w:color w:val="0070C0"/>
          <w:sz w:val="24"/>
          <w:szCs w:val="24"/>
        </w:rPr>
        <w:t>Indonesia, 2023)</w:t>
      </w:r>
      <w:r w:rsidR="008E7B56" w:rsidRPr="00446467">
        <w:rPr>
          <w:rFonts w:ascii="Calibri Light" w:hAnsi="Calibri Light" w:cs="Calibri Light"/>
          <w:color w:val="0070C0"/>
          <w:sz w:val="24"/>
          <w:szCs w:val="24"/>
        </w:rPr>
        <w:fldChar w:fldCharType="end"/>
      </w:r>
      <w:r w:rsidR="008E7B56" w:rsidRPr="00446467">
        <w:rPr>
          <w:rFonts w:ascii="Calibri Light" w:hAnsi="Calibri Light" w:cs="Calibri Light"/>
          <w:color w:val="0070C0"/>
          <w:sz w:val="24"/>
          <w:szCs w:val="24"/>
        </w:rPr>
        <w:t>.</w:t>
      </w:r>
    </w:p>
    <w:p w14:paraId="63226353" w14:textId="266AF34A" w:rsidR="000376DE" w:rsidRDefault="000376DE" w:rsidP="000376DE">
      <w:pPr>
        <w:spacing w:before="120" w:after="120"/>
        <w:ind w:left="440" w:right="-1" w:hanging="14"/>
        <w:jc w:val="both"/>
        <w:rPr>
          <w:rFonts w:ascii="Calibri Light" w:hAnsi="Calibri Light" w:cs="Calibri Light"/>
          <w:color w:val="0070C0"/>
          <w:sz w:val="24"/>
          <w:szCs w:val="24"/>
        </w:rPr>
      </w:pPr>
      <w:r w:rsidRPr="000376DE">
        <w:rPr>
          <w:rFonts w:ascii="Calibri Light" w:hAnsi="Calibri Light" w:cs="Calibri Light"/>
          <w:sz w:val="24"/>
          <w:szCs w:val="24"/>
        </w:rPr>
        <w:t xml:space="preserve">Matters that need attention in the implementation of redenomination, as explained by Candra Ari Ananda, </w:t>
      </w:r>
      <w:r w:rsidR="00647C72">
        <w:rPr>
          <w:rFonts w:ascii="Calibri Light" w:hAnsi="Calibri Light" w:cs="Calibri Light"/>
          <w:sz w:val="24"/>
          <w:szCs w:val="24"/>
        </w:rPr>
        <w:t xml:space="preserve">a </w:t>
      </w:r>
      <w:r w:rsidRPr="000376DE">
        <w:rPr>
          <w:rFonts w:ascii="Calibri Light" w:hAnsi="Calibri Light" w:cs="Calibri Light"/>
          <w:sz w:val="24"/>
          <w:szCs w:val="24"/>
        </w:rPr>
        <w:t xml:space="preserve">professor of economics at </w:t>
      </w:r>
      <w:proofErr w:type="spellStart"/>
      <w:r w:rsidRPr="000376DE">
        <w:rPr>
          <w:rFonts w:ascii="Calibri Light" w:hAnsi="Calibri Light" w:cs="Calibri Light"/>
          <w:sz w:val="24"/>
          <w:szCs w:val="24"/>
        </w:rPr>
        <w:t>Brawijaya</w:t>
      </w:r>
      <w:proofErr w:type="spellEnd"/>
      <w:r w:rsidRPr="000376DE">
        <w:rPr>
          <w:rFonts w:ascii="Calibri Light" w:hAnsi="Calibri Light" w:cs="Calibri Light"/>
          <w:sz w:val="24"/>
          <w:szCs w:val="24"/>
        </w:rPr>
        <w:t xml:space="preserve"> University in Malang, include:</w:t>
      </w:r>
      <w:r>
        <w:rPr>
          <w:rFonts w:ascii="Calibri Light" w:hAnsi="Calibri Light" w:cs="Calibri Light"/>
          <w:sz w:val="24"/>
          <w:szCs w:val="24"/>
        </w:rPr>
        <w:t xml:space="preserve"> </w:t>
      </w:r>
      <w:r w:rsidR="00CB4CFA">
        <w:rPr>
          <w:rFonts w:ascii="Calibri Light" w:hAnsi="Calibri Light" w:cs="Calibri Light"/>
          <w:sz w:val="24"/>
          <w:szCs w:val="24"/>
        </w:rPr>
        <w:t>1)</w:t>
      </w:r>
      <w:r w:rsidRPr="000376DE">
        <w:rPr>
          <w:rFonts w:ascii="Calibri Light" w:hAnsi="Calibri Light" w:cs="Calibri Light"/>
          <w:sz w:val="24"/>
          <w:szCs w:val="24"/>
        </w:rPr>
        <w:t xml:space="preserve"> </w:t>
      </w:r>
      <w:r w:rsidR="00647C72">
        <w:rPr>
          <w:rFonts w:ascii="Calibri Light" w:hAnsi="Calibri Light" w:cs="Calibri Light"/>
          <w:sz w:val="24"/>
          <w:szCs w:val="24"/>
        </w:rPr>
        <w:t>p</w:t>
      </w:r>
      <w:r w:rsidR="00CB4CFA">
        <w:rPr>
          <w:rFonts w:ascii="Calibri Light" w:hAnsi="Calibri Light" w:cs="Calibri Light"/>
          <w:sz w:val="24"/>
          <w:szCs w:val="24"/>
        </w:rPr>
        <w:t>olitical</w:t>
      </w:r>
      <w:r w:rsidRPr="000376DE">
        <w:rPr>
          <w:rFonts w:ascii="Calibri Light" w:hAnsi="Calibri Light" w:cs="Calibri Light"/>
          <w:sz w:val="24"/>
          <w:szCs w:val="24"/>
        </w:rPr>
        <w:t xml:space="preserve"> and economic stability is needed in the long term. The general election factor can create complex political dynamics, while on the economic side, turmoil can occur if the government reduces subsidies for energy interests, which results in an increase in fuel and electricity prices</w:t>
      </w:r>
      <w:r w:rsidR="00CB4CFA">
        <w:rPr>
          <w:rFonts w:ascii="Calibri Light" w:hAnsi="Calibri Light" w:cs="Calibri Light"/>
          <w:sz w:val="24"/>
          <w:szCs w:val="24"/>
        </w:rPr>
        <w:t>, 2)</w:t>
      </w:r>
      <w:r w:rsidRPr="000376DE">
        <w:rPr>
          <w:rFonts w:ascii="Calibri Light" w:hAnsi="Calibri Light" w:cs="Calibri Light"/>
          <w:sz w:val="24"/>
          <w:szCs w:val="24"/>
        </w:rPr>
        <w:t xml:space="preserve"> there needs to be legitimacy and support from parliament, the private sector, and the community</w:t>
      </w:r>
      <w:r w:rsidR="00CB4CFA">
        <w:rPr>
          <w:rFonts w:ascii="Calibri Light" w:hAnsi="Calibri Light" w:cs="Calibri Light"/>
          <w:sz w:val="24"/>
          <w:szCs w:val="24"/>
        </w:rPr>
        <w:t>, 3)</w:t>
      </w:r>
      <w:r w:rsidRPr="000376DE">
        <w:rPr>
          <w:rFonts w:ascii="Calibri Light" w:hAnsi="Calibri Light" w:cs="Calibri Light"/>
          <w:sz w:val="24"/>
          <w:szCs w:val="24"/>
        </w:rPr>
        <w:t xml:space="preserve"> a sufficient budget to print large amounts of new money</w:t>
      </w:r>
      <w:r w:rsidR="00CB4CFA">
        <w:rPr>
          <w:rFonts w:ascii="Calibri Light" w:hAnsi="Calibri Light" w:cs="Calibri Light"/>
          <w:sz w:val="24"/>
          <w:szCs w:val="24"/>
        </w:rPr>
        <w:t>, and 4)</w:t>
      </w:r>
      <w:r w:rsidRPr="000376DE">
        <w:rPr>
          <w:rFonts w:ascii="Calibri Light" w:hAnsi="Calibri Light" w:cs="Calibri Light"/>
          <w:sz w:val="24"/>
          <w:szCs w:val="24"/>
        </w:rPr>
        <w:t xml:space="preserve"> the importance of educating the public to avoid uncontrolled psychological effects</w:t>
      </w:r>
      <w:r w:rsidR="00CB4CFA">
        <w:rPr>
          <w:rFonts w:ascii="Calibri Light" w:hAnsi="Calibri Light" w:cs="Calibri Light"/>
          <w:sz w:val="24"/>
          <w:szCs w:val="24"/>
        </w:rPr>
        <w:t xml:space="preserve"> in which, f</w:t>
      </w:r>
      <w:r w:rsidRPr="000376DE">
        <w:rPr>
          <w:rFonts w:ascii="Calibri Light" w:hAnsi="Calibri Light" w:cs="Calibri Light"/>
          <w:sz w:val="24"/>
          <w:szCs w:val="24"/>
        </w:rPr>
        <w:t xml:space="preserve">irst, the public must fully understand the difference between redenomination and </w:t>
      </w:r>
      <w:proofErr w:type="spellStart"/>
      <w:r w:rsidR="00647C72" w:rsidRPr="00647C72">
        <w:rPr>
          <w:rFonts w:ascii="Calibri Light" w:hAnsi="Calibri Light" w:cs="Calibri Light"/>
          <w:i/>
          <w:sz w:val="24"/>
          <w:szCs w:val="24"/>
        </w:rPr>
        <w:t>sanering</w:t>
      </w:r>
      <w:proofErr w:type="spellEnd"/>
      <w:r w:rsidRPr="000376DE">
        <w:rPr>
          <w:rFonts w:ascii="Calibri Light" w:hAnsi="Calibri Light" w:cs="Calibri Light"/>
          <w:sz w:val="24"/>
          <w:szCs w:val="24"/>
        </w:rPr>
        <w:t>, including its effects on the real value of the rupiah</w:t>
      </w:r>
      <w:r w:rsidR="00CB4CFA">
        <w:rPr>
          <w:rFonts w:ascii="Calibri Light" w:hAnsi="Calibri Light" w:cs="Calibri Light"/>
          <w:sz w:val="24"/>
          <w:szCs w:val="24"/>
        </w:rPr>
        <w:t>, and s</w:t>
      </w:r>
      <w:r w:rsidRPr="000376DE">
        <w:rPr>
          <w:rFonts w:ascii="Calibri Light" w:hAnsi="Calibri Light" w:cs="Calibri Light"/>
          <w:sz w:val="24"/>
          <w:szCs w:val="24"/>
        </w:rPr>
        <w:t xml:space="preserve">econd, the government and </w:t>
      </w:r>
      <w:r w:rsidR="001A4705" w:rsidRPr="001A4705">
        <w:rPr>
          <w:rFonts w:ascii="Calibri Light" w:hAnsi="Calibri Light" w:cs="Calibri Light"/>
          <w:caps/>
          <w:sz w:val="24"/>
          <w:szCs w:val="24"/>
        </w:rPr>
        <w:t>BI</w:t>
      </w:r>
      <w:r w:rsidRPr="000376DE">
        <w:rPr>
          <w:rFonts w:ascii="Calibri Light" w:hAnsi="Calibri Light" w:cs="Calibri Light"/>
          <w:sz w:val="24"/>
          <w:szCs w:val="24"/>
        </w:rPr>
        <w:t xml:space="preserve"> need to educate the public about the dangers of the illusion of redenomination, especially for traders and producers</w:t>
      </w:r>
      <w:r w:rsidR="007E7F6E">
        <w:rPr>
          <w:rFonts w:ascii="Calibri Light" w:hAnsi="Calibri Light" w:cs="Calibri Light"/>
          <w:sz w:val="24"/>
          <w:szCs w:val="24"/>
        </w:rPr>
        <w:t xml:space="preserve"> </w:t>
      </w:r>
      <w:r w:rsidR="007E7F6E" w:rsidRPr="00A57EF2">
        <w:rPr>
          <w:rFonts w:ascii="Calibri Light" w:hAnsi="Calibri Light" w:cs="Calibri Light"/>
          <w:color w:val="0070C0"/>
          <w:sz w:val="24"/>
          <w:szCs w:val="24"/>
        </w:rPr>
        <w:fldChar w:fldCharType="begin" w:fldLock="1"/>
      </w:r>
      <w:r w:rsidR="003D3A2E">
        <w:rPr>
          <w:rFonts w:ascii="Calibri Light" w:hAnsi="Calibri Light" w:cs="Calibri Light"/>
          <w:color w:val="0070C0"/>
          <w:sz w:val="24"/>
          <w:szCs w:val="24"/>
        </w:rPr>
        <w:instrText>ADDIN CSL_CITATION {"citationItems":[{"id":"ITEM-1","itemData":{"author":[{"dropping-particle":"","family":"Ananda","given":"C. F.","non-dropping-particle":"","parse-names":false,"suffix":""}],"container-title":"feb.ub.ac.id","id":"ITEM-1","issued":{"date-parts":[["0"]]},"title":"Redenominasi, Kapan Dimulai?","type":"article-newspaper"},"uris":["http://www.mendeley.com/documents/?uuid=9bb91af2-62d8-4e11-8124-e461a0116439"]}],"mendeley":{"formattedCitation":"(Ananda, n.d.)","plainTextFormattedCitation":"(Ananda, n.d.)","previouslyFormattedCitation":"(Ananda, n.d.)"},"properties":{"noteIndex":0},"schema":"https://github.com/citation-style-language/schema/raw/master/csl-citation.json"}</w:instrText>
      </w:r>
      <w:r w:rsidR="007E7F6E" w:rsidRPr="00A57EF2">
        <w:rPr>
          <w:rFonts w:ascii="Calibri Light" w:hAnsi="Calibri Light" w:cs="Calibri Light"/>
          <w:color w:val="0070C0"/>
          <w:sz w:val="24"/>
          <w:szCs w:val="24"/>
        </w:rPr>
        <w:fldChar w:fldCharType="separate"/>
      </w:r>
      <w:r w:rsidR="007E7F6E" w:rsidRPr="00A57EF2">
        <w:rPr>
          <w:rFonts w:ascii="Calibri Light" w:hAnsi="Calibri Light" w:cs="Calibri Light"/>
          <w:noProof/>
          <w:color w:val="0070C0"/>
          <w:sz w:val="24"/>
          <w:szCs w:val="24"/>
        </w:rPr>
        <w:t>(Ananda, n.d.)</w:t>
      </w:r>
      <w:r w:rsidR="007E7F6E" w:rsidRPr="00A57EF2">
        <w:rPr>
          <w:rFonts w:ascii="Calibri Light" w:hAnsi="Calibri Light" w:cs="Calibri Light"/>
          <w:color w:val="0070C0"/>
          <w:sz w:val="24"/>
          <w:szCs w:val="24"/>
        </w:rPr>
        <w:fldChar w:fldCharType="end"/>
      </w:r>
      <w:r w:rsidR="007E7F6E" w:rsidRPr="00A57EF2">
        <w:rPr>
          <w:rFonts w:ascii="Calibri Light" w:hAnsi="Calibri Light" w:cs="Calibri Light"/>
          <w:color w:val="0070C0"/>
          <w:sz w:val="24"/>
          <w:szCs w:val="24"/>
        </w:rPr>
        <w:t>.</w:t>
      </w:r>
    </w:p>
    <w:p w14:paraId="65E6BA22" w14:textId="77777777" w:rsidR="009E69AC" w:rsidRDefault="009E69AC" w:rsidP="000376DE">
      <w:pPr>
        <w:spacing w:before="120" w:after="120"/>
        <w:ind w:left="440" w:right="-1" w:hanging="14"/>
        <w:jc w:val="both"/>
        <w:rPr>
          <w:rFonts w:ascii="Calibri Light" w:hAnsi="Calibri Light" w:cs="Calibri Light"/>
          <w:sz w:val="24"/>
          <w:szCs w:val="24"/>
        </w:rPr>
      </w:pPr>
    </w:p>
    <w:p w14:paraId="39495CB7" w14:textId="77777777" w:rsidR="00CB4CFA" w:rsidRDefault="00CB4CFA" w:rsidP="00CB4CFA">
      <w:pPr>
        <w:pStyle w:val="ListParagraph"/>
        <w:numPr>
          <w:ilvl w:val="0"/>
          <w:numId w:val="31"/>
        </w:numPr>
        <w:spacing w:before="120" w:after="120" w:line="240" w:lineRule="auto"/>
        <w:ind w:left="714" w:hanging="357"/>
        <w:contextualSpacing w:val="0"/>
        <w:jc w:val="both"/>
        <w:rPr>
          <w:rFonts w:ascii="Calibri Light" w:hAnsi="Calibri Light" w:cs="Calibri Light"/>
          <w:b/>
          <w:bCs/>
          <w:sz w:val="24"/>
          <w:szCs w:val="24"/>
        </w:rPr>
      </w:pPr>
      <w:r w:rsidRPr="00CB4CFA">
        <w:rPr>
          <w:rFonts w:ascii="Calibri Light" w:hAnsi="Calibri Light" w:cs="Calibri Light"/>
          <w:b/>
          <w:bCs/>
          <w:sz w:val="24"/>
          <w:szCs w:val="24"/>
        </w:rPr>
        <w:t>Rupiah redenomination policy strategy plan</w:t>
      </w:r>
    </w:p>
    <w:p w14:paraId="0DC372A9" w14:textId="4C70F239" w:rsidR="00D21DBE" w:rsidRDefault="00CB4CFA" w:rsidP="00D21DBE">
      <w:pPr>
        <w:pStyle w:val="ListParagraph"/>
        <w:spacing w:after="160" w:line="240" w:lineRule="auto"/>
        <w:ind w:left="426"/>
        <w:jc w:val="both"/>
        <w:rPr>
          <w:rFonts w:ascii="Calibri Light" w:hAnsi="Calibri Light" w:cs="Calibri Light"/>
          <w:sz w:val="24"/>
          <w:szCs w:val="24"/>
        </w:rPr>
      </w:pPr>
      <w:r>
        <w:rPr>
          <w:rFonts w:ascii="Calibri Light" w:hAnsi="Calibri Light" w:cs="Calibri Light"/>
          <w:sz w:val="24"/>
          <w:szCs w:val="24"/>
        </w:rPr>
        <w:lastRenderedPageBreak/>
        <w:t>The redenomination</w:t>
      </w:r>
      <w:r w:rsidRPr="00CB4CFA">
        <w:rPr>
          <w:rFonts w:ascii="Calibri Light" w:hAnsi="Calibri Light" w:cs="Calibri Light"/>
          <w:sz w:val="24"/>
          <w:szCs w:val="24"/>
        </w:rPr>
        <w:t xml:space="preserve"> strategic plan in Indonesia consists of three stages, namely preparation, transition, and phasing out. The preparatory phase includes drafting legislation, plans for printing and distributing new money, and preparing supporting infrastructure such as information technology and accounting systems, especially those related to banking activities.</w:t>
      </w:r>
      <w:r>
        <w:rPr>
          <w:rFonts w:ascii="Calibri Light" w:hAnsi="Calibri Light" w:cs="Calibri Light"/>
          <w:sz w:val="24"/>
          <w:szCs w:val="24"/>
          <w:lang w:val="en-US"/>
        </w:rPr>
        <w:t xml:space="preserve"> </w:t>
      </w:r>
      <w:r w:rsidRPr="00CB4CFA">
        <w:rPr>
          <w:rFonts w:ascii="Calibri Light" w:hAnsi="Calibri Light" w:cs="Calibri Light"/>
          <w:sz w:val="24"/>
          <w:szCs w:val="24"/>
        </w:rPr>
        <w:t>The transition phase involves the gradual exchange of money and requires dual price tagging on the goods and services offered.</w:t>
      </w:r>
      <w:r>
        <w:rPr>
          <w:rFonts w:ascii="Calibri Light" w:hAnsi="Calibri Light" w:cs="Calibri Light"/>
          <w:sz w:val="24"/>
          <w:szCs w:val="24"/>
          <w:lang w:val="en-US"/>
        </w:rPr>
        <w:t xml:space="preserve"> </w:t>
      </w:r>
      <w:r w:rsidRPr="00CB4CFA">
        <w:rPr>
          <w:rFonts w:ascii="Calibri Light" w:hAnsi="Calibri Light" w:cs="Calibri Light"/>
          <w:sz w:val="24"/>
          <w:szCs w:val="24"/>
        </w:rPr>
        <w:t>The stage of phasing out is carried out by eliminating the mention of “new rupiah” and only using “rupiah”. At this stage, the old money is no longer in circulation, and there are no more goods or services that list prices in the old currency</w:t>
      </w:r>
      <w:r w:rsidR="00D21DBE">
        <w:rPr>
          <w:rFonts w:ascii="Calibri Light" w:hAnsi="Calibri Light" w:cs="Calibri Light"/>
          <w:sz w:val="24"/>
          <w:szCs w:val="24"/>
        </w:rPr>
        <w:t xml:space="preserve"> </w:t>
      </w:r>
      <w:r w:rsidR="00D21DBE" w:rsidRPr="00D21DBE">
        <w:rPr>
          <w:rFonts w:ascii="Calibri Light" w:hAnsi="Calibri Light" w:cs="Calibri Light"/>
          <w:color w:val="0070C0"/>
          <w:sz w:val="24"/>
          <w:szCs w:val="24"/>
        </w:rPr>
        <w:fldChar w:fldCharType="begin" w:fldLock="1"/>
      </w:r>
      <w:r w:rsidR="00D21DBE" w:rsidRPr="00D21DBE">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2015)","manualFormatting":"(Permana, 2015","plainTextFormattedCitation":"(Permana, 2015)","previouslyFormattedCitation":"(Permana, 2015)"},"properties":{"noteIndex":0},"schema":"https://github.com/citation-style-language/schema/raw/master/csl-citation.json"}</w:instrText>
      </w:r>
      <w:r w:rsidR="00D21DBE" w:rsidRPr="00D21DBE">
        <w:rPr>
          <w:rFonts w:ascii="Calibri Light" w:hAnsi="Calibri Light" w:cs="Calibri Light"/>
          <w:color w:val="0070C0"/>
          <w:sz w:val="24"/>
          <w:szCs w:val="24"/>
        </w:rPr>
        <w:fldChar w:fldCharType="separate"/>
      </w:r>
      <w:r w:rsidR="00D21DBE" w:rsidRPr="00D21DBE">
        <w:rPr>
          <w:rFonts w:ascii="Calibri Light" w:hAnsi="Calibri Light" w:cs="Calibri Light"/>
          <w:color w:val="0070C0"/>
          <w:sz w:val="24"/>
          <w:szCs w:val="24"/>
        </w:rPr>
        <w:t>(Permana, 2015</w:t>
      </w:r>
      <w:r w:rsidR="00D21DBE" w:rsidRPr="00D21DBE">
        <w:rPr>
          <w:rFonts w:ascii="Calibri Light" w:hAnsi="Calibri Light" w:cs="Calibri Light"/>
          <w:color w:val="0070C0"/>
          <w:sz w:val="24"/>
          <w:szCs w:val="24"/>
        </w:rPr>
        <w:fldChar w:fldCharType="end"/>
      </w:r>
      <w:r w:rsidR="00D21DBE" w:rsidRPr="00D21DBE">
        <w:rPr>
          <w:rFonts w:ascii="Calibri Light" w:hAnsi="Calibri Light" w:cs="Calibri Light"/>
          <w:color w:val="0070C0"/>
          <w:sz w:val="24"/>
          <w:szCs w:val="24"/>
        </w:rPr>
        <w:t xml:space="preserve">; </w:t>
      </w:r>
      <w:r w:rsidR="00D21DBE" w:rsidRPr="00D21DBE">
        <w:rPr>
          <w:rFonts w:ascii="Calibri Light" w:hAnsi="Calibri Light" w:cs="Calibri Light"/>
          <w:color w:val="0070C0"/>
          <w:sz w:val="24"/>
          <w:szCs w:val="24"/>
        </w:rPr>
        <w:fldChar w:fldCharType="begin" w:fldLock="1"/>
      </w:r>
      <w:r w:rsidR="00D21DBE">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2019)","manualFormatting":"Prabawani, 2019)","plainTextFormattedCitation":"(Prabawani, 2019)","previouslyFormattedCitation":"(Prabawani, 2019)"},"properties":{"noteIndex":0},"schema":"https://github.com/citation-style-language/schema/raw/master/csl-citation.json"}</w:instrText>
      </w:r>
      <w:r w:rsidR="00D21DBE" w:rsidRPr="00D21DBE">
        <w:rPr>
          <w:rFonts w:ascii="Calibri Light" w:hAnsi="Calibri Light" w:cs="Calibri Light"/>
          <w:color w:val="0070C0"/>
          <w:sz w:val="24"/>
          <w:szCs w:val="24"/>
        </w:rPr>
        <w:fldChar w:fldCharType="separate"/>
      </w:r>
      <w:r w:rsidR="00D21DBE" w:rsidRPr="00D21DBE">
        <w:rPr>
          <w:rFonts w:ascii="Calibri Light" w:hAnsi="Calibri Light" w:cs="Calibri Light"/>
          <w:color w:val="0070C0"/>
          <w:sz w:val="24"/>
          <w:szCs w:val="24"/>
        </w:rPr>
        <w:t>Prabawani, 2019)</w:t>
      </w:r>
      <w:r w:rsidR="00D21DBE" w:rsidRPr="00D21DBE">
        <w:rPr>
          <w:rFonts w:ascii="Calibri Light" w:hAnsi="Calibri Light" w:cs="Calibri Light"/>
          <w:color w:val="0070C0"/>
          <w:sz w:val="24"/>
          <w:szCs w:val="24"/>
        </w:rPr>
        <w:fldChar w:fldCharType="end"/>
      </w:r>
      <w:r w:rsidRPr="00CB4CFA">
        <w:rPr>
          <w:rFonts w:ascii="Calibri Light" w:hAnsi="Calibri Light" w:cs="Calibri Light"/>
          <w:sz w:val="24"/>
          <w:szCs w:val="24"/>
        </w:rPr>
        <w:t xml:space="preserve"> </w:t>
      </w:r>
    </w:p>
    <w:p w14:paraId="47AB8837" w14:textId="77777777" w:rsidR="00D21DBE" w:rsidRDefault="00D21DBE" w:rsidP="00D21DBE">
      <w:pPr>
        <w:pStyle w:val="ListParagraph"/>
        <w:spacing w:after="160" w:line="240" w:lineRule="auto"/>
        <w:ind w:left="426"/>
        <w:jc w:val="both"/>
        <w:rPr>
          <w:rFonts w:ascii="Calibri Light" w:hAnsi="Calibri Light" w:cs="Calibri Light"/>
          <w:sz w:val="24"/>
          <w:szCs w:val="24"/>
        </w:rPr>
      </w:pPr>
    </w:p>
    <w:p w14:paraId="3A9B25D9" w14:textId="1E128601" w:rsidR="00CB4CFA" w:rsidRDefault="00CB4CFA" w:rsidP="00D21DBE">
      <w:pPr>
        <w:pStyle w:val="ListParagraph"/>
        <w:numPr>
          <w:ilvl w:val="0"/>
          <w:numId w:val="31"/>
        </w:numPr>
        <w:spacing w:before="120" w:after="120" w:line="240" w:lineRule="auto"/>
        <w:ind w:left="714" w:hanging="357"/>
        <w:contextualSpacing w:val="0"/>
        <w:jc w:val="both"/>
        <w:rPr>
          <w:rFonts w:ascii="Calibri Light" w:hAnsi="Calibri Light" w:cs="Calibri Light"/>
          <w:b/>
          <w:bCs/>
          <w:sz w:val="24"/>
          <w:szCs w:val="24"/>
        </w:rPr>
      </w:pPr>
      <w:r w:rsidRPr="00CB4CFA">
        <w:rPr>
          <w:rFonts w:ascii="Calibri Light" w:hAnsi="Calibri Light" w:cs="Calibri Light"/>
          <w:b/>
          <w:bCs/>
          <w:sz w:val="24"/>
          <w:szCs w:val="24"/>
        </w:rPr>
        <w:t>Potential and prevention of the impact of rupiah redenomination in Indonesia</w:t>
      </w:r>
    </w:p>
    <w:p w14:paraId="6D07DB95" w14:textId="6925D6FB"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potential positive impacts of redenomination include the following: First, redenomination can psychologically increase sales potential. Large nominal digits often create the perception that the prices of goods and services are high or expensive. This can be a barrier for potential consumers to buy these goods and services. Economic psychology shows that the more expensive the price (indicated by a large nominal value), the less desire consumers have to buy. On the contrary, the cheaper the price (indicated by a small nominal value), the greater the desire of consumers to shop</w:t>
      </w:r>
      <w:r w:rsidR="003D3A2E">
        <w:rPr>
          <w:rFonts w:ascii="Calibri Light" w:hAnsi="Calibri Light" w:cs="Calibri Light"/>
          <w:sz w:val="24"/>
          <w:szCs w:val="24"/>
        </w:rPr>
        <w:t xml:space="preserve"> </w:t>
      </w:r>
      <w:r w:rsidR="003D3A2E" w:rsidRPr="003D3A2E">
        <w:rPr>
          <w:rFonts w:ascii="Calibri Light" w:hAnsi="Calibri Light" w:cs="Calibri Light"/>
          <w:color w:val="0070C0"/>
          <w:sz w:val="24"/>
          <w:szCs w:val="24"/>
        </w:rPr>
        <w:fldChar w:fldCharType="begin" w:fldLock="1"/>
      </w:r>
      <w:r w:rsidR="00D21DBE">
        <w:rPr>
          <w:rFonts w:ascii="Calibri Light" w:hAnsi="Calibri Light" w:cs="Calibri Light"/>
          <w:color w:val="0070C0"/>
          <w:sz w:val="24"/>
          <w:szCs w:val="24"/>
        </w:rPr>
        <w:instrText>ADDIN CSL_CITATION {"citationItems":[{"id":"ITEM-1","itemData":{"DOI":"10.1016/j.elerap.2008.11.009","ISSN":"15674223","abstract":"The main idea of an online group-buying auction is to recruit enough people to generate a sufficient volume of orders to create the basis for a lower transaction price. Typically, the larger the number of orders, the more consumers will wish to participate. This is because the final auction price is likely to be lower than it would be otherwise. This positive feedback is a demand externalities phenomenon. Nevertheless, there also is a phenomenon of inertia that often occurs at the beginning of online group-buying auctions. Due to the small number of orders that occur in the beginning of an online group-buying auction, many potential participants are inclined to wait until the auction price for the sale item falls to an acceptable level. This only comes through the participation of more people in the auction. As a result, consumers will tend to wait for one another to join the auction. Thus, the startup inertia must be overcome before the number of orders will increase. We explore three incentive mechanisms to address this problem: sequence-based, time-based and quantity-based incentives. We conducted a series of experiments using an online group-buying auction experimental test bed deployed on the Internet to develop deeper insights into how these incentives work in the context of bakery cookie sales. Using theory to represent a variety of decision-making perspectives that can be applied in the online group-buying auction context, we explore whether the different incentive mechanisms cause consumers to perceive a lack of price fairness and procedural fairness in an auction's operations. Our results suggest that consumers view participation discounts as creating the basis for perceptions of greater price fairness in online group-buying auctions. Compared with other incentive mechanisms, a sequence-based incentive mechanism gives consumers a sense of less procedural fairness. Finally, perceptions of fairness tend to have a positive association with price satisfaction and purchase intention. © 2008 Published by Elsevier B.V.","author":[{"dropping-particle":"","family":"Kauffman","given":"Robert J.","non-dropping-particle":"","parse-names":false,"suffix":""},{"dropping-particle":"","family":"Lai","given":"Hsiangchu","non-dropping-particle":"","parse-names":false,"suffix":""},{"dropping-particle":"","family":"Ho","given":"Chao-Tsung","non-dropping-particle":"","parse-names":false,"suffix":""}],"container-title":"Electronic Commerce Research and Applications","id":"ITEM-1","issue":"3","issued":{"date-parts":[["2010","5"]]},"page":"249-262","title":"Incentive mechanisms, fairness and participation in online group-buying auctions","type":"article-journal","volume":"9"},"uris":["http://www.mendeley.com/documents/?uuid=3b4eb2e7-8166-4897-a865-4aa387b91014"]}],"mendeley":{"formattedCitation":"(Kauffman et al., 2010)","plainTextFormattedCitation":"(Kauffman et al., 2010)","previouslyFormattedCitation":"(Kauffman et al., 2010)"},"properties":{"noteIndex":0},"schema":"https://github.com/citation-style-language/schema/raw/master/csl-citation.json"}</w:instrText>
      </w:r>
      <w:r w:rsidR="003D3A2E" w:rsidRPr="003D3A2E">
        <w:rPr>
          <w:rFonts w:ascii="Calibri Light" w:hAnsi="Calibri Light" w:cs="Calibri Light"/>
          <w:color w:val="0070C0"/>
          <w:sz w:val="24"/>
          <w:szCs w:val="24"/>
        </w:rPr>
        <w:fldChar w:fldCharType="separate"/>
      </w:r>
      <w:r w:rsidR="003D3A2E" w:rsidRPr="003D3A2E">
        <w:rPr>
          <w:rFonts w:ascii="Calibri Light" w:hAnsi="Calibri Light" w:cs="Calibri Light"/>
          <w:noProof/>
          <w:color w:val="0070C0"/>
          <w:sz w:val="24"/>
          <w:szCs w:val="24"/>
        </w:rPr>
        <w:t xml:space="preserve">(Kauffman </w:t>
      </w:r>
      <w:r w:rsidR="005B3038" w:rsidRPr="005B3038">
        <w:rPr>
          <w:rFonts w:ascii="Calibri Light" w:hAnsi="Calibri Light" w:cs="Calibri Light"/>
          <w:i/>
          <w:noProof/>
          <w:color w:val="0070C0"/>
          <w:sz w:val="24"/>
          <w:szCs w:val="24"/>
        </w:rPr>
        <w:t>et al.</w:t>
      </w:r>
      <w:r w:rsidR="003D3A2E" w:rsidRPr="003D3A2E">
        <w:rPr>
          <w:rFonts w:ascii="Calibri Light" w:hAnsi="Calibri Light" w:cs="Calibri Light"/>
          <w:noProof/>
          <w:color w:val="0070C0"/>
          <w:sz w:val="24"/>
          <w:szCs w:val="24"/>
        </w:rPr>
        <w:t>, 2010)</w:t>
      </w:r>
      <w:r w:rsidR="003D3A2E" w:rsidRPr="003D3A2E">
        <w:rPr>
          <w:rFonts w:ascii="Calibri Light" w:hAnsi="Calibri Light" w:cs="Calibri Light"/>
          <w:color w:val="0070C0"/>
          <w:sz w:val="24"/>
          <w:szCs w:val="24"/>
        </w:rPr>
        <w:fldChar w:fldCharType="end"/>
      </w:r>
      <w:r w:rsidR="003D3A2E">
        <w:rPr>
          <w:rFonts w:ascii="Calibri Light" w:hAnsi="Calibri Light" w:cs="Calibri Light"/>
          <w:color w:val="0070C0"/>
          <w:sz w:val="24"/>
          <w:szCs w:val="24"/>
        </w:rPr>
        <w:t>.</w:t>
      </w:r>
      <w:r w:rsidRPr="003D3A2E">
        <w:rPr>
          <w:rFonts w:ascii="Calibri Light" w:hAnsi="Calibri Light" w:cs="Calibri Light"/>
          <w:color w:val="0070C0"/>
          <w:sz w:val="24"/>
          <w:szCs w:val="24"/>
        </w:rPr>
        <w:t xml:space="preserve"> </w:t>
      </w:r>
      <w:r w:rsidRPr="00CB4CFA">
        <w:rPr>
          <w:rFonts w:ascii="Calibri Light" w:hAnsi="Calibri Light" w:cs="Calibri Light"/>
          <w:sz w:val="24"/>
          <w:szCs w:val="24"/>
        </w:rPr>
        <w:t>Secondly, redenomination can reflect the actual condition of the Indonesian economy. With a very low exchange rate, Indonesia is often considered a country with an economy that does not provide positive signals for investment. As a result, investors are reluctant to invest in the country, opportunities for job creation are lost, opportunities for GDP growth are reduced, and the welfare of the community stagnates. Therefore, redenomination is considered an alternative to increase aggregate spending to reduce unemployment</w:t>
      </w:r>
      <w:r w:rsidR="00D21DBE">
        <w:rPr>
          <w:rFonts w:ascii="Calibri Light" w:hAnsi="Calibri Light" w:cs="Calibri Light"/>
          <w:sz w:val="24"/>
          <w:szCs w:val="24"/>
        </w:rPr>
        <w:t xml:space="preserve"> </w:t>
      </w:r>
      <w:r w:rsidR="00E27218">
        <w:rPr>
          <w:rFonts w:ascii="Calibri Light" w:hAnsi="Calibri Light" w:cs="Calibri Light"/>
          <w:sz w:val="24"/>
          <w:szCs w:val="24"/>
        </w:rPr>
        <w:fldChar w:fldCharType="begin" w:fldLock="1"/>
      </w:r>
      <w:r w:rsidR="00292833">
        <w:rPr>
          <w:rFonts w:ascii="Calibri Light" w:hAnsi="Calibri Light" w:cs="Calibri Light"/>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E27218">
        <w:rPr>
          <w:rFonts w:ascii="Calibri Light" w:hAnsi="Calibri Light" w:cs="Calibri Light"/>
          <w:sz w:val="24"/>
          <w:szCs w:val="24"/>
        </w:rPr>
        <w:fldChar w:fldCharType="separate"/>
      </w:r>
      <w:r w:rsidR="00E27218" w:rsidRPr="00E27218">
        <w:rPr>
          <w:rFonts w:ascii="Calibri Light" w:hAnsi="Calibri Light" w:cs="Calibri Light"/>
          <w:noProof/>
          <w:sz w:val="24"/>
          <w:szCs w:val="24"/>
        </w:rPr>
        <w:t>(</w:t>
      </w:r>
      <w:r w:rsidR="00E27218" w:rsidRPr="00E27218">
        <w:rPr>
          <w:rFonts w:ascii="Calibri Light" w:hAnsi="Calibri Light" w:cs="Calibri Light"/>
          <w:noProof/>
          <w:color w:val="0070C0"/>
          <w:sz w:val="24"/>
          <w:szCs w:val="24"/>
        </w:rPr>
        <w:t>Sukirno, 2016)</w:t>
      </w:r>
      <w:r w:rsidR="00E27218">
        <w:rPr>
          <w:rFonts w:ascii="Calibri Light" w:hAnsi="Calibri Light" w:cs="Calibri Light"/>
          <w:sz w:val="24"/>
          <w:szCs w:val="24"/>
        </w:rPr>
        <w:fldChar w:fldCharType="end"/>
      </w:r>
      <w:r w:rsidR="00E27218">
        <w:rPr>
          <w:rFonts w:ascii="Calibri Light" w:hAnsi="Calibri Light" w:cs="Calibri Light"/>
          <w:sz w:val="24"/>
          <w:szCs w:val="24"/>
        </w:rPr>
        <w:t>.</w:t>
      </w:r>
    </w:p>
    <w:p w14:paraId="617FD697" w14:textId="28D27CF4"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Thirdly, redenomination can strengthen the rupiah exchange rate. With an exchange rate of Rp14,000 per US dollar, Indonesia is often considered a country with a poor economy. On the other hand, if the exchange rate becomes Rp14 per US dollar, the rupiah will appear stronger, so that investor confidence in investing in Indonesia increases. Redenomination is considered by pro-redenomination business circles to have the potential to strengthen the rupiah exchange rate, making it more widely accepted and potentially becoming hard money. This effort is important at least to avoid or reduce the image of the rupiah as garbage money</w:t>
      </w:r>
      <w:r w:rsidR="00292833">
        <w:rPr>
          <w:rFonts w:ascii="Calibri Light" w:hAnsi="Calibri Light" w:cs="Calibri Light"/>
          <w:sz w:val="24"/>
          <w:szCs w:val="24"/>
        </w:rPr>
        <w:t xml:space="preserve"> </w:t>
      </w:r>
      <w:r w:rsidR="00292833" w:rsidRPr="00292833">
        <w:rPr>
          <w:rFonts w:ascii="Calibri Light" w:hAnsi="Calibri Light" w:cs="Calibri Light"/>
          <w:color w:val="0070C0"/>
          <w:sz w:val="24"/>
          <w:szCs w:val="24"/>
        </w:rPr>
        <w:fldChar w:fldCharType="begin" w:fldLock="1"/>
      </w:r>
      <w:r w:rsidR="008A259B">
        <w:rPr>
          <w:rFonts w:ascii="Calibri Light" w:hAnsi="Calibri Light" w:cs="Calibri Light"/>
          <w:color w:val="0070C0"/>
          <w:sz w:val="24"/>
          <w:szCs w:val="24"/>
        </w:rPr>
        <w:instrText>ADDIN CSL_CITATION {"citationItems":[{"id":"ITEM-1","itemData":{"DOI":"10.1016/j.sbspro.2012.03.153","ISSN":"18770428","abstract":"Redenomination, suddenly came up again in 2010, when the central bank of Indonesia announced their plan to redenominate rupiah currency up to three zeroes. Many questions came up, what is the impact of redenomination, or is it the same as sanering policy that happened in 1950. Although the governor of the central bank of Indonesia, Darmin Nasution has confirmed that redenomination is different with sanering, it still cause pro and contra. Many countries have already implemented redenomination, and many of them succeeded, but many of them fail. To make redenomination success the most important things are low inflation rate, stable economic growth, guarantee of price stability and good socialization to the society. The objectives of this study are to know the impact of implementing redenomination in Indonesia from Indonesia citizens’ perspective. The variable that is used in this study is only one, redenomination with 8 indicators. The sample data is taken from 100 peoples, who know what is redenomination. The results have been analyzed by using Structural Equation Modelling. The result shows that the greatest impact of redenomination according to Indonesia citizens is restoring the credibility of Indonesia (lambda loading = 0.87), followed by that redenomination is favorable for Indonesian citizens (lambda loading = 0.86).","author":[{"dropping-particle":"","family":"Lianto","given":"Johan","non-dropping-particle":"","parse-names":false,"suffix":""},{"dropping-particle":"","family":"Suryaputra","given":"Ronald","non-dropping-particle":"","parse-names":false,"suffix":""}],"container-title":"Procedia - Social and Behavioral Sciences","id":"ITEM-1","issued":{"date-parts":[["2012"]]},"page":"1-6","title":"The Impact of Redenomination in Indonesia from Indonesian Citizens’ Perspective","type":"article-journal","volume":"40"},"uris":["http://www.mendeley.com/documents/?uuid=ef56ce04-0bad-4c78-a6d3-b89762ac9de5"]}],"mendeley":{"formattedCitation":"(Lianto &amp; Suryaputra, 2012)","plainTextFormattedCitation":"(Lianto &amp; Suryaputra, 2012)","previouslyFormattedCitation":"(Lianto &amp; Suryaputra, 2012)"},"properties":{"noteIndex":0},"schema":"https://github.com/citation-style-language/schema/raw/master/csl-citation.json"}</w:instrText>
      </w:r>
      <w:r w:rsidR="00292833" w:rsidRPr="00292833">
        <w:rPr>
          <w:rFonts w:ascii="Calibri Light" w:hAnsi="Calibri Light" w:cs="Calibri Light"/>
          <w:color w:val="0070C0"/>
          <w:sz w:val="24"/>
          <w:szCs w:val="24"/>
        </w:rPr>
        <w:fldChar w:fldCharType="separate"/>
      </w:r>
      <w:r w:rsidR="00292833" w:rsidRPr="00292833">
        <w:rPr>
          <w:rFonts w:ascii="Calibri Light" w:hAnsi="Calibri Light" w:cs="Calibri Light"/>
          <w:noProof/>
          <w:color w:val="0070C0"/>
          <w:sz w:val="24"/>
          <w:szCs w:val="24"/>
        </w:rPr>
        <w:t>(Lianto &amp; Suryaputra, 2012)</w:t>
      </w:r>
      <w:r w:rsidR="00292833" w:rsidRPr="00292833">
        <w:rPr>
          <w:rFonts w:ascii="Calibri Light" w:hAnsi="Calibri Light" w:cs="Calibri Light"/>
          <w:color w:val="0070C0"/>
          <w:sz w:val="24"/>
          <w:szCs w:val="24"/>
        </w:rPr>
        <w:fldChar w:fldCharType="end"/>
      </w:r>
      <w:r w:rsidR="00292833">
        <w:rPr>
          <w:rFonts w:ascii="Calibri Light" w:hAnsi="Calibri Light" w:cs="Calibri Light"/>
          <w:sz w:val="24"/>
          <w:szCs w:val="24"/>
        </w:rPr>
        <w:t xml:space="preserve">. </w:t>
      </w:r>
      <w:r w:rsidRPr="00CB4CFA">
        <w:rPr>
          <w:rFonts w:ascii="Calibri Light" w:hAnsi="Calibri Light" w:cs="Calibri Light"/>
          <w:sz w:val="24"/>
          <w:szCs w:val="24"/>
        </w:rPr>
        <w:t>Currently, the rupiah is considered an inconvertible currency</w:t>
      </w:r>
      <w:r w:rsidR="008A259B">
        <w:rPr>
          <w:rFonts w:ascii="Calibri Light" w:hAnsi="Calibri Light" w:cs="Calibri Light"/>
          <w:sz w:val="24"/>
          <w:szCs w:val="24"/>
        </w:rPr>
        <w:t xml:space="preserve"> </w:t>
      </w:r>
      <w:r w:rsidR="008A259B" w:rsidRPr="008A259B">
        <w:rPr>
          <w:rFonts w:ascii="Calibri Light" w:hAnsi="Calibri Light" w:cs="Calibri Light"/>
          <w:color w:val="0070C0"/>
          <w:sz w:val="24"/>
          <w:szCs w:val="24"/>
        </w:rPr>
        <w:fldChar w:fldCharType="begin" w:fldLock="1"/>
      </w:r>
      <w:r w:rsidR="008A259B">
        <w:rPr>
          <w:rFonts w:ascii="Calibri Light" w:hAnsi="Calibri Light" w:cs="Calibri Light"/>
          <w:color w:val="0070C0"/>
          <w:sz w:val="24"/>
          <w:szCs w:val="24"/>
        </w:rPr>
        <w:instrText>ADDIN CSL_CITATION {"citationItems":[{"id":"ITEM-1","itemData":{"author":[{"dropping-particle":"","family":"Kuncoro","given":"M.","non-dropping-particle":"","parse-names":false,"suffix":""}],"id":"ITEM-1","issued":{"date-parts":[["2001"]]},"publisher":"BPFE-Yogyakarta","publisher-place":"Yogyakarta","title":"Manajemen Keuangan Internasional","type":"book"},"uris":["http://www.mendeley.com/documents/?uuid=a11079a8-402c-4df5-96ab-00709cc3a9ba"]}],"mendeley":{"formattedCitation":"(Kuncoro, 2001)","plainTextFormattedCitation":"(Kuncoro, 2001)","previouslyFormattedCitation":"(Kuncoro, 2001)"},"properties":{"noteIndex":0},"schema":"https://github.com/citation-style-language/schema/raw/master/csl-citation.json"}</w:instrText>
      </w:r>
      <w:r w:rsidR="008A259B" w:rsidRPr="008A259B">
        <w:rPr>
          <w:rFonts w:ascii="Calibri Light" w:hAnsi="Calibri Light" w:cs="Calibri Light"/>
          <w:color w:val="0070C0"/>
          <w:sz w:val="24"/>
          <w:szCs w:val="24"/>
        </w:rPr>
        <w:fldChar w:fldCharType="separate"/>
      </w:r>
      <w:r w:rsidR="008A259B" w:rsidRPr="008A259B">
        <w:rPr>
          <w:rFonts w:ascii="Calibri Light" w:hAnsi="Calibri Light" w:cs="Calibri Light"/>
          <w:noProof/>
          <w:color w:val="0070C0"/>
          <w:sz w:val="24"/>
          <w:szCs w:val="24"/>
        </w:rPr>
        <w:t>(Kuncoro, 2001)</w:t>
      </w:r>
      <w:r w:rsidR="008A259B" w:rsidRPr="008A259B">
        <w:rPr>
          <w:rFonts w:ascii="Calibri Light" w:hAnsi="Calibri Light" w:cs="Calibri Light"/>
          <w:color w:val="0070C0"/>
          <w:sz w:val="24"/>
          <w:szCs w:val="24"/>
        </w:rPr>
        <w:fldChar w:fldCharType="end"/>
      </w:r>
      <w:r w:rsidRPr="008A259B">
        <w:rPr>
          <w:rFonts w:ascii="Calibri Light" w:hAnsi="Calibri Light" w:cs="Calibri Light"/>
          <w:color w:val="0070C0"/>
          <w:sz w:val="24"/>
          <w:szCs w:val="24"/>
        </w:rPr>
        <w:t>.</w:t>
      </w:r>
      <w:r w:rsidRPr="00CB4CFA">
        <w:rPr>
          <w:rFonts w:ascii="Calibri Light" w:hAnsi="Calibri Light" w:cs="Calibri Light"/>
          <w:sz w:val="24"/>
          <w:szCs w:val="24"/>
        </w:rPr>
        <w:t xml:space="preserve"> With redenomination, business partners are expected to be more accepting of transactions using the rupiah and may even save it as an investment. Furthermore, increased demand for the rupiah will reduce the amount of money in circulation </w:t>
      </w:r>
      <w:r w:rsidR="008A259B">
        <w:rPr>
          <w:rFonts w:ascii="Calibri Light" w:hAnsi="Calibri Light" w:cs="Calibri Light"/>
          <w:sz w:val="24"/>
          <w:szCs w:val="24"/>
        </w:rPr>
        <w:fldChar w:fldCharType="begin" w:fldLock="1"/>
      </w:r>
      <w:r w:rsidR="00D719BB">
        <w:rPr>
          <w:rFonts w:ascii="Calibri Light" w:hAnsi="Calibri Light" w:cs="Calibri Light"/>
          <w:sz w:val="24"/>
          <w:szCs w:val="24"/>
        </w:rPr>
        <w:instrText>ADDIN CSL_CITATION {"citationItems":[{"id":"ITEM-1","itemData":{"abstract":"Security plays a vital role in enabling future integration of Wireless Sensor Networks (WSNs) with the Internet. Although security in WSNs is a mature field of research and many proposals currently exist that can address particular security threats, how to guarantee end-to-end security at the network layer for IPv6-enabled WSNs remains an open research issue. Security should be addressed at the network layer, as sensor nodes will evolve to become IPv6 aware and new applications are adapted or designed that depend on IPv6 connectivity to sensor nodes. We propose and evaluate new compressed AH and ESP 6lowpan security headers that allow the protection of IPv6 communications on IEEE 802.15.4 WSNs. As the security headers are designed to work side-by-side with other extension headers of the 6lowpan adaptation layer, they allow also the establishment of end-to-end secure communications between Internet hosts and wireless sensor nodes. The usage of IPv6 on WSNs has the potential of enabling the integration of sensing applications with the Internet and, if end to end security is properly addressed, can represent a major contribution towards the \"internet of things\".","author":[{"dropping-particle":"","family":"Sukirno","given":"Sadono","non-dropping-particle":"","parse-names":false,"suffix":""}],"container-title":"Rajawali Press","id":"ITEM-1","issued":{"date-parts":[["2016"]]},"title":"Teori Pengantar Makroekonomi","type":"book"},"uris":["http://www.mendeley.com/documents/?uuid=8ec020d1-30e2-3c88-ab4a-9aa73f26b5c1"]}],"mendeley":{"formattedCitation":"(Sukirno, 2016)","plainTextFormattedCitation":"(Sukirno, 2016)","previouslyFormattedCitation":"(Sukirno, 2016)"},"properties":{"noteIndex":0},"schema":"https://github.com/citation-style-language/schema/raw/master/csl-citation.json"}</w:instrText>
      </w:r>
      <w:r w:rsidR="008A259B">
        <w:rPr>
          <w:rFonts w:ascii="Calibri Light" w:hAnsi="Calibri Light" w:cs="Calibri Light"/>
          <w:sz w:val="24"/>
          <w:szCs w:val="24"/>
        </w:rPr>
        <w:fldChar w:fldCharType="separate"/>
      </w:r>
      <w:r w:rsidR="008A259B" w:rsidRPr="008A259B">
        <w:rPr>
          <w:rFonts w:ascii="Calibri Light" w:hAnsi="Calibri Light" w:cs="Calibri Light"/>
          <w:noProof/>
          <w:sz w:val="24"/>
          <w:szCs w:val="24"/>
        </w:rPr>
        <w:t>(</w:t>
      </w:r>
      <w:r w:rsidR="008A259B" w:rsidRPr="008A259B">
        <w:rPr>
          <w:rFonts w:ascii="Calibri Light" w:hAnsi="Calibri Light" w:cs="Calibri Light"/>
          <w:noProof/>
          <w:color w:val="0070C0"/>
          <w:sz w:val="24"/>
          <w:szCs w:val="24"/>
        </w:rPr>
        <w:t>Sukirno, 2016)</w:t>
      </w:r>
      <w:r w:rsidR="008A259B">
        <w:rPr>
          <w:rFonts w:ascii="Calibri Light" w:hAnsi="Calibri Light" w:cs="Calibri Light"/>
          <w:sz w:val="24"/>
          <w:szCs w:val="24"/>
        </w:rPr>
        <w:fldChar w:fldCharType="end"/>
      </w:r>
      <w:r w:rsidR="008A259B">
        <w:rPr>
          <w:rFonts w:ascii="Calibri Light" w:hAnsi="Calibri Light" w:cs="Calibri Light"/>
          <w:sz w:val="24"/>
          <w:szCs w:val="24"/>
        </w:rPr>
        <w:t>.</w:t>
      </w:r>
      <w:r w:rsidRPr="00CB4CFA">
        <w:rPr>
          <w:rFonts w:ascii="Calibri Light" w:hAnsi="Calibri Light" w:cs="Calibri Light"/>
          <w:sz w:val="24"/>
          <w:szCs w:val="24"/>
        </w:rPr>
        <w:t xml:space="preserve"> Fourth, redenomination is beneficial in terms of state financial accounting records and reduces the risk of human error</w:t>
      </w:r>
      <w:r w:rsidR="00D719BB">
        <w:rPr>
          <w:rFonts w:ascii="Calibri Light" w:hAnsi="Calibri Light" w:cs="Calibri Light"/>
          <w:sz w:val="24"/>
          <w:szCs w:val="24"/>
        </w:rPr>
        <w:t xml:space="preserve"> </w:t>
      </w:r>
      <w:r w:rsidR="00D719BB">
        <w:rPr>
          <w:rFonts w:ascii="Calibri Light" w:hAnsi="Calibri Light" w:cs="Calibri Light"/>
          <w:sz w:val="24"/>
          <w:szCs w:val="24"/>
        </w:rPr>
        <w:fldChar w:fldCharType="begin" w:fldLock="1"/>
      </w:r>
      <w:r w:rsidR="00D03108">
        <w:rPr>
          <w:rFonts w:ascii="Calibri Light" w:hAnsi="Calibri Light" w:cs="Calibri Light"/>
          <w:sz w:val="24"/>
          <w:szCs w:val="24"/>
        </w:rPr>
        <w:instrText>ADDIN CSL_CITATION {"citationItems":[{"id":"ITEM-1","itemData":{"author":[{"dropping-particle":"","family":"Editorial","given":"Team","non-dropping-particle":"","parse-names":false,"suffix":""}],"container-title":"CNBC Indonesia","id":"ITEM-1","issued":{"date-parts":[["2023","5","6"]]},"title":"BI Bakal Ubah Duit Rp 1.000 Jadi Rp 1? Ini Kabar Terbarunya","type":"article-newspaper"},"uris":["http://www.mendeley.com/documents/?uuid=e35cd7bd-0af5-4ebe-ab75-fdee5da0401e"]}],"mendeley":{"formattedCitation":"(Editorial, 2023)","plainTextFormattedCitation":"(Editorial, 2023)","previouslyFormattedCitation":"(Editorial, 2023)"},"properties":{"noteIndex":0},"schema":"https://github.com/citation-style-language/schema/raw/master/csl-citation.json"}</w:instrText>
      </w:r>
      <w:r w:rsidR="00D719BB">
        <w:rPr>
          <w:rFonts w:ascii="Calibri Light" w:hAnsi="Calibri Light" w:cs="Calibri Light"/>
          <w:sz w:val="24"/>
          <w:szCs w:val="24"/>
        </w:rPr>
        <w:fldChar w:fldCharType="separate"/>
      </w:r>
      <w:r w:rsidR="00D719BB" w:rsidRPr="00D719BB">
        <w:rPr>
          <w:rFonts w:ascii="Calibri Light" w:hAnsi="Calibri Light" w:cs="Calibri Light"/>
          <w:noProof/>
          <w:sz w:val="24"/>
          <w:szCs w:val="24"/>
        </w:rPr>
        <w:t>(</w:t>
      </w:r>
      <w:r w:rsidR="00D719BB" w:rsidRPr="00D719BB">
        <w:rPr>
          <w:rFonts w:ascii="Calibri Light" w:hAnsi="Calibri Light" w:cs="Calibri Light"/>
          <w:noProof/>
          <w:color w:val="0070C0"/>
          <w:sz w:val="24"/>
          <w:szCs w:val="24"/>
        </w:rPr>
        <w:t>Editorial, 2023)</w:t>
      </w:r>
      <w:r w:rsidR="00D719BB">
        <w:rPr>
          <w:rFonts w:ascii="Calibri Light" w:hAnsi="Calibri Light" w:cs="Calibri Light"/>
          <w:sz w:val="24"/>
          <w:szCs w:val="24"/>
        </w:rPr>
        <w:fldChar w:fldCharType="end"/>
      </w:r>
      <w:r w:rsidR="00D719BB">
        <w:rPr>
          <w:rFonts w:ascii="Calibri Light" w:hAnsi="Calibri Light" w:cs="Calibri Light"/>
          <w:sz w:val="24"/>
          <w:szCs w:val="24"/>
        </w:rPr>
        <w:t xml:space="preserve">. </w:t>
      </w:r>
      <w:r w:rsidRPr="00CB4CFA">
        <w:rPr>
          <w:rFonts w:ascii="Calibri Light" w:hAnsi="Calibri Light" w:cs="Calibri Light"/>
          <w:sz w:val="24"/>
          <w:szCs w:val="24"/>
        </w:rPr>
        <w:t xml:space="preserve">Fifth, short-term culture shock is considered normal </w:t>
      </w:r>
      <w:r w:rsidR="00D03108" w:rsidRPr="00D03108">
        <w:rPr>
          <w:rFonts w:ascii="Calibri Light" w:hAnsi="Calibri Light" w:cs="Calibri Light"/>
          <w:color w:val="0070C0"/>
          <w:sz w:val="24"/>
          <w:szCs w:val="24"/>
        </w:rPr>
        <w:fldChar w:fldCharType="begin" w:fldLock="1"/>
      </w:r>
      <w:r w:rsidR="00DD4F3F">
        <w:rPr>
          <w:rFonts w:ascii="Calibri Light" w:hAnsi="Calibri Light" w:cs="Calibri Light"/>
          <w:color w:val="0070C0"/>
          <w:sz w:val="24"/>
          <w:szCs w:val="24"/>
        </w:rPr>
        <w:instrText>ADDIN CSL_CITATION {"citationItems":[{"id":"ITEM-1","itemData":{"ISSN":"2309-8414","abstract":"Redenomination discourse has been disseminated since the SBY governmental era. However, this has not been implemented yet in Indonesia. This research is aimed to explore potential positive and negative impacts of redenomination in Indonesia. Using grounded theory, this study has found that redenomination will raise economic growth and decrease inflation, if the government delivers adequate socialization using proper tools and media, also provides sufficient instruments to anticipate the possibility of psychological shock. In contrast, redenomination has potential to create hyperinflation if it is conducted in hurry and driven by certain political and economical interests.","author":[{"dropping-particle":"","family":"Prabawani","given":"Bulan","non-dropping-particle":"","parse-names":false,"suffix":""},{"dropping-particle":"","family":"Prihatini","given":"Apriatni Endang","non-dropping-particle":"","parse-names":false,"suffix":""},{"dropping-particle":"","family":"Faculty","given":"Political Sciences","non-dropping-particle":"","parse-names":false,"suffix":""},{"dropping-particle":"","family":"Faculty","given":"Political Sciences","non-dropping-particle":"","parse-names":false,"suffix":""}],"container-title":"Australian Journal of Basic and Applied Sciences","id":"ITEM-1","issue":"1","issued":{"date-parts":[["2014"]]},"title":"Indonesian Businesses: Coping with Redenomination Policy","type":"article-journal","volume":"8"},"uris":["http://www.mendeley.com/documents/?uuid=4d4ae2fc-e3d5-35e9-affa-54e09a56a1ed"]}],"mendeley":{"formattedCitation":"(Prabawani et al., 2014)","plainTextFormattedCitation":"(Prabawani et al., 2014)","previouslyFormattedCitation":"(Prabawani et al., 2014)"},"properties":{"noteIndex":0},"schema":"https://github.com/citation-style-language/schema/raw/master/csl-citation.json"}</w:instrText>
      </w:r>
      <w:r w:rsidR="00D03108" w:rsidRPr="00D03108">
        <w:rPr>
          <w:rFonts w:ascii="Calibri Light" w:hAnsi="Calibri Light" w:cs="Calibri Light"/>
          <w:color w:val="0070C0"/>
          <w:sz w:val="24"/>
          <w:szCs w:val="24"/>
        </w:rPr>
        <w:fldChar w:fldCharType="separate"/>
      </w:r>
      <w:r w:rsidR="00D03108" w:rsidRPr="00D03108">
        <w:rPr>
          <w:rFonts w:ascii="Calibri Light" w:hAnsi="Calibri Light" w:cs="Calibri Light"/>
          <w:noProof/>
          <w:color w:val="0070C0"/>
          <w:sz w:val="24"/>
          <w:szCs w:val="24"/>
        </w:rPr>
        <w:t xml:space="preserve">(Prabawani </w:t>
      </w:r>
      <w:r w:rsidR="00185C87">
        <w:rPr>
          <w:rFonts w:ascii="Calibri Light" w:hAnsi="Calibri Light" w:cs="Calibri Light"/>
          <w:i/>
          <w:noProof/>
          <w:color w:val="0070C0"/>
          <w:sz w:val="24"/>
          <w:szCs w:val="24"/>
        </w:rPr>
        <w:t xml:space="preserve">&amp; </w:t>
      </w:r>
      <w:r w:rsidR="00185C87" w:rsidRPr="00185C87">
        <w:rPr>
          <w:rFonts w:ascii="Calibri Light" w:hAnsi="Calibri Light" w:cs="Calibri Light"/>
          <w:iCs/>
          <w:noProof/>
          <w:color w:val="0070C0"/>
          <w:sz w:val="24"/>
          <w:szCs w:val="24"/>
        </w:rPr>
        <w:t>Prihatini</w:t>
      </w:r>
      <w:r w:rsidR="00D03108" w:rsidRPr="00D03108">
        <w:rPr>
          <w:rFonts w:ascii="Calibri Light" w:hAnsi="Calibri Light" w:cs="Calibri Light"/>
          <w:noProof/>
          <w:color w:val="0070C0"/>
          <w:sz w:val="24"/>
          <w:szCs w:val="24"/>
        </w:rPr>
        <w:t>, 2014)</w:t>
      </w:r>
      <w:r w:rsidR="00D03108" w:rsidRPr="00D03108">
        <w:rPr>
          <w:rFonts w:ascii="Calibri Light" w:hAnsi="Calibri Light" w:cs="Calibri Light"/>
          <w:color w:val="0070C0"/>
          <w:sz w:val="24"/>
          <w:szCs w:val="24"/>
        </w:rPr>
        <w:fldChar w:fldCharType="end"/>
      </w:r>
      <w:r w:rsidR="00D03108">
        <w:rPr>
          <w:rFonts w:ascii="Calibri Light" w:hAnsi="Calibri Light" w:cs="Calibri Light"/>
          <w:color w:val="0070C0"/>
          <w:sz w:val="24"/>
          <w:szCs w:val="24"/>
        </w:rPr>
        <w:t>.</w:t>
      </w:r>
    </w:p>
    <w:p w14:paraId="00585B9E" w14:textId="21310AA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potential negative impacts of redenomination include the following:</w:t>
      </w:r>
      <w:r w:rsidR="005E1DD0">
        <w:rPr>
          <w:rFonts w:ascii="Calibri Light" w:hAnsi="Calibri Light" w:cs="Calibri Light"/>
          <w:sz w:val="24"/>
          <w:szCs w:val="24"/>
        </w:rPr>
        <w:t xml:space="preserve"> 1) Redenomination</w:t>
      </w:r>
      <w:r w:rsidRPr="00CB4CFA">
        <w:rPr>
          <w:rFonts w:ascii="Calibri Light" w:hAnsi="Calibri Light" w:cs="Calibri Light"/>
          <w:sz w:val="24"/>
          <w:szCs w:val="24"/>
        </w:rPr>
        <w:t xml:space="preserve"> can trigger worse inflation (forced inflation)</w:t>
      </w:r>
      <w:r w:rsidR="005E1DD0">
        <w:rPr>
          <w:rFonts w:ascii="Calibri Light" w:hAnsi="Calibri Light" w:cs="Calibri Light"/>
          <w:sz w:val="24"/>
          <w:szCs w:val="24"/>
        </w:rPr>
        <w:t xml:space="preserve">, 2) </w:t>
      </w:r>
      <w:r w:rsidRPr="00CB4CFA">
        <w:rPr>
          <w:rFonts w:ascii="Calibri Light" w:hAnsi="Calibri Light" w:cs="Calibri Light"/>
          <w:sz w:val="24"/>
          <w:szCs w:val="24"/>
        </w:rPr>
        <w:t>there is a money illusion when users psychologically feel that the prices of goods and services appear to be cheaper</w:t>
      </w:r>
      <w:r w:rsidR="005E1DD0">
        <w:rPr>
          <w:rFonts w:ascii="Calibri Light" w:hAnsi="Calibri Light" w:cs="Calibri Light"/>
          <w:sz w:val="24"/>
          <w:szCs w:val="24"/>
        </w:rPr>
        <w:t>, 3)</w:t>
      </w:r>
      <w:r w:rsidRPr="00CB4CFA">
        <w:rPr>
          <w:rFonts w:ascii="Calibri Light" w:hAnsi="Calibri Light" w:cs="Calibri Light"/>
          <w:sz w:val="24"/>
          <w:szCs w:val="24"/>
        </w:rPr>
        <w:t xml:space="preserve"> </w:t>
      </w:r>
      <w:r w:rsidR="005E1DD0">
        <w:rPr>
          <w:rFonts w:ascii="Calibri Light" w:hAnsi="Calibri Light" w:cs="Calibri Light"/>
          <w:sz w:val="24"/>
          <w:szCs w:val="24"/>
        </w:rPr>
        <w:t>there is</w:t>
      </w:r>
      <w:r w:rsidRPr="00CB4CFA">
        <w:rPr>
          <w:rFonts w:ascii="Calibri Light" w:hAnsi="Calibri Light" w:cs="Calibri Light"/>
          <w:sz w:val="24"/>
          <w:szCs w:val="24"/>
        </w:rPr>
        <w:t xml:space="preserve"> </w:t>
      </w:r>
      <w:r w:rsidR="005E1DD0">
        <w:rPr>
          <w:rFonts w:ascii="Calibri Light" w:hAnsi="Calibri Light" w:cs="Calibri Light"/>
          <w:sz w:val="24"/>
          <w:szCs w:val="24"/>
        </w:rPr>
        <w:t xml:space="preserve">a </w:t>
      </w:r>
      <w:r w:rsidRPr="00CB4CFA">
        <w:rPr>
          <w:rFonts w:ascii="Calibri Light" w:hAnsi="Calibri Light" w:cs="Calibri Light"/>
          <w:sz w:val="24"/>
          <w:szCs w:val="24"/>
        </w:rPr>
        <w:t xml:space="preserve">tendency of business people to round prices up. Business people tend to raise prices or round them up. </w:t>
      </w:r>
      <w:r w:rsidR="005E1DD0">
        <w:rPr>
          <w:rFonts w:ascii="Calibri Light" w:hAnsi="Calibri Light" w:cs="Calibri Light"/>
          <w:sz w:val="24"/>
          <w:szCs w:val="24"/>
        </w:rPr>
        <w:t>There</w:t>
      </w:r>
      <w:r w:rsidRPr="00CB4CFA">
        <w:rPr>
          <w:rFonts w:ascii="Calibri Light" w:hAnsi="Calibri Light" w:cs="Calibri Light"/>
          <w:sz w:val="24"/>
          <w:szCs w:val="24"/>
        </w:rPr>
        <w:t xml:space="preserve"> is a possibility of a price jump. They argue that the prices </w:t>
      </w:r>
      <w:r w:rsidRPr="00CB4CFA">
        <w:rPr>
          <w:rFonts w:ascii="Calibri Light" w:hAnsi="Calibri Light" w:cs="Calibri Light"/>
          <w:sz w:val="24"/>
          <w:szCs w:val="24"/>
        </w:rPr>
        <w:lastRenderedPageBreak/>
        <w:t>from suppliers must have already gone up</w:t>
      </w:r>
      <w:r w:rsidR="005E1DD0">
        <w:rPr>
          <w:rFonts w:ascii="Calibri Light" w:hAnsi="Calibri Light" w:cs="Calibri Light"/>
          <w:sz w:val="24"/>
          <w:szCs w:val="24"/>
        </w:rPr>
        <w:t xml:space="preserve">, 4) </w:t>
      </w:r>
      <w:r w:rsidRPr="00CB4CFA">
        <w:rPr>
          <w:rFonts w:ascii="Calibri Light" w:hAnsi="Calibri Light" w:cs="Calibri Light"/>
          <w:sz w:val="24"/>
          <w:szCs w:val="24"/>
        </w:rPr>
        <w:t>the emergence of costs for the stages of redenomination and printing of new money</w:t>
      </w:r>
      <w:r w:rsidR="005E1DD0">
        <w:rPr>
          <w:rFonts w:ascii="Calibri Light" w:hAnsi="Calibri Light" w:cs="Calibri Light"/>
          <w:sz w:val="24"/>
          <w:szCs w:val="24"/>
        </w:rPr>
        <w:t>, and 5)</w:t>
      </w:r>
      <w:r w:rsidRPr="00CB4CFA">
        <w:rPr>
          <w:rFonts w:ascii="Calibri Light" w:hAnsi="Calibri Light" w:cs="Calibri Light"/>
          <w:sz w:val="24"/>
          <w:szCs w:val="24"/>
        </w:rPr>
        <w:t xml:space="preserve"> the additional costs for adjusting financial and accounting records, especially in the field of information technology (IT), which are needed during the transition and phasing out periods. However, this is often not seriously considered</w:t>
      </w:r>
      <w:r w:rsidR="005E1DD0">
        <w:rPr>
          <w:rFonts w:ascii="Calibri Light" w:hAnsi="Calibri Light" w:cs="Calibri Light"/>
          <w:sz w:val="24"/>
          <w:szCs w:val="24"/>
        </w:rPr>
        <w:t xml:space="preserve"> </w:t>
      </w:r>
      <w:r w:rsidR="00DD4F3F" w:rsidRPr="00DD4F3F">
        <w:rPr>
          <w:rFonts w:ascii="Calibri Light" w:hAnsi="Calibri Light" w:cs="Calibri Light"/>
          <w:color w:val="0070C0"/>
          <w:sz w:val="24"/>
          <w:szCs w:val="24"/>
        </w:rPr>
        <w:fldChar w:fldCharType="begin" w:fldLock="1"/>
      </w:r>
      <w:r w:rsidR="001D016B">
        <w:rPr>
          <w:rFonts w:ascii="Calibri Light" w:hAnsi="Calibri Light" w:cs="Calibri Light"/>
          <w:color w:val="0070C0"/>
          <w:sz w:val="24"/>
          <w:szCs w:val="24"/>
        </w:rPr>
        <w:instrText>ADDIN CSL_CITATION {"citationItems":[{"id":"ITEM-1","itemData":{"abstract":"… Riset dan Pendidikan Tinggi Republik Indonesia yang telah memfasilitasi penelitian dalam beberapa tahun melalui skema penelitian berbasis kompetisi dan Lembaga Penelitian dan …","author":[{"dropping-particle":"","family":"Prabawani","given":"Bulan","non-dropping-particle":"","parse-names":false,"suffix":""}],"container-title":"doc-pak.undip.ac.id","id":"ITEM-1","issued":{"date-parts":[["2019"]]},"publisher":"Istana Publishing","publisher-place":"Yogyakarta","title":"REDENOMINASI DI INDONESIA: Apa dan bagaimana?","type":"book"},"uris":["http://www.mendeley.com/documents/?uuid=0e985aa9-9875-39f4-bf54-caefa333ffdc"]}],"mendeley":{"formattedCitation":"(Prabawani, 2019)","plainTextFormattedCitation":"(Prabawani, 2019)","previouslyFormattedCitation":"(Prabawani, 2019)"},"properties":{"noteIndex":0},"schema":"https://github.com/citation-style-language/schema/raw/master/csl-citation.json"}</w:instrText>
      </w:r>
      <w:r w:rsidR="00DD4F3F" w:rsidRPr="00DD4F3F">
        <w:rPr>
          <w:rFonts w:ascii="Calibri Light" w:hAnsi="Calibri Light" w:cs="Calibri Light"/>
          <w:color w:val="0070C0"/>
          <w:sz w:val="24"/>
          <w:szCs w:val="24"/>
        </w:rPr>
        <w:fldChar w:fldCharType="separate"/>
      </w:r>
      <w:r w:rsidR="00DD4F3F" w:rsidRPr="00DD4F3F">
        <w:rPr>
          <w:rFonts w:ascii="Calibri Light" w:hAnsi="Calibri Light" w:cs="Calibri Light"/>
          <w:noProof/>
          <w:color w:val="0070C0"/>
          <w:sz w:val="24"/>
          <w:szCs w:val="24"/>
        </w:rPr>
        <w:t>(Prabawani, 2019)</w:t>
      </w:r>
      <w:r w:rsidR="00DD4F3F" w:rsidRPr="00DD4F3F">
        <w:rPr>
          <w:rFonts w:ascii="Calibri Light" w:hAnsi="Calibri Light" w:cs="Calibri Light"/>
          <w:color w:val="0070C0"/>
          <w:sz w:val="24"/>
          <w:szCs w:val="24"/>
        </w:rPr>
        <w:fldChar w:fldCharType="end"/>
      </w:r>
      <w:r w:rsidR="00DD4F3F">
        <w:rPr>
          <w:rFonts w:ascii="Calibri Light" w:hAnsi="Calibri Light" w:cs="Calibri Light"/>
          <w:sz w:val="24"/>
          <w:szCs w:val="24"/>
        </w:rPr>
        <w:t>.</w:t>
      </w:r>
    </w:p>
    <w:p w14:paraId="58BF5A12" w14:textId="77777777" w:rsid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Efforts to prevent the potential negative impacts of redenomination can be carried out through massive outreach to the public, comprehensive economic analysis, the determination of dual pricing, and strict supervision at all stages of the redenomination implementation.</w:t>
      </w:r>
    </w:p>
    <w:p w14:paraId="3FEF3BAF" w14:textId="77777777" w:rsidR="000376DE" w:rsidRPr="00CB4CFA" w:rsidRDefault="00CB4CFA" w:rsidP="000376DE">
      <w:pPr>
        <w:spacing w:before="120" w:after="120"/>
        <w:ind w:left="440" w:right="-1" w:hanging="14"/>
        <w:jc w:val="both"/>
        <w:rPr>
          <w:rFonts w:ascii="Calibri Light" w:hAnsi="Calibri Light" w:cs="Calibri Light"/>
          <w:b/>
          <w:bCs/>
          <w:sz w:val="24"/>
          <w:szCs w:val="24"/>
        </w:rPr>
      </w:pPr>
      <w:r w:rsidRPr="00CB4CFA">
        <w:rPr>
          <w:rFonts w:ascii="Calibri Light" w:hAnsi="Calibri Light" w:cs="Calibri Light"/>
          <w:b/>
          <w:bCs/>
          <w:sz w:val="24"/>
          <w:szCs w:val="24"/>
        </w:rPr>
        <w:t>Discussion</w:t>
      </w:r>
    </w:p>
    <w:p w14:paraId="57D173F3" w14:textId="1BE1CD98" w:rsidR="00CB4CFA" w:rsidRPr="00C02B08" w:rsidRDefault="00CB4CFA" w:rsidP="00CB4CFA">
      <w:pPr>
        <w:spacing w:before="120" w:after="120"/>
        <w:ind w:left="440" w:right="-1" w:hanging="14"/>
        <w:jc w:val="both"/>
        <w:rPr>
          <w:rFonts w:ascii="Calibri Light" w:hAnsi="Calibri Light" w:cs="Calibri Light"/>
          <w:color w:val="0070C0"/>
          <w:sz w:val="24"/>
          <w:szCs w:val="24"/>
        </w:rPr>
      </w:pPr>
      <w:r w:rsidRPr="00CB4CFA">
        <w:rPr>
          <w:rFonts w:ascii="Calibri Light" w:hAnsi="Calibri Light" w:cs="Calibri Light"/>
          <w:sz w:val="24"/>
          <w:szCs w:val="24"/>
        </w:rPr>
        <w:t>Law Number 7 of 2011 concerning Currency explains that the rupiah must be used in various transactions, including transactions for payment, settlement of other obligations that must be fulfilled, and other financial transactions carried out in the territory of the Unitary State of the Republic of Indonesia</w:t>
      </w:r>
      <w:r w:rsidR="001D016B">
        <w:rPr>
          <w:rFonts w:ascii="Calibri Light" w:hAnsi="Calibri Light" w:cs="Calibri Light"/>
          <w:sz w:val="24"/>
          <w:szCs w:val="24"/>
        </w:rPr>
        <w:t xml:space="preserve"> </w:t>
      </w:r>
      <w:r w:rsidR="001D016B" w:rsidRPr="001D016B">
        <w:rPr>
          <w:rFonts w:ascii="Calibri Light" w:hAnsi="Calibri Light" w:cs="Calibri Light"/>
          <w:color w:val="0070C0"/>
          <w:sz w:val="24"/>
          <w:szCs w:val="24"/>
        </w:rPr>
        <w:fldChar w:fldCharType="begin" w:fldLock="1"/>
      </w:r>
      <w:r w:rsidR="00C02B08">
        <w:rPr>
          <w:rFonts w:ascii="Calibri Light" w:hAnsi="Calibri Light" w:cs="Calibri Light"/>
          <w:color w:val="0070C0"/>
          <w:sz w:val="24"/>
          <w:szCs w:val="24"/>
        </w:rPr>
        <w:instrText>ADDIN CSL_CITATION {"citationItems":[{"id":"ITEM-1","itemData":{"author":[{"dropping-particle":"","family":"Indonesia","given":"Government of","non-dropping-particle":"","parse-names":false,"suffix":""}],"id":"ITEM-1","issued":{"date-parts":[["2011"]]},"title":"Law No. 7 of 2011 on Currency","type":"article-newspaper"},"uris":["http://www.mendeley.com/documents/?uuid=f4aef3b8-6800-4dcb-8ca7-a3d300674f2d"]}],"mendeley":{"formattedCitation":"(G. of Indonesia, 2011)","plainTextFormattedCitation":"(G. of Indonesia, 2011)","previouslyFormattedCitation":"(G. of Indonesia, 2011)"},"properties":{"noteIndex":0},"schema":"https://github.com/citation-style-language/schema/raw/master/csl-citation.json"}</w:instrText>
      </w:r>
      <w:r w:rsidR="001D016B" w:rsidRPr="001D016B">
        <w:rPr>
          <w:rFonts w:ascii="Calibri Light" w:hAnsi="Calibri Light" w:cs="Calibri Light"/>
          <w:color w:val="0070C0"/>
          <w:sz w:val="24"/>
          <w:szCs w:val="24"/>
        </w:rPr>
        <w:fldChar w:fldCharType="separate"/>
      </w:r>
      <w:r w:rsidR="001D016B" w:rsidRPr="001D016B">
        <w:rPr>
          <w:rFonts w:ascii="Calibri Light" w:hAnsi="Calibri Light" w:cs="Calibri Light"/>
          <w:noProof/>
          <w:color w:val="0070C0"/>
          <w:sz w:val="24"/>
          <w:szCs w:val="24"/>
        </w:rPr>
        <w:t>(G</w:t>
      </w:r>
      <w:r w:rsidR="00442E0E">
        <w:rPr>
          <w:rFonts w:ascii="Calibri Light" w:hAnsi="Calibri Light" w:cs="Calibri Light"/>
          <w:noProof/>
          <w:color w:val="0070C0"/>
          <w:sz w:val="24"/>
          <w:szCs w:val="24"/>
        </w:rPr>
        <w:t>overnment</w:t>
      </w:r>
      <w:r w:rsidR="001D016B" w:rsidRPr="001D016B">
        <w:rPr>
          <w:rFonts w:ascii="Calibri Light" w:hAnsi="Calibri Light" w:cs="Calibri Light"/>
          <w:noProof/>
          <w:color w:val="0070C0"/>
          <w:sz w:val="24"/>
          <w:szCs w:val="24"/>
        </w:rPr>
        <w:t xml:space="preserve"> of Indonesia, 2011)</w:t>
      </w:r>
      <w:r w:rsidR="001D016B" w:rsidRPr="001D016B">
        <w:rPr>
          <w:rFonts w:ascii="Calibri Light" w:hAnsi="Calibri Light" w:cs="Calibri Light"/>
          <w:color w:val="0070C0"/>
          <w:sz w:val="24"/>
          <w:szCs w:val="24"/>
        </w:rPr>
        <w:fldChar w:fldCharType="end"/>
      </w:r>
      <w:r w:rsidR="001D016B">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This </w:t>
      </w:r>
      <w:r w:rsidR="00DA0663">
        <w:rPr>
          <w:rFonts w:ascii="Calibri Light" w:hAnsi="Calibri Light" w:cs="Calibri Light"/>
          <w:sz w:val="24"/>
          <w:szCs w:val="24"/>
        </w:rPr>
        <w:t>regulati</w:t>
      </w:r>
      <w:r w:rsidRPr="00CB4CFA">
        <w:rPr>
          <w:rFonts w:ascii="Calibri Light" w:hAnsi="Calibri Light" w:cs="Calibri Light"/>
          <w:sz w:val="24"/>
          <w:szCs w:val="24"/>
        </w:rPr>
        <w:t xml:space="preserve">on is reaffirmed in the preamble to </w:t>
      </w:r>
      <w:r w:rsidR="001A4705" w:rsidRPr="001A4705">
        <w:rPr>
          <w:rFonts w:ascii="Calibri Light" w:hAnsi="Calibri Light" w:cs="Calibri Light"/>
          <w:caps/>
          <w:sz w:val="24"/>
          <w:szCs w:val="24"/>
        </w:rPr>
        <w:t>BI</w:t>
      </w:r>
      <w:r w:rsidRPr="00CB4CFA">
        <w:rPr>
          <w:rFonts w:ascii="Calibri Light" w:hAnsi="Calibri Light" w:cs="Calibri Light"/>
          <w:sz w:val="24"/>
          <w:szCs w:val="24"/>
        </w:rPr>
        <w:t xml:space="preserve"> Regulation (BI) Number 17/3/PBI/2015, which requires the public to use the rupiah currency in every transaction in Indonesia. Article 23 paragraph (1) of Law Number 7 of 2011 regulates the prohibition of refusing payment with rupiah for transactions carried out in the territory of the Republic of Indonesia. In law enforcement, there is a criminal threat for violating these articles, as regulated in Article 33, which is a maximum imprisonment of 1 (one) year and a maximum fine of Rp200,000,000.00 (two hundred million rupiah)</w:t>
      </w:r>
      <w:r w:rsidR="00C02B08">
        <w:rPr>
          <w:rFonts w:ascii="Calibri Light" w:hAnsi="Calibri Light" w:cs="Calibri Light"/>
          <w:sz w:val="24"/>
          <w:szCs w:val="24"/>
        </w:rPr>
        <w:t xml:space="preserve"> </w:t>
      </w:r>
      <w:r w:rsidR="00C02B08" w:rsidRPr="00C02B08">
        <w:rPr>
          <w:rFonts w:ascii="Calibri Light" w:hAnsi="Calibri Light" w:cs="Calibri Light"/>
          <w:color w:val="0070C0"/>
          <w:sz w:val="24"/>
          <w:szCs w:val="24"/>
        </w:rPr>
        <w:fldChar w:fldCharType="begin" w:fldLock="1"/>
      </w:r>
      <w:r w:rsidR="00C02B08" w:rsidRPr="00C02B08">
        <w:rPr>
          <w:rFonts w:ascii="Calibri Light" w:hAnsi="Calibri Light" w:cs="Calibri Light"/>
          <w:color w:val="0070C0"/>
          <w:sz w:val="24"/>
          <w:szCs w:val="24"/>
        </w:rPr>
        <w:instrText>ADDIN CSL_CITATION {"citationItems":[{"id":"ITEM-1","itemData":{"author":[{"dropping-particle":"","family":"Windia","given":"I. Ketut","non-dropping-particle":"","parse-names":false,"suffix":""}],"container-title":"Kerta Dyatmika","id":"ITEM-1","issue":"1","issued":{"date-parts":[["2019"]]},"page":"21-30","title":"Tinjauan Yuridis Tentang Penghinaan Lambang Negara Oleh Warga Negara Indonesia","type":"article-journal","volume":"16"},"uris":["http://www.mendeley.com/documents/?uuid=f7b82723-5b6c-4eea-bb10-ccbf81d9e6c9"]}],"mendeley":{"formattedCitation":"(Windia, 2019)","manualFormatting":"(Windia, 2019","plainTextFormattedCitation":"(Windia, 2019)","previouslyFormattedCitation":"(Windia, 2019)"},"properties":{"noteIndex":0},"schema":"https://github.com/citation-style-language/schema/raw/master/csl-citation.json"}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(Windia, 2019</w:t>
      </w:r>
      <w:r w:rsidR="00C02B08" w:rsidRPr="00C02B08">
        <w:rPr>
          <w:rFonts w:ascii="Calibri Light" w:hAnsi="Calibri Light" w:cs="Calibri Light"/>
          <w:color w:val="0070C0"/>
          <w:sz w:val="24"/>
          <w:szCs w:val="24"/>
        </w:rPr>
        <w:fldChar w:fldCharType="end"/>
      </w:r>
      <w:r w:rsidR="00C02B08" w:rsidRPr="00C02B08">
        <w:rPr>
          <w:rFonts w:ascii="Calibri Light" w:hAnsi="Calibri Light" w:cs="Calibri Light"/>
          <w:color w:val="0070C0"/>
          <w:sz w:val="24"/>
          <w:szCs w:val="24"/>
        </w:rPr>
        <w:t xml:space="preserve">; </w:t>
      </w:r>
      <w:r w:rsidR="00C02B08" w:rsidRPr="00C02B08">
        <w:rPr>
          <w:rFonts w:ascii="Calibri Light" w:hAnsi="Calibri Light" w:cs="Calibri Light"/>
          <w:color w:val="0070C0"/>
          <w:sz w:val="24"/>
          <w:szCs w:val="24"/>
        </w:rPr>
        <w:fldChar w:fldCharType="begin" w:fldLock="1"/>
      </w:r>
      <w:r w:rsidR="00C02B08" w:rsidRPr="00C02B08">
        <w:rPr>
          <w:rFonts w:ascii="Calibri Light" w:hAnsi="Calibri Light" w:cs="Calibri Light"/>
          <w:color w:val="0070C0"/>
          <w:sz w:val="24"/>
          <w:szCs w:val="24"/>
        </w:rPr>
        <w:instrText>ADDIN CSL_CITATION {"citationItems":[{"id":"ITEM-1","itemData":{"DOI":"10.7454/irhs.v6i2.350","ISSN":"2477-6866","abstract":"Cases of insulting the national emblem are increasing and attracting attention. A number of cases of allegations of insulting the national emblem have brought up a number of names, from celebrities, religious and community leaders, teenagers and students, to organizations. Two cases that were busy were allegations of insulting the national emblem by Zaskia Gotik and Habib Rizieq, which appeared at a similar period. Various studies regarding the alleged humiliation of the state symbol by Zaskia Gotik and Habib Rizieq have been widely studied. However, most of the studies focused on linguistic and communication perspectives. Unlike previous studies, this paper intends to examine the aspects of criminal law enforcement in both cases. To answer the research problems raised, the author uses important concepts in punishment and also the theory of legal certainty. This study is a normative juridical study with secondary data as material for analysis. This research reveals that law enforcement in cases of alleged insulting the state symbol by Zaskia Gotik and Habib Rizieq provides legal certainty because of the existence of corridors or guidelines in declaring the act guilty or not legally. The corridor refers to Law no. 24 of 2009 which regulates the symbols of the state, one of which is the symbol of the state, both regarding the meaning, prohibition, and threat.KEYWORDS: State Symbol, Actus reus, Mens Rea, Criminal Act, Punishment, Legal Certainty, Law Enforcement","author":[{"dropping-particle":"","family":"Hermanto","given":"Budi","non-dropping-particle":"","parse-names":false,"suffix":""}],"container-title":"International Review of Humanities Studies","id":"ITEM-1","issue":"2","issued":{"date-parts":[["2021","7","28"]]},"title":"ANALYSIS OF THE NORMATIVE LAW ENFORCEMENT OF THE CRIME OF INSULTING THE STATE SYMBOL: CASE STUDY OF THE INSULT TO THE STATE COAT OF ARMS BY ZASKIA GOTIK AND HABIB RIZIEQ","type":"article-journal","volume":"6"},"uris":["http://www.mendeley.com/documents/?uuid=98927c22-2671-4588-909d-867aefda4c1f"]}],"mendeley":{"formattedCitation":"(Hermanto, 2021)","manualFormatting":"Hermanto, 2021","plainTextFormattedCitation":"(Hermanto, 2021)","previouslyFormattedCitation":"(Hermanto, 2021)"},"properties":{"noteIndex":0},"schema":"https://github.com/citation-style-language/schema/raw/master/csl-citation.json"}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Hermanto, 2021</w:t>
      </w:r>
      <w:r w:rsidR="00C02B08" w:rsidRPr="00C02B08">
        <w:rPr>
          <w:rFonts w:ascii="Calibri Light" w:hAnsi="Calibri Light" w:cs="Calibri Light"/>
          <w:color w:val="0070C0"/>
          <w:sz w:val="24"/>
          <w:szCs w:val="24"/>
        </w:rPr>
        <w:fldChar w:fldCharType="end"/>
      </w:r>
      <w:r w:rsidR="00C02B08" w:rsidRPr="00C02B08">
        <w:rPr>
          <w:rFonts w:ascii="Calibri Light" w:hAnsi="Calibri Light" w:cs="Calibri Light"/>
          <w:color w:val="0070C0"/>
          <w:sz w:val="24"/>
          <w:szCs w:val="24"/>
        </w:rPr>
        <w:t xml:space="preserve">; </w:t>
      </w:r>
      <w:r w:rsidR="00C02B08" w:rsidRPr="00C02B08">
        <w:rPr>
          <w:rFonts w:ascii="Calibri Light" w:hAnsi="Calibri Light" w:cs="Calibri Light"/>
          <w:color w:val="0070C0"/>
          <w:sz w:val="24"/>
          <w:szCs w:val="24"/>
        </w:rPr>
        <w:fldChar w:fldCharType="begin" w:fldLock="1"/>
      </w:r>
      <w:r w:rsidR="00C7405A">
        <w:rPr>
          <w:rFonts w:ascii="Calibri Light" w:hAnsi="Calibri Light" w:cs="Calibri Light"/>
          <w:color w:val="0070C0"/>
          <w:sz w:val="24"/>
          <w:szCs w:val="24"/>
        </w:rPr>
        <w:instrText>ADDIN CSL_CITATION {"citationItems":[{"id":"ITEM-1","itemData":{"DOI":"10.1163/9789004479630","ISBN":"9781571052957","author":[{"dropping-particle":"","family":"Maogoto","given":"Jackson","non-dropping-particle":"","parse-names":false,"suffix":""}],"container-title":"State Sovereignty and International Criminal Law: Versailles to Rome","id":"ITEM-1","issued":{"date-parts":[["2021","1","1"]]},"publisher":"Brill | Nijhoff","title":"State Sovereignty and International Criminal Law: Versailles to Rome","type":"book"},"uris":["http://www.mendeley.com/documents/?uuid=f1072bc8-b988-3739-a482-a10f60b6fff1"]}],"mendeley":{"formattedCitation":"(Maogoto, 2021)","manualFormatting":"Maogoto, 2021)","plainTextFormattedCitation":"(Maogoto, 2021)","previouslyFormattedCitation":"(Maogoto, 2021)"},"properties":{"noteIndex":0},"schema":"https://github.com/citation-style-language/schema/raw/master/csl-citation.json"}</w:instrText>
      </w:r>
      <w:r w:rsidR="00C02B08" w:rsidRPr="00C02B08">
        <w:rPr>
          <w:rFonts w:ascii="Calibri Light" w:hAnsi="Calibri Light" w:cs="Calibri Light"/>
          <w:color w:val="0070C0"/>
          <w:sz w:val="24"/>
          <w:szCs w:val="24"/>
        </w:rPr>
        <w:fldChar w:fldCharType="separate"/>
      </w:r>
      <w:r w:rsidR="00C02B08" w:rsidRPr="00C02B08">
        <w:rPr>
          <w:rFonts w:ascii="Calibri Light" w:hAnsi="Calibri Light" w:cs="Calibri Light"/>
          <w:noProof/>
          <w:color w:val="0070C0"/>
          <w:sz w:val="24"/>
          <w:szCs w:val="24"/>
        </w:rPr>
        <w:t>Maogoto, 2021)</w:t>
      </w:r>
      <w:r w:rsidR="00C02B08" w:rsidRPr="00C02B08">
        <w:rPr>
          <w:rFonts w:ascii="Calibri Light" w:hAnsi="Calibri Light" w:cs="Calibri Light"/>
          <w:color w:val="0070C0"/>
          <w:sz w:val="24"/>
          <w:szCs w:val="24"/>
        </w:rPr>
        <w:fldChar w:fldCharType="end"/>
      </w:r>
    </w:p>
    <w:p w14:paraId="195A2724" w14:textId="5244F896" w:rsidR="00CB4CFA" w:rsidRPr="00CB4CFA" w:rsidRDefault="00CB4CFA" w:rsidP="00CB4CFA">
      <w:pPr>
        <w:spacing w:before="120" w:after="120"/>
        <w:ind w:left="440" w:right="-1" w:hanging="14"/>
        <w:jc w:val="both"/>
        <w:rPr>
          <w:rFonts w:ascii="Calibri Light" w:hAnsi="Calibri Light" w:cs="Calibri Light"/>
          <w:sz w:val="24"/>
          <w:szCs w:val="24"/>
        </w:rPr>
      </w:pPr>
      <w:r w:rsidRPr="00DB51BE">
        <w:rPr>
          <w:rFonts w:ascii="Calibri Light" w:hAnsi="Calibri Light" w:cs="Calibri Light"/>
          <w:sz w:val="24"/>
          <w:szCs w:val="24"/>
        </w:rPr>
        <w:t>Looking at the current type of currency fractions in Indonesia, it is clear that Indonesia has experienced hyperinflation or very poor fundamental economic conditions</w:t>
      </w:r>
      <w:r w:rsidR="00DA0663" w:rsidRPr="00DB51BE">
        <w:rPr>
          <w:rFonts w:ascii="Calibri Light" w:hAnsi="Calibri Light" w:cs="Calibri Light"/>
          <w:sz w:val="24"/>
          <w:szCs w:val="24"/>
        </w:rPr>
        <w:t xml:space="preserve"> </w:t>
      </w:r>
      <w:r w:rsidR="00C7405A" w:rsidRPr="00C7405A">
        <w:rPr>
          <w:rFonts w:ascii="Calibri Light" w:hAnsi="Calibri Light" w:cs="Calibri Light"/>
          <w:color w:val="0070C0"/>
          <w:sz w:val="24"/>
          <w:szCs w:val="24"/>
        </w:rPr>
        <w:fldChar w:fldCharType="begin" w:fldLock="1"/>
      </w:r>
      <w:r w:rsidR="00D92E72">
        <w:rPr>
          <w:rFonts w:ascii="Calibri Light" w:hAnsi="Calibri Light" w:cs="Calibri Light"/>
          <w:color w:val="0070C0"/>
          <w:sz w:val="24"/>
          <w:szCs w:val="24"/>
        </w:rPr>
        <w:instrText>ADDIN CSL_CITATION {"citationItems":[{"id":"ITEM-1","itemData":{"DOI":"10.24014/jsms.v8i1.14767","ISSN":"2615-8663","abstract":"… tingkat inflasi di masa mendatang sangat diperlukan guna antisipasi pencegahan jika tingkat inflasi … Karena hal tersebut, maka pada penelitian ini dibahas forecasting tingkat inflasi …","author":[{"dropping-particle":"","family":"Riyono","given":"Joko","non-dropping-particle":"","parse-names":false,"suffix":""},{"dropping-particle":"","family":"Pujiastuti","given":"Christina Eni","non-dropping-particle":"","parse-names":false,"suffix":""},{"dropping-particle":"","family":"Riyana Putri","given":"Aina Latifa","non-dropping-particle":"","parse-names":false,"suffix":""}],"container-title":"Jurnal Sains Matematika dan Statistika","id":"ITEM-1","issue":"1","issued":{"date-parts":[["2022","1","27"]]},"page":"1","title":"Forecasting Laju Inflasi Indonesia Menggunakan Rantai Markov","type":"article-journal","volume":"8"},"uris":["http://www.mendeley.com/documents/?uuid=ce2e4979-a12d-3801-8d88-777abb5ed1db"]}],"mendeley":{"formattedCitation":"(Riyono et al., 2022)","plainTextFormattedCitation":"(Riyono et al., 2022)","previouslyFormattedCitation":"(Riyono et al., 2022)"},"properties":{"noteIndex":0},"schema":"https://github.com/citation-style-language/schema/raw/master/csl-citation.json"}</w:instrText>
      </w:r>
      <w:r w:rsidR="00C7405A" w:rsidRPr="00C7405A">
        <w:rPr>
          <w:rFonts w:ascii="Calibri Light" w:hAnsi="Calibri Light" w:cs="Calibri Light"/>
          <w:color w:val="0070C0"/>
          <w:sz w:val="24"/>
          <w:szCs w:val="24"/>
        </w:rPr>
        <w:fldChar w:fldCharType="separate"/>
      </w:r>
      <w:r w:rsidR="00C7405A" w:rsidRPr="00C7405A">
        <w:rPr>
          <w:rFonts w:ascii="Calibri Light" w:hAnsi="Calibri Light" w:cs="Calibri Light"/>
          <w:noProof/>
          <w:color w:val="0070C0"/>
          <w:sz w:val="24"/>
          <w:szCs w:val="24"/>
        </w:rPr>
        <w:t xml:space="preserve">(Riyono </w:t>
      </w:r>
      <w:r w:rsidR="005B3038" w:rsidRPr="005B3038">
        <w:rPr>
          <w:rFonts w:ascii="Calibri Light" w:hAnsi="Calibri Light" w:cs="Calibri Light"/>
          <w:i/>
          <w:noProof/>
          <w:color w:val="0070C0"/>
          <w:sz w:val="24"/>
          <w:szCs w:val="24"/>
        </w:rPr>
        <w:t>et al.</w:t>
      </w:r>
      <w:r w:rsidR="00C7405A" w:rsidRPr="00C7405A">
        <w:rPr>
          <w:rFonts w:ascii="Calibri Light" w:hAnsi="Calibri Light" w:cs="Calibri Light"/>
          <w:noProof/>
          <w:color w:val="0070C0"/>
          <w:sz w:val="24"/>
          <w:szCs w:val="24"/>
        </w:rPr>
        <w:t>, 2022)</w:t>
      </w:r>
      <w:r w:rsidR="00C7405A" w:rsidRPr="00C7405A">
        <w:rPr>
          <w:rFonts w:ascii="Calibri Light" w:hAnsi="Calibri Light" w:cs="Calibri Light"/>
          <w:color w:val="0070C0"/>
          <w:sz w:val="24"/>
          <w:szCs w:val="24"/>
        </w:rPr>
        <w:fldChar w:fldCharType="end"/>
      </w:r>
      <w:r w:rsidR="00C7405A">
        <w:rPr>
          <w:rFonts w:ascii="Calibri Light" w:hAnsi="Calibri Light" w:cs="Calibri Light"/>
          <w:sz w:val="24"/>
          <w:szCs w:val="24"/>
        </w:rPr>
        <w:t>.</w:t>
      </w:r>
      <w:r w:rsidRPr="00DB51BE">
        <w:rPr>
          <w:rFonts w:ascii="Calibri Light" w:hAnsi="Calibri Light" w:cs="Calibri Light"/>
          <w:sz w:val="24"/>
          <w:szCs w:val="24"/>
        </w:rPr>
        <w:t xml:space="preserve"> Hyperinflation, as recorded in history, occurred when Indonesia's inflation rate exceeded 50% in the period 1962-1968. During that period, the rate of inflation in Indonesia reached triple digits, peaking at 635.3% in 1966. Meanwhile, in 1968, Indonesia's inflation rate was still in the double digits, at 85.1%</w:t>
      </w:r>
      <w:r w:rsidR="00DA0663" w:rsidRPr="00DB51BE">
        <w:rPr>
          <w:rFonts w:ascii="Calibri Light" w:hAnsi="Calibri Light" w:cs="Calibri Light"/>
          <w:sz w:val="24"/>
          <w:szCs w:val="24"/>
        </w:rPr>
        <w:t xml:space="preserve"> </w:t>
      </w:r>
      <w:r w:rsidR="00D92E72" w:rsidRPr="006F2DC8">
        <w:rPr>
          <w:rFonts w:ascii="Calibri Light" w:hAnsi="Calibri Light" w:cs="Calibri Light"/>
          <w:color w:val="0070C0"/>
          <w:sz w:val="24"/>
          <w:szCs w:val="24"/>
        </w:rPr>
        <w:fldChar w:fldCharType="begin" w:fldLock="1"/>
      </w:r>
      <w:r w:rsidR="0094209C">
        <w:rPr>
          <w:rFonts w:ascii="Calibri Light" w:hAnsi="Calibri Light" w:cs="Calibri Light"/>
          <w:color w:val="0070C0"/>
          <w:sz w:val="24"/>
          <w:szCs w:val="24"/>
        </w:rPr>
        <w:instrText>ADDIN CSL_CITATION {"citationItems":[{"id":"ITEM-1","itemData":{"author":[{"dropping-particle":"","family":"Boediono","given":"","non-dropping-particle":"","parse-names":false,"suffix":""}],"id":"ITEM-1","issued":{"date-parts":[["2016"]]},"publisher":"Mizan Pustaka","publisher-place":"Bandung","title":"Ekonomi Indonesia: Dalam Lintasan Sejarah","type":"book"},"uris":["http://www.mendeley.com/documents/?uuid=73aa019b-5ebe-4784-907c-7c77be4e96fb"]}],"mendeley":{"formattedCitation":"(Boediono, 2016)","plainTextFormattedCitation":"(Boediono, 2016)","previouslyFormattedCitation":"(Boediono, 2016)"},"properties":{"noteIndex":0},"schema":"https://github.com/citation-style-language/schema/raw/master/csl-citation.json"}</w:instrText>
      </w:r>
      <w:r w:rsidR="00D92E72" w:rsidRPr="006F2DC8">
        <w:rPr>
          <w:rFonts w:ascii="Calibri Light" w:hAnsi="Calibri Light" w:cs="Calibri Light"/>
          <w:color w:val="0070C0"/>
          <w:sz w:val="24"/>
          <w:szCs w:val="24"/>
        </w:rPr>
        <w:fldChar w:fldCharType="separate"/>
      </w:r>
      <w:r w:rsidR="00D92E72" w:rsidRPr="006F2DC8">
        <w:rPr>
          <w:rFonts w:ascii="Calibri Light" w:hAnsi="Calibri Light" w:cs="Calibri Light"/>
          <w:noProof/>
          <w:color w:val="0070C0"/>
          <w:sz w:val="24"/>
          <w:szCs w:val="24"/>
        </w:rPr>
        <w:t>(Boediono, 2016)</w:t>
      </w:r>
      <w:r w:rsidR="00D92E72" w:rsidRPr="006F2DC8">
        <w:rPr>
          <w:rFonts w:ascii="Calibri Light" w:hAnsi="Calibri Light" w:cs="Calibri Light"/>
          <w:color w:val="0070C0"/>
          <w:sz w:val="24"/>
          <w:szCs w:val="24"/>
        </w:rPr>
        <w:fldChar w:fldCharType="end"/>
      </w:r>
      <w:r w:rsidR="00D92E72" w:rsidRPr="006F2DC8">
        <w:rPr>
          <w:rFonts w:ascii="Calibri Light" w:hAnsi="Calibri Light" w:cs="Calibri Light"/>
          <w:color w:val="0070C0"/>
          <w:sz w:val="24"/>
          <w:szCs w:val="24"/>
        </w:rPr>
        <w:t>.</w:t>
      </w:r>
    </w:p>
    <w:p w14:paraId="329C5F34" w14:textId="355A1810" w:rsidR="00CB4CFA" w:rsidRPr="0094209C" w:rsidRDefault="00CB4CFA" w:rsidP="00CB4CFA">
      <w:pPr>
        <w:spacing w:before="120" w:after="120"/>
        <w:ind w:left="440" w:right="-1" w:hanging="14"/>
        <w:jc w:val="both"/>
        <w:rPr>
          <w:rFonts w:ascii="Calibri Light" w:hAnsi="Calibri Light" w:cs="Calibri Light"/>
          <w:color w:val="0070C0"/>
          <w:sz w:val="24"/>
          <w:szCs w:val="24"/>
        </w:rPr>
      </w:pPr>
      <w:r w:rsidRPr="00CB4CFA">
        <w:rPr>
          <w:rFonts w:ascii="Calibri Light" w:hAnsi="Calibri Light" w:cs="Calibri Light"/>
          <w:sz w:val="24"/>
          <w:szCs w:val="24"/>
        </w:rPr>
        <w:t xml:space="preserve">In the course of history, the Indonesian economy suffered massive damage in 1998. This economic damage occurred due to soaring inflation of up to 77.63% and economic growth that plummeted to minus 13%. This situation was exacerbated by the Asian financial crisis in 1997-1999. During this period, </w:t>
      </w:r>
      <w:r w:rsidR="00DD77C0">
        <w:rPr>
          <w:rFonts w:ascii="Calibri Light" w:hAnsi="Calibri Light" w:cs="Calibri Light"/>
          <w:sz w:val="24"/>
          <w:szCs w:val="24"/>
        </w:rPr>
        <w:t xml:space="preserve">the Indonesian government anticipated hyperinflation </w:t>
      </w:r>
      <w:r w:rsidRPr="00CB4CFA">
        <w:rPr>
          <w:rFonts w:ascii="Calibri Light" w:hAnsi="Calibri Light" w:cs="Calibri Light"/>
          <w:sz w:val="24"/>
          <w:szCs w:val="24"/>
        </w:rPr>
        <w:t>through economic stabilization policies supported by the International Monetary Fund (IMF)</w:t>
      </w:r>
      <w:r w:rsidR="00CF632C">
        <w:rPr>
          <w:rFonts w:ascii="Calibri Light" w:hAnsi="Calibri Light" w:cs="Calibri Light"/>
          <w:sz w:val="24"/>
          <w:szCs w:val="24"/>
        </w:rPr>
        <w:t xml:space="preserve"> </w:t>
      </w:r>
      <w:r w:rsidR="00CF632C" w:rsidRPr="00CF632C">
        <w:rPr>
          <w:rFonts w:ascii="Calibri Light" w:hAnsi="Calibri Light" w:cs="Calibri Light"/>
          <w:color w:val="0070C0"/>
          <w:sz w:val="24"/>
          <w:szCs w:val="24"/>
        </w:rPr>
        <w:fldChar w:fldCharType="begin" w:fldLock="1"/>
      </w:r>
      <w:r w:rsidR="0011441D">
        <w:rPr>
          <w:rFonts w:ascii="Calibri Light" w:hAnsi="Calibri Light" w:cs="Calibri Light"/>
          <w:color w:val="0070C0"/>
          <w:sz w:val="24"/>
          <w:szCs w:val="24"/>
        </w:rPr>
        <w:instrText>ADDIN CSL_CITATION {"citationItems":[{"id":"ITEM-1","itemData":{"author":[{"dropping-particle":"","family":"Utria","given":"D. Cristina","non-dropping-particle":"","parse-names":false,"suffix":""}],"id":"ITEM-1","issued":{"date-parts":[["2016"]]},"publisher":"BI Institute","publisher-place":"Jakarta","title":"Inflasi di Indonesia: Karakteristik dan Pengendaliannya","type":"book"},"uris":["http://www.mendeley.com/documents/?uuid=254ccaa8-da35-442c-ba05-a1a1a48f3d0b"]}],"mendeley":{"formattedCitation":"(Utria, 2016)","plainTextFormattedCitation":"(Utria, 2016)","previouslyFormattedCitation":"(Utria, 2016)"},"properties":{"noteIndex":0},"schema":"https://github.com/citation-style-language/schema/raw/master/csl-citation.json"}</w:instrText>
      </w:r>
      <w:r w:rsidR="00CF632C" w:rsidRPr="00CF632C">
        <w:rPr>
          <w:rFonts w:ascii="Calibri Light" w:hAnsi="Calibri Light" w:cs="Calibri Light"/>
          <w:color w:val="0070C0"/>
          <w:sz w:val="24"/>
          <w:szCs w:val="24"/>
        </w:rPr>
        <w:fldChar w:fldCharType="separate"/>
      </w:r>
      <w:r w:rsidR="00CF632C" w:rsidRPr="00CF632C">
        <w:rPr>
          <w:rFonts w:ascii="Calibri Light" w:hAnsi="Calibri Light" w:cs="Calibri Light"/>
          <w:noProof/>
          <w:color w:val="0070C0"/>
          <w:sz w:val="24"/>
          <w:szCs w:val="24"/>
        </w:rPr>
        <w:t>(Utria, 2016)</w:t>
      </w:r>
      <w:r w:rsidR="00CF632C" w:rsidRPr="00CF632C">
        <w:rPr>
          <w:rFonts w:ascii="Calibri Light" w:hAnsi="Calibri Light" w:cs="Calibri Light"/>
          <w:color w:val="0070C0"/>
          <w:sz w:val="24"/>
          <w:szCs w:val="24"/>
        </w:rPr>
        <w:fldChar w:fldCharType="end"/>
      </w:r>
      <w:r w:rsidR="00CF632C" w:rsidRPr="00CF632C">
        <w:rPr>
          <w:rFonts w:ascii="Calibri Light" w:hAnsi="Calibri Light" w:cs="Calibri Light"/>
          <w:color w:val="0070C0"/>
          <w:sz w:val="24"/>
          <w:szCs w:val="24"/>
        </w:rPr>
        <w:t>.</w:t>
      </w:r>
      <w:r w:rsidR="00CF632C">
        <w:rPr>
          <w:rFonts w:ascii="Calibri Light" w:hAnsi="Calibri Light" w:cs="Calibri Light"/>
          <w:sz w:val="24"/>
          <w:szCs w:val="24"/>
        </w:rPr>
        <w:t xml:space="preserve"> </w:t>
      </w:r>
      <w:r w:rsidRPr="00CB4CFA">
        <w:rPr>
          <w:rFonts w:ascii="Calibri Light" w:hAnsi="Calibri Light" w:cs="Calibri Light"/>
          <w:sz w:val="24"/>
          <w:szCs w:val="24"/>
        </w:rPr>
        <w:t>After the economic crisis, inflation control policies began to be implemented as a form of anticipation, including the implementation of an inflation targeting framework (ITF). ITF is a framework in which monetary policy is directed towards achieving a predetermined inflation target for a specified period in the future</w:t>
      </w:r>
      <w:r w:rsidR="00DD77C0">
        <w:rPr>
          <w:rFonts w:ascii="Calibri Light" w:hAnsi="Calibri Light" w:cs="Calibri Light"/>
          <w:sz w:val="24"/>
          <w:szCs w:val="24"/>
        </w:rPr>
        <w:t xml:space="preserve"> </w:t>
      </w:r>
      <w:r w:rsidR="0094209C" w:rsidRPr="0094209C">
        <w:rPr>
          <w:rFonts w:ascii="Calibri Light" w:hAnsi="Calibri Light" w:cs="Calibri Light"/>
          <w:color w:val="0070C0"/>
          <w:sz w:val="24"/>
          <w:szCs w:val="24"/>
        </w:rPr>
        <w:fldChar w:fldCharType="begin" w:fldLock="1"/>
      </w:r>
      <w:r w:rsidR="00CF632C">
        <w:rPr>
          <w:rFonts w:ascii="Calibri Light" w:hAnsi="Calibri Light" w:cs="Calibri Light"/>
          <w:color w:val="0070C0"/>
          <w:sz w:val="24"/>
          <w:szCs w:val="24"/>
        </w:rPr>
        <w:instrText>ADDIN CSL_CITATION {"citationItems":[{"id":"ITEM-1","itemData":{"DOI":"10.1016/j.jefas.2015.01.003","ISSN":"20771886","abstract":"The relationship between inflation and economic growth is a contentious issue. The present study is undertaking to test hypothesis that the relationship between inflation and economic growth is nonlinear. This pane data study involves ASEAN-5 countries over the period 1980-2011. Panel Smooth Transition Regression (PSTR) model is employed to estimate the threshold of inflation and its effects on economic growth. Furthermore, we also check robustness by using GMM-IV specification. The study finds that there exists a statistically significant negative relationship between inflation and growth for the inflation rates above the threshold level of 7.84%, above which inflation starts impeding economic growth in the ASEAN-5 countries. The results suggest that central banks in the ASEAN-5 countries could improve economic growth by reducing inflation when it is above or near the estimated thresholds. The threshold inflation level can be considered, therefore, as inflation targeting indicator to conduct monetary policy.","author":[{"dropping-particle":"","family":"Thanh","given":"Su Dinh","non-dropping-particle":"","parse-names":false,"suffix":""}],"container-title":"Journal of Economics, Finance and Administrative Science","id":"ITEM-1","issue":"38","issued":{"date-parts":[["2015","6"]]},"page":"41-48","title":"Threshold effects of inflation on growth in the ASEAN-5 countries: A Panel Smooth Transition Regression approach","type":"article-journal","volume":"20"},"uris":["http://www.mendeley.com/documents/?uuid=b301e747-d988-4919-9d50-9f0ca1af5dd1"]}],"mendeley":{"formattedCitation":"(Thanh, 2015)","plainTextFormattedCitation":"(Thanh, 2015)","previouslyFormattedCitation":"(Thanh, 2015)"},"properties":{"noteIndex":0},"schema":"https://github.com/citation-style-language/schema/raw/master/csl-citation.json"}</w:instrText>
      </w:r>
      <w:r w:rsidR="0094209C" w:rsidRPr="0094209C">
        <w:rPr>
          <w:rFonts w:ascii="Calibri Light" w:hAnsi="Calibri Light" w:cs="Calibri Light"/>
          <w:color w:val="0070C0"/>
          <w:sz w:val="24"/>
          <w:szCs w:val="24"/>
        </w:rPr>
        <w:fldChar w:fldCharType="separate"/>
      </w:r>
      <w:r w:rsidR="0094209C" w:rsidRPr="0094209C">
        <w:rPr>
          <w:rFonts w:ascii="Calibri Light" w:hAnsi="Calibri Light" w:cs="Calibri Light"/>
          <w:noProof/>
          <w:color w:val="0070C0"/>
          <w:sz w:val="24"/>
          <w:szCs w:val="24"/>
        </w:rPr>
        <w:t>(Thanh, 2015)</w:t>
      </w:r>
      <w:r w:rsidR="0094209C" w:rsidRPr="0094209C">
        <w:rPr>
          <w:rFonts w:ascii="Calibri Light" w:hAnsi="Calibri Light" w:cs="Calibri Light"/>
          <w:color w:val="0070C0"/>
          <w:sz w:val="24"/>
          <w:szCs w:val="24"/>
        </w:rPr>
        <w:fldChar w:fldCharType="end"/>
      </w:r>
    </w:p>
    <w:p w14:paraId="33FD208A" w14:textId="76A6C28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Indonesia can learn from countries that have successfully carried out </w:t>
      </w:r>
      <w:r w:rsidR="00B74AF1">
        <w:rPr>
          <w:rFonts w:ascii="Calibri Light" w:hAnsi="Calibri Light" w:cs="Calibri Light"/>
          <w:sz w:val="24"/>
          <w:szCs w:val="24"/>
        </w:rPr>
        <w:t>re-denominations</w:t>
      </w:r>
      <w:r w:rsidRPr="00CB4CFA">
        <w:rPr>
          <w:rFonts w:ascii="Calibri Light" w:hAnsi="Calibri Light" w:cs="Calibri Light"/>
          <w:sz w:val="24"/>
          <w:szCs w:val="24"/>
        </w:rPr>
        <w:t xml:space="preserve">, such as Turkey. In 2006, Turkey removed six zeros from its currency, changing 1,000,000 </w:t>
      </w:r>
      <w:proofErr w:type="gramStart"/>
      <w:r w:rsidRPr="00CB4CFA">
        <w:rPr>
          <w:rFonts w:ascii="Calibri Light" w:hAnsi="Calibri Light" w:cs="Calibri Light"/>
          <w:sz w:val="24"/>
          <w:szCs w:val="24"/>
        </w:rPr>
        <w:t>lira</w:t>
      </w:r>
      <w:proofErr w:type="gramEnd"/>
      <w:r w:rsidRPr="00CB4CFA">
        <w:rPr>
          <w:rFonts w:ascii="Calibri Light" w:hAnsi="Calibri Light" w:cs="Calibri Light"/>
          <w:sz w:val="24"/>
          <w:szCs w:val="24"/>
        </w:rPr>
        <w:t xml:space="preserve"> to 1 lira. In practice, Turkey carried out redenomination gradually, taking into account the stability of the domestic economy. The same goes for Poland, Romania, and Ukraine, </w:t>
      </w:r>
      <w:r w:rsidRPr="00CB4CFA">
        <w:rPr>
          <w:rFonts w:ascii="Calibri Light" w:hAnsi="Calibri Light" w:cs="Calibri Light"/>
          <w:sz w:val="24"/>
          <w:szCs w:val="24"/>
        </w:rPr>
        <w:lastRenderedPageBreak/>
        <w:t xml:space="preserve">which have also successfully implemented this policy. However, it should be noted that </w:t>
      </w:r>
      <w:r w:rsidR="00B74AF1">
        <w:rPr>
          <w:rFonts w:ascii="Calibri Light" w:hAnsi="Calibri Light" w:cs="Calibri Light"/>
          <w:sz w:val="24"/>
          <w:szCs w:val="24"/>
        </w:rPr>
        <w:t>many countries have</w:t>
      </w:r>
      <w:r w:rsidRPr="00CB4CFA">
        <w:rPr>
          <w:rFonts w:ascii="Calibri Light" w:hAnsi="Calibri Light" w:cs="Calibri Light"/>
          <w:sz w:val="24"/>
          <w:szCs w:val="24"/>
        </w:rPr>
        <w:t xml:space="preserve"> failed to </w:t>
      </w:r>
      <w:r w:rsidR="00DD77C0">
        <w:rPr>
          <w:rFonts w:ascii="Calibri Light" w:hAnsi="Calibri Light" w:cs="Calibri Light"/>
          <w:sz w:val="24"/>
          <w:szCs w:val="24"/>
        </w:rPr>
        <w:t>re-denominate</w:t>
      </w:r>
      <w:r w:rsidRPr="00CB4CFA">
        <w:rPr>
          <w:rFonts w:ascii="Calibri Light" w:hAnsi="Calibri Light" w:cs="Calibri Light"/>
          <w:sz w:val="24"/>
          <w:szCs w:val="24"/>
        </w:rPr>
        <w:t>, such as North Korea, Brazil, Argentina, and Zimbabwe. This failure is thought to have occurred because the redenomination was carried out at the wrong time, when the domestic economy was unstable and hyperinflation was occurring.</w:t>
      </w:r>
    </w:p>
    <w:p w14:paraId="10D60F06"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Therefore, to avoid the failure of the rupiah redenomination, it is necessary to maintain macroeconomic stability, support from all levels of society, a strong legal foundation, conducive political and social conditions, proper timing, and support for international economic stability. As a form of currency reform, redenomination becomes a last resort for monetary authorities when excessive inflation causes the rupiah to depreciate significantly. </w:t>
      </w:r>
      <w:r w:rsidR="001A4705" w:rsidRPr="001A4705">
        <w:rPr>
          <w:rFonts w:ascii="Calibri Light" w:hAnsi="Calibri Light" w:cs="Calibri Light"/>
          <w:caps/>
          <w:sz w:val="24"/>
          <w:szCs w:val="24"/>
        </w:rPr>
        <w:t>BI</w:t>
      </w:r>
      <w:r w:rsidRPr="00CB4CFA">
        <w:rPr>
          <w:rFonts w:ascii="Calibri Light" w:hAnsi="Calibri Light" w:cs="Calibri Light"/>
          <w:sz w:val="24"/>
          <w:szCs w:val="24"/>
        </w:rPr>
        <w:t>'s redenomination strategic plan aims to restore public confidence in economic policy and maintain the stability of the rupiah.</w:t>
      </w:r>
    </w:p>
    <w:p w14:paraId="7F0B1831" w14:textId="3B10F9D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stages in the implementation of redenomination take a long time, including the preparation stage, the transition stage, and the phasing out stage</w:t>
      </w:r>
      <w:r w:rsidR="0011441D">
        <w:rPr>
          <w:rFonts w:ascii="Calibri Light" w:hAnsi="Calibri Light" w:cs="Calibri Light"/>
          <w:sz w:val="24"/>
          <w:szCs w:val="24"/>
        </w:rPr>
        <w:t xml:space="preserve"> </w:t>
      </w:r>
      <w:r w:rsidR="0011441D" w:rsidRPr="0011441D">
        <w:rPr>
          <w:rFonts w:ascii="Calibri Light" w:hAnsi="Calibri Light" w:cs="Calibri Light"/>
          <w:color w:val="0070C0"/>
          <w:sz w:val="24"/>
          <w:szCs w:val="24"/>
        </w:rPr>
        <w:fldChar w:fldCharType="begin" w:fldLock="1"/>
      </w:r>
      <w:r w:rsidR="007E23A6">
        <w:rPr>
          <w:rFonts w:ascii="Calibri Light" w:hAnsi="Calibri Light" w:cs="Calibri Light"/>
          <w:color w:val="0070C0"/>
          <w:sz w:val="24"/>
          <w:szCs w:val="24"/>
        </w:rPr>
        <w:instrText>ADDIN CSL_CITATION {"citationItems":[{"id":"ITEM-1","itemData":{"abstract":"Tulisan ini bertujuan untuk menggambarkan berbagai hal yang perlu menjadi perhatian dalam rencana pelaksanaan redenominasi di Indonesia dan menjelaskan bagaimana kesiapan fundamental makroekonomi Indonesia dalam menghadapi program redenominasi serta dampak yang akan ditimbulkannya. Metode yang digunakan dalam membahas studi ini adalah metode deskriptif dengan memanfaatkan data sekunder dan publikasi yang sudah ada sebelumnya. Urgensi dilaksanakannya redenominasi di Indonesia didasari adanya inefisiensi perekonomian, adanya kendala teknis pada operasional kegiatan usaha dan mendukung ekonomi nasional dalam memasuki era masyarakat ekonomi ASEAN. Indikator makroekonomi Indonesia saat ini dinilai cukup kuat dan dapat mendukung diberlakukannya redenominasi. Redenominasi diharapkan dapat memberikan manfaat positif baik bagi negara, pelaku usaha dan masyarakat. Bagi negara redenominasi dapat meningkatkan kredibilitas rupiah, menghemat biaya pencetakan uang, dan mempermudah transaksi pemerintah. Bagi pelaku usaha redenominasi dapat mempermudah transaksi keuangan sehingga mempercepat waktu operasional dan meminimalisir potensi kesalahan. Selain itu, akan mengurangi biaya penyesuaian perangkat keras dan lunak sistem akuntansi dan teknologi informasi. Bagi masyarakat, redenominasi dapat mempermudah dalam bertransaksi, mengurangi resiko kerusakan uang dan mendukung proses belajar dan mengajar pada pendidikan dasar. Namun, pemerintah dan Bank Indonesia juga perlu mewaspadai terjadinya risiko akibat redenominasi, yaitu inflasi, penambahan pengeluaran negara, penolakan sebagian masyarakat dan penambahan biaya produksi, efek psikologi, dan potensi perselisihan antar pelaku usaha dan konsumen.","author":[{"dropping-particle":"","family":"Permana","given":"Sony Hendra","non-dropping-particle":"","parse-names":false,"suffix":""}],"container-title":"Jurnal Ekonomi Kebijakan Publik","id":"ITEM-1","issue":"1","issued":{"date-parts":[["2015"]]},"title":"PROSPEK PELAKSANAAN REDENOMINASI DI INDONESIA ( Prospects of Redenomination Implementation in Indonesia )","type":"article-journal","volume":"6"},"uris":["http://www.mendeley.com/documents/?uuid=11c46dbb-ca13-3028-b818-95330d84d72d"]}],"mendeley":{"formattedCitation":"(Permana, 2015)","plainTextFormattedCitation":"(Permana, 2015)","previouslyFormattedCitation":"(Permana, 2015)"},"properties":{"noteIndex":0},"schema":"https://github.com/citation-style-language/schema/raw/master/csl-citation.json"}</w:instrText>
      </w:r>
      <w:r w:rsidR="0011441D" w:rsidRPr="0011441D">
        <w:rPr>
          <w:rFonts w:ascii="Calibri Light" w:hAnsi="Calibri Light" w:cs="Calibri Light"/>
          <w:color w:val="0070C0"/>
          <w:sz w:val="24"/>
          <w:szCs w:val="24"/>
        </w:rPr>
        <w:fldChar w:fldCharType="separate"/>
      </w:r>
      <w:r w:rsidR="0011441D" w:rsidRPr="0011441D">
        <w:rPr>
          <w:rFonts w:ascii="Calibri Light" w:hAnsi="Calibri Light" w:cs="Calibri Light"/>
          <w:noProof/>
          <w:color w:val="0070C0"/>
          <w:sz w:val="24"/>
          <w:szCs w:val="24"/>
        </w:rPr>
        <w:t>(Permana, 2015)</w:t>
      </w:r>
      <w:r w:rsidR="0011441D" w:rsidRPr="0011441D">
        <w:rPr>
          <w:rFonts w:ascii="Calibri Light" w:hAnsi="Calibri Light" w:cs="Calibri Light"/>
          <w:color w:val="0070C0"/>
          <w:sz w:val="24"/>
          <w:szCs w:val="24"/>
        </w:rPr>
        <w:fldChar w:fldCharType="end"/>
      </w:r>
      <w:r w:rsidR="0011441D">
        <w:rPr>
          <w:rFonts w:ascii="Calibri Light" w:hAnsi="Calibri Light" w:cs="Calibri Light"/>
          <w:sz w:val="24"/>
          <w:szCs w:val="24"/>
        </w:rPr>
        <w:t xml:space="preserve">. </w:t>
      </w:r>
      <w:r w:rsidRPr="00CB4CFA">
        <w:rPr>
          <w:rFonts w:ascii="Calibri Light" w:hAnsi="Calibri Light" w:cs="Calibri Light"/>
          <w:sz w:val="24"/>
          <w:szCs w:val="24"/>
        </w:rPr>
        <w:t>In</w:t>
      </w:r>
      <w:r w:rsidR="00DD77C0">
        <w:rPr>
          <w:rFonts w:ascii="Calibri Light" w:hAnsi="Calibri Light" w:cs="Calibri Light"/>
          <w:sz w:val="24"/>
          <w:szCs w:val="24"/>
        </w:rPr>
        <w:t xml:space="preserve"> </w:t>
      </w:r>
      <w:r w:rsidRPr="00CB4CFA">
        <w:rPr>
          <w:rFonts w:ascii="Calibri Light" w:hAnsi="Calibri Light" w:cs="Calibri Light"/>
          <w:sz w:val="24"/>
          <w:szCs w:val="24"/>
        </w:rPr>
        <w:t xml:space="preserve">the preparation stage, the urgent step that needs to be taken is to draft a regulation on </w:t>
      </w:r>
      <w:r w:rsidR="00DD77C0">
        <w:rPr>
          <w:rFonts w:ascii="Calibri Light" w:hAnsi="Calibri Light" w:cs="Calibri Light"/>
          <w:sz w:val="24"/>
          <w:szCs w:val="24"/>
        </w:rPr>
        <w:t xml:space="preserve">the </w:t>
      </w:r>
      <w:r w:rsidRPr="00CB4CFA">
        <w:rPr>
          <w:rFonts w:ascii="Calibri Light" w:hAnsi="Calibri Light" w:cs="Calibri Light"/>
          <w:sz w:val="24"/>
          <w:szCs w:val="24"/>
        </w:rPr>
        <w:t>rupiah redenomination until its enactment. Redenomination was once regulated in Law Number 7 of 2011 concerning Currency, but was later issued and recommended to be regulated in a separate law. This is in line with the mandate of Article 23B of the 1945 Constitution which states that the type and price of currency must be stipulated by law. The enactment of this regulation is very urgent so that the value of the rupiah is not left entirely to the free market mechanism (floating)</w:t>
      </w:r>
      <w:r w:rsidR="007E23A6">
        <w:rPr>
          <w:rFonts w:ascii="Calibri Light" w:hAnsi="Calibri Light" w:cs="Calibri Light"/>
          <w:sz w:val="24"/>
          <w:szCs w:val="24"/>
        </w:rPr>
        <w:t xml:space="preserve"> </w:t>
      </w:r>
      <w:r w:rsidR="007E23A6" w:rsidRPr="00E11ED3">
        <w:rPr>
          <w:rFonts w:ascii="Calibri Light" w:hAnsi="Calibri Light" w:cs="Calibri Light"/>
          <w:color w:val="0070C0"/>
          <w:sz w:val="24"/>
          <w:szCs w:val="24"/>
        </w:rPr>
        <w:fldChar w:fldCharType="begin" w:fldLock="1"/>
      </w:r>
      <w:r w:rsidR="005B21F6">
        <w:rPr>
          <w:rFonts w:ascii="Calibri Light" w:hAnsi="Calibri Light" w:cs="Calibri Light"/>
          <w:color w:val="0070C0"/>
          <w:sz w:val="24"/>
          <w:szCs w:val="24"/>
        </w:rPr>
        <w:instrText>ADDIN CSL_CITATION {"citationItems":[{"id":"ITEM-1","itemData":{"author":[{"dropping-particle":"","family":"Kurnianingrum","given":"T. P.","non-dropping-particle":"","parse-names":false,"suffix":""}],"container-title":"Negara Hukum","id":"ITEM-1","issue":"1","issued":{"date-parts":[["2016"]]},"page":"67-85","title":"Redenominasi Rupiah Dalam Prespektif Hukum","type":"article-journal","volume":"4"},"uris":["http://www.mendeley.com/documents/?uuid=77b2c7f0-5ac3-4e5d-bf7e-0bbf7fc75ee2"]}],"mendeley":{"formattedCitation":"(Kurnianingrum, 2016)","plainTextFormattedCitation":"(Kurnianingrum, 2016)","previouslyFormattedCitation":"(Kurnianingrum, 2016)"},"properties":{"noteIndex":0},"schema":"https://github.com/citation-style-language/schema/raw/master/csl-citation.json"}</w:instrText>
      </w:r>
      <w:r w:rsidR="007E23A6" w:rsidRPr="00E11ED3">
        <w:rPr>
          <w:rFonts w:ascii="Calibri Light" w:hAnsi="Calibri Light" w:cs="Calibri Light"/>
          <w:color w:val="0070C0"/>
          <w:sz w:val="24"/>
          <w:szCs w:val="24"/>
        </w:rPr>
        <w:fldChar w:fldCharType="separate"/>
      </w:r>
      <w:r w:rsidR="007E23A6" w:rsidRPr="00E11ED3">
        <w:rPr>
          <w:rFonts w:ascii="Calibri Light" w:hAnsi="Calibri Light" w:cs="Calibri Light"/>
          <w:noProof/>
          <w:color w:val="0070C0"/>
          <w:sz w:val="24"/>
          <w:szCs w:val="24"/>
        </w:rPr>
        <w:t>(Kurnianingrum, 2016)</w:t>
      </w:r>
      <w:r w:rsidR="007E23A6" w:rsidRPr="00E11ED3">
        <w:rPr>
          <w:rFonts w:ascii="Calibri Light" w:hAnsi="Calibri Light" w:cs="Calibri Light"/>
          <w:color w:val="0070C0"/>
          <w:sz w:val="24"/>
          <w:szCs w:val="24"/>
        </w:rPr>
        <w:fldChar w:fldCharType="end"/>
      </w:r>
      <w:r w:rsidR="007E23A6" w:rsidRPr="00E11ED3">
        <w:rPr>
          <w:rFonts w:ascii="Calibri Light" w:hAnsi="Calibri Light" w:cs="Calibri Light"/>
          <w:color w:val="0070C0"/>
          <w:sz w:val="24"/>
          <w:szCs w:val="24"/>
        </w:rPr>
        <w:t xml:space="preserve">. </w:t>
      </w:r>
    </w:p>
    <w:p w14:paraId="67AC06C9"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transition stage should ideally be carried out by gradually exchanging the “old” rupiah for the “new” </w:t>
      </w:r>
      <w:r w:rsidR="00CF4746">
        <w:rPr>
          <w:rFonts w:ascii="Calibri Light" w:hAnsi="Calibri Light" w:cs="Calibri Light"/>
          <w:sz w:val="24"/>
          <w:szCs w:val="24"/>
        </w:rPr>
        <w:t>one</w:t>
      </w:r>
      <w:r w:rsidRPr="00CB4CFA">
        <w:rPr>
          <w:rFonts w:ascii="Calibri Light" w:hAnsi="Calibri Light" w:cs="Calibri Light"/>
          <w:sz w:val="24"/>
          <w:szCs w:val="24"/>
        </w:rPr>
        <w:t xml:space="preserve">, as well as socializing the redenomination plan to make it clear to the public that redenomination is not </w:t>
      </w:r>
      <w:proofErr w:type="spellStart"/>
      <w:r w:rsidR="00647C72" w:rsidRPr="00647C72">
        <w:rPr>
          <w:rFonts w:ascii="Calibri Light" w:hAnsi="Calibri Light" w:cs="Calibri Light"/>
          <w:i/>
          <w:sz w:val="24"/>
          <w:szCs w:val="24"/>
        </w:rPr>
        <w:t>sanering</w:t>
      </w:r>
      <w:proofErr w:type="spellEnd"/>
      <w:r w:rsidRPr="00CB4CFA">
        <w:rPr>
          <w:rFonts w:ascii="Calibri Light" w:hAnsi="Calibri Light" w:cs="Calibri Light"/>
          <w:sz w:val="24"/>
          <w:szCs w:val="24"/>
        </w:rPr>
        <w:t>, but rather a simplification of the currency by removing several zeros. This transition period will take at least 2-5 years before it is ready to enter the phasing out stage. In the phasing out stage, redenomination can begin until all transactions use “new” rupiah.</w:t>
      </w:r>
    </w:p>
    <w:p w14:paraId="4D8D37F1"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practice of eliminating zeros in rupiah has been widely found in the price list of products and services, for example the price of food and drinks in cafes for Rp50,000 is written as 50K, 500,000 as 500K and so on. This assumes that some people have started to choose the efficiency of writing prices. Disseminating this transition phase will condition and minimize the negative impact of false rumors of redenomination and suppress the emergence of community resistance.</w:t>
      </w:r>
    </w:p>
    <w:p w14:paraId="3DA7FA1C"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implementation of redenomination, even though it is the sole authority of </w:t>
      </w:r>
      <w:r w:rsidR="001A4705" w:rsidRPr="001A4705">
        <w:rPr>
          <w:rFonts w:ascii="Calibri Light" w:hAnsi="Calibri Light" w:cs="Calibri Light"/>
          <w:caps/>
          <w:sz w:val="24"/>
          <w:szCs w:val="24"/>
        </w:rPr>
        <w:t>BI</w:t>
      </w:r>
      <w:r w:rsidRPr="00CB4CFA">
        <w:rPr>
          <w:rFonts w:ascii="Calibri Light" w:hAnsi="Calibri Light" w:cs="Calibri Light"/>
          <w:sz w:val="24"/>
          <w:szCs w:val="24"/>
        </w:rPr>
        <w:t xml:space="preserve"> in making monetary policies, still requires approval from the DPR as the legislative body. This is considered as one of the obstacles to the redenomination of the rupiah because in the process of discussing the Bill, it still often sparks debate. Regardless of the pros and cons, redenomination should be a serious topic for consideration. Because, whether we realize it or not, the nominal value of the rupiah is too large, which has an impact on all types of transactions involving foreign exchange. For example, the rupiah's quotation against the US dollar and the euro is almost 4-5 digits behind the decimal point, which represents the low credibility of the rupiah.</w:t>
      </w:r>
    </w:p>
    <w:p w14:paraId="7032CAAD"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lastRenderedPageBreak/>
        <w:t>The Currency Amendment Bill was included in the 2015-2019 National Legislation Program (</w:t>
      </w:r>
      <w:proofErr w:type="spellStart"/>
      <w:r w:rsidRPr="00CB4CFA">
        <w:rPr>
          <w:rFonts w:ascii="Calibri Light" w:hAnsi="Calibri Light" w:cs="Calibri Light"/>
          <w:sz w:val="24"/>
          <w:szCs w:val="24"/>
        </w:rPr>
        <w:t>Prolegnas</w:t>
      </w:r>
      <w:proofErr w:type="spellEnd"/>
      <w:r w:rsidRPr="00CB4CFA">
        <w:rPr>
          <w:rFonts w:ascii="Calibri Light" w:hAnsi="Calibri Light" w:cs="Calibri Light"/>
          <w:sz w:val="24"/>
          <w:szCs w:val="24"/>
        </w:rPr>
        <w:t>), but</w:t>
      </w:r>
      <w:r w:rsidR="00CF4746">
        <w:rPr>
          <w:rFonts w:ascii="Calibri Light" w:hAnsi="Calibri Light" w:cs="Calibri Light"/>
          <w:sz w:val="24"/>
          <w:szCs w:val="24"/>
        </w:rPr>
        <w:t>,</w:t>
      </w:r>
      <w:r w:rsidRPr="00CB4CFA">
        <w:rPr>
          <w:rFonts w:ascii="Calibri Light" w:hAnsi="Calibri Light" w:cs="Calibri Light"/>
          <w:sz w:val="24"/>
          <w:szCs w:val="24"/>
        </w:rPr>
        <w:t xml:space="preserve"> to date</w:t>
      </w:r>
      <w:r w:rsidR="00CF4746">
        <w:rPr>
          <w:rFonts w:ascii="Calibri Light" w:hAnsi="Calibri Light" w:cs="Calibri Light"/>
          <w:sz w:val="24"/>
          <w:szCs w:val="24"/>
        </w:rPr>
        <w:t>,</w:t>
      </w:r>
      <w:r w:rsidRPr="00CB4CFA">
        <w:rPr>
          <w:rFonts w:ascii="Calibri Light" w:hAnsi="Calibri Light" w:cs="Calibri Light"/>
          <w:sz w:val="24"/>
          <w:szCs w:val="24"/>
        </w:rPr>
        <w:t xml:space="preserve"> there has been no further follow-up. The use of denominations of money </w:t>
      </w:r>
      <w:r w:rsidR="00CF4746">
        <w:rPr>
          <w:rFonts w:ascii="Calibri Light" w:hAnsi="Calibri Light" w:cs="Calibri Light"/>
          <w:sz w:val="24"/>
          <w:szCs w:val="24"/>
        </w:rPr>
        <w:t xml:space="preserve">that are too large </w:t>
      </w:r>
      <w:r w:rsidRPr="00CB4CFA">
        <w:rPr>
          <w:rFonts w:ascii="Calibri Light" w:hAnsi="Calibri Light" w:cs="Calibri Light"/>
          <w:sz w:val="24"/>
          <w:szCs w:val="24"/>
        </w:rPr>
        <w:t>causes problems in financial transactions. Technically, the need for redenomination arises for several reasons:</w:t>
      </w:r>
      <w:r w:rsidR="00CF4746">
        <w:rPr>
          <w:rFonts w:ascii="Calibri Light" w:hAnsi="Calibri Light" w:cs="Calibri Light"/>
          <w:sz w:val="24"/>
          <w:szCs w:val="24"/>
        </w:rPr>
        <w:t xml:space="preserve"> </w:t>
      </w:r>
      <w:r w:rsidRPr="00CB4CFA">
        <w:rPr>
          <w:rFonts w:ascii="Calibri Light" w:hAnsi="Calibri Light" w:cs="Calibri Light"/>
          <w:sz w:val="24"/>
          <w:szCs w:val="24"/>
        </w:rPr>
        <w:t>a) Economic inefficiency, which includes</w:t>
      </w:r>
      <w:r w:rsidR="00CF4746">
        <w:rPr>
          <w:rFonts w:ascii="Calibri Light" w:hAnsi="Calibri Light" w:cs="Calibri Light"/>
          <w:sz w:val="24"/>
          <w:szCs w:val="24"/>
        </w:rPr>
        <w:t xml:space="preserve"> r</w:t>
      </w:r>
      <w:r w:rsidRPr="00CB4CFA">
        <w:rPr>
          <w:rFonts w:ascii="Calibri Light" w:hAnsi="Calibri Light" w:cs="Calibri Light"/>
          <w:sz w:val="24"/>
          <w:szCs w:val="24"/>
        </w:rPr>
        <w:t>equiring considerable time and transaction costs</w:t>
      </w:r>
      <w:r w:rsidR="00CF4746">
        <w:rPr>
          <w:rFonts w:ascii="Calibri Light" w:hAnsi="Calibri Light" w:cs="Calibri Light"/>
          <w:sz w:val="24"/>
          <w:szCs w:val="24"/>
        </w:rPr>
        <w:t>, t</w:t>
      </w:r>
      <w:r w:rsidRPr="00CB4CFA">
        <w:rPr>
          <w:rFonts w:ascii="Calibri Light" w:hAnsi="Calibri Light" w:cs="Calibri Light"/>
          <w:sz w:val="24"/>
          <w:szCs w:val="24"/>
        </w:rPr>
        <w:t>he need for future development of non-cash payment system infrastructure requires significant costs</w:t>
      </w:r>
      <w:r w:rsidR="00CF4746">
        <w:rPr>
          <w:rFonts w:ascii="Calibri Light" w:hAnsi="Calibri Light" w:cs="Calibri Light"/>
          <w:sz w:val="24"/>
          <w:szCs w:val="24"/>
        </w:rPr>
        <w:t>, and i</w:t>
      </w:r>
      <w:r w:rsidRPr="00CB4CFA">
        <w:rPr>
          <w:rFonts w:ascii="Calibri Light" w:hAnsi="Calibri Light" w:cs="Calibri Light"/>
          <w:sz w:val="24"/>
          <w:szCs w:val="24"/>
        </w:rPr>
        <w:t>ncreasing costs of procuring new money in larger denominations to accommodate higher cash payment needs</w:t>
      </w:r>
      <w:r w:rsidR="00CF4746">
        <w:rPr>
          <w:rFonts w:ascii="Calibri Light" w:hAnsi="Calibri Light" w:cs="Calibri Light"/>
          <w:sz w:val="24"/>
          <w:szCs w:val="24"/>
        </w:rPr>
        <w:t xml:space="preserve">, and </w:t>
      </w:r>
      <w:r w:rsidRPr="00CB4CFA">
        <w:rPr>
          <w:rFonts w:ascii="Calibri Light" w:hAnsi="Calibri Light" w:cs="Calibri Light"/>
          <w:sz w:val="24"/>
          <w:szCs w:val="24"/>
        </w:rPr>
        <w:t>b) Technical obstacles to the operational activities of a business, such as the limited number of digits in financial transaction applications. This also causes the government to experience difficulties in transactions, especially for transactions worth trillions of rupiah that cannot be completed in one transaction. The transaction must be broken down, which takes longer and has the potential to cause errors.</w:t>
      </w:r>
    </w:p>
    <w:p w14:paraId="67964C20"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Substantively, the implementation of redenomination is expected to improve the credibility of the rupiah. This currency simplification will facilitate the equivalence of the rupiah's credibility compared to other countries' currencies. In addition, redenomination is expected to build a sense of pride and public confidence in the rupiah, thus reducing the potential for exchanging rupiah for foreign currencies. Redenomination is also predicted to save money printing costs, among other things</w:t>
      </w:r>
      <w:r w:rsidR="00CF4746">
        <w:rPr>
          <w:rFonts w:ascii="Calibri Light" w:hAnsi="Calibri Light" w:cs="Calibri Light"/>
          <w:sz w:val="24"/>
          <w:szCs w:val="24"/>
        </w:rPr>
        <w:t>,</w:t>
      </w:r>
      <w:r w:rsidRPr="00CB4CFA">
        <w:rPr>
          <w:rFonts w:ascii="Calibri Light" w:hAnsi="Calibri Light" w:cs="Calibri Light"/>
          <w:sz w:val="24"/>
          <w:szCs w:val="24"/>
        </w:rPr>
        <w:t xml:space="preserve"> by increasing the use of coins</w:t>
      </w:r>
      <w:r w:rsidR="00CF4746">
        <w:rPr>
          <w:rFonts w:ascii="Calibri Light" w:hAnsi="Calibri Light" w:cs="Calibri Light"/>
          <w:sz w:val="24"/>
          <w:szCs w:val="24"/>
        </w:rPr>
        <w:t>,</w:t>
      </w:r>
      <w:r w:rsidRPr="00CB4CFA">
        <w:rPr>
          <w:rFonts w:ascii="Calibri Light" w:hAnsi="Calibri Light" w:cs="Calibri Light"/>
          <w:sz w:val="24"/>
          <w:szCs w:val="24"/>
        </w:rPr>
        <w:t xml:space="preserve"> which have a longer circulation period than banknotes. Another implication is to facilitate and accelerate large-scale government transactions while minimizing the potential for errors in transactions.</w:t>
      </w:r>
    </w:p>
    <w:p w14:paraId="0BF35C71" w14:textId="43F2E48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the concept of legal policy, </w:t>
      </w:r>
      <w:r w:rsidR="00CF4746">
        <w:rPr>
          <w:rFonts w:ascii="Calibri Light" w:hAnsi="Calibri Light" w:cs="Calibri Light"/>
          <w:sz w:val="24"/>
          <w:szCs w:val="24"/>
        </w:rPr>
        <w:t xml:space="preserve">the </w:t>
      </w:r>
      <w:r w:rsidRPr="00CB4CFA">
        <w:rPr>
          <w:rFonts w:ascii="Calibri Light" w:hAnsi="Calibri Light" w:cs="Calibri Light"/>
          <w:sz w:val="24"/>
          <w:szCs w:val="24"/>
        </w:rPr>
        <w:t>redenomination of the rupiah requires serious scrutiny. Apart from paying attention to the aspects of legislation</w:t>
      </w:r>
      <w:r w:rsidR="00CF4746">
        <w:rPr>
          <w:rFonts w:ascii="Calibri Light" w:hAnsi="Calibri Light" w:cs="Calibri Light"/>
          <w:sz w:val="24"/>
          <w:szCs w:val="24"/>
        </w:rPr>
        <w:t xml:space="preserve"> </w:t>
      </w:r>
      <w:r w:rsidR="005B21F6">
        <w:rPr>
          <w:rFonts w:ascii="Calibri Light" w:hAnsi="Calibri Light" w:cs="Calibri Light"/>
          <w:sz w:val="24"/>
          <w:szCs w:val="24"/>
        </w:rPr>
        <w:fldChar w:fldCharType="begin" w:fldLock="1"/>
      </w:r>
      <w:r w:rsidR="005132A0">
        <w:rPr>
          <w:rFonts w:ascii="Calibri Light" w:hAnsi="Calibri Light" w:cs="Calibri Light"/>
          <w:sz w:val="24"/>
          <w:szCs w:val="24"/>
        </w:rPr>
        <w:instrText>ADDIN CSL_CITATION {"citationItems":[{"id":"ITEM-1","itemData":{"author":[{"dropping-particle":"","family":"Muliadi","given":"Ahmad","non-dropping-particle":"","parse-names":false,"suffix":""}],"edition":"2","id":"ITEM-1","issued":{"date-parts":[["2014"]]},"publisher":"Akademia Permata","publisher-place":"Padang","title":"Politik Hukum","type":"book"},"uris":["http://www.mendeley.com/documents/?uuid=eeef8a3a-9fac-499f-81cb-694319ae95ab"]}],"mendeley":{"formattedCitation":"(Muliadi, 2014)","plainTextFormattedCitation":"(Muliadi, 2014)","previouslyFormattedCitation":"(Muliadi, 2014)"},"properties":{"noteIndex":0},"schema":"https://github.com/citation-style-language/schema/raw/master/csl-citation.json"}</w:instrText>
      </w:r>
      <w:r w:rsidR="005B21F6">
        <w:rPr>
          <w:rFonts w:ascii="Calibri Light" w:hAnsi="Calibri Light" w:cs="Calibri Light"/>
          <w:sz w:val="24"/>
          <w:szCs w:val="24"/>
        </w:rPr>
        <w:fldChar w:fldCharType="separate"/>
      </w:r>
      <w:r w:rsidR="005B21F6" w:rsidRPr="005B21F6">
        <w:rPr>
          <w:rFonts w:ascii="Calibri Light" w:hAnsi="Calibri Light" w:cs="Calibri Light"/>
          <w:noProof/>
          <w:sz w:val="24"/>
          <w:szCs w:val="24"/>
        </w:rPr>
        <w:t>(</w:t>
      </w:r>
      <w:r w:rsidR="005B21F6" w:rsidRPr="00207AC4">
        <w:rPr>
          <w:rFonts w:ascii="Calibri Light" w:hAnsi="Calibri Light" w:cs="Calibri Light"/>
          <w:noProof/>
          <w:color w:val="0070C0"/>
          <w:sz w:val="24"/>
          <w:szCs w:val="24"/>
        </w:rPr>
        <w:t>Muliadi, 2014)</w:t>
      </w:r>
      <w:r w:rsidR="005B21F6">
        <w:rPr>
          <w:rFonts w:ascii="Calibri Light" w:hAnsi="Calibri Light" w:cs="Calibri Light"/>
          <w:sz w:val="24"/>
          <w:szCs w:val="24"/>
        </w:rPr>
        <w:fldChar w:fldCharType="end"/>
      </w:r>
      <w:r w:rsidR="005B21F6">
        <w:rPr>
          <w:rFonts w:ascii="Calibri Light" w:hAnsi="Calibri Light" w:cs="Calibri Light"/>
          <w:sz w:val="24"/>
          <w:szCs w:val="24"/>
        </w:rPr>
        <w:t xml:space="preserve">, </w:t>
      </w:r>
      <w:r w:rsidRPr="00CB4CFA">
        <w:rPr>
          <w:rFonts w:ascii="Calibri Light" w:hAnsi="Calibri Light" w:cs="Calibri Light"/>
          <w:sz w:val="24"/>
          <w:szCs w:val="24"/>
        </w:rPr>
        <w:t xml:space="preserve"> this policy must also consider the psychology of the public, the possibility of panic, and moral hazard behavior that takes advantage of asymmetric information on the assumption that the government is stockpiling goods and raising prices</w:t>
      </w:r>
      <w:r w:rsidR="005132A0">
        <w:rPr>
          <w:rFonts w:ascii="Calibri Light" w:hAnsi="Calibri Light" w:cs="Calibri Light"/>
          <w:sz w:val="24"/>
          <w:szCs w:val="24"/>
        </w:rPr>
        <w:t xml:space="preserve"> </w:t>
      </w:r>
      <w:r w:rsidR="005132A0" w:rsidRPr="005132A0">
        <w:rPr>
          <w:rFonts w:ascii="Calibri Light" w:hAnsi="Calibri Light" w:cs="Calibri Light"/>
          <w:color w:val="0070C0"/>
          <w:sz w:val="24"/>
          <w:szCs w:val="24"/>
        </w:rPr>
        <w:fldChar w:fldCharType="begin" w:fldLock="1"/>
      </w:r>
      <w:r w:rsidR="005132A0">
        <w:rPr>
          <w:rFonts w:ascii="Calibri Light" w:hAnsi="Calibri Light" w:cs="Calibri Light"/>
          <w:color w:val="0070C0"/>
          <w:sz w:val="24"/>
          <w:szCs w:val="24"/>
        </w:rPr>
        <w:instrText>ADDIN CSL_CITATION {"citationItems":[{"id":"ITEM-1","itemData":{"DOI":"10.1093/jfr/fju003","ISSN":"2053-4841","abstract":"The massive use of public funds in the financial sector and the large costs for taxpayers are often used to justify the idea that public intervention should be limited. This conclusion is based on the idea that government guarantees always induce financial institutions to take excessive risk. In this article, we challenge this conventional view and argue that it relies on some specific assumptions made in the existing literature on government guarantees and on a number of modelling choices. We review the theory of government guarantees by highlighting and discussing the role that these underlying assumptions play in the assessment of the desirability and effectiveness of government guarantees and propose a new framework for thinking about them.","author":[{"dropping-particle":"","family":"Allen","given":"Franklin","non-dropping-particle":"","parse-names":false,"suffix":""},{"dropping-particle":"","family":"Carletti","given":"Elena","non-dropping-particle":"","parse-names":false,"suffix":""},{"dropping-particle":"","family":"Goldstein","given":"Itay","non-dropping-particle":"","parse-names":false,"suffix":""},{"dropping-particle":"","family":"Leonello","given":"Agnese","non-dropping-particle":"","parse-names":false,"suffix":""}],"container-title":"Journal of Financial Regulation","id":"ITEM-1","issue":"1","issued":{"date-parts":[["2015","3","1"]]},"page":"30-50","title":"Moral Hazard and Government Guarantees in the Banking Industry ‡‡","type":"article-journal","volume":"1"},"uris":["http://www.mendeley.com/documents/?uuid=fefd34ee-516f-41ee-a978-b083eb19f89e"]}],"mendeley":{"formattedCitation":"(Allen et al., 2015)","plainTextFormattedCitation":"(Allen et al., 2015)","previouslyFormattedCitation":"(Allen et al., 2015)"},"properties":{"noteIndex":0},"schema":"https://github.com/citation-style-language/schema/raw/master/csl-citation.json"}</w:instrText>
      </w:r>
      <w:r w:rsidR="005132A0" w:rsidRPr="005132A0">
        <w:rPr>
          <w:rFonts w:ascii="Calibri Light" w:hAnsi="Calibri Light" w:cs="Calibri Light"/>
          <w:color w:val="0070C0"/>
          <w:sz w:val="24"/>
          <w:szCs w:val="24"/>
        </w:rPr>
        <w:fldChar w:fldCharType="separate"/>
      </w:r>
      <w:r w:rsidR="005132A0" w:rsidRPr="005132A0">
        <w:rPr>
          <w:rFonts w:ascii="Calibri Light" w:hAnsi="Calibri Light" w:cs="Calibri Light"/>
          <w:noProof/>
          <w:color w:val="0070C0"/>
          <w:sz w:val="24"/>
          <w:szCs w:val="24"/>
        </w:rPr>
        <w:t xml:space="preserve">(Allen </w:t>
      </w:r>
      <w:r w:rsidR="005B3038" w:rsidRPr="005B3038">
        <w:rPr>
          <w:rFonts w:ascii="Calibri Light" w:hAnsi="Calibri Light" w:cs="Calibri Light"/>
          <w:i/>
          <w:noProof/>
          <w:color w:val="0070C0"/>
          <w:sz w:val="24"/>
          <w:szCs w:val="24"/>
        </w:rPr>
        <w:t>et al.</w:t>
      </w:r>
      <w:r w:rsidR="005132A0" w:rsidRPr="005132A0">
        <w:rPr>
          <w:rFonts w:ascii="Calibri Light" w:hAnsi="Calibri Light" w:cs="Calibri Light"/>
          <w:noProof/>
          <w:color w:val="0070C0"/>
          <w:sz w:val="24"/>
          <w:szCs w:val="24"/>
        </w:rPr>
        <w:t>, 2015)</w:t>
      </w:r>
      <w:r w:rsidR="005132A0" w:rsidRPr="005132A0">
        <w:rPr>
          <w:rFonts w:ascii="Calibri Light" w:hAnsi="Calibri Light" w:cs="Calibri Light"/>
          <w:color w:val="0070C0"/>
          <w:sz w:val="24"/>
          <w:szCs w:val="24"/>
        </w:rPr>
        <w:fldChar w:fldCharType="end"/>
      </w:r>
      <w:r w:rsidR="005132A0">
        <w:rPr>
          <w:rFonts w:ascii="Calibri Light" w:hAnsi="Calibri Light" w:cs="Calibri Light"/>
          <w:sz w:val="24"/>
          <w:szCs w:val="24"/>
        </w:rPr>
        <w:t xml:space="preserve">. </w:t>
      </w:r>
      <w:r w:rsidRPr="00CB4CFA">
        <w:rPr>
          <w:rFonts w:ascii="Calibri Light" w:hAnsi="Calibri Light" w:cs="Calibri Light"/>
          <w:sz w:val="24"/>
          <w:szCs w:val="24"/>
        </w:rPr>
        <w:t xml:space="preserve">This condition has the potential to cause turmoil and conflict </w:t>
      </w:r>
      <w:r w:rsidR="00CF4746">
        <w:rPr>
          <w:rFonts w:ascii="Calibri Light" w:hAnsi="Calibri Light" w:cs="Calibri Light"/>
          <w:sz w:val="24"/>
          <w:szCs w:val="24"/>
        </w:rPr>
        <w:t>within</w:t>
      </w:r>
      <w:r w:rsidRPr="00CB4CFA">
        <w:rPr>
          <w:rFonts w:ascii="Calibri Light" w:hAnsi="Calibri Light" w:cs="Calibri Light"/>
          <w:sz w:val="24"/>
          <w:szCs w:val="24"/>
        </w:rPr>
        <w:t xml:space="preserve"> the community. The redenomination policy can be a legal political instrument that influences public and international market confidence in the rupiah. Redenomination is a challenging step from social, legal, and psychological aspects. This policy is closely related to broader economic and monetary strategies while reflecting the ideology of social justice in a state of law that prioritizes the welfare of the people.</w:t>
      </w:r>
    </w:p>
    <w:p w14:paraId="122E1559" w14:textId="46C42C63"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Based on the view of positivism theory, the redenomination policy can be seen as a legally valid step if regulated by law. Redenomination can be part of a monetary policy instrument designed to maintain a country's economic stability.</w:t>
      </w:r>
      <w:r w:rsidR="005132A0">
        <w:rPr>
          <w:rFonts w:ascii="Calibri Light" w:hAnsi="Calibri Light" w:cs="Calibri Light"/>
          <w:sz w:val="24"/>
          <w:szCs w:val="24"/>
        </w:rPr>
        <w:t xml:space="preserve"> </w:t>
      </w:r>
      <w:r w:rsidR="005132A0" w:rsidRPr="00B74AF1">
        <w:rPr>
          <w:rFonts w:ascii="Calibri Light" w:hAnsi="Calibri Light" w:cs="Calibri Light"/>
          <w:color w:val="0070C0"/>
          <w:sz w:val="24"/>
          <w:szCs w:val="24"/>
        </w:rPr>
        <w:fldChar w:fldCharType="begin" w:fldLock="1"/>
      </w:r>
      <w:r w:rsidR="008973B2" w:rsidRPr="00B74AF1">
        <w:rPr>
          <w:rFonts w:ascii="Calibri Light" w:hAnsi="Calibri Light" w:cs="Calibri Light"/>
          <w:color w:val="0070C0"/>
          <w:sz w:val="24"/>
          <w:szCs w:val="24"/>
        </w:rPr>
        <w:instrText>ADDIN CSL_CITATION {"citationItems":[{"id":"ITEM-1","itemData":{"DOI":"10.4324/9780203790960","ISBN":"9780203790960","abstract":"Widely regarded as the most important legal theorist of the twentieth century, Hans Kelsen is best known for his formulation of the \"pure theory of law\", - within which the study of international law was his special field of work. The present volume, \"General Theory of Law and State\", first published in 1945, allowed Kelsen to adjust his pure theory of law to American circumstances after World War II. It also afforded him the opportunity to present to English-speaking readers his latest ideas on the supremacy of international law. The volume is divided into two parts: the first devoted to law, the second to the state. Together these topics constitute the most systematic and comprehensive exposition of Kelsen's jurisprudence. The volume is not only a compendium of Kelsen's lifework up to that time; it is also an extension of his theories, \"to embrace the problems and institutions of English and American law as well as those of the Civil Law countries\". Indeed, references to Continental European law are minimal compared with examples, scattered throughout the text, taken from the U.S. Constitution and several American court cases. This is more than a concession to American readers; it signifies that Kelsen's legal theory is truly general in that it accounts for the Common Law as well as the Civil Law. A systematic treatise on jurisprudence, \"General Theory of Law and State\" is a substantial reformulation of Kelsen's ideas articulated in several of his previous books, written in German. The juridical principles put forth by the most important legal theorist of the twentieth century remain of great value. This volume will be read by legal scholars, political scientists, and intellectual historians.","author":[{"dropping-particle":"","family":"Kelsen","given":"Hans","non-dropping-particle":"","parse-names":false,"suffix":""}],"container-title":"General Theory of Law and State","editor":[{"dropping-particle":"","family":"Kelsen","given":"Hans","non-dropping-particle":"","parse-names":false,"suffix":""},{"dropping-particle":"","family":"Treviño","given":"A. Javier","non-dropping-particle":"","parse-names":false,"suffix":""}],"id":"ITEM-1","issued":{"date-parts":[["2017","7","5"]]},"publisher":"Routledge","title":"General Theory of Law &amp;amp; State","type":"book"},"uris":["http://www.mendeley.com/documents/?uuid=ff237036-762d-457f-aa4f-f1303c53195a"]}],"mendeley":{"formattedCitation":"(Kelsen, 2017)","manualFormatting":"Kelsen, (2017)","plainTextFormattedCitation":"(Kelsen, 2017)","previouslyFormattedCitation":"(Kelsen, 2017)"},"properties":{"noteIndex":0},"schema":"https://github.com/citation-style-language/schema/raw/master/csl-citation.json"}</w:instrText>
      </w:r>
      <w:r w:rsidR="005132A0" w:rsidRPr="00B74AF1">
        <w:rPr>
          <w:rFonts w:ascii="Calibri Light" w:hAnsi="Calibri Light" w:cs="Calibri Light"/>
          <w:color w:val="0070C0"/>
          <w:sz w:val="24"/>
          <w:szCs w:val="24"/>
        </w:rPr>
        <w:fldChar w:fldCharType="separate"/>
      </w:r>
      <w:r w:rsidR="005132A0" w:rsidRPr="00B74AF1">
        <w:rPr>
          <w:rFonts w:ascii="Calibri Light" w:hAnsi="Calibri Light" w:cs="Calibri Light"/>
          <w:noProof/>
          <w:color w:val="0070C0"/>
          <w:sz w:val="24"/>
          <w:szCs w:val="24"/>
        </w:rPr>
        <w:t>Kelsen</w:t>
      </w:r>
      <w:r w:rsidR="00B74AF1">
        <w:rPr>
          <w:rFonts w:ascii="Calibri Light" w:hAnsi="Calibri Light" w:cs="Calibri Light"/>
          <w:noProof/>
          <w:color w:val="0070C0"/>
          <w:sz w:val="24"/>
          <w:szCs w:val="24"/>
        </w:rPr>
        <w:t>'s</w:t>
      </w:r>
      <w:r w:rsidR="005132A0" w:rsidRPr="00B74AF1">
        <w:rPr>
          <w:rFonts w:ascii="Calibri Light" w:hAnsi="Calibri Light" w:cs="Calibri Light"/>
          <w:noProof/>
          <w:color w:val="0070C0"/>
          <w:sz w:val="24"/>
          <w:szCs w:val="24"/>
        </w:rPr>
        <w:t xml:space="preserve"> (2017)</w:t>
      </w:r>
      <w:r w:rsidR="005132A0" w:rsidRPr="00B74AF1">
        <w:rPr>
          <w:rFonts w:ascii="Calibri Light" w:hAnsi="Calibri Light" w:cs="Calibri Light"/>
          <w:color w:val="0070C0"/>
          <w:sz w:val="24"/>
          <w:szCs w:val="24"/>
        </w:rPr>
        <w:fldChar w:fldCharType="end"/>
      </w:r>
      <w:r w:rsidRPr="005132A0">
        <w:rPr>
          <w:rFonts w:ascii="Calibri Light" w:hAnsi="Calibri Light" w:cs="Calibri Light"/>
          <w:color w:val="00B050"/>
          <w:sz w:val="24"/>
          <w:szCs w:val="24"/>
        </w:rPr>
        <w:t xml:space="preserve"> </w:t>
      </w:r>
      <w:r w:rsidRPr="00CB4CFA">
        <w:rPr>
          <w:rFonts w:ascii="Calibri Light" w:hAnsi="Calibri Light" w:cs="Calibri Light"/>
          <w:sz w:val="24"/>
          <w:szCs w:val="24"/>
        </w:rPr>
        <w:t>Theory of Legal Positivism states that law is a norm enforced by an institution with state authority. Redenomination as a monetary policy can be seen as a legally valid norm because it is based on the decision of the state that has the authority to regulate the country's financial system.</w:t>
      </w:r>
    </w:p>
    <w:p w14:paraId="0CF5B6F3" w14:textId="2F223DDD" w:rsidR="00CB4CFA" w:rsidRPr="00CB4CFA" w:rsidRDefault="008973B2" w:rsidP="00CB4CFA">
      <w:pPr>
        <w:spacing w:before="120" w:after="120"/>
        <w:ind w:left="440" w:right="-1" w:hanging="14"/>
        <w:jc w:val="both"/>
        <w:rPr>
          <w:rFonts w:ascii="Calibri Light" w:hAnsi="Calibri Light" w:cs="Calibri Light"/>
          <w:sz w:val="24"/>
          <w:szCs w:val="24"/>
        </w:rPr>
      </w:pPr>
      <w:r w:rsidRPr="008973B2">
        <w:rPr>
          <w:rFonts w:ascii="Calibri Light" w:hAnsi="Calibri Light" w:cs="Calibri Light"/>
          <w:color w:val="0070C0"/>
          <w:sz w:val="24"/>
          <w:szCs w:val="24"/>
        </w:rPr>
        <w:fldChar w:fldCharType="begin" w:fldLock="1"/>
      </w:r>
      <w:r w:rsidR="003D408C">
        <w:rPr>
          <w:rFonts w:ascii="Calibri Light" w:hAnsi="Calibri Light" w:cs="Calibri Light"/>
          <w:color w:val="0070C0"/>
          <w:sz w:val="24"/>
          <w:szCs w:val="24"/>
        </w:rPr>
        <w:instrText>ADDIN CSL_CITATION {"citationItems":[{"id":"ITEM-1","itemData":{"author":[{"dropping-particle":"","family":"Luhmann","given":"Niklas","non-dropping-particle":"","parse-names":false,"suffix":""}],"id":"ITEM-1","issued":{"date-parts":[["2004"]]},"publisher":"Oxford University Press","publisher-place":"Oxford","title":"Law as a Social System","type":"book"},"uris":["http://www.mendeley.com/documents/?uuid=e7adfe39-1234-4af9-9c7d-e388efbb8e37"]}],"mendeley":{"formattedCitation":"(Luhmann, 2004)","manualFormatting":"Luhmann, (2004)","plainTextFormattedCitation":"(Luhmann, 2004)","previouslyFormattedCitation":"(Luhmann, 2004)"},"properties":{"noteIndex":0},"schema":"https://github.com/citation-style-language/schema/raw/master/csl-citation.json"}</w:instrText>
      </w:r>
      <w:r w:rsidRPr="008973B2">
        <w:rPr>
          <w:rFonts w:ascii="Calibri Light" w:hAnsi="Calibri Light" w:cs="Calibri Light"/>
          <w:color w:val="0070C0"/>
          <w:sz w:val="24"/>
          <w:szCs w:val="24"/>
        </w:rPr>
        <w:fldChar w:fldCharType="separate"/>
      </w:r>
      <w:r w:rsidRPr="008973B2">
        <w:rPr>
          <w:rFonts w:ascii="Calibri Light" w:hAnsi="Calibri Light" w:cs="Calibri Light"/>
          <w:noProof/>
          <w:color w:val="0070C0"/>
          <w:sz w:val="24"/>
          <w:szCs w:val="24"/>
        </w:rPr>
        <w:t>Luhmann</w:t>
      </w:r>
      <w:r w:rsidR="00B74AF1">
        <w:rPr>
          <w:rFonts w:ascii="Calibri Light" w:hAnsi="Calibri Light" w:cs="Calibri Light"/>
          <w:noProof/>
          <w:color w:val="0070C0"/>
          <w:sz w:val="24"/>
          <w:szCs w:val="24"/>
        </w:rPr>
        <w:t>'s</w:t>
      </w:r>
      <w:r w:rsidRPr="008973B2">
        <w:rPr>
          <w:rFonts w:ascii="Calibri Light" w:hAnsi="Calibri Light" w:cs="Calibri Light"/>
          <w:noProof/>
          <w:color w:val="0070C0"/>
          <w:sz w:val="24"/>
          <w:szCs w:val="24"/>
        </w:rPr>
        <w:t xml:space="preserve"> (2004)</w:t>
      </w:r>
      <w:r w:rsidRPr="008973B2">
        <w:rPr>
          <w:rFonts w:ascii="Calibri Light" w:hAnsi="Calibri Light" w:cs="Calibri Light"/>
          <w:color w:val="0070C0"/>
          <w:sz w:val="24"/>
          <w:szCs w:val="24"/>
        </w:rPr>
        <w:fldChar w:fldCharType="end"/>
      </w:r>
      <w:r w:rsidRPr="008973B2">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 xml:space="preserve">Legal System Theory emphasizes the importance of understanding the law in the context of the broader system. In this case, redenomination can be seen as part of Indonesia's legal system's efforts to respond to global and domestic economic changes. As part of the larger economic system, the redenomination policy can regulate and direct </w:t>
      </w:r>
      <w:r w:rsidR="00CB4CFA" w:rsidRPr="00CB4CFA">
        <w:rPr>
          <w:rFonts w:ascii="Calibri Light" w:hAnsi="Calibri Light" w:cs="Calibri Light"/>
          <w:sz w:val="24"/>
          <w:szCs w:val="24"/>
        </w:rPr>
        <w:lastRenderedPageBreak/>
        <w:t>society and the market to adapt to new, more stable conditions.</w:t>
      </w:r>
      <w:r w:rsidR="00556AEC">
        <w:rPr>
          <w:rFonts w:ascii="Calibri Light" w:hAnsi="Calibri Light" w:cs="Calibri Light"/>
          <w:sz w:val="24"/>
          <w:szCs w:val="24"/>
        </w:rPr>
        <w:t xml:space="preserve"> Then, a</w:t>
      </w:r>
      <w:r w:rsidR="00CB4CFA" w:rsidRPr="00CB4CFA">
        <w:rPr>
          <w:rFonts w:ascii="Calibri Light" w:hAnsi="Calibri Light" w:cs="Calibri Light"/>
          <w:sz w:val="24"/>
          <w:szCs w:val="24"/>
        </w:rPr>
        <w:t>ccording</w:t>
      </w:r>
      <w:r w:rsidR="00B74AF1">
        <w:rPr>
          <w:rFonts w:ascii="Calibri Light" w:hAnsi="Calibri Light" w:cs="Calibri Light"/>
          <w:sz w:val="24"/>
          <w:szCs w:val="24"/>
        </w:rPr>
        <w:t xml:space="preserve"> to</w:t>
      </w:r>
      <w:r w:rsidR="00CB4CFA" w:rsidRPr="00CB4CFA">
        <w:rPr>
          <w:rFonts w:ascii="Calibri Light" w:hAnsi="Calibri Light" w:cs="Calibri Light"/>
          <w:sz w:val="24"/>
          <w:szCs w:val="24"/>
        </w:rPr>
        <w:t xml:space="preserve"> </w:t>
      </w:r>
      <w:r w:rsidR="003D408C" w:rsidRPr="003D408C">
        <w:rPr>
          <w:rFonts w:ascii="Calibri Light" w:hAnsi="Calibri Light" w:cs="Calibri Light"/>
          <w:color w:val="0070C0"/>
          <w:sz w:val="24"/>
          <w:szCs w:val="24"/>
        </w:rPr>
        <w:fldChar w:fldCharType="begin" w:fldLock="1"/>
      </w:r>
      <w:r w:rsidR="00CC6A37">
        <w:rPr>
          <w:rFonts w:ascii="Calibri Light" w:hAnsi="Calibri Light" w:cs="Calibri Light"/>
          <w:color w:val="0070C0"/>
          <w:sz w:val="24"/>
          <w:szCs w:val="24"/>
        </w:rPr>
        <w:instrText>ADDIN CSL_CITATION {"citationItems":[{"id":"ITEM-1","itemData":{"author":[{"dropping-particle":"","family":"Hart","given":"H. L. A","non-dropping-particle":"","parse-names":false,"suffix":""},{"dropping-particle":"","family":"Green","given":"L.","non-dropping-particle":"","parse-names":false,"suffix":""}],"id":"ITEM-1","issued":{"date-parts":[["2012"]]},"publisher":"Oxford University Press","publisher-place":"Oxford","title":"The Concept of Law","type":"book"},"uris":["http://www.mendeley.com/documents/?uuid=fe398110-dbc5-4324-8fbd-2133114ec1a1"]}],"mendeley":{"formattedCitation":"(Hart &amp; Green, 2012)","manualFormatting":"Hart &amp; Green, (2012)","plainTextFormattedCitation":"(Hart &amp; Green, 2012)","previouslyFormattedCitation":"(Hart &amp; Green, 2012)"},"properties":{"noteIndex":0},"schema":"https://github.com/citation-style-language/schema/raw/master/csl-citation.json"}</w:instrText>
      </w:r>
      <w:r w:rsidR="003D408C" w:rsidRPr="003D408C">
        <w:rPr>
          <w:rFonts w:ascii="Calibri Light" w:hAnsi="Calibri Light" w:cs="Calibri Light"/>
          <w:color w:val="0070C0"/>
          <w:sz w:val="24"/>
          <w:szCs w:val="24"/>
        </w:rPr>
        <w:fldChar w:fldCharType="separate"/>
      </w:r>
      <w:r w:rsidR="003D408C" w:rsidRPr="003D408C">
        <w:rPr>
          <w:rFonts w:ascii="Calibri Light" w:hAnsi="Calibri Light" w:cs="Calibri Light"/>
          <w:noProof/>
          <w:color w:val="0070C0"/>
          <w:sz w:val="24"/>
          <w:szCs w:val="24"/>
        </w:rPr>
        <w:t xml:space="preserve">Hart </w:t>
      </w:r>
      <w:r w:rsidR="00B74AF1">
        <w:rPr>
          <w:rFonts w:ascii="Calibri Light" w:hAnsi="Calibri Light" w:cs="Calibri Light"/>
          <w:noProof/>
          <w:color w:val="0070C0"/>
          <w:sz w:val="24"/>
          <w:szCs w:val="24"/>
        </w:rPr>
        <w:t>and</w:t>
      </w:r>
      <w:r w:rsidR="003D408C" w:rsidRPr="003D408C">
        <w:rPr>
          <w:rFonts w:ascii="Calibri Light" w:hAnsi="Calibri Light" w:cs="Calibri Light"/>
          <w:noProof/>
          <w:color w:val="0070C0"/>
          <w:sz w:val="24"/>
          <w:szCs w:val="24"/>
        </w:rPr>
        <w:t xml:space="preserve"> Green</w:t>
      </w:r>
      <w:r w:rsidR="00B74AF1">
        <w:rPr>
          <w:rFonts w:ascii="Calibri Light" w:hAnsi="Calibri Light" w:cs="Calibri Light"/>
          <w:noProof/>
          <w:color w:val="0070C0"/>
          <w:sz w:val="24"/>
          <w:szCs w:val="24"/>
        </w:rPr>
        <w:t>'s</w:t>
      </w:r>
      <w:r w:rsidR="003D408C" w:rsidRPr="003D408C">
        <w:rPr>
          <w:rFonts w:ascii="Calibri Light" w:hAnsi="Calibri Light" w:cs="Calibri Light"/>
          <w:noProof/>
          <w:color w:val="0070C0"/>
          <w:sz w:val="24"/>
          <w:szCs w:val="24"/>
        </w:rPr>
        <w:t xml:space="preserve"> (2012)</w:t>
      </w:r>
      <w:r w:rsidR="003D408C" w:rsidRPr="003D408C">
        <w:rPr>
          <w:rFonts w:ascii="Calibri Light" w:hAnsi="Calibri Light" w:cs="Calibri Light"/>
          <w:color w:val="0070C0"/>
          <w:sz w:val="24"/>
          <w:szCs w:val="24"/>
        </w:rPr>
        <w:fldChar w:fldCharType="end"/>
      </w:r>
      <w:r w:rsidR="003D408C">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legal theory, law can function as a policy instrument in the economic context, including monetary policy and redenomination. Meanwhile</w:t>
      </w:r>
      <w:r w:rsidR="00CB4CFA" w:rsidRPr="00CC6A37">
        <w:rPr>
          <w:rFonts w:ascii="Calibri Light" w:hAnsi="Calibri Light" w:cs="Calibri Light"/>
          <w:color w:val="002060"/>
          <w:sz w:val="24"/>
          <w:szCs w:val="24"/>
        </w:rPr>
        <w:t xml:space="preserve">, </w:t>
      </w:r>
      <w:r w:rsidR="00CC6A37" w:rsidRPr="00B74AF1">
        <w:rPr>
          <w:rFonts w:ascii="Calibri Light" w:hAnsi="Calibri Light" w:cs="Calibri Light"/>
          <w:color w:val="0070C0"/>
          <w:sz w:val="24"/>
          <w:szCs w:val="24"/>
        </w:rPr>
        <w:fldChar w:fldCharType="begin" w:fldLock="1"/>
      </w:r>
      <w:r w:rsidR="00CC6A37" w:rsidRPr="00B74AF1">
        <w:rPr>
          <w:rFonts w:ascii="Calibri Light" w:hAnsi="Calibri Light" w:cs="Calibri Light"/>
          <w:color w:val="0070C0"/>
          <w:sz w:val="24"/>
          <w:szCs w:val="24"/>
        </w:rPr>
        <w:instrText>ADDIN CSL_CITATION {"citationItems":[{"id":"ITEM-1","itemData":{"author":[{"dropping-particle":"","family":"Cooter","given":"R.","non-dropping-particle":"","parse-names":false,"suffix":""},{"dropping-particle":"","family":"Ulen","given":"T.","non-dropping-particle":"","parse-names":false,"suffix":""}],"edition":"6","id":"ITEM-1","issued":{"date-parts":[["2016"]]},"publisher":"Berkeley Law Books","publisher-place":"California","title":"Law and Economics","type":"book"},"uris":["http://www.mendeley.com/documents/?uuid=b7a62792-9ce1-40ff-be8a-19f4d2893d50"]}],"mendeley":{"formattedCitation":"(Cooter &amp; Ulen, 2016)","manualFormatting":"Cooter &amp; Ulen, (2016)","plainTextFormattedCitation":"(Cooter &amp; Ulen, 2016)","previouslyFormattedCitation":"(Cooter &amp; Ulen, 2016)"},"properties":{"noteIndex":0},"schema":"https://github.com/citation-style-language/schema/raw/master/csl-citation.json"}</w:instrText>
      </w:r>
      <w:r w:rsidR="00CC6A37" w:rsidRPr="00B74AF1">
        <w:rPr>
          <w:rFonts w:ascii="Calibri Light" w:hAnsi="Calibri Light" w:cs="Calibri Light"/>
          <w:color w:val="0070C0"/>
          <w:sz w:val="24"/>
          <w:szCs w:val="24"/>
        </w:rPr>
        <w:fldChar w:fldCharType="separate"/>
      </w:r>
      <w:r w:rsidR="00CC6A37" w:rsidRPr="00B74AF1">
        <w:rPr>
          <w:rFonts w:ascii="Calibri Light" w:hAnsi="Calibri Light" w:cs="Calibri Light"/>
          <w:noProof/>
          <w:color w:val="0070C0"/>
          <w:sz w:val="24"/>
          <w:szCs w:val="24"/>
        </w:rPr>
        <w:t xml:space="preserve">Cooter </w:t>
      </w:r>
      <w:r w:rsidR="00B74AF1">
        <w:rPr>
          <w:rFonts w:ascii="Calibri Light" w:hAnsi="Calibri Light" w:cs="Calibri Light"/>
          <w:noProof/>
          <w:color w:val="0070C0"/>
          <w:sz w:val="24"/>
          <w:szCs w:val="24"/>
        </w:rPr>
        <w:t>and</w:t>
      </w:r>
      <w:r w:rsidR="00CC6A37" w:rsidRPr="00B74AF1">
        <w:rPr>
          <w:rFonts w:ascii="Calibri Light" w:hAnsi="Calibri Light" w:cs="Calibri Light"/>
          <w:noProof/>
          <w:color w:val="0070C0"/>
          <w:sz w:val="24"/>
          <w:szCs w:val="24"/>
        </w:rPr>
        <w:t xml:space="preserve"> Ulen (2016)</w:t>
      </w:r>
      <w:r w:rsidR="00CC6A37" w:rsidRPr="00B74AF1">
        <w:rPr>
          <w:rFonts w:ascii="Calibri Light" w:hAnsi="Calibri Light" w:cs="Calibri Light"/>
          <w:color w:val="0070C0"/>
          <w:sz w:val="24"/>
          <w:szCs w:val="24"/>
        </w:rPr>
        <w:fldChar w:fldCharType="end"/>
      </w:r>
      <w:r w:rsidR="00CC6A37">
        <w:rPr>
          <w:rFonts w:ascii="Calibri Light" w:hAnsi="Calibri Light" w:cs="Calibri Light"/>
          <w:sz w:val="24"/>
          <w:szCs w:val="24"/>
        </w:rPr>
        <w:t xml:space="preserve"> </w:t>
      </w:r>
      <w:r w:rsidR="00CB4CFA" w:rsidRPr="00CB4CFA">
        <w:rPr>
          <w:rFonts w:ascii="Calibri Light" w:hAnsi="Calibri Light" w:cs="Calibri Light"/>
          <w:sz w:val="24"/>
          <w:szCs w:val="24"/>
        </w:rPr>
        <w:t>emphasize the relationship between law and economics, as well as how legal policy can influence a country's monetary policy and economic stability, including in the implementation of redenomination.</w:t>
      </w:r>
    </w:p>
    <w:p w14:paraId="497843EC" w14:textId="75B694C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To analyze the strategic plan for the redenomination policy and its impact on the credibility of the rupiah, it is necessary to understand that the redenomination strategy is not only related to changes in the nominal exchange rate but also includes efforts to improve the credibility of the currency in domestic and international markets. </w:t>
      </w:r>
      <w:r w:rsidR="00556AEC">
        <w:rPr>
          <w:rFonts w:ascii="Calibri Light" w:hAnsi="Calibri Light" w:cs="Calibri Light"/>
          <w:sz w:val="24"/>
          <w:szCs w:val="24"/>
        </w:rPr>
        <w:t>From</w:t>
      </w:r>
      <w:r w:rsidRPr="00CB4CFA">
        <w:rPr>
          <w:rFonts w:ascii="Calibri Light" w:hAnsi="Calibri Light" w:cs="Calibri Light"/>
          <w:sz w:val="24"/>
          <w:szCs w:val="24"/>
        </w:rPr>
        <w:t xml:space="preserve"> a political </w:t>
      </w:r>
      <w:r w:rsidR="00556AEC">
        <w:rPr>
          <w:rFonts w:ascii="Calibri Light" w:hAnsi="Calibri Light" w:cs="Calibri Light"/>
          <w:sz w:val="24"/>
          <w:szCs w:val="24"/>
        </w:rPr>
        <w:t xml:space="preserve">and </w:t>
      </w:r>
      <w:r w:rsidRPr="00CB4CFA">
        <w:rPr>
          <w:rFonts w:ascii="Calibri Light" w:hAnsi="Calibri Light" w:cs="Calibri Light"/>
          <w:sz w:val="24"/>
          <w:szCs w:val="24"/>
        </w:rPr>
        <w:t xml:space="preserve">economic perspective, </w:t>
      </w:r>
      <w:r w:rsidR="00CC6A37" w:rsidRPr="00CC6A37">
        <w:rPr>
          <w:rFonts w:ascii="Calibri Light" w:hAnsi="Calibri Light" w:cs="Calibri Light"/>
          <w:color w:val="0070C0"/>
          <w:sz w:val="24"/>
          <w:szCs w:val="24"/>
        </w:rPr>
        <w:fldChar w:fldCharType="begin" w:fldLock="1"/>
      </w:r>
      <w:r w:rsidR="00DA02CF">
        <w:rPr>
          <w:rFonts w:ascii="Calibri Light" w:hAnsi="Calibri Light" w:cs="Calibri Light"/>
          <w:color w:val="0070C0"/>
          <w:sz w:val="24"/>
          <w:szCs w:val="24"/>
        </w:rPr>
        <w:instrText>ADDIN CSL_CITATION {"citationItems":[{"id":"ITEM-1","itemData":{"DOI":"10.2307/1885679","ISSN":"00335533","abstract":"Society can sometimes make itself better off by appointing a central banker who does not share the social objective function, but instead places too large a weight on inflation-rate stabilization relative to employment stabilization. Although having such an agent head the central bank reduces the time-consistent rate of inflation, it suboptimally raises the variance of employment when supply shocks are large. Using an envelope theorem, we show that the ideal agent places a large, but finite, weight on inflation. The analysis also provides a new framework for choosing among alternative intermediate monetary targets. © President and Fellows of Harvard College.","author":[{"dropping-particle":"","family":"Rogoff","given":"Kenneth","non-dropping-particle":"","parse-names":false,"suffix":""}],"container-title":"The Quarterly Journal of Economics","id":"ITEM-1","issue":"4","issued":{"date-parts":[["1985","11"]]},"page":"1169","title":"The Optimal Degree of Commitment to an Intermediate Monetary Target","type":"article-journal","volume":"100"},"uris":["http://www.mendeley.com/documents/?uuid=f27b9f77-8d2e-4f4c-a2ec-e6b88e1cb87e"]}],"mendeley":{"formattedCitation":"(Rogoff, 1985)","manualFormatting":"Rogoff, (1985)","plainTextFormattedCitation":"(Rogoff, 1985)","previouslyFormattedCitation":"(Rogoff, 1985)"},"properties":{"noteIndex":0},"schema":"https://github.com/citation-style-language/schema/raw/master/csl-citation.json"}</w:instrText>
      </w:r>
      <w:r w:rsidR="00CC6A37" w:rsidRPr="00CC6A37">
        <w:rPr>
          <w:rFonts w:ascii="Calibri Light" w:hAnsi="Calibri Light" w:cs="Calibri Light"/>
          <w:color w:val="0070C0"/>
          <w:sz w:val="24"/>
          <w:szCs w:val="24"/>
        </w:rPr>
        <w:fldChar w:fldCharType="separate"/>
      </w:r>
      <w:r w:rsidR="00CC6A37" w:rsidRPr="00CC6A37">
        <w:rPr>
          <w:rFonts w:ascii="Calibri Light" w:hAnsi="Calibri Light" w:cs="Calibri Light"/>
          <w:noProof/>
          <w:color w:val="0070C0"/>
          <w:sz w:val="24"/>
          <w:szCs w:val="24"/>
        </w:rPr>
        <w:t>Rogoff</w:t>
      </w:r>
      <w:r w:rsidR="00B74AF1">
        <w:rPr>
          <w:rFonts w:ascii="Calibri Light" w:hAnsi="Calibri Light" w:cs="Calibri Light"/>
          <w:noProof/>
          <w:color w:val="0070C0"/>
          <w:sz w:val="24"/>
          <w:szCs w:val="24"/>
        </w:rPr>
        <w:t>'s</w:t>
      </w:r>
      <w:r w:rsidR="00CC6A37" w:rsidRPr="00CC6A37">
        <w:rPr>
          <w:rFonts w:ascii="Calibri Light" w:hAnsi="Calibri Light" w:cs="Calibri Light"/>
          <w:noProof/>
          <w:color w:val="0070C0"/>
          <w:sz w:val="24"/>
          <w:szCs w:val="24"/>
        </w:rPr>
        <w:t xml:space="preserve"> (1985)</w:t>
      </w:r>
      <w:r w:rsidR="00CC6A37" w:rsidRPr="00CC6A37">
        <w:rPr>
          <w:rFonts w:ascii="Calibri Light" w:hAnsi="Calibri Light" w:cs="Calibri Light"/>
          <w:color w:val="0070C0"/>
          <w:sz w:val="24"/>
          <w:szCs w:val="24"/>
        </w:rPr>
        <w:fldChar w:fldCharType="end"/>
      </w:r>
      <w:r w:rsidR="00CC6A37" w:rsidRPr="00CC6A37">
        <w:rPr>
          <w:rFonts w:ascii="Calibri Light" w:hAnsi="Calibri Light" w:cs="Calibri Light"/>
          <w:color w:val="0070C0"/>
          <w:sz w:val="24"/>
          <w:szCs w:val="24"/>
        </w:rPr>
        <w:t xml:space="preserve"> </w:t>
      </w:r>
      <w:r w:rsidRPr="00CB4CFA">
        <w:rPr>
          <w:rFonts w:ascii="Calibri Light" w:hAnsi="Calibri Light" w:cs="Calibri Light"/>
          <w:sz w:val="24"/>
          <w:szCs w:val="24"/>
        </w:rPr>
        <w:t>theory of credibility can help explain how monetary policy, including redenomination, aims to strengthen public and market confidence in a country's currency. This theory states that the credibility of monetary policy is very important in maintaining economic stability, especially in the context of inflation and currency fluctuations. Redenomination can be seen as a step to improve perceptions of the country's currency by reducing the number of digits that indicate high inflation, thus increasing the stability and competitiveness of the rupiah in the international market.</w:t>
      </w:r>
    </w:p>
    <w:p w14:paraId="25D27EB1" w14:textId="2A8AB0E4" w:rsidR="00CB4CFA" w:rsidRPr="00CB4CFA" w:rsidRDefault="00DA02CF" w:rsidP="00CB4CFA">
      <w:pPr>
        <w:spacing w:before="120" w:after="120"/>
        <w:ind w:left="440" w:right="-1" w:hanging="14"/>
        <w:jc w:val="both"/>
        <w:rPr>
          <w:rFonts w:ascii="Calibri Light" w:hAnsi="Calibri Light" w:cs="Calibri Light"/>
          <w:sz w:val="24"/>
          <w:szCs w:val="24"/>
        </w:rPr>
      </w:pPr>
      <w:r w:rsidRPr="00DA02CF">
        <w:rPr>
          <w:rFonts w:ascii="Calibri Light" w:hAnsi="Calibri Light" w:cs="Calibri Light"/>
          <w:color w:val="0070C0"/>
          <w:sz w:val="24"/>
          <w:szCs w:val="24"/>
        </w:rPr>
        <w:fldChar w:fldCharType="begin" w:fldLock="1"/>
      </w:r>
      <w:r w:rsidR="006A3F87">
        <w:rPr>
          <w:rFonts w:ascii="Calibri Light" w:hAnsi="Calibri Light" w:cs="Calibri Light"/>
          <w:color w:val="0070C0"/>
          <w:sz w:val="24"/>
          <w:szCs w:val="24"/>
        </w:rPr>
        <w:instrText>ADDIN CSL_CITATION {"citationItems":[{"id":"ITEM-1","itemData":{"DOI":"10.1257/000282802762024610","ISSN":"0002-8282","abstract":"What are the welfare effects of enhanced dissemination of public information through the media and disclosures by market participants with high public visibility? We examine the impact of public information in a setting where agents take actions appropriate to the underlying fundamentals, but they also have a coordination motive arising from a strategic complementarity in their actions. When the agents have no socially valuable private information, greater provision of public information always increases welfare. However, when agents also have access to independent sources of information, the welfare effect of increased public disclosures is ambiguous.","author":[{"dropping-particle":"","family":"Morris","given":"Stephen","non-dropping-particle":"","parse-names":false,"suffix":""},{"dropping-particle":"","family":"Shin","given":"Hyun Song","non-dropping-particle":"","parse-names":false,"suffix":""}],"container-title":"American Economic Review","id":"ITEM-1","issue":"5","issued":{"date-parts":[["2002","11","1"]]},"page":"1521-1534","title":"Social Value of Public Information","type":"article-journal","volume":"92"},"uris":["http://www.mendeley.com/documents/?uuid=d7c2e6a0-5a40-4932-9b96-352ca812c9ec"]}],"mendeley":{"formattedCitation":"(Morris &amp; Shin, 2002)","manualFormatting":"Morris &amp; Shin, (2002)","plainTextFormattedCitation":"(Morris &amp; Shin, 2002)","previouslyFormattedCitation":"(Morris &amp; Shin, 2002)"},"properties":{"noteIndex":0},"schema":"https://github.com/citation-style-language/schema/raw/master/csl-citation.json"}</w:instrText>
      </w:r>
      <w:r w:rsidRPr="00DA02CF">
        <w:rPr>
          <w:rFonts w:ascii="Calibri Light" w:hAnsi="Calibri Light" w:cs="Calibri Light"/>
          <w:color w:val="0070C0"/>
          <w:sz w:val="24"/>
          <w:szCs w:val="24"/>
        </w:rPr>
        <w:fldChar w:fldCharType="separate"/>
      </w:r>
      <w:r w:rsidRPr="00DA02CF">
        <w:rPr>
          <w:rFonts w:ascii="Calibri Light" w:hAnsi="Calibri Light" w:cs="Calibri Light"/>
          <w:noProof/>
          <w:color w:val="0070C0"/>
          <w:sz w:val="24"/>
          <w:szCs w:val="24"/>
        </w:rPr>
        <w:t xml:space="preserve">Morris </w:t>
      </w:r>
      <w:r w:rsidR="00B74AF1">
        <w:rPr>
          <w:rFonts w:ascii="Calibri Light" w:hAnsi="Calibri Light" w:cs="Calibri Light"/>
          <w:noProof/>
          <w:color w:val="0070C0"/>
          <w:sz w:val="24"/>
          <w:szCs w:val="24"/>
        </w:rPr>
        <w:t>and</w:t>
      </w:r>
      <w:r w:rsidRPr="00DA02CF">
        <w:rPr>
          <w:rFonts w:ascii="Calibri Light" w:hAnsi="Calibri Light" w:cs="Calibri Light"/>
          <w:noProof/>
          <w:color w:val="0070C0"/>
          <w:sz w:val="24"/>
          <w:szCs w:val="24"/>
        </w:rPr>
        <w:t xml:space="preserve"> Shin</w:t>
      </w:r>
      <w:r w:rsidR="00B74AF1">
        <w:rPr>
          <w:rFonts w:ascii="Calibri Light" w:hAnsi="Calibri Light" w:cs="Calibri Light"/>
          <w:noProof/>
          <w:color w:val="0070C0"/>
          <w:sz w:val="24"/>
          <w:szCs w:val="24"/>
        </w:rPr>
        <w:t>'s</w:t>
      </w:r>
      <w:r w:rsidRPr="00DA02CF">
        <w:rPr>
          <w:rFonts w:ascii="Calibri Light" w:hAnsi="Calibri Light" w:cs="Calibri Light"/>
          <w:noProof/>
          <w:color w:val="0070C0"/>
          <w:sz w:val="24"/>
          <w:szCs w:val="24"/>
        </w:rPr>
        <w:t xml:space="preserve"> (2002)</w:t>
      </w:r>
      <w:r w:rsidRPr="00DA02CF">
        <w:rPr>
          <w:rFonts w:ascii="Calibri Light" w:hAnsi="Calibri Light" w:cs="Calibri Light"/>
          <w:color w:val="0070C0"/>
          <w:sz w:val="24"/>
          <w:szCs w:val="24"/>
        </w:rPr>
        <w:fldChar w:fldCharType="end"/>
      </w:r>
      <w:r>
        <w:rPr>
          <w:rFonts w:ascii="Calibri Light" w:hAnsi="Calibri Light" w:cs="Calibri Light"/>
          <w:sz w:val="24"/>
          <w:szCs w:val="24"/>
        </w:rPr>
        <w:t xml:space="preserve"> </w:t>
      </w:r>
      <w:r w:rsidR="00CB4CFA" w:rsidRPr="00CB4CFA">
        <w:rPr>
          <w:rFonts w:ascii="Calibri Light" w:hAnsi="Calibri Light" w:cs="Calibri Light"/>
          <w:sz w:val="24"/>
          <w:szCs w:val="24"/>
        </w:rPr>
        <w:t>market confidence theory states that a clear and transparent monetary policy will increase market confidence in a country's economic policy. Redenomination, if done effectively, can send a positive signal to international markets about Indonesia's seriousness in managing the economy and maintaining currency stability. Furthermore, the government also needs to pay attention to the impact of redenomination as a monetary policy, as explained by</w:t>
      </w:r>
      <w:r w:rsidR="006A3F87">
        <w:rPr>
          <w:rFonts w:ascii="Calibri Light" w:hAnsi="Calibri Light" w:cs="Calibri Light"/>
          <w:sz w:val="24"/>
          <w:szCs w:val="24"/>
        </w:rPr>
        <w:t xml:space="preserve"> </w:t>
      </w:r>
      <w:r w:rsidR="006A3F87" w:rsidRPr="006A3F87">
        <w:rPr>
          <w:rFonts w:ascii="Calibri Light" w:hAnsi="Calibri Light" w:cs="Calibri Light"/>
          <w:color w:val="0070C0"/>
          <w:sz w:val="24"/>
          <w:szCs w:val="24"/>
        </w:rPr>
        <w:fldChar w:fldCharType="begin" w:fldLock="1"/>
      </w:r>
      <w:r w:rsidR="007322AC">
        <w:rPr>
          <w:rFonts w:ascii="Calibri Light" w:hAnsi="Calibri Light" w:cs="Calibri Light"/>
          <w:color w:val="0070C0"/>
          <w:sz w:val="24"/>
          <w:szCs w:val="24"/>
        </w:rPr>
        <w:instrText>ADDIN CSL_CITATION {"citationItems":[{"id":"ITEM-1","itemData":{"DOI":"10.7551/mitpress/7412.001.0001","abstract":"This book by a leading authority on monetary policy offers a unique view of the subject from the perspectives of both scholar and practitioner. Frederic Mishkin is not only an academic expert in the field but also has been a high-level policymaker. He is especially well positioned to discuss the changes in the conduct of monetary policy in recent years, in particular the turn to inflation targeting. Monetary Policy Strategy describes his work over the last ten years, offering published papers, new introductory material, and a summing up, \"Everything You Wanted to Know about Monetary Policy Strategy, But Were Afraid to Ask,\" which reflects on what we have learned about monetary policy over the last thirty years.Mishkin blends theory, empirical evidence, and extensive case studies of monetary policy in advanced and emerging market and transition economies. Throughout, his focus is on these key areas: the importance of price stability and a nominal anchor; fiscal and financial preconditions for achieving price stability; central bank independence as an additional precondition; central bank accountability; the rationale for inflation targeting; the optimal inflation target; central bank transparency and communication; and the role of asset prices in monetary policy.","author":[{"dropping-particle":"","family":"Mishkin","given":"Frederic S.","non-dropping-particle":"","parse-names":false,"suffix":""}],"container-title":"Monetary Policy Strategy","id":"ITEM-1","issued":{"date-parts":[["2007"]]},"title":"Monetary Policy Strategy","type":"book"},"uris":["http://www.mendeley.com/documents/?uuid=58207f95-e6d9-4055-ab29-2ac5a95b4c3a"]}],"mendeley":{"formattedCitation":"(Mishkin, 2007)","manualFormatting":"Mishkin, (2007)","plainTextFormattedCitation":"(Mishkin, 2007)","previouslyFormattedCitation":"(Mishkin, 2007)"},"properties":{"noteIndex":0},"schema":"https://github.com/citation-style-language/schema/raw/master/csl-citation.json"}</w:instrText>
      </w:r>
      <w:r w:rsidR="006A3F87" w:rsidRPr="006A3F87">
        <w:rPr>
          <w:rFonts w:ascii="Calibri Light" w:hAnsi="Calibri Light" w:cs="Calibri Light"/>
          <w:color w:val="0070C0"/>
          <w:sz w:val="24"/>
          <w:szCs w:val="24"/>
        </w:rPr>
        <w:fldChar w:fldCharType="separate"/>
      </w:r>
      <w:r w:rsidR="006A3F87" w:rsidRPr="006A3F87">
        <w:rPr>
          <w:rFonts w:ascii="Calibri Light" w:hAnsi="Calibri Light" w:cs="Calibri Light"/>
          <w:noProof/>
          <w:color w:val="0070C0"/>
          <w:sz w:val="24"/>
          <w:szCs w:val="24"/>
        </w:rPr>
        <w:t>Mishki</w:t>
      </w:r>
      <w:r w:rsidR="00B74AF1">
        <w:rPr>
          <w:rFonts w:ascii="Calibri Light" w:hAnsi="Calibri Light" w:cs="Calibri Light"/>
          <w:noProof/>
          <w:color w:val="0070C0"/>
          <w:sz w:val="24"/>
          <w:szCs w:val="24"/>
        </w:rPr>
        <w:t>n</w:t>
      </w:r>
      <w:r w:rsidR="006A3F87" w:rsidRPr="006A3F87">
        <w:rPr>
          <w:rFonts w:ascii="Calibri Light" w:hAnsi="Calibri Light" w:cs="Calibri Light"/>
          <w:noProof/>
          <w:color w:val="0070C0"/>
          <w:sz w:val="24"/>
          <w:szCs w:val="24"/>
        </w:rPr>
        <w:t xml:space="preserve"> (2007)</w:t>
      </w:r>
      <w:r w:rsidR="006A3F87" w:rsidRPr="006A3F87">
        <w:rPr>
          <w:rFonts w:ascii="Calibri Light" w:hAnsi="Calibri Light" w:cs="Calibri Light"/>
          <w:color w:val="0070C0"/>
          <w:sz w:val="24"/>
          <w:szCs w:val="24"/>
        </w:rPr>
        <w:fldChar w:fldCharType="end"/>
      </w:r>
      <w:r w:rsidR="00CB4CFA" w:rsidRPr="006A3F87">
        <w:rPr>
          <w:rFonts w:ascii="Calibri Light" w:hAnsi="Calibri Light" w:cs="Calibri Light"/>
          <w:color w:val="0070C0"/>
          <w:sz w:val="24"/>
          <w:szCs w:val="24"/>
        </w:rPr>
        <w:t>,</w:t>
      </w:r>
      <w:r w:rsidR="00CB4CFA" w:rsidRPr="00CB4CFA">
        <w:rPr>
          <w:rFonts w:ascii="Calibri Light" w:hAnsi="Calibri Light" w:cs="Calibri Light"/>
          <w:sz w:val="24"/>
          <w:szCs w:val="24"/>
        </w:rPr>
        <w:t xml:space="preserve"> on how monetary policy, including currency redenomination, affects the stability of a country's currency exchange rate and credibility. </w:t>
      </w:r>
      <w:r w:rsidR="007322AC">
        <w:rPr>
          <w:rFonts w:ascii="Calibri Light" w:hAnsi="Calibri Light" w:cs="Calibri Light"/>
          <w:sz w:val="24"/>
          <w:szCs w:val="24"/>
        </w:rPr>
        <w:t xml:space="preserve"> </w:t>
      </w:r>
      <w:r w:rsidR="007322AC" w:rsidRPr="007322AC">
        <w:rPr>
          <w:rFonts w:ascii="Calibri Light" w:hAnsi="Calibri Light" w:cs="Calibri Light"/>
          <w:color w:val="0070C0"/>
          <w:sz w:val="24"/>
          <w:szCs w:val="24"/>
        </w:rPr>
        <w:fldChar w:fldCharType="begin" w:fldLock="1"/>
      </w:r>
      <w:r w:rsidR="005D52A4">
        <w:rPr>
          <w:rFonts w:ascii="Calibri Light" w:hAnsi="Calibri Light" w:cs="Calibri Light"/>
          <w:color w:val="0070C0"/>
          <w:sz w:val="24"/>
          <w:szCs w:val="24"/>
        </w:rPr>
        <w:instrText>ADDIN CSL_CITATION {"citationItems":[{"id":"ITEM-1","itemData":{"abstract":"For courses in International Economics, International Finance, and International Trade. A balanced approach to theory and policy applications International Economics: Theory and Policyprovides engaging, balanced coverage of the key concepts and practical applications of the two main topic areas of the discipline. For both international trade and international finance, an intuitive introduction to theory is followed by detailed coverage of policy applications. With this newEleventh Edition, Global Edition, the author team of Nobel Prize-winning economist Paul Krugman, renowned researcher Maurice Obstfeld, and Marc Melitz of Harvard University, continues to set the standard for International Economics courses. PearsonMyLabTMEconomics not included.Students, if Pearson MyLab Economics is a recommended/mandatory component of the course, please ask your instructor for the correct ISBN and course ID. MyLab Economics should only be purchased when required by an instructor.","author":[{"dropping-particle":"","family":"Krugman","given":"Paul","non-dropping-particle":"","parse-names":false,"suffix":""},{"dropping-particle":"","family":"Obstfeld","given":"Maurice","non-dropping-particle":"","parse-names":false,"suffix":""},{"dropping-particle":"","family":"Melitz","given":"Marc","non-dropping-particle":"","parse-names":false,"suffix":""}],"container-title":"International Economics: Theory and Policy, Global Edition","id":"ITEM-1","issued":{"date-parts":[["2018"]]},"title":"International Economics: Theory and Policy, Global Edition","type":"book"},"uris":["http://www.mendeley.com/documents/?uuid=bf632bc3-387f-3572-97ed-ca4e1ebe5ace"]}],"mendeley":{"formattedCitation":"(Krugman et al., 2018)","manualFormatting":"Krugman et al., (2018)","plainTextFormattedCitation":"(Krugman et al., 2018)","previouslyFormattedCitation":"(Krugman et al., 2018)"},"properties":{"noteIndex":0},"schema":"https://github.com/citation-style-language/schema/raw/master/csl-citation.json"}</w:instrText>
      </w:r>
      <w:r w:rsidR="007322AC" w:rsidRPr="007322AC">
        <w:rPr>
          <w:rFonts w:ascii="Calibri Light" w:hAnsi="Calibri Light" w:cs="Calibri Light"/>
          <w:color w:val="0070C0"/>
          <w:sz w:val="24"/>
          <w:szCs w:val="24"/>
        </w:rPr>
        <w:fldChar w:fldCharType="separate"/>
      </w:r>
      <w:r w:rsidR="007322AC" w:rsidRPr="007322AC">
        <w:rPr>
          <w:rFonts w:ascii="Calibri Light" w:hAnsi="Calibri Light" w:cs="Calibri Light"/>
          <w:noProof/>
          <w:color w:val="0070C0"/>
          <w:sz w:val="24"/>
          <w:szCs w:val="24"/>
        </w:rPr>
        <w:t xml:space="preserve">Krugman </w:t>
      </w:r>
      <w:r w:rsidR="005B3038" w:rsidRPr="005B3038">
        <w:rPr>
          <w:rFonts w:ascii="Calibri Light" w:hAnsi="Calibri Light" w:cs="Calibri Light"/>
          <w:i/>
          <w:noProof/>
          <w:color w:val="0070C0"/>
          <w:sz w:val="24"/>
          <w:szCs w:val="24"/>
        </w:rPr>
        <w:t>et al</w:t>
      </w:r>
      <w:r w:rsidR="007322AC" w:rsidRPr="007322AC">
        <w:rPr>
          <w:rFonts w:ascii="Calibri Light" w:hAnsi="Calibri Light" w:cs="Calibri Light"/>
          <w:noProof/>
          <w:color w:val="0070C0"/>
          <w:sz w:val="24"/>
          <w:szCs w:val="24"/>
        </w:rPr>
        <w:t>, (2018)</w:t>
      </w:r>
      <w:r w:rsidR="007322AC" w:rsidRPr="007322AC">
        <w:rPr>
          <w:rFonts w:ascii="Calibri Light" w:hAnsi="Calibri Light" w:cs="Calibri Light"/>
          <w:color w:val="0070C0"/>
          <w:sz w:val="24"/>
          <w:szCs w:val="24"/>
        </w:rPr>
        <w:fldChar w:fldCharType="end"/>
      </w:r>
      <w:r w:rsidR="00CB4CFA" w:rsidRPr="007322AC">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expressed a similar point, reviewing theories of monetary credibility in the international economy, including how monetary policy can affect a country's currency position in global markets.</w:t>
      </w:r>
    </w:p>
    <w:p w14:paraId="17530A7E" w14:textId="13AD492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If we take the view of </w:t>
      </w:r>
      <w:r w:rsidR="005D52A4" w:rsidRPr="005D52A4">
        <w:rPr>
          <w:rFonts w:ascii="Calibri Light" w:hAnsi="Calibri Light" w:cs="Calibri Light"/>
          <w:color w:val="0070C0"/>
          <w:sz w:val="24"/>
          <w:szCs w:val="24"/>
        </w:rPr>
        <w:fldChar w:fldCharType="begin" w:fldLock="1"/>
      </w:r>
      <w:r w:rsidR="00524622">
        <w:rPr>
          <w:rFonts w:ascii="Calibri Light" w:hAnsi="Calibri Light" w:cs="Calibri Light"/>
          <w:color w:val="0070C0"/>
          <w:sz w:val="24"/>
          <w:szCs w:val="24"/>
        </w:rPr>
        <w:instrText>ADDIN CSL_CITATION {"citationItems":[{"id":"ITEM-1","itemData":{"abstract":"Que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salud.","author":[{"dropping-particle":"","family":"Mankiw","given":"N. Gregory","non-dropping-particle":"","parse-names":false,"suffix":""}],"container-title":"Macroeconomics, 7th Edition","edition":"7th","id":"ITEM-1","issued":{"date-parts":[["2017"]]},"publisher":"Worth Publisher","title":"Macroeconomics","type":"book","volume":"91"},"uris":["http://www.mendeley.com/documents/?uuid=c5e28d03-1e9c-3bbd-a609-55e358735680"]}],"mendeley":{"formattedCitation":"(Mankiw, 2017)","manualFormatting":"Mankiw, (2017)","plainTextFormattedCitation":"(Mankiw, 2017)","previouslyFormattedCitation":"(Mankiw, 2017)"},"properties":{"noteIndex":0},"schema":"https://github.com/citation-style-language/schema/raw/master/csl-citation.json"}</w:instrText>
      </w:r>
      <w:r w:rsidR="005D52A4" w:rsidRPr="005D52A4">
        <w:rPr>
          <w:rFonts w:ascii="Calibri Light" w:hAnsi="Calibri Light" w:cs="Calibri Light"/>
          <w:color w:val="0070C0"/>
          <w:sz w:val="24"/>
          <w:szCs w:val="24"/>
        </w:rPr>
        <w:fldChar w:fldCharType="separate"/>
      </w:r>
      <w:r w:rsidR="005D52A4" w:rsidRPr="005D52A4">
        <w:rPr>
          <w:rFonts w:ascii="Calibri Light" w:hAnsi="Calibri Light" w:cs="Calibri Light"/>
          <w:noProof/>
          <w:color w:val="0070C0"/>
          <w:sz w:val="24"/>
          <w:szCs w:val="24"/>
        </w:rPr>
        <w:t>Mankiw (2017)</w:t>
      </w:r>
      <w:r w:rsidR="005D52A4" w:rsidRPr="005D52A4">
        <w:rPr>
          <w:rFonts w:ascii="Calibri Light" w:hAnsi="Calibri Light" w:cs="Calibri Light"/>
          <w:color w:val="0070C0"/>
          <w:sz w:val="24"/>
          <w:szCs w:val="24"/>
        </w:rPr>
        <w:fldChar w:fldCharType="end"/>
      </w:r>
      <w:r w:rsidR="005D52A4" w:rsidRPr="005D52A4">
        <w:rPr>
          <w:rFonts w:ascii="Calibri Light" w:hAnsi="Calibri Light" w:cs="Calibri Light"/>
          <w:color w:val="0070C0"/>
          <w:sz w:val="24"/>
          <w:szCs w:val="24"/>
        </w:rPr>
        <w:t xml:space="preserve"> </w:t>
      </w:r>
      <w:r w:rsidR="005D52A4">
        <w:rPr>
          <w:rFonts w:ascii="Calibri Light" w:hAnsi="Calibri Light" w:cs="Calibri Light"/>
          <w:sz w:val="24"/>
          <w:szCs w:val="24"/>
        </w:rPr>
        <w:t>i</w:t>
      </w:r>
      <w:r w:rsidRPr="00CB4CFA">
        <w:rPr>
          <w:rFonts w:ascii="Calibri Light" w:hAnsi="Calibri Light" w:cs="Calibri Light"/>
          <w:sz w:val="24"/>
          <w:szCs w:val="24"/>
        </w:rPr>
        <w:t>t should be noted that inflation has a significant impact on a country's economy. Monetary policy, including redenomination, if done appropriately, can be used to stabilize the economy and increase the competitiveness of the country's currency. Meanwhile,</w:t>
      </w:r>
      <w:r w:rsidR="00524622">
        <w:rPr>
          <w:rFonts w:ascii="Calibri Light" w:hAnsi="Calibri Light" w:cs="Calibri Light"/>
          <w:sz w:val="24"/>
          <w:szCs w:val="24"/>
        </w:rPr>
        <w:t xml:space="preserve"> </w:t>
      </w:r>
      <w:r w:rsidR="00524622" w:rsidRPr="00524622">
        <w:rPr>
          <w:rFonts w:ascii="Calibri Light" w:hAnsi="Calibri Light" w:cs="Calibri Light"/>
          <w:color w:val="0070C0"/>
          <w:sz w:val="24"/>
          <w:szCs w:val="24"/>
        </w:rPr>
        <w:fldChar w:fldCharType="begin" w:fldLock="1"/>
      </w:r>
      <w:r w:rsidR="00AD4E41">
        <w:rPr>
          <w:rFonts w:ascii="Calibri Light" w:hAnsi="Calibri Light" w:cs="Calibri Light"/>
          <w:color w:val="0070C0"/>
          <w:sz w:val="24"/>
          <w:szCs w:val="24"/>
        </w:rPr>
        <w:instrText>ADDIN CSL_CITATION {"citationItems":[{"id":"ITEM-1","itemData":{"abstract":"This text presents a comprehensive treatment of the most important topics in monetary economics, focusing on the primary models monetary economists have employed to address topics in theory and policy. It covers the basic theoretical approaches, shows how to do simulation work with the models, and discusses the full range of frictions that economists have studied to understand the impacts of monetary policy. Among the topics presented are money-in-the-utility function, cash-in-advance, and search models of money; informational, portfolio, and nominal rigidities; credit frictions; the open economy; and issues of monetary policy, including discretion and commitment, policy analysis in new Keynesian models, and monetary operating procedures. The use of models based on dynamic optimization and nominal rigidities in consistent general equilibrium frameworks, relatively new when introduced to students in the first edition of this popular text, has since become the method of choice of monetary policy analysis. This third edition reflects the latest advances in the field, incorporating new or expanded material on such topics as monetary search equilibria, sticky information, adaptive learning, state-contingent pricing models, and channel systems for implementing monetary policy. Much of the material on policy analysis has been reorganized to reflect the dominance of the new Keynesian approach. Monetary Theory and Policy continues to be the only comprehensive and up-to-date treatment of monetary economics, not only the leading text in the field but also the standard reference for academics and central bank researchers.","author":[{"dropping-particle":"","family":"Walsh","given":"Carl E.","non-dropping-particle":"","parse-names":false,"suffix":""}],"container-title":"MIT Press Books","id":"ITEM-1","issued":{"date-parts":[["2010"]]},"title":"Monetary Theory and Policy, Third Edition","type":"book"},"uris":["http://www.mendeley.com/documents/?uuid=03258f17-0790-4734-9c0b-8200c0852836"]}],"mendeley":{"formattedCitation":"(Walsh, 2010)","manualFormatting":"Walsh, (2010)","plainTextFormattedCitation":"(Walsh, 2010)","previouslyFormattedCitation":"(Walsh, 2010)"},"properties":{"noteIndex":0},"schema":"https://github.com/citation-style-language/schema/raw/master/csl-citation.json"}</w:instrText>
      </w:r>
      <w:r w:rsidR="00524622" w:rsidRPr="00524622">
        <w:rPr>
          <w:rFonts w:ascii="Calibri Light" w:hAnsi="Calibri Light" w:cs="Calibri Light"/>
          <w:color w:val="0070C0"/>
          <w:sz w:val="24"/>
          <w:szCs w:val="24"/>
        </w:rPr>
        <w:fldChar w:fldCharType="separate"/>
      </w:r>
      <w:r w:rsidR="00524622" w:rsidRPr="00524622">
        <w:rPr>
          <w:rFonts w:ascii="Calibri Light" w:hAnsi="Calibri Light" w:cs="Calibri Light"/>
          <w:noProof/>
          <w:color w:val="0070C0"/>
          <w:sz w:val="24"/>
          <w:szCs w:val="24"/>
        </w:rPr>
        <w:t>Walsh (201</w:t>
      </w:r>
      <w:r w:rsidR="00B74AF1">
        <w:rPr>
          <w:rFonts w:ascii="Calibri Light" w:hAnsi="Calibri Light" w:cs="Calibri Light"/>
          <w:noProof/>
          <w:color w:val="0070C0"/>
          <w:sz w:val="24"/>
          <w:szCs w:val="24"/>
        </w:rPr>
        <w:t>8</w:t>
      </w:r>
      <w:r w:rsidR="00524622" w:rsidRPr="00524622">
        <w:rPr>
          <w:rFonts w:ascii="Calibri Light" w:hAnsi="Calibri Light" w:cs="Calibri Light"/>
          <w:noProof/>
          <w:color w:val="0070C0"/>
          <w:sz w:val="24"/>
          <w:szCs w:val="24"/>
        </w:rPr>
        <w:t>)</w:t>
      </w:r>
      <w:r w:rsidR="00524622" w:rsidRPr="00524622">
        <w:rPr>
          <w:rFonts w:ascii="Calibri Light" w:hAnsi="Calibri Light" w:cs="Calibri Light"/>
          <w:color w:val="0070C0"/>
          <w:sz w:val="24"/>
          <w:szCs w:val="24"/>
        </w:rPr>
        <w:fldChar w:fldCharType="end"/>
      </w:r>
      <w:r w:rsidRPr="00524622">
        <w:rPr>
          <w:rFonts w:ascii="Calibri Light" w:hAnsi="Calibri Light" w:cs="Calibri Light"/>
          <w:color w:val="0070C0"/>
          <w:sz w:val="24"/>
          <w:szCs w:val="24"/>
        </w:rPr>
        <w:t xml:space="preserve"> </w:t>
      </w:r>
      <w:r w:rsidRPr="00CB4CFA">
        <w:rPr>
          <w:rFonts w:ascii="Calibri Light" w:hAnsi="Calibri Light" w:cs="Calibri Light"/>
          <w:sz w:val="24"/>
          <w:szCs w:val="24"/>
        </w:rPr>
        <w:t>reviews monetary policy in depth, including an analysis of the measures used by central banks to maintain currency stability, which is relevant to redenomination policy.</w:t>
      </w:r>
    </w:p>
    <w:p w14:paraId="67C65478" w14:textId="2A2CEE66"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Redenomination of the rupiah, in the perspective of economics, is considered as the last resort by monetary authorities to maintain the credibility of the currency. This is related to efforts to tackle high inflation and stabilize the exchange rate. As explained by Keynes and Friedman, monetary policy must be flexible and responsive to economic dynamics.</w:t>
      </w:r>
      <w:r w:rsidR="005706E6">
        <w:rPr>
          <w:rFonts w:ascii="Calibri Light" w:hAnsi="Calibri Light" w:cs="Calibri Light"/>
          <w:sz w:val="24"/>
          <w:szCs w:val="24"/>
        </w:rPr>
        <w:t xml:space="preserve"> </w:t>
      </w:r>
      <w:r w:rsidR="00AD4E41" w:rsidRPr="00AD4E41">
        <w:rPr>
          <w:rFonts w:ascii="Calibri Light" w:hAnsi="Calibri Light" w:cs="Calibri Light"/>
          <w:color w:val="0070C0"/>
          <w:sz w:val="24"/>
          <w:szCs w:val="24"/>
        </w:rPr>
        <w:fldChar w:fldCharType="begin" w:fldLock="1"/>
      </w:r>
      <w:r w:rsidR="00EB4F47">
        <w:rPr>
          <w:rFonts w:ascii="Calibri Light" w:hAnsi="Calibri Light" w:cs="Calibri Light"/>
          <w:color w:val="0070C0"/>
          <w:sz w:val="24"/>
          <w:szCs w:val="24"/>
        </w:rPr>
        <w:instrText>ADDIN CSL_CITATION {"citationItems":[{"id":"ITEM-1","itemData":{"DOI":"10.1007/978-3-319-70344-2","ISBN":"978-3-319-70343-5","abstract":"This book was originally published by Macmillan in 1936. It was voted the top Academic Book that Shaped Modern Britain by Academic Book Week (UK) in 2017, and in 2011 was placed on Time Magazine's top 100 non-fiction books written in English since 1923. Reissued with a fresh Introduction by the Nobel-prize winner Paul Krugman and a new Afterword by Keynes' biographer Robert Skidelsky, this important work is made available to a new generation. The General Theory of Employment, Interest and Money transformed economics and changed the face of modern macroeconomics. Keynes' argument is based on the idea that the level of employment is not determined by the price of labour, but by the spending of money. It gave way to an entirely new approach where employment, inflation and the market economy are concerned. Highly provocative at its time of publication, this book and Keynes' theories continue to remain the subject of much support and praise, criticism and debate. Economists at any stage in their career will enjoy revisiting this treatise and observing the relevance of Keynes' work in today's contemporary climate.","author":[{"dropping-particle":"","family":"Keynes","given":"John Maynard","non-dropping-particle":"","parse-names":false,"suffix":""}],"container-title":"The General Theory of Employment, Interest, and Money","id":"ITEM-1","issued":{"date-parts":[["2018"]]},"publisher":"Springer International Publishing","publisher-place":"Cham","title":"The General Theory of Employment, Interest, and Money","type":"book"},"uris":["http://www.mendeley.com/documents/?uuid=e4511972-eca9-4c7a-8e04-5608e2a55641"]}],"mendeley":{"formattedCitation":"(Keynes, 2018)","manualFormatting":"Keynes, (2018)","plainTextFormattedCitation":"(Keynes, 2018)","previouslyFormattedCitation":"(Keynes, 2018)"},"properties":{"noteIndex":0},"schema":"https://github.com/citation-style-language/schema/raw/master/csl-citation.json"}</w:instrText>
      </w:r>
      <w:r w:rsidR="00AD4E41" w:rsidRPr="00AD4E41">
        <w:rPr>
          <w:rFonts w:ascii="Calibri Light" w:hAnsi="Calibri Light" w:cs="Calibri Light"/>
          <w:color w:val="0070C0"/>
          <w:sz w:val="24"/>
          <w:szCs w:val="24"/>
        </w:rPr>
        <w:fldChar w:fldCharType="separate"/>
      </w:r>
      <w:r w:rsidR="00AD4E41" w:rsidRPr="00AD4E41">
        <w:rPr>
          <w:rFonts w:ascii="Calibri Light" w:hAnsi="Calibri Light" w:cs="Calibri Light"/>
          <w:noProof/>
          <w:color w:val="0070C0"/>
          <w:sz w:val="24"/>
          <w:szCs w:val="24"/>
        </w:rPr>
        <w:t>Keynes (2018)</w:t>
      </w:r>
      <w:r w:rsidR="00AD4E41" w:rsidRPr="00AD4E41">
        <w:rPr>
          <w:rFonts w:ascii="Calibri Light" w:hAnsi="Calibri Light" w:cs="Calibri Light"/>
          <w:color w:val="0070C0"/>
          <w:sz w:val="24"/>
          <w:szCs w:val="24"/>
        </w:rPr>
        <w:fldChar w:fldCharType="end"/>
      </w:r>
      <w:r w:rsidR="00AD4E41" w:rsidRPr="00AD4E41">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economic theory states that monetary policy must be able to respond to economic changes responsively. If inflation is high and the exchange rate is weakening, redenomination can be a solution to restore public confidence in the country's currency. </w:t>
      </w:r>
      <w:r w:rsidR="00EB4F47" w:rsidRPr="00EB4F47">
        <w:rPr>
          <w:rFonts w:ascii="Calibri Light" w:hAnsi="Calibri Light" w:cs="Calibri Light"/>
          <w:color w:val="0070C0"/>
          <w:sz w:val="24"/>
          <w:szCs w:val="24"/>
        </w:rPr>
        <w:fldChar w:fldCharType="begin" w:fldLock="1"/>
      </w:r>
      <w:r w:rsidR="00EB4F47">
        <w:rPr>
          <w:rFonts w:ascii="Calibri Light" w:hAnsi="Calibri Light" w:cs="Calibri Light"/>
          <w:color w:val="0070C0"/>
          <w:sz w:val="24"/>
          <w:szCs w:val="24"/>
        </w:rPr>
        <w:instrText>ADDIN CSL_CITATION {"citationItems":[{"id":"ITEM-1","itemData":{"DOI":"10.7208/chicago/9780226264189.001.0001","ISBN":"9780226264219","abstract":"This essay tests Milton Friedman's conjecture that capitalism is a necessary condition for political freedom. For the decade around 2000 indices of the degree of capitalism and the degree of political freedom are highly correlated and provide plausibility for Friedman's conjecture. In looking at changes over time in the nineteenth century, however, the analysis refutes Friedman's conjecture. These apparently contradictory results are reconciled by showing that both capitalism and freedom are related to such variables as the educational level of the population so that, although not causally tied, they are correlated in a cross-national comparison. © 2009 Elsevier B.V. All rights reserved.","author":[{"dropping-particle":"","family":"Friedman","given":"Milton","non-dropping-particle":"","parse-names":false,"suffix":""}],"container-title":"Capitalism and Freedom","id":"ITEM-1","issued":{"date-parts":[["2002"]]},"publisher":"University of Chicago Press","title":"Capitalism and Freedom","type":"book"},"uris":["http://www.mendeley.com/documents/?uuid=11437938-acbf-4d5d-8d38-d50443e7a88d"]}],"mendeley":{"formattedCitation":"(Friedman, 2002)","manualFormatting":"Friedman, (2002)","plainTextFormattedCitation":"(Friedman, 2002)","previouslyFormattedCitation":"(Friedman, 2002)"},"properties":{"noteIndex":0},"schema":"https://github.com/citation-style-language/schema/raw/master/csl-citation.json"}</w:instrText>
      </w:r>
      <w:r w:rsidR="00EB4F47" w:rsidRPr="00EB4F47">
        <w:rPr>
          <w:rFonts w:ascii="Calibri Light" w:hAnsi="Calibri Light" w:cs="Calibri Light"/>
          <w:color w:val="0070C0"/>
          <w:sz w:val="24"/>
          <w:szCs w:val="24"/>
        </w:rPr>
        <w:fldChar w:fldCharType="separate"/>
      </w:r>
      <w:r w:rsidR="00EB4F47" w:rsidRPr="00EB4F47">
        <w:rPr>
          <w:rFonts w:ascii="Calibri Light" w:hAnsi="Calibri Light" w:cs="Calibri Light"/>
          <w:noProof/>
          <w:color w:val="0070C0"/>
          <w:sz w:val="24"/>
          <w:szCs w:val="24"/>
        </w:rPr>
        <w:t>Friedman (2002)</w:t>
      </w:r>
      <w:r w:rsidR="00EB4F47" w:rsidRPr="00EB4F47">
        <w:rPr>
          <w:rFonts w:ascii="Calibri Light" w:hAnsi="Calibri Light" w:cs="Calibri Light"/>
          <w:color w:val="0070C0"/>
          <w:sz w:val="24"/>
          <w:szCs w:val="24"/>
        </w:rPr>
        <w:fldChar w:fldCharType="end"/>
      </w:r>
      <w:r w:rsidR="00EB4F47" w:rsidRPr="00EB4F47">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monetarist theory emphasizes that inflation is a monetary problem that can be controlled through appropriate policies. Redenomination, in this case, can be seen </w:t>
      </w:r>
      <w:r w:rsidRPr="00CB4CFA">
        <w:rPr>
          <w:rFonts w:ascii="Calibri Light" w:hAnsi="Calibri Light" w:cs="Calibri Light"/>
          <w:sz w:val="24"/>
          <w:szCs w:val="24"/>
        </w:rPr>
        <w:lastRenderedPageBreak/>
        <w:t>as an attempt to improve perceptions of monetary management as well as a step to reduce the negative impact of prolonged inflation.</w:t>
      </w:r>
    </w:p>
    <w:p w14:paraId="3EA3717C" w14:textId="6B43D682"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The social and psychological impact of redenomination is very important to consider because it concerns public perception of the value of money and economic stability. Theories of social change and social psychology can help explain how people respond to redenomination policies</w:t>
      </w:r>
      <w:r w:rsidR="00EB4F47">
        <w:rPr>
          <w:rFonts w:ascii="Calibri Light" w:hAnsi="Calibri Light" w:cs="Calibri Light"/>
          <w:sz w:val="24"/>
          <w:szCs w:val="24"/>
        </w:rPr>
        <w:t xml:space="preserve">. </w:t>
      </w:r>
      <w:r w:rsidR="00EB4F47" w:rsidRPr="00EB4F47">
        <w:rPr>
          <w:rFonts w:ascii="Calibri Light" w:hAnsi="Calibri Light" w:cs="Calibri Light"/>
          <w:color w:val="0070C0"/>
          <w:sz w:val="24"/>
          <w:szCs w:val="24"/>
        </w:rPr>
        <w:fldChar w:fldCharType="begin" w:fldLock="1"/>
      </w:r>
      <w:r w:rsidR="00D70AEE">
        <w:rPr>
          <w:rFonts w:ascii="Calibri Light" w:hAnsi="Calibri Light" w:cs="Calibri Light"/>
          <w:color w:val="0070C0"/>
          <w:sz w:val="24"/>
          <w:szCs w:val="24"/>
        </w:rPr>
        <w:instrText>ADDIN CSL_CITATION {"citationItems":[{"id":"ITEM-1","itemData":{"ISBN":"0684836408","PMID":"387","abstract":"The fullest general statement of Max Weber's sociological theory to appear in any of his writings, \"The Theory of Social and Economic Organization\" is an introduction to Weber's ambitious comparitive study of the sociological and institutional foundations of the modern economic and social order. In this work originally published in German in 1920, Weber discusses the analytical methods of sociology and, at the same time, presents a devastating critique of prevailing sociological theory and of its universalist, determinist underpinnings. None of Weber's other writings offers the reader such a grasp of his theories; none displays so clearly his erudition, the scope of his interests, and his analytical powers.","author":[{"dropping-particle":"","family":"Weber","given":"Max","non-dropping-particle":"","parse-names":false,"suffix":""}],"container-title":"AM Henderson and Talcott Parsons (New York, 1947)","id":"ITEM-1","issued":{"date-parts":[["1947"]]},"title":"The Theory of Social and Economic Organization, translated by A. M. Henderson and Talcott Parsons","type":"article-journal"},"uris":["http://www.mendeley.com/documents/?uuid=3f4e7266-5933-4b72-bf81-de4f70e381ec"]}],"mendeley":{"formattedCitation":"(Weber, 1947)","manualFormatting":"Weber, (1947)","plainTextFormattedCitation":"(Weber, 1947)","previouslyFormattedCitation":"(Weber, 1947)"},"properties":{"noteIndex":0},"schema":"https://github.com/citation-style-language/schema/raw/master/csl-citation.json"}</w:instrText>
      </w:r>
      <w:r w:rsidR="00EB4F47" w:rsidRPr="00EB4F47">
        <w:rPr>
          <w:rFonts w:ascii="Calibri Light" w:hAnsi="Calibri Light" w:cs="Calibri Light"/>
          <w:color w:val="0070C0"/>
          <w:sz w:val="24"/>
          <w:szCs w:val="24"/>
        </w:rPr>
        <w:fldChar w:fldCharType="separate"/>
      </w:r>
      <w:r w:rsidR="00EB4F47" w:rsidRPr="00EB4F47">
        <w:rPr>
          <w:rFonts w:ascii="Calibri Light" w:hAnsi="Calibri Light" w:cs="Calibri Light"/>
          <w:noProof/>
          <w:color w:val="0070C0"/>
          <w:sz w:val="24"/>
          <w:szCs w:val="24"/>
        </w:rPr>
        <w:t>Weber</w:t>
      </w:r>
      <w:r w:rsidR="00B74AF1">
        <w:rPr>
          <w:rFonts w:ascii="Calibri Light" w:hAnsi="Calibri Light" w:cs="Calibri Light"/>
          <w:noProof/>
          <w:color w:val="0070C0"/>
          <w:sz w:val="24"/>
          <w:szCs w:val="24"/>
        </w:rPr>
        <w:t>'s</w:t>
      </w:r>
      <w:r w:rsidR="00EB4F47" w:rsidRPr="00EB4F47">
        <w:rPr>
          <w:rFonts w:ascii="Calibri Light" w:hAnsi="Calibri Light" w:cs="Calibri Light"/>
          <w:noProof/>
          <w:color w:val="0070C0"/>
          <w:sz w:val="24"/>
          <w:szCs w:val="24"/>
        </w:rPr>
        <w:t xml:space="preserve"> (1947)</w:t>
      </w:r>
      <w:r w:rsidR="00EB4F47" w:rsidRPr="00EB4F47">
        <w:rPr>
          <w:rFonts w:ascii="Calibri Light" w:hAnsi="Calibri Light" w:cs="Calibri Light"/>
          <w:color w:val="0070C0"/>
          <w:sz w:val="24"/>
          <w:szCs w:val="24"/>
        </w:rPr>
        <w:fldChar w:fldCharType="end"/>
      </w:r>
      <w:r w:rsidR="00EB4F47" w:rsidRPr="00EB4F47">
        <w:rPr>
          <w:rFonts w:ascii="Calibri Light" w:hAnsi="Calibri Light" w:cs="Calibri Light"/>
          <w:color w:val="0070C0"/>
          <w:sz w:val="24"/>
          <w:szCs w:val="24"/>
        </w:rPr>
        <w:t xml:space="preserve"> </w:t>
      </w:r>
      <w:r w:rsidRPr="00CB4CFA">
        <w:rPr>
          <w:rFonts w:ascii="Calibri Light" w:hAnsi="Calibri Light" w:cs="Calibri Light"/>
          <w:sz w:val="24"/>
          <w:szCs w:val="24"/>
        </w:rPr>
        <w:t>Theory of Social Change states that changes in the economy and state policies can affect the social structure of society. Redenomination can be a symbol of economic change, which in turn affects social norms and people's behavior in using money. Borrowing from</w:t>
      </w:r>
      <w:r w:rsidR="00D70AEE">
        <w:rPr>
          <w:rFonts w:ascii="Calibri Light" w:hAnsi="Calibri Light" w:cs="Calibri Light"/>
          <w:sz w:val="24"/>
          <w:szCs w:val="24"/>
        </w:rPr>
        <w:t xml:space="preserve"> </w:t>
      </w:r>
      <w:r w:rsidR="00D70AEE" w:rsidRPr="00D70AEE">
        <w:rPr>
          <w:rFonts w:ascii="Calibri Light" w:hAnsi="Calibri Light" w:cs="Calibri Light"/>
          <w:color w:val="0070C0"/>
          <w:sz w:val="24"/>
          <w:szCs w:val="24"/>
        </w:rPr>
        <w:fldChar w:fldCharType="begin" w:fldLock="1"/>
      </w:r>
      <w:r w:rsidR="00D70AEE">
        <w:rPr>
          <w:rFonts w:ascii="Calibri Light" w:hAnsi="Calibri Light" w:cs="Calibri Light"/>
          <w:color w:val="0070C0"/>
          <w:sz w:val="24"/>
          <w:szCs w:val="24"/>
        </w:rPr>
        <w:instrText>ADDIN CSL_CITATION {"citationItems":[{"id":"ITEM-1","itemData":{"ISBN":"0072413875","ISSN":"22446885","PMID":"25246403","abstract":"Compiled by Donovan Suh from the texts Social Psychology and Exploring Social Psychology by David G. Myers.","author":[{"dropping-particle":"","family":"Myers","given":"David G","non-dropping-particle":"","parse-names":false,"suffix":""}],"container-title":"McGraw-Hill Higher Education","id":"ITEM-1","issued":{"date-parts":[["2014"]]},"title":"Social Psychology","type":"book"},"uris":["http://www.mendeley.com/documents/?uuid=ee0f1599-8703-4a8f-b627-1dd2576041a6"]}],"mendeley":{"formattedCitation":"(Myers, 2014)","manualFormatting":"Myers, (2014)","plainTextFormattedCitation":"(Myers, 2014)","previouslyFormattedCitation":"(Myers, 2014)"},"properties":{"noteIndex":0},"schema":"https://github.com/citation-style-language/schema/raw/master/csl-citation.json"}</w:instrText>
      </w:r>
      <w:r w:rsidR="00D70AEE" w:rsidRPr="00D70AEE">
        <w:rPr>
          <w:rFonts w:ascii="Calibri Light" w:hAnsi="Calibri Light" w:cs="Calibri Light"/>
          <w:color w:val="0070C0"/>
          <w:sz w:val="24"/>
          <w:szCs w:val="24"/>
        </w:rPr>
        <w:fldChar w:fldCharType="separate"/>
      </w:r>
      <w:r w:rsidR="00D70AEE" w:rsidRPr="00D70AEE">
        <w:rPr>
          <w:rFonts w:ascii="Calibri Light" w:hAnsi="Calibri Light" w:cs="Calibri Light"/>
          <w:noProof/>
          <w:color w:val="0070C0"/>
          <w:sz w:val="24"/>
          <w:szCs w:val="24"/>
        </w:rPr>
        <w:t>Myers</w:t>
      </w:r>
      <w:r w:rsidR="00B74AF1">
        <w:rPr>
          <w:rFonts w:ascii="Calibri Light" w:hAnsi="Calibri Light" w:cs="Calibri Light"/>
          <w:noProof/>
          <w:color w:val="0070C0"/>
          <w:sz w:val="24"/>
          <w:szCs w:val="24"/>
        </w:rPr>
        <w:t>'</w:t>
      </w:r>
      <w:r w:rsidR="00D70AEE" w:rsidRPr="00D70AEE">
        <w:rPr>
          <w:rFonts w:ascii="Calibri Light" w:hAnsi="Calibri Light" w:cs="Calibri Light"/>
          <w:noProof/>
          <w:color w:val="0070C0"/>
          <w:sz w:val="24"/>
          <w:szCs w:val="24"/>
        </w:rPr>
        <w:t xml:space="preserve"> (2014)</w:t>
      </w:r>
      <w:r w:rsidR="00D70AEE" w:rsidRPr="00D70AEE">
        <w:rPr>
          <w:rFonts w:ascii="Calibri Light" w:hAnsi="Calibri Light" w:cs="Calibri Light"/>
          <w:color w:val="0070C0"/>
          <w:sz w:val="24"/>
          <w:szCs w:val="24"/>
        </w:rPr>
        <w:fldChar w:fldCharType="end"/>
      </w:r>
      <w:r w:rsidRPr="00D70AEE">
        <w:rPr>
          <w:rFonts w:ascii="Calibri Light" w:hAnsi="Calibri Light" w:cs="Calibri Light"/>
          <w:color w:val="0070C0"/>
          <w:sz w:val="24"/>
          <w:szCs w:val="24"/>
        </w:rPr>
        <w:t xml:space="preserve"> </w:t>
      </w:r>
      <w:r w:rsidR="00E1461B">
        <w:rPr>
          <w:rFonts w:ascii="Calibri Light" w:hAnsi="Calibri Light" w:cs="Calibri Light"/>
          <w:sz w:val="24"/>
          <w:szCs w:val="24"/>
        </w:rPr>
        <w:t>theory of social psychology</w:t>
      </w:r>
      <w:r w:rsidRPr="00CB4CFA">
        <w:rPr>
          <w:rFonts w:ascii="Calibri Light" w:hAnsi="Calibri Light" w:cs="Calibri Light"/>
          <w:sz w:val="24"/>
          <w:szCs w:val="24"/>
        </w:rPr>
        <w:t xml:space="preserve">, people </w:t>
      </w:r>
      <w:r w:rsidR="00E1461B">
        <w:rPr>
          <w:rFonts w:ascii="Calibri Light" w:hAnsi="Calibri Light" w:cs="Calibri Light"/>
          <w:sz w:val="24"/>
          <w:szCs w:val="24"/>
        </w:rPr>
        <w:t xml:space="preserve">will certainly </w:t>
      </w:r>
      <w:r w:rsidRPr="00CB4CFA">
        <w:rPr>
          <w:rFonts w:ascii="Calibri Light" w:hAnsi="Calibri Light" w:cs="Calibri Light"/>
          <w:sz w:val="24"/>
          <w:szCs w:val="24"/>
        </w:rPr>
        <w:t>react to social and economic changes, including the impact of monetary policies such as redenomination</w:t>
      </w:r>
      <w:r w:rsidR="00E1461B">
        <w:rPr>
          <w:rFonts w:ascii="Calibri Light" w:hAnsi="Calibri Light" w:cs="Calibri Light"/>
          <w:sz w:val="24"/>
          <w:szCs w:val="24"/>
        </w:rPr>
        <w:t>,</w:t>
      </w:r>
      <w:r w:rsidRPr="00CB4CFA">
        <w:rPr>
          <w:rFonts w:ascii="Calibri Light" w:hAnsi="Calibri Light" w:cs="Calibri Light"/>
          <w:sz w:val="24"/>
          <w:szCs w:val="24"/>
        </w:rPr>
        <w:t xml:space="preserve"> </w:t>
      </w:r>
      <w:r w:rsidR="00E1461B">
        <w:rPr>
          <w:rFonts w:ascii="Calibri Light" w:hAnsi="Calibri Light" w:cs="Calibri Light"/>
          <w:sz w:val="24"/>
          <w:szCs w:val="24"/>
        </w:rPr>
        <w:t>which can be seen from</w:t>
      </w:r>
      <w:r w:rsidRPr="00CB4CFA">
        <w:rPr>
          <w:rFonts w:ascii="Calibri Light" w:hAnsi="Calibri Light" w:cs="Calibri Light"/>
          <w:sz w:val="24"/>
          <w:szCs w:val="24"/>
        </w:rPr>
        <w:t xml:space="preserve"> </w:t>
      </w:r>
      <w:r w:rsidR="00E1461B">
        <w:rPr>
          <w:rFonts w:ascii="Calibri Light" w:hAnsi="Calibri Light" w:cs="Calibri Light"/>
          <w:sz w:val="24"/>
          <w:szCs w:val="24"/>
        </w:rPr>
        <w:t>their</w:t>
      </w:r>
      <w:r w:rsidRPr="00CB4CFA">
        <w:rPr>
          <w:rFonts w:ascii="Calibri Light" w:hAnsi="Calibri Light" w:cs="Calibri Light"/>
          <w:sz w:val="24"/>
          <w:szCs w:val="24"/>
        </w:rPr>
        <w:t xml:space="preserve"> perceptions and behavior. </w:t>
      </w:r>
      <w:r w:rsidR="00E1461B">
        <w:rPr>
          <w:rFonts w:ascii="Calibri Light" w:hAnsi="Calibri Light" w:cs="Calibri Light"/>
          <w:sz w:val="24"/>
          <w:szCs w:val="24"/>
        </w:rPr>
        <w:t xml:space="preserve">Additionally, </w:t>
      </w:r>
      <w:r w:rsidR="00D70AEE" w:rsidRPr="00D70AEE">
        <w:rPr>
          <w:rFonts w:ascii="Calibri Light" w:hAnsi="Calibri Light" w:cs="Calibri Light"/>
          <w:color w:val="0070C0"/>
          <w:sz w:val="24"/>
          <w:szCs w:val="24"/>
        </w:rPr>
        <w:fldChar w:fldCharType="begin" w:fldLock="1"/>
      </w:r>
      <w:r w:rsidR="00715582">
        <w:rPr>
          <w:rFonts w:ascii="Calibri Light" w:hAnsi="Calibri Light" w:cs="Calibri Light"/>
          <w:color w:val="0070C0"/>
          <w:sz w:val="24"/>
          <w:szCs w:val="24"/>
        </w:rPr>
        <w:instrText>ADDIN CSL_CITATION {"citationItems":[{"id":"ITEM-1","itemData":{"ISBN":"006124189X","ISSN":"978-0061241895","abstract":"Solidly grounded in principles of social psychology, and coupled with real-world feedback from people who have been victims of coercion, Influence: The Psychology of Persuasion explores the thinking skills that are instrumental in our lives. In this Review, we discuss the salient points of the book based on our interpretation of its contents.","author":[{"dropping-particle":"","family":"Cialdini","given":"Robert B.","non-dropping-particle":"","parse-names":false,"suffix":""}],"container-title":"HarperCollins e-books","id":"ITEM-1","issued":{"date-parts":[["2018"]]},"title":"Influence : The Psychology of Persuasion, Revised Edition","type":"article-journal"},"uris":["http://www.mendeley.com/documents/?uuid=68448619-9a2c-4ced-8711-45c8eb2314ec"]}],"mendeley":{"formattedCitation":"(Cialdini, 2018)","manualFormatting":"Cialdini, (2018)","plainTextFormattedCitation":"(Cialdini, 2018)","previouslyFormattedCitation":"(Cialdini, 2018)"},"properties":{"noteIndex":0},"schema":"https://github.com/citation-style-language/schema/raw/master/csl-citation.json"}</w:instrText>
      </w:r>
      <w:r w:rsidR="00D70AEE" w:rsidRPr="00D70AEE">
        <w:rPr>
          <w:rFonts w:ascii="Calibri Light" w:hAnsi="Calibri Light" w:cs="Calibri Light"/>
          <w:color w:val="0070C0"/>
          <w:sz w:val="24"/>
          <w:szCs w:val="24"/>
        </w:rPr>
        <w:fldChar w:fldCharType="separate"/>
      </w:r>
      <w:r w:rsidR="00D70AEE" w:rsidRPr="00D70AEE">
        <w:rPr>
          <w:rFonts w:ascii="Calibri Light" w:hAnsi="Calibri Light" w:cs="Calibri Light"/>
          <w:noProof/>
          <w:color w:val="0070C0"/>
          <w:sz w:val="24"/>
          <w:szCs w:val="24"/>
        </w:rPr>
        <w:t>Cialdini</w:t>
      </w:r>
      <w:r w:rsidR="00B74AF1">
        <w:rPr>
          <w:rFonts w:ascii="Calibri Light" w:hAnsi="Calibri Light" w:cs="Calibri Light"/>
          <w:noProof/>
          <w:color w:val="0070C0"/>
          <w:sz w:val="24"/>
          <w:szCs w:val="24"/>
        </w:rPr>
        <w:t>'s</w:t>
      </w:r>
      <w:r w:rsidR="00D70AEE" w:rsidRPr="00D70AEE">
        <w:rPr>
          <w:rFonts w:ascii="Calibri Light" w:hAnsi="Calibri Light" w:cs="Calibri Light"/>
          <w:noProof/>
          <w:color w:val="0070C0"/>
          <w:sz w:val="24"/>
          <w:szCs w:val="24"/>
        </w:rPr>
        <w:t xml:space="preserve"> (2018)</w:t>
      </w:r>
      <w:r w:rsidR="00D70AEE" w:rsidRPr="00D70AEE">
        <w:rPr>
          <w:rFonts w:ascii="Calibri Light" w:hAnsi="Calibri Light" w:cs="Calibri Light"/>
          <w:color w:val="0070C0"/>
          <w:sz w:val="24"/>
          <w:szCs w:val="24"/>
        </w:rPr>
        <w:fldChar w:fldCharType="end"/>
      </w:r>
      <w:r w:rsidR="00D70AEE">
        <w:rPr>
          <w:rFonts w:ascii="Calibri Light" w:hAnsi="Calibri Light" w:cs="Calibri Light"/>
          <w:sz w:val="24"/>
          <w:szCs w:val="24"/>
        </w:rPr>
        <w:t xml:space="preserve"> </w:t>
      </w:r>
      <w:r w:rsidR="00E1461B" w:rsidRPr="00CB4CFA">
        <w:rPr>
          <w:rFonts w:ascii="Calibri Light" w:hAnsi="Calibri Light" w:cs="Calibri Light"/>
          <w:sz w:val="24"/>
          <w:szCs w:val="24"/>
        </w:rPr>
        <w:t xml:space="preserve">Social Psychology Theory states that individual perceptions and attitudes can be influenced by changes in society, especially in the perception of the value of money. </w:t>
      </w:r>
      <w:r w:rsidRPr="00CB4CFA">
        <w:rPr>
          <w:rFonts w:ascii="Calibri Light" w:hAnsi="Calibri Light" w:cs="Calibri Light"/>
          <w:sz w:val="24"/>
          <w:szCs w:val="24"/>
        </w:rPr>
        <w:t>In the context of redenomination, people may respond to this policy with feelings of anxiety or confusion. However, if it is well socialized, negative psychological impacts can be minimized.</w:t>
      </w:r>
    </w:p>
    <w:p w14:paraId="1F457F7C" w14:textId="323253AC"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the framework of a social justice-based rule of law, redenomination policy needs to be seen as a step towards creating social justice in the distribution of wealth and improving the welfare of society. </w:t>
      </w:r>
      <w:r w:rsidR="00715582" w:rsidRPr="00715582">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{"citationItems":[{"id":"ITEM-1","itemData":{"ISSN":"15723089","abstract":"Book Information A Theory of Justice: Revised Edition. By John Rawls. Oxford University Press. Oxford. 1999. Pp. xxii + 538. Hardback, Âtextsterling25.00.","author":[{"dropping-particle":"","family":"Rawls","given":"John","non-dropping-particle":"","parse-names":false,"suffix":""}],"container-title":"A Theory of Justice","id":"ITEM-1","issued":{"date-parts":[["1999"]]},"title":"Theory of justice. Revised Edition","type":"book"},"uris":["http://www.mendeley.com/documents/?uuid=0a0ebb8a-ee75-33cc-bbf4-159633bd9b01"]}],"mendeley":{"formattedCitation":"(Rawls, 1999)","manualFormatting":"Rawls, (1999)","plainTextFormattedCitation":"(Rawls, 1999)","previouslyFormattedCitation":"(Rawls, 1999)"},"properties":{"noteIndex":0},"schema":"https://github.com/citation-style-language/schema/raw/master/csl-citation.json"}</w:instrText>
      </w:r>
      <w:r w:rsidR="00715582" w:rsidRPr="00715582">
        <w:rPr>
          <w:rFonts w:ascii="Calibri Light" w:hAnsi="Calibri Light" w:cs="Calibri Light"/>
          <w:color w:val="0070C0"/>
          <w:sz w:val="24"/>
          <w:szCs w:val="24"/>
        </w:rPr>
        <w:fldChar w:fldCharType="separate"/>
      </w:r>
      <w:r w:rsidR="00715582" w:rsidRPr="00715582">
        <w:rPr>
          <w:rFonts w:ascii="Calibri Light" w:hAnsi="Calibri Light" w:cs="Calibri Light"/>
          <w:noProof/>
          <w:color w:val="0070C0"/>
          <w:sz w:val="24"/>
          <w:szCs w:val="24"/>
        </w:rPr>
        <w:t>Rawls</w:t>
      </w:r>
      <w:r w:rsidR="00B74AF1">
        <w:rPr>
          <w:rFonts w:ascii="Calibri Light" w:hAnsi="Calibri Light" w:cs="Calibri Light"/>
          <w:noProof/>
          <w:color w:val="0070C0"/>
          <w:sz w:val="24"/>
          <w:szCs w:val="24"/>
        </w:rPr>
        <w:t>'</w:t>
      </w:r>
      <w:r w:rsidR="00715582" w:rsidRPr="00715582">
        <w:rPr>
          <w:rFonts w:ascii="Calibri Light" w:hAnsi="Calibri Light" w:cs="Calibri Light"/>
          <w:noProof/>
          <w:color w:val="0070C0"/>
          <w:sz w:val="24"/>
          <w:szCs w:val="24"/>
        </w:rPr>
        <w:t xml:space="preserve"> (1999)</w:t>
      </w:r>
      <w:r w:rsidR="00715582" w:rsidRPr="00715582">
        <w:rPr>
          <w:rFonts w:ascii="Calibri Light" w:hAnsi="Calibri Light" w:cs="Calibri Light"/>
          <w:color w:val="0070C0"/>
          <w:sz w:val="24"/>
          <w:szCs w:val="24"/>
        </w:rPr>
        <w:fldChar w:fldCharType="end"/>
      </w:r>
      <w:r w:rsidR="00715582">
        <w:rPr>
          <w:rFonts w:ascii="Calibri Light" w:hAnsi="Calibri Light" w:cs="Calibri Light"/>
          <w:sz w:val="24"/>
          <w:szCs w:val="24"/>
        </w:rPr>
        <w:t xml:space="preserve"> </w:t>
      </w:r>
      <w:r w:rsidRPr="00CB4CFA">
        <w:rPr>
          <w:rFonts w:ascii="Calibri Light" w:hAnsi="Calibri Light" w:cs="Calibri Light"/>
          <w:sz w:val="24"/>
          <w:szCs w:val="24"/>
        </w:rPr>
        <w:t xml:space="preserve">Social Justice Theory states that in designing state policy, there must be a principle of justice that ensures that the policy benefits those most in need. In this case, redenomination can be seen as a policy that reflects efforts to overcome economic inequality and provide better opportunities for the community in facing economic challenges. The Theory of Discourse on Justice </w:t>
      </w:r>
      <w:r w:rsidR="00FA0437">
        <w:rPr>
          <w:rFonts w:ascii="Calibri Light" w:hAnsi="Calibri Light" w:cs="Calibri Light"/>
          <w:sz w:val="24"/>
          <w:szCs w:val="24"/>
        </w:rPr>
        <w:t xml:space="preserve">by </w:t>
      </w:r>
      <w:r w:rsidR="004F5003" w:rsidRPr="004F5003">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{"citationItems":[{"id":"ITEM-1","itemData":{"DOI":"10.2307/591763","ISSN":"00071315","abstract":"In Between Facts and Norms JArgen Habermas works out the legal and political implications of his Theory of Communicative Action (1981), bringing to fruition the project announced with his publication of The Structural Transformation of the Public Sphere in 1962.This new work is a major contribution to recent debates on the rule of law and the possibilities of democracy in postindustrial societies. It offers a sweeping, sociologically informed conceptualization of law and basic rights, a normative account of the rule of law and the constitutional state, an attempt to bridge normative and empirical approaches to democracy, and an account of the social context required for democracy. The work concludes with a bold proposal for a new paradigm of law that goes beyond the dichotomies that have afflicted modern political theory from its inception and that still underlie current controversies between so-called liberals and civic republicans.","author":[{"dropping-particle":"","family":"Dodd","given":"Nigel","non-dropping-particle":"","parse-names":false,"suffix":""},{"dropping-particle":"","family":"Habermas","given":"Jurgen","non-dropping-particle":"","parse-names":false,"suffix":""},{"dropping-particle":"","family":"White","given":"Stephen K.","non-dropping-particle":"","parse-names":false,"suffix":""}],"container-title":"The British Journal of Sociology","id":"ITEM-1","issue":"2","issued":{"date-parts":[["1997","6"]]},"page":"329","title":"Between Facts and Norms: Contributions to a Discourse Theory of Law and Democracy","type":"article-journal","volume":"48"},"uris":["http://www.mendeley.com/documents/?uuid=659ff2a4-0c7b-4df6-a549-45b92d393f16"]}],"mendeley":{"formattedCitation":"(Dodd et al., 1997)","manualFormatting":"Dodd et al., (1997)","plainTextFormattedCitation":"(Dodd et al., 1997)","previouslyFormattedCitation":"(Dodd et al., 1997)"},"properties":{"noteIndex":0},"schema":"https://github.com/citation-style-language/schema/raw/master/csl-citation.json"}</w:instrText>
      </w:r>
      <w:r w:rsidR="004F5003" w:rsidRPr="004F5003">
        <w:rPr>
          <w:rFonts w:ascii="Calibri Light" w:hAnsi="Calibri Light" w:cs="Calibri Light"/>
          <w:color w:val="0070C0"/>
          <w:sz w:val="24"/>
          <w:szCs w:val="24"/>
        </w:rPr>
        <w:fldChar w:fldCharType="separate"/>
      </w:r>
      <w:r w:rsidR="004F5003" w:rsidRPr="004F5003">
        <w:rPr>
          <w:rFonts w:ascii="Calibri Light" w:hAnsi="Calibri Light" w:cs="Calibri Light"/>
          <w:noProof/>
          <w:color w:val="0070C0"/>
          <w:sz w:val="24"/>
          <w:szCs w:val="24"/>
        </w:rPr>
        <w:t xml:space="preserve">Dodd </w:t>
      </w:r>
      <w:r w:rsidR="005B3038" w:rsidRPr="005B3038">
        <w:rPr>
          <w:rFonts w:ascii="Calibri Light" w:hAnsi="Calibri Light" w:cs="Calibri Light"/>
          <w:i/>
          <w:noProof/>
          <w:color w:val="0070C0"/>
          <w:sz w:val="24"/>
          <w:szCs w:val="24"/>
        </w:rPr>
        <w:t>et al.</w:t>
      </w:r>
      <w:r w:rsidR="004F5003" w:rsidRPr="004F5003">
        <w:rPr>
          <w:rFonts w:ascii="Calibri Light" w:hAnsi="Calibri Light" w:cs="Calibri Light"/>
          <w:noProof/>
          <w:color w:val="0070C0"/>
          <w:sz w:val="24"/>
          <w:szCs w:val="24"/>
        </w:rPr>
        <w:t xml:space="preserve"> (1997)</w:t>
      </w:r>
      <w:r w:rsidR="004F5003" w:rsidRPr="004F5003">
        <w:rPr>
          <w:rFonts w:ascii="Calibri Light" w:hAnsi="Calibri Light" w:cs="Calibri Light"/>
          <w:color w:val="0070C0"/>
          <w:sz w:val="24"/>
          <w:szCs w:val="24"/>
        </w:rPr>
        <w:fldChar w:fldCharType="end"/>
      </w:r>
      <w:r w:rsidR="004F5003">
        <w:rPr>
          <w:rFonts w:ascii="Calibri Light" w:hAnsi="Calibri Light" w:cs="Calibri Light"/>
          <w:color w:val="0070C0"/>
          <w:sz w:val="24"/>
          <w:szCs w:val="24"/>
        </w:rPr>
        <w:t xml:space="preserve"> </w:t>
      </w:r>
      <w:r w:rsidRPr="00CB4CFA">
        <w:rPr>
          <w:rFonts w:ascii="Calibri Light" w:hAnsi="Calibri Light" w:cs="Calibri Light"/>
          <w:sz w:val="24"/>
          <w:szCs w:val="24"/>
        </w:rPr>
        <w:t xml:space="preserve">argues that in a social justice-based rule of law system, policies must be developed through an inclusive and participatory discourse process. Redenomination can be seen as a policy implemented through a process involving various parties, including the community, to achieve the goal of social justice in the economy. Meanwhile, </w:t>
      </w:r>
      <w:r w:rsidR="004F5003" w:rsidRPr="004F5003">
        <w:rPr>
          <w:rFonts w:ascii="Calibri Light" w:hAnsi="Calibri Light" w:cs="Calibri Light"/>
          <w:color w:val="0070C0"/>
          <w:sz w:val="24"/>
          <w:szCs w:val="24"/>
        </w:rPr>
        <w:fldChar w:fldCharType="begin" w:fldLock="1"/>
      </w:r>
      <w:r w:rsidR="004F5003">
        <w:rPr>
          <w:rFonts w:ascii="Calibri Light" w:hAnsi="Calibri Light" w:cs="Calibri Light"/>
          <w:color w:val="0070C0"/>
          <w:sz w:val="24"/>
          <w:szCs w:val="24"/>
        </w:rPr>
        <w:instrText>ADDIN CSL_CITATION {"citationItems":[{"id":"ITEM-1","itemData":{"author":[{"dropping-particle":"","family":"Barry","given":"B","non-dropping-particle":"","parse-names":false,"suffix":""}],"id":"ITEM-1","issued":{"date-parts":[["2005"]]},"publisher":"Polity. C","title":"Why Social Justice Matters","type":"book"},"uris":["http://www.mendeley.com/documents/?uuid=ab307041-d637-4285-aefe-a80478fdd92e"]}],"mendeley":{"formattedCitation":"(Barry, 2005)","manualFormatting":"Barry, (2005)","plainTextFormattedCitation":"(Barry, 2005)","previouslyFormattedCitation":"(Barry, 2005)"},"properties":{"noteIndex":0},"schema":"https://github.com/citation-style-language/schema/raw/master/csl-citation.json"}</w:instrText>
      </w:r>
      <w:r w:rsidR="004F5003" w:rsidRPr="004F5003">
        <w:rPr>
          <w:rFonts w:ascii="Calibri Light" w:hAnsi="Calibri Light" w:cs="Calibri Light"/>
          <w:color w:val="0070C0"/>
          <w:sz w:val="24"/>
          <w:szCs w:val="24"/>
        </w:rPr>
        <w:fldChar w:fldCharType="separate"/>
      </w:r>
      <w:r w:rsidR="004F5003" w:rsidRPr="004F5003">
        <w:rPr>
          <w:rFonts w:ascii="Calibri Light" w:hAnsi="Calibri Light" w:cs="Calibri Light"/>
          <w:noProof/>
          <w:color w:val="0070C0"/>
          <w:sz w:val="24"/>
          <w:szCs w:val="24"/>
        </w:rPr>
        <w:t>Barry</w:t>
      </w:r>
      <w:r w:rsidR="00B74AF1">
        <w:rPr>
          <w:rFonts w:ascii="Calibri Light" w:hAnsi="Calibri Light" w:cs="Calibri Light"/>
          <w:noProof/>
          <w:color w:val="0070C0"/>
          <w:sz w:val="24"/>
          <w:szCs w:val="24"/>
        </w:rPr>
        <w:t>'s</w:t>
      </w:r>
      <w:r w:rsidR="004F5003" w:rsidRPr="004F5003">
        <w:rPr>
          <w:rFonts w:ascii="Calibri Light" w:hAnsi="Calibri Light" w:cs="Calibri Light"/>
          <w:noProof/>
          <w:color w:val="0070C0"/>
          <w:sz w:val="24"/>
          <w:szCs w:val="24"/>
        </w:rPr>
        <w:t xml:space="preserve"> (2005)</w:t>
      </w:r>
      <w:r w:rsidR="004F5003" w:rsidRPr="004F5003">
        <w:rPr>
          <w:rFonts w:ascii="Calibri Light" w:hAnsi="Calibri Light" w:cs="Calibri Light"/>
          <w:color w:val="0070C0"/>
          <w:sz w:val="24"/>
          <w:szCs w:val="24"/>
        </w:rPr>
        <w:fldChar w:fldCharType="end"/>
      </w:r>
      <w:r w:rsidR="004F5003">
        <w:rPr>
          <w:rFonts w:ascii="Calibri Light" w:hAnsi="Calibri Light" w:cs="Calibri Light"/>
          <w:sz w:val="24"/>
          <w:szCs w:val="24"/>
        </w:rPr>
        <w:t xml:space="preserve"> </w:t>
      </w:r>
      <w:r w:rsidRPr="00CB4CFA">
        <w:rPr>
          <w:rFonts w:ascii="Calibri Light" w:hAnsi="Calibri Light" w:cs="Calibri Light"/>
          <w:sz w:val="24"/>
          <w:szCs w:val="24"/>
        </w:rPr>
        <w:t>Theory of Social Justice discusses how social justice theory can be applied in economic policy, including how monetary policy can create social justice.</w:t>
      </w:r>
    </w:p>
    <w:p w14:paraId="48387EEE" w14:textId="1450AE83" w:rsidR="00CB4CFA" w:rsidRPr="00CB4CFA" w:rsidRDefault="00CB4CFA" w:rsidP="00F1389F">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Complementing the redenomination analysis, the author cites the Islamic legal conception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00DC28F6">
        <w:rPr>
          <w:rFonts w:ascii="Calibri Light" w:hAnsi="Calibri Light" w:cs="Calibri Light"/>
          <w:i/>
          <w:sz w:val="24"/>
          <w:szCs w:val="24"/>
        </w:rPr>
        <w:t xml:space="preserve"> </w:t>
      </w:r>
      <w:r w:rsidR="00DC28F6" w:rsidRPr="00DC28F6">
        <w:rPr>
          <w:rFonts w:ascii="Calibri Light" w:hAnsi="Calibri Light" w:cs="Calibri Light"/>
          <w:iCs/>
          <w:sz w:val="24"/>
          <w:szCs w:val="24"/>
        </w:rPr>
        <w:t>that consist of</w:t>
      </w:r>
      <w:r w:rsidR="00F1389F">
        <w:rPr>
          <w:rFonts w:ascii="Calibri Light" w:hAnsi="Calibri Light" w:cs="Calibri Light"/>
          <w:iCs/>
          <w:sz w:val="24"/>
          <w:szCs w:val="24"/>
        </w:rPr>
        <w:t xml:space="preserve"> preserving</w:t>
      </w:r>
      <w:r w:rsidR="00F1389F" w:rsidRPr="00F1389F">
        <w:rPr>
          <w:rFonts w:ascii="Calibri Light" w:hAnsi="Calibri Light" w:cs="Calibri Light"/>
          <w:iCs/>
          <w:sz w:val="24"/>
          <w:szCs w:val="24"/>
        </w:rPr>
        <w:t xml:space="preserve"> the five basic elements of</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 xml:space="preserve">human </w:t>
      </w:r>
      <w:r w:rsidR="00F1389F" w:rsidRPr="00F1389F">
        <w:rPr>
          <w:rFonts w:ascii="Calibri Light" w:hAnsi="Calibri Light" w:cs="Calibri Light"/>
          <w:i/>
          <w:sz w:val="24"/>
          <w:szCs w:val="24"/>
        </w:rPr>
        <w:t>(al-</w:t>
      </w:r>
      <w:proofErr w:type="spellStart"/>
      <w:r w:rsidR="00F1389F" w:rsidRPr="00F1389F">
        <w:rPr>
          <w:rFonts w:ascii="Calibri Light" w:hAnsi="Calibri Light" w:cs="Calibri Light"/>
          <w:i/>
          <w:sz w:val="24"/>
          <w:szCs w:val="24"/>
        </w:rPr>
        <w:t>ḍarūriyyat</w:t>
      </w:r>
      <w:proofErr w:type="spellEnd"/>
      <w:r w:rsidR="00F1389F" w:rsidRPr="00F1389F">
        <w:rPr>
          <w:rFonts w:ascii="Calibri Light" w:hAnsi="Calibri Light" w:cs="Calibri Light"/>
          <w:i/>
          <w:sz w:val="24"/>
          <w:szCs w:val="24"/>
        </w:rPr>
        <w:t xml:space="preserve"> al-</w:t>
      </w:r>
      <w:proofErr w:type="spellStart"/>
      <w:r w:rsidR="00F1389F" w:rsidRPr="00F1389F">
        <w:rPr>
          <w:rFonts w:ascii="Calibri Light" w:hAnsi="Calibri Light" w:cs="Calibri Light"/>
          <w:i/>
          <w:sz w:val="24"/>
          <w:szCs w:val="24"/>
        </w:rPr>
        <w:t>khams</w:t>
      </w:r>
      <w:proofErr w:type="spellEnd"/>
      <w:r w:rsidR="00F1389F" w:rsidRPr="00F1389F">
        <w:rPr>
          <w:rFonts w:ascii="Calibri Light" w:hAnsi="Calibri Light" w:cs="Calibri Light"/>
          <w:i/>
          <w:sz w:val="24"/>
          <w:szCs w:val="24"/>
        </w:rPr>
        <w:t>).</w:t>
      </w:r>
      <w:r w:rsidR="00F1389F" w:rsidRPr="00F1389F">
        <w:rPr>
          <w:rFonts w:ascii="Calibri Light" w:hAnsi="Calibri Light" w:cs="Calibri Light"/>
          <w:iCs/>
          <w:sz w:val="24"/>
          <w:szCs w:val="24"/>
        </w:rPr>
        <w:t xml:space="preserve"> These five elements are safeguarding</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 xml:space="preserve">one’s religion, one’s life, one’s </w:t>
      </w:r>
      <w:r w:rsidR="00FB7659">
        <w:rPr>
          <w:rFonts w:ascii="Calibri Light" w:hAnsi="Calibri Light" w:cs="Calibri Light"/>
          <w:iCs/>
          <w:sz w:val="24"/>
          <w:szCs w:val="24"/>
        </w:rPr>
        <w:t>intelligence</w:t>
      </w:r>
      <w:r w:rsidR="00F1389F" w:rsidRPr="00F1389F">
        <w:rPr>
          <w:rFonts w:ascii="Calibri Light" w:hAnsi="Calibri Light" w:cs="Calibri Light"/>
          <w:iCs/>
          <w:sz w:val="24"/>
          <w:szCs w:val="24"/>
        </w:rPr>
        <w:t>, one’s descendants, and one’s</w:t>
      </w:r>
      <w:r w:rsidR="00F1389F">
        <w:rPr>
          <w:rFonts w:ascii="Calibri Light" w:hAnsi="Calibri Light" w:cs="Calibri Light"/>
          <w:iCs/>
          <w:sz w:val="24"/>
          <w:szCs w:val="24"/>
        </w:rPr>
        <w:t xml:space="preserve"> </w:t>
      </w:r>
      <w:r w:rsidR="00F1389F" w:rsidRPr="00F1389F">
        <w:rPr>
          <w:rFonts w:ascii="Calibri Light" w:hAnsi="Calibri Light" w:cs="Calibri Light"/>
          <w:iCs/>
          <w:sz w:val="24"/>
          <w:szCs w:val="24"/>
        </w:rPr>
        <w:t>property</w:t>
      </w:r>
      <w:r w:rsidR="004F5003">
        <w:rPr>
          <w:rFonts w:ascii="Calibri Light" w:hAnsi="Calibri Light" w:cs="Calibri Light"/>
          <w:iCs/>
          <w:sz w:val="24"/>
          <w:szCs w:val="24"/>
        </w:rPr>
        <w:t xml:space="preserve"> </w:t>
      </w:r>
      <w:r w:rsidR="004F5003" w:rsidRPr="00FF3EDF">
        <w:rPr>
          <w:rFonts w:ascii="Calibri Light" w:hAnsi="Calibri Light" w:cs="Calibri Light"/>
          <w:iCs/>
          <w:color w:val="0070C0"/>
          <w:sz w:val="24"/>
          <w:szCs w:val="24"/>
        </w:rPr>
        <w:fldChar w:fldCharType="begin" w:fldLock="1"/>
      </w:r>
      <w:r w:rsidR="00160417">
        <w:rPr>
          <w:rFonts w:ascii="Calibri Light" w:hAnsi="Calibri Light" w:cs="Calibri Light"/>
          <w:iCs/>
          <w:color w:val="0070C0"/>
          <w:sz w:val="24"/>
          <w:szCs w:val="24"/>
        </w:rPr>
        <w:instrText>ADDIN CSL_CITATION {"citationItems":[{"id":"ITEM-1","itemData":{"DOI":"10.15408/ajis.v20i2.18333","ISSN":"2407-8646","abstract":"The two primary and significant roles of maqāṣid al-sharī‘at worth studying are directive and defensive systems. The directive system, for instance, puts the maqāṣid al-sharī‘at as the main reference for any reformation or changing processes and dynamization of the Islamic law, whereas the latter places it as the supreme principle of morality that provides the foundation and ethical-spiritual power for Muslim Societies when they interact with the law. With these two roles, the maqāṣid al-sharī‘at can serve as a driving force to create future changes towards a more constructive and humanistic society. This study is library research which examines the maqāṣid al-sharī‘at from the time of Prophet Muhammad (Peace be Upon Him) to this very day. It aims at elaborating the position of maqāṣid al-sharī‘at as the primary reference and ethical-spiritual foundation for the dynamization process of Islamic law in dealing with contemporary issues. It also examines the concept of maqāṣid al-sharī‘at and analyzes the flexibility, adaptability, and dynamic of Islamic law. In addition, it is intended to open the mind of those who claim that Islamic law is so immutable, doctrinal, eternal, and final. This means that Islamic law is assumed to be inadaptable to various forms of social changes and modernization. AbstrakPeran paling utama dan penting maqāṣid al-sharī‘at yang patut dipelajari adalah sistem direktif dan pertahanan. Sistem direktif, misalnya, menempatkan maqāṣid al-sharī‘at sebagai rujukan utama untuk setiap reformasi atau proses perubahan dan dinamisasi hukum Islam, sedangkan yang terakhir menempatkannya sebagai prinsip moralitas tertinggi yang memberikan landasan dan kekuatan etis-spiritual untuk masyarakat Muslim ketika mereka berinteraksi dengan hukum. Dengan dua peran tersebut, maqāṣid al-sharī‘at dapat menjadi pendorong perubahan masa depan menuju masyarakat yang lebih konstruktif dan humanistik. Penelitian pustaka ini meneliti maqāṣid al-sharī‘at dari masa Nabi Muhammad Saw. hingga hari ini. Hal ini bertujuan untuk menguraikan posisi maqāṣid al-sharī‘at sebagai acuan utama dan landasan etis-spiritual bagi dinamisasi proses hukum Islam dalam menghadapi persoalan kontemporer. Ini juga mengkaji konsep maqāṣid al-sharī‘at dan menganalisis fleksibilitas, kemampuan beradaptasi, dan dinamika hukum Islam. Selain itu, dimaksudkan untuk membuka pikiran mereka yang menyatakan bahwa hukum Islam begitu lestari, doktrinal, abadi, dan final sehingga dianggap tidak dapat…","author":[{"dropping-particle":"","family":"Nur","given":"Iffatin","non-dropping-particle":"","parse-names":false,"suffix":""},{"dropping-particle":"","family":"Adam","given":"Syahrul","non-dropping-particle":"","parse-names":false,"suffix":""},{"dropping-particle":"","family":"Muttaqien","given":"M. Ngizzul","non-dropping-particle":"","parse-names":false,"suffix":""}],"container-title":"AHKAM : Jurnal Ilmu Syariah","id":"ITEM-1","issue":"2","issued":{"date-parts":[["2020","12","30"]]},"title":"Maqāṣid Al-Sharī‘at: The Main Reference and Ethical-Spiritual Foundation for the Dynamization Process of Islamic Law","type":"article-journal","volume":"20"},"uris":["http://www.mendeley.com/documents/?uuid=2940fd9e-5524-4e16-91e2-cb932f5c0742"]}],"mendeley":{"formattedCitation":"(Nur, Adam, et al., 2020)","manualFormatting":"(Nur, Adam, et al., 2020","plainTextFormattedCitation":"(Nur, Adam, et al., 2020)","previouslyFormattedCitation":"(Nur, Adam, et al., 2020)"},"properties":{"noteIndex":0},"schema":"https://github.com/citation-style-language/schema/raw/master/csl-citation.json"}</w:instrText>
      </w:r>
      <w:r w:rsidR="004F5003" w:rsidRPr="00FF3EDF">
        <w:rPr>
          <w:rFonts w:ascii="Calibri Light" w:hAnsi="Calibri Light" w:cs="Calibri Light"/>
          <w:iCs/>
          <w:color w:val="0070C0"/>
          <w:sz w:val="24"/>
          <w:szCs w:val="24"/>
        </w:rPr>
        <w:fldChar w:fldCharType="separate"/>
      </w:r>
      <w:r w:rsidR="00FF3EDF" w:rsidRPr="00FF3EDF">
        <w:rPr>
          <w:rFonts w:ascii="Calibri Light" w:hAnsi="Calibri Light" w:cs="Calibri Light"/>
          <w:iCs/>
          <w:noProof/>
          <w:color w:val="0070C0"/>
          <w:sz w:val="24"/>
          <w:szCs w:val="24"/>
        </w:rPr>
        <w:t xml:space="preserve">(Nur, Adam, </w:t>
      </w:r>
      <w:r w:rsidR="005B3038" w:rsidRPr="005B3038">
        <w:rPr>
          <w:rFonts w:ascii="Calibri Light" w:hAnsi="Calibri Light" w:cs="Calibri Light"/>
          <w:i/>
          <w:iCs/>
          <w:noProof/>
          <w:color w:val="0070C0"/>
          <w:sz w:val="24"/>
          <w:szCs w:val="24"/>
        </w:rPr>
        <w:t>et al</w:t>
      </w:r>
      <w:r w:rsidR="00B74AF1">
        <w:rPr>
          <w:rFonts w:ascii="Calibri Light" w:hAnsi="Calibri Light" w:cs="Calibri Light"/>
          <w:i/>
          <w:iCs/>
          <w:noProof/>
          <w:color w:val="0070C0"/>
          <w:sz w:val="24"/>
          <w:szCs w:val="24"/>
        </w:rPr>
        <w:t>.,</w:t>
      </w:r>
      <w:r w:rsidR="00FF3EDF" w:rsidRPr="00FF3EDF">
        <w:rPr>
          <w:rFonts w:ascii="Calibri Light" w:hAnsi="Calibri Light" w:cs="Calibri Light"/>
          <w:iCs/>
          <w:noProof/>
          <w:color w:val="0070C0"/>
          <w:sz w:val="24"/>
          <w:szCs w:val="24"/>
        </w:rPr>
        <w:t xml:space="preserve"> 2020</w:t>
      </w:r>
      <w:r w:rsidR="004F5003" w:rsidRPr="00FF3EDF">
        <w:rPr>
          <w:rFonts w:ascii="Calibri Light" w:hAnsi="Calibri Light" w:cs="Calibri Light"/>
          <w:iCs/>
          <w:color w:val="0070C0"/>
          <w:sz w:val="24"/>
          <w:szCs w:val="24"/>
        </w:rPr>
        <w:fldChar w:fldCharType="end"/>
      </w:r>
      <w:r w:rsidR="00FF3EDF">
        <w:rPr>
          <w:rFonts w:ascii="Calibri Light" w:hAnsi="Calibri Light" w:cs="Calibri Light"/>
          <w:iCs/>
          <w:color w:val="0070C0"/>
          <w:sz w:val="24"/>
          <w:szCs w:val="24"/>
        </w:rPr>
        <w:t>;</w:t>
      </w:r>
      <w:r w:rsidR="004F5003" w:rsidRPr="00FF3EDF">
        <w:rPr>
          <w:rFonts w:ascii="Calibri Light" w:hAnsi="Calibri Light" w:cs="Calibri Light"/>
          <w:iCs/>
          <w:color w:val="0070C0"/>
          <w:sz w:val="24"/>
          <w:szCs w:val="24"/>
        </w:rPr>
        <w:t xml:space="preserve"> </w:t>
      </w:r>
      <w:r w:rsidR="004F5003" w:rsidRPr="00FF3EDF">
        <w:rPr>
          <w:rFonts w:ascii="Calibri Light" w:hAnsi="Calibri Light" w:cs="Calibri Light"/>
          <w:iCs/>
          <w:color w:val="0070C0"/>
          <w:sz w:val="24"/>
          <w:szCs w:val="24"/>
        </w:rPr>
        <w:fldChar w:fldCharType="begin" w:fldLock="1"/>
      </w:r>
      <w:r w:rsidR="00FF3EDF">
        <w:rPr>
          <w:rFonts w:ascii="Calibri Light" w:hAnsi="Calibri Light" w:cs="Calibri Light"/>
          <w:iCs/>
          <w:color w:val="0070C0"/>
          <w:sz w:val="24"/>
          <w:szCs w:val="24"/>
        </w:rPr>
        <w:instrText>ADDIN CSL_CITATION {"citationItems":[{"id":"ITEM-1","itemData":{"DOI":"10.21154/justicia.v17i1.1807","ISSN":"2502-7646","abstract":"Up to this contemporary era, the concept of maṣlaḥah developed by several leading Moslem scholars seems to be rather theocentric in a way that it is transfixed on the maṣlaḥah considerations contained in the texts (naṣṣ). This means that the concept of maṣlaḥah has so far been shadowed in the textual confinement so that the resulting maṣlaḥah becomes an old-fashioned, stagnant, and less-able concept for responding to the times’ challenges. This study aims to open up discourses and opportunities for the development and reformulation of maṣlaḥah in the current contemporary era. This qualitative study is library research. The data used were obtained from book literatures, journals, and other writings related to maṣlaḥah and were analyzed using a content analysis method. The discussion was done by describing the historical data of previous thoughts on maṣlaḥah from the process of textual confinement to logic determination which was then formulated with the reality of today's modern era life. The results of this study indicate that: 1) from its historical aspect, the reformulation of maṣlaḥah is one which has so far only been assessed in the perspective of Shāri' (the Law Maker), hence, it is necessary to reformulate it in the perspective of mujtahīd by referring to maṣlaḥah associated with the issues’ reality context, 2) there is a need to incorporate the concept of ethics and humanity into the structure of maṣlaḥah, and 3) there present a necessity to formulate a collective-based ijtihād in probing of maṣlaḥah to create a scientific maṣlaḥah-based ijtihād methodology.Hingga pada era kontemporer sekarang ini, konsep maṣlaḥah yang dikembangkan oleh beberapa tokoh ilmuwan Muslim tampak lebih bersifat teosentris yang terpaku pada pertimbangan maṣlaḥah yang terdapat pada teks (naṣṣ). Artinya, konsep maṣlaḥah selama ini masih terbayang-bayang dalam kungkungan teks sehingga maṣlaḥah yang dihasilkan menjadi konsep yang jumud, stagnan, dan kurang bisa merespon tantangan zaman. Penelitian ini berusaha membuka wacana dan peluang terhadap perkembangan dan reformulasi maṣlaḥah pada era kontemporer saat ini. Penelitian ini adalah sebuah studi pustaka (library research) yang dilakukan dengan metode kualitatif. Data yang dipakai berasal dari literatur buku, jurnal, dan tulisan-tulisan lain yang berkaitan dengan maṣlaḥah dan dianalisa menggunakan metode content analysis. Pembahasan dilakukan dengan mendeskripsikan data sejarah pemikiran maṣlaḥah dari proses kungkungan teks…","author":[{"dropping-particle":"","family":"Nur","given":"Iffatin","non-dropping-particle":"","parse-names":false,"suffix":""},{"dropping-particle":"","family":"Muttaqin","given":"Muhammad Ngizzul","non-dropping-particle":"","parse-names":false,"suffix":""}],"container-title":"Justicia Islamica","id":"ITEM-1","issue":"1","issued":{"date-parts":[["2020","6"]]},"page":"73","title":"Reformulating The Concept of Maṣlaḥah: From A Textual Confinement Towards A Logic Determination","type":"article-journal","volume":"17"},"uris":["http://www.mendeley.com/documents/?uuid=d2123546-dc17-42d0-baec-6f9c814cc4af","http://www.mendeley.com/documents/?uuid=0e0f520c-8f56-4846-8a9d-1f6340fa1629"]}],"mendeley":{"formattedCitation":"(Nur &amp; Muttaqin, 2020)","manualFormatting":"Nur &amp; Muttaqin, 2020","plainTextFormattedCitation":"(Nur &amp; Muttaqin, 2020)","previouslyFormattedCitation":"(Nur &amp; Muttaqin, 2020)"},"properties":{"noteIndex":0},"schema":"https://github.com/citation-style-language/schema/raw/master/csl-citation.json"}</w:instrText>
      </w:r>
      <w:r w:rsidR="004F5003" w:rsidRPr="00FF3EDF">
        <w:rPr>
          <w:rFonts w:ascii="Calibri Light" w:hAnsi="Calibri Light" w:cs="Calibri Light"/>
          <w:iCs/>
          <w:color w:val="0070C0"/>
          <w:sz w:val="24"/>
          <w:szCs w:val="24"/>
        </w:rPr>
        <w:fldChar w:fldCharType="separate"/>
      </w:r>
      <w:r w:rsidR="004F5003" w:rsidRPr="00FF3EDF">
        <w:rPr>
          <w:rFonts w:ascii="Calibri Light" w:hAnsi="Calibri Light" w:cs="Calibri Light"/>
          <w:iCs/>
          <w:noProof/>
          <w:color w:val="0070C0"/>
          <w:sz w:val="24"/>
          <w:szCs w:val="24"/>
        </w:rPr>
        <w:t>Nur &amp; Muttaqin, 2020</w:t>
      </w:r>
      <w:r w:rsidR="004F5003" w:rsidRPr="00FF3EDF">
        <w:rPr>
          <w:rFonts w:ascii="Calibri Light" w:hAnsi="Calibri Light" w:cs="Calibri Light"/>
          <w:iCs/>
          <w:color w:val="0070C0"/>
          <w:sz w:val="24"/>
          <w:szCs w:val="24"/>
        </w:rPr>
        <w:fldChar w:fldCharType="end"/>
      </w:r>
      <w:r w:rsidR="00FF3EDF">
        <w:rPr>
          <w:rFonts w:ascii="Calibri Light" w:hAnsi="Calibri Light" w:cs="Calibri Light"/>
          <w:iCs/>
          <w:color w:val="0070C0"/>
          <w:sz w:val="24"/>
          <w:szCs w:val="24"/>
        </w:rPr>
        <w:t>;</w:t>
      </w:r>
      <w:r w:rsidR="00FF3EDF" w:rsidRPr="00FF3EDF">
        <w:rPr>
          <w:rFonts w:ascii="Calibri Light" w:hAnsi="Calibri Light" w:cs="Calibri Light"/>
          <w:iCs/>
          <w:color w:val="0070C0"/>
          <w:sz w:val="24"/>
          <w:szCs w:val="24"/>
        </w:rPr>
        <w:t xml:space="preserve"> </w:t>
      </w:r>
      <w:r w:rsidR="00FF3EDF" w:rsidRPr="00FF3EDF">
        <w:rPr>
          <w:rFonts w:ascii="Calibri Light" w:hAnsi="Calibri Light" w:cs="Calibri Light"/>
          <w:iCs/>
          <w:color w:val="0070C0"/>
          <w:sz w:val="24"/>
          <w:szCs w:val="24"/>
        </w:rPr>
        <w:fldChar w:fldCharType="begin" w:fldLock="1"/>
      </w:r>
      <w:r w:rsidR="00160417">
        <w:rPr>
          <w:rFonts w:ascii="Calibri Light" w:hAnsi="Calibri Light" w:cs="Calibri Light"/>
          <w:iCs/>
          <w:color w:val="0070C0"/>
          <w:sz w:val="24"/>
          <w:szCs w:val="24"/>
        </w:rPr>
        <w:instrText>ADDIN CSL_CITATION {"citationItems":[{"id":"ITEM-1","itemData":{"DOI":"10.24042/adalah.v17i1.6211","ISSN":"2614-171X","abstract":"Maqāṣid syarī‘ah has a tremendous urgency to the process of Islamic law’s adaptability and modernization, especially in response to the increasingly complicated and crucial human problems where the treasures of classical fiqh are no longer capable to answer them. This paper studies a genealogical analysis to answer the question about the origin of the concept of maqāṣid syarī‘ah by uncovering its embryo and genes of this completely new concept. It was library research employing discourse analysis. Primary and secondary sources of works from previous and contemporary Muslim scholars discussing maqāṣid were studied and analyzed using Gadamer’s hermeneutics. The study found that from the historical perspective, maqāṣid syarī‘ah did not just emerge at the time of al-Syaṭibi, but, based on empirical data, it had been present long before his time. The literature analysis on uṣūl fiqh concluded that the figures before al-Syaṭibi had developed some works that were actually in the area of the essential and substantial values of maqāṣid syarī‘ah, however, they presented them using other words and terms so that they were considered as not of maqāṣid syarī‘ah.","author":[{"dropping-particle":"","family":"Nur","given":"Iffatin","non-dropping-particle":"","parse-names":false,"suffix":""},{"dropping-particle":"","family":"Abdul Wakhid","given":"Ali","non-dropping-particle":"","parse-names":false,"suffix":""},{"dropping-particle":"","family":"Handayani","given":"Lestari","non-dropping-particle":"","parse-names":false,"suffix":""}],"container-title":"AL-'ADALAH","id":"ITEM-1","issue":"1","issued":{"date-parts":[["2020","11","30"]]},"page":"1-30","title":"A Genealogical Analysis on the Concept and Development of Maqaṣid Syarī‘ah","type":"article-journal","volume":"17"},"uris":["http://www.mendeley.com/documents/?uuid=3461a965-f096-3332-aa0e-84a3124afaa8"]}],"mendeley":{"formattedCitation":"(Nur, Abdul Wakhid, et al., 2020)","manualFormatting":"Nur, Abdul Wakhid, et al., 2020)","plainTextFormattedCitation":"(Nur, Abdul Wakhid, et al., 2020)","previouslyFormattedCitation":"(Nur, Abdul Wakhid, et al., 2020)"},"properties":{"noteIndex":0},"schema":"https://github.com/citation-style-language/schema/raw/master/csl-citation.json"}</w:instrText>
      </w:r>
      <w:r w:rsidR="00FF3EDF" w:rsidRPr="00FF3EDF">
        <w:rPr>
          <w:rFonts w:ascii="Calibri Light" w:hAnsi="Calibri Light" w:cs="Calibri Light"/>
          <w:iCs/>
          <w:color w:val="0070C0"/>
          <w:sz w:val="24"/>
          <w:szCs w:val="24"/>
        </w:rPr>
        <w:fldChar w:fldCharType="separate"/>
      </w:r>
      <w:r w:rsidR="00FF3EDF" w:rsidRPr="00FF3EDF">
        <w:rPr>
          <w:rFonts w:ascii="Calibri Light" w:hAnsi="Calibri Light" w:cs="Calibri Light"/>
          <w:iCs/>
          <w:noProof/>
          <w:color w:val="0070C0"/>
          <w:sz w:val="24"/>
          <w:szCs w:val="24"/>
        </w:rPr>
        <w:t xml:space="preserve">Nur, Abdul Wakhid, </w:t>
      </w:r>
      <w:r w:rsidR="005B3038" w:rsidRPr="005B3038">
        <w:rPr>
          <w:rFonts w:ascii="Calibri Light" w:hAnsi="Calibri Light" w:cs="Calibri Light"/>
          <w:i/>
          <w:iCs/>
          <w:noProof/>
          <w:color w:val="0070C0"/>
          <w:sz w:val="24"/>
          <w:szCs w:val="24"/>
        </w:rPr>
        <w:t>et al.</w:t>
      </w:r>
      <w:r w:rsidR="00FF3EDF" w:rsidRPr="00FF3EDF">
        <w:rPr>
          <w:rFonts w:ascii="Calibri Light" w:hAnsi="Calibri Light" w:cs="Calibri Light"/>
          <w:iCs/>
          <w:noProof/>
          <w:color w:val="0070C0"/>
          <w:sz w:val="24"/>
          <w:szCs w:val="24"/>
        </w:rPr>
        <w:t>, 2020)</w:t>
      </w:r>
      <w:r w:rsidR="00FF3EDF" w:rsidRPr="00FF3EDF">
        <w:rPr>
          <w:rFonts w:ascii="Calibri Light" w:hAnsi="Calibri Light" w:cs="Calibri Light"/>
          <w:iCs/>
          <w:color w:val="0070C0"/>
          <w:sz w:val="24"/>
          <w:szCs w:val="24"/>
        </w:rPr>
        <w:fldChar w:fldCharType="end"/>
      </w:r>
      <w:r w:rsidRPr="00CB4CFA">
        <w:rPr>
          <w:rFonts w:ascii="Calibri Light" w:hAnsi="Calibri Light" w:cs="Calibri Light"/>
          <w:sz w:val="24"/>
          <w:szCs w:val="24"/>
        </w:rPr>
        <w:t xml:space="preserve">. The implementation of policies aimed at creating public benefit can be justified within the framework of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Redenomination, which aims to reduce prolonged inflation, maintain economic stability, stabilize the value of the currency, and increase the credibility of the rupiah, can be seen as a step that supports the interests of the people in the economic context. The redenomination policy is expected to improve the country's economic conditions and protect the people's assets</w:t>
      </w:r>
      <w:r w:rsidR="00C16CDF">
        <w:rPr>
          <w:rFonts w:ascii="Calibri Light" w:hAnsi="Calibri Light" w:cs="Calibri Light"/>
          <w:sz w:val="24"/>
          <w:szCs w:val="24"/>
        </w:rPr>
        <w:t xml:space="preserve"> </w:t>
      </w:r>
      <w:r w:rsidR="00C16CDF" w:rsidRPr="00C16CDF">
        <w:rPr>
          <w:rFonts w:ascii="Calibri Light" w:hAnsi="Calibri Light" w:cs="Calibri Light"/>
          <w:i/>
          <w:iCs/>
          <w:sz w:val="24"/>
          <w:szCs w:val="24"/>
        </w:rPr>
        <w:t>(</w:t>
      </w:r>
      <w:proofErr w:type="spellStart"/>
      <w:r w:rsidR="00C16CDF" w:rsidRPr="00C16CDF">
        <w:rPr>
          <w:rFonts w:ascii="Calibri Light" w:hAnsi="Calibri Light" w:cs="Calibri Light"/>
          <w:i/>
          <w:iCs/>
          <w:sz w:val="24"/>
          <w:szCs w:val="24"/>
        </w:rPr>
        <w:t>ḥifẓ</w:t>
      </w:r>
      <w:proofErr w:type="spellEnd"/>
      <w:r w:rsidR="00C16CDF" w:rsidRPr="00C16CDF">
        <w:rPr>
          <w:rFonts w:ascii="Calibri Light" w:hAnsi="Calibri Light" w:cs="Calibri Light"/>
          <w:i/>
          <w:iCs/>
          <w:sz w:val="24"/>
          <w:szCs w:val="24"/>
        </w:rPr>
        <w:t xml:space="preserve"> al-</w:t>
      </w:r>
      <w:proofErr w:type="spellStart"/>
      <w:r w:rsidR="00C16CDF" w:rsidRPr="00C16CDF">
        <w:rPr>
          <w:rFonts w:ascii="Calibri Light" w:hAnsi="Calibri Light" w:cs="Calibri Light"/>
          <w:i/>
          <w:iCs/>
          <w:sz w:val="24"/>
          <w:szCs w:val="24"/>
        </w:rPr>
        <w:t>māl</w:t>
      </w:r>
      <w:proofErr w:type="spellEnd"/>
      <w:r w:rsidR="00C16CDF" w:rsidRPr="00C16CDF">
        <w:rPr>
          <w:rFonts w:ascii="Calibri Light" w:hAnsi="Calibri Light" w:cs="Calibri Light"/>
          <w:i/>
          <w:iCs/>
          <w:sz w:val="24"/>
          <w:szCs w:val="24"/>
        </w:rPr>
        <w:t>)</w:t>
      </w:r>
      <w:r w:rsidRPr="00CB4CFA">
        <w:rPr>
          <w:rFonts w:ascii="Calibri Light" w:hAnsi="Calibri Light" w:cs="Calibri Light"/>
          <w:sz w:val="24"/>
          <w:szCs w:val="24"/>
        </w:rPr>
        <w:t xml:space="preserve">, which is one of the main objectives in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w:t>
      </w:r>
    </w:p>
    <w:p w14:paraId="3A6A43DB"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If redenomination is carried out </w:t>
      </w:r>
      <w:r w:rsidR="00DC28F6">
        <w:rPr>
          <w:rFonts w:ascii="Calibri Light" w:hAnsi="Calibri Light" w:cs="Calibri Light"/>
          <w:sz w:val="24"/>
          <w:szCs w:val="24"/>
        </w:rPr>
        <w:t>to stabilize</w:t>
      </w:r>
      <w:r w:rsidRPr="00CB4CFA">
        <w:rPr>
          <w:rFonts w:ascii="Calibri Light" w:hAnsi="Calibri Light" w:cs="Calibri Light"/>
          <w:sz w:val="24"/>
          <w:szCs w:val="24"/>
        </w:rPr>
        <w:t xml:space="preserve"> the currency value, this policy can be considered in line with the principle of benefit in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This is important </w:t>
      </w:r>
      <w:r w:rsidRPr="00CB4CFA">
        <w:rPr>
          <w:rFonts w:ascii="Calibri Light" w:hAnsi="Calibri Light" w:cs="Calibri Light"/>
          <w:sz w:val="24"/>
          <w:szCs w:val="24"/>
        </w:rPr>
        <w:lastRenderedPageBreak/>
        <w:t xml:space="preserve">because </w:t>
      </w:r>
      <w:r w:rsidR="00DC28F6">
        <w:rPr>
          <w:rFonts w:ascii="Calibri Light" w:hAnsi="Calibri Light" w:cs="Calibri Light"/>
          <w:sz w:val="24"/>
          <w:szCs w:val="24"/>
        </w:rPr>
        <w:t xml:space="preserve">an </w:t>
      </w:r>
      <w:r w:rsidRPr="00CB4CFA">
        <w:rPr>
          <w:rFonts w:ascii="Calibri Light" w:hAnsi="Calibri Light" w:cs="Calibri Light"/>
          <w:sz w:val="24"/>
          <w:szCs w:val="24"/>
        </w:rPr>
        <w:t>effective monetary policy will reduce economic uncertainty, increase people's purchasing power, and prevent greater losses due to high inflation.</w:t>
      </w:r>
    </w:p>
    <w:p w14:paraId="19BA08C5" w14:textId="47CB6F74" w:rsidR="00CB4CFA" w:rsidRPr="00CB4CFA" w:rsidRDefault="00DC28F6" w:rsidP="00BF19F8">
      <w:pPr>
        <w:spacing w:before="120" w:after="120"/>
        <w:ind w:left="440" w:right="-1" w:hanging="14"/>
        <w:jc w:val="both"/>
        <w:rPr>
          <w:rFonts w:ascii="Calibri Light" w:hAnsi="Calibri Light" w:cs="Calibri Light"/>
          <w:sz w:val="24"/>
          <w:szCs w:val="24"/>
        </w:rPr>
      </w:pPr>
      <w:r w:rsidRPr="00DC28F6">
        <w:rPr>
          <w:rFonts w:ascii="Calibri Light" w:hAnsi="Calibri Light" w:cs="Calibri Light"/>
          <w:i/>
          <w:sz w:val="24"/>
          <w:szCs w:val="24"/>
        </w:rPr>
        <w:t>Al-’</w:t>
      </w:r>
      <w:proofErr w:type="spellStart"/>
      <w:r w:rsidRPr="00DC28F6">
        <w:rPr>
          <w:rFonts w:ascii="Calibri Light" w:hAnsi="Calibri Light" w:cs="Calibri Light"/>
          <w:i/>
          <w:sz w:val="24"/>
          <w:szCs w:val="24"/>
        </w:rPr>
        <w:t>adālah</w:t>
      </w:r>
      <w:proofErr w:type="spellEnd"/>
      <w:r w:rsidR="009C58BB" w:rsidRPr="009C58BB">
        <w:rPr>
          <w:rFonts w:ascii="Calibri Light" w:hAnsi="Calibri Light" w:cs="Calibri Light"/>
          <w:sz w:val="24"/>
          <w:szCs w:val="24"/>
        </w:rPr>
        <w:t xml:space="preserve"> </w:t>
      </w:r>
      <w:r w:rsidR="00CB4CFA" w:rsidRPr="00CB4CFA">
        <w:rPr>
          <w:rFonts w:ascii="Calibri Light" w:hAnsi="Calibri Light" w:cs="Calibri Light"/>
          <w:sz w:val="24"/>
          <w:szCs w:val="24"/>
        </w:rPr>
        <w:t>or justice</w:t>
      </w:r>
      <w:r>
        <w:rPr>
          <w:rFonts w:ascii="Calibri Light" w:hAnsi="Calibri Light" w:cs="Calibri Light"/>
          <w:sz w:val="24"/>
          <w:szCs w:val="24"/>
        </w:rPr>
        <w:t>,</w:t>
      </w:r>
      <w:r w:rsidR="00CB4CFA" w:rsidRPr="00CB4CFA">
        <w:rPr>
          <w:rFonts w:ascii="Calibri Light" w:hAnsi="Calibri Light" w:cs="Calibri Light"/>
          <w:sz w:val="24"/>
          <w:szCs w:val="24"/>
        </w:rPr>
        <w:t xml:space="preserve"> is a basic principle in Islamic law that must be applied in every aspect of life</w:t>
      </w:r>
      <w:r w:rsidR="00160417">
        <w:rPr>
          <w:rFonts w:ascii="Calibri Light" w:hAnsi="Calibri Light" w:cs="Calibri Light"/>
          <w:sz w:val="24"/>
          <w:szCs w:val="24"/>
        </w:rPr>
        <w:t xml:space="preserve"> </w:t>
      </w:r>
      <w:r w:rsidR="00160417" w:rsidRPr="00160417">
        <w:rPr>
          <w:rFonts w:ascii="Calibri Light" w:hAnsi="Calibri Light" w:cs="Calibri Light"/>
          <w:color w:val="0070C0"/>
          <w:sz w:val="24"/>
          <w:szCs w:val="24"/>
        </w:rPr>
        <w:fldChar w:fldCharType="begin" w:fldLock="1"/>
      </w:r>
      <w:r w:rsidR="000B40E1">
        <w:rPr>
          <w:rFonts w:ascii="Calibri Light" w:hAnsi="Calibri Light" w:cs="Calibri Light"/>
          <w:color w:val="0070C0"/>
          <w:sz w:val="24"/>
          <w:szCs w:val="24"/>
        </w:rPr>
        <w:instrText>ADDIN CSL_CITATION {"citationItems":[{"id":"ITEM-1","itemData":{"DOI":"10.1515/9783110574593-004","ISBN":"9783110574593","author":[{"dropping-particle":"","family":"Ende","given":"Werner","non-dropping-particle":"","parse-names":false,"suffix":""}],"container-title":"Sharia and Justice","id":"ITEM-1","issued":{"date-parts":[["2018","5","22"]]},"page":"59-72","publisher":"De Gruyter","title":"Justice as a Political Principle in Islam","type":"chapter"},"uris":["http://www.mendeley.com/documents/?uuid=04ad99a2-0d6d-46f0-baab-4e73a7a42d25"]}],"mendeley":{"formattedCitation":"(Ende, 2018)","manualFormatting":"(Ende, 2018","plainTextFormattedCitation":"(Ende, 2018)","previouslyFormattedCitation":"(Ende, 2018)"},"properties":{"noteIndex":0},"schema":"https://github.com/citation-style-language/schema/raw/master/csl-citation.json"}</w:instrText>
      </w:r>
      <w:r w:rsidR="00160417" w:rsidRPr="00160417">
        <w:rPr>
          <w:rFonts w:ascii="Calibri Light" w:hAnsi="Calibri Light" w:cs="Calibri Light"/>
          <w:color w:val="0070C0"/>
          <w:sz w:val="24"/>
          <w:szCs w:val="24"/>
        </w:rPr>
        <w:fldChar w:fldCharType="separate"/>
      </w:r>
      <w:r w:rsidR="00160417" w:rsidRPr="00160417">
        <w:rPr>
          <w:rFonts w:ascii="Calibri Light" w:hAnsi="Calibri Light" w:cs="Calibri Light"/>
          <w:noProof/>
          <w:color w:val="0070C0"/>
          <w:sz w:val="24"/>
          <w:szCs w:val="24"/>
        </w:rPr>
        <w:t>(Ende, 2018</w:t>
      </w:r>
      <w:r w:rsidR="00160417" w:rsidRPr="00160417">
        <w:rPr>
          <w:rFonts w:ascii="Calibri Light" w:hAnsi="Calibri Light" w:cs="Calibri Light"/>
          <w:color w:val="0070C0"/>
          <w:sz w:val="24"/>
          <w:szCs w:val="24"/>
        </w:rPr>
        <w:fldChar w:fldCharType="end"/>
      </w:r>
      <w:r w:rsidR="00160417" w:rsidRPr="00160417">
        <w:rPr>
          <w:rFonts w:ascii="Calibri Light" w:hAnsi="Calibri Light" w:cs="Calibri Light"/>
          <w:color w:val="0070C0"/>
          <w:sz w:val="24"/>
          <w:szCs w:val="24"/>
        </w:rPr>
        <w:t>;</w:t>
      </w:r>
      <w:r w:rsidR="00E17AAD" w:rsidRPr="00160417">
        <w:rPr>
          <w:rFonts w:ascii="Calibri Light" w:hAnsi="Calibri Light" w:cs="Calibri Light"/>
          <w:color w:val="0070C0"/>
          <w:sz w:val="24"/>
          <w:szCs w:val="24"/>
        </w:rPr>
        <w:t xml:space="preserve"> </w:t>
      </w:r>
      <w:r w:rsidR="00160417" w:rsidRPr="00160417">
        <w:rPr>
          <w:rFonts w:ascii="Calibri Light" w:hAnsi="Calibri Light" w:cs="Calibri Light"/>
          <w:color w:val="0070C0"/>
          <w:sz w:val="24"/>
          <w:szCs w:val="24"/>
        </w:rPr>
        <w:fldChar w:fldCharType="begin" w:fldLock="1"/>
      </w:r>
      <w:r w:rsidR="00160417" w:rsidRPr="00160417">
        <w:rPr>
          <w:rFonts w:ascii="Calibri Light" w:hAnsi="Calibri Light" w:cs="Calibri Light"/>
          <w:color w:val="0070C0"/>
          <w:sz w:val="24"/>
          <w:szCs w:val="24"/>
        </w:rPr>
        <w:instrText>ADDIN CSL_CITATION {"citationItems":[{"id":"ITEM-1","itemData":{"DOI":"10.26555/ijish.v5i1.4896","ISSN":"2615-7403","abstract":"This paper aims to describe the concept of justice in Islam according to Majid Khadduri, a Muslim scholar in the modern era. In Islamic theology, for example, justice is not only related to aspects of humanity but also divinity. In the secular sciences, justice is widely discussed in terms of substance and procedure. Likewise, in the discourse of Islamic theology, the value in question tends only to divinity, meaning that the measure of good value is God or the texts of the holy book. However, for Majid Khadduri, these values are not only related to humanity but at the same time they must be close to what God wants and religion in general. The synthesis of the two views above seems to be united in the concept of Khadduri. Therefore, the problem in this paper is how the construction of justice according to Majid Khadduri and its implications for the formulation of justice in the context of religious humanity. The results of the study show that human actions are judged fairly if they are based on correct norms and carried out with good procedures. In addition, with the development of social problems in society, such as injustice, it is also important to formulate the concept of justice which truly is a concept that can provide and be useful in solving this sense of injustice. This article will contribute and can be used as an approach in creating the spirit of changing, enlightening in Muslim society.","author":[{"dropping-particle":"","family":"Sirait","given":"Sangkot","non-dropping-particle":"","parse-names":false,"suffix":""}],"container-title":"IJISH (International Journal of Islamic Studies and Humanities)","id":"ITEM-1","issue":"1","issued":{"date-parts":[["2022","10","17"]]},"page":"42-62","title":"The Concept of Justice in Islam According to Majid Khadduri","type":"article-journal","volume":"5"},"uris":["http://www.mendeley.com/documents/?uuid=69ff0051-444b-4504-b4b1-c0cd60ae2d1e"]}],"mendeley":{"formattedCitation":"(Sirait, 2022)","manualFormatting":"Sirait, 2022)","plainTextFormattedCitation":"(Sirait, 2022)","previouslyFormattedCitation":"(Sirait, 2022)"},"properties":{"noteIndex":0},"schema":"https://github.com/citation-style-language/schema/raw/master/csl-citation.json"}</w:instrText>
      </w:r>
      <w:r w:rsidR="00160417" w:rsidRPr="00160417">
        <w:rPr>
          <w:rFonts w:ascii="Calibri Light" w:hAnsi="Calibri Light" w:cs="Calibri Light"/>
          <w:color w:val="0070C0"/>
          <w:sz w:val="24"/>
          <w:szCs w:val="24"/>
        </w:rPr>
        <w:fldChar w:fldCharType="separate"/>
      </w:r>
      <w:r w:rsidR="00160417" w:rsidRPr="00160417">
        <w:rPr>
          <w:rFonts w:ascii="Calibri Light" w:hAnsi="Calibri Light" w:cs="Calibri Light"/>
          <w:noProof/>
          <w:color w:val="0070C0"/>
          <w:sz w:val="24"/>
          <w:szCs w:val="24"/>
        </w:rPr>
        <w:t>Sirait, 2022)</w:t>
      </w:r>
      <w:r w:rsidR="00160417" w:rsidRPr="00160417">
        <w:rPr>
          <w:rFonts w:ascii="Calibri Light" w:hAnsi="Calibri Light" w:cs="Calibri Light"/>
          <w:color w:val="0070C0"/>
          <w:sz w:val="24"/>
          <w:szCs w:val="24"/>
        </w:rPr>
        <w:fldChar w:fldCharType="end"/>
      </w:r>
      <w:r w:rsidR="00160417">
        <w:rPr>
          <w:rFonts w:ascii="Calibri Light" w:hAnsi="Calibri Light" w:cs="Calibri Light"/>
          <w:color w:val="0070C0"/>
          <w:sz w:val="24"/>
          <w:szCs w:val="24"/>
        </w:rPr>
        <w:t xml:space="preserve">, </w:t>
      </w:r>
      <w:r w:rsidR="00CB4CFA" w:rsidRPr="00CB4CFA">
        <w:rPr>
          <w:rFonts w:ascii="Calibri Light" w:hAnsi="Calibri Light" w:cs="Calibri Light"/>
          <w:sz w:val="24"/>
          <w:szCs w:val="24"/>
        </w:rPr>
        <w:t xml:space="preserve">including economic policy. </w:t>
      </w:r>
      <w:r w:rsidR="00BF19F8" w:rsidRPr="00BF19F8">
        <w:rPr>
          <w:rFonts w:ascii="Calibri Light" w:hAnsi="Calibri Light" w:cs="Calibri Light"/>
          <w:sz w:val="24"/>
          <w:szCs w:val="24"/>
        </w:rPr>
        <w:t>A just political order manifests</w:t>
      </w:r>
      <w:r w:rsidR="00BF19F8">
        <w:rPr>
          <w:rFonts w:ascii="Calibri Light" w:hAnsi="Calibri Light" w:cs="Calibri Light"/>
          <w:sz w:val="24"/>
          <w:szCs w:val="24"/>
        </w:rPr>
        <w:t xml:space="preserve"> </w:t>
      </w:r>
      <w:r w:rsidR="00BF19F8" w:rsidRPr="00BF19F8">
        <w:rPr>
          <w:rFonts w:ascii="Calibri Light" w:hAnsi="Calibri Light" w:cs="Calibri Light"/>
          <w:sz w:val="24"/>
          <w:szCs w:val="24"/>
        </w:rPr>
        <w:t>itself in having upright and capable public officials managing public policy in a just way and</w:t>
      </w:r>
      <w:r w:rsidR="00BF19F8">
        <w:rPr>
          <w:rFonts w:ascii="Calibri Light" w:hAnsi="Calibri Light" w:cs="Calibri Light"/>
          <w:sz w:val="24"/>
          <w:szCs w:val="24"/>
        </w:rPr>
        <w:t xml:space="preserve"> </w:t>
      </w:r>
      <w:r w:rsidR="00BF19F8" w:rsidRPr="00BF19F8">
        <w:rPr>
          <w:rFonts w:ascii="Calibri Light" w:hAnsi="Calibri Light" w:cs="Calibri Light"/>
          <w:sz w:val="24"/>
          <w:szCs w:val="24"/>
        </w:rPr>
        <w:t>distributing wealth and opportunities in an equitable manner</w:t>
      </w:r>
      <w:r w:rsidR="00A03430">
        <w:rPr>
          <w:rFonts w:ascii="Calibri Light" w:hAnsi="Calibri Light" w:cs="Calibri Light"/>
          <w:sz w:val="24"/>
          <w:szCs w:val="24"/>
        </w:rPr>
        <w:t xml:space="preserve">  </w:t>
      </w:r>
      <w:r w:rsidR="00A03430" w:rsidRPr="00A03430">
        <w:rPr>
          <w:rFonts w:ascii="Calibri Light" w:hAnsi="Calibri Light" w:cs="Calibri Light"/>
          <w:color w:val="0070C0"/>
          <w:sz w:val="24"/>
          <w:szCs w:val="24"/>
        </w:rPr>
        <w:fldChar w:fldCharType="begin" w:fldLock="1"/>
      </w:r>
      <w:r w:rsidR="00A03430">
        <w:rPr>
          <w:rFonts w:ascii="Calibri Light" w:hAnsi="Calibri Light" w:cs="Calibri Light"/>
          <w:color w:val="0070C0"/>
          <w:sz w:val="24"/>
          <w:szCs w:val="24"/>
        </w:rPr>
        <w:instrText>ADDIN CSL_CITATION {"citationItems":[{"id":"ITEM-1","itemData":{"DOI":"10.26555/ijish.v6i1.6974","ISSN":"2615-7403","abstract":"Islam as the way of life covers all aspects of human life. As political science; mainly the study of politics, state, and government, is part of life, Islam encompasses all these issues of this discipline. Islam rightly mentioned modern thought humanitarianism, universalism, equity, and justice in quranic verse and prophetic ideals more than a thousand years ago. Tawhid, Adalah, Hurriyah, Shura, and Khilafah the core tenets of Islamic Political thought are enshrined into the contemporary discourse of political science. The study is an attempt to quest for the principles of political science as prescribed in the Holy Qur’an (the revelation from Almighty Allah) and the Hadith (the words, actions, and approvals of Prophet Muhammad), the practices and governance system of four rightly guided Caliphs. All these sources state that man is the representative (Caliph) of Allah and his responsibility is to convey the messages of Allah and undertake these into practice. The study explores that in Islam, there is the existence of political principles and practices as studied in contemporary political science. Besides, human beings as a representative of Allah should practice the Islamic political principles to exercise power in a state following Al-Qur’anic guidance and the ideals and practices of Prophet Muhammad (sm.) and the Caliphs of Khulafa-e-Rashidun as well.","author":[{"dropping-particle":"","family":"Aziz","given":"M. Abdul","non-dropping-particle":"","parse-names":false,"suffix":""}],"container-title":"IJISH (International Journal of Islamic Studies and Humanities)","id":"ITEM-1","issue":"1","issued":{"date-parts":[["2023","4","17"]]},"page":"65-86","title":"The principles studied in islamic political thought: revisiting modern political discourse","type":"article-journal","volume":"6"},"uris":["http://www.mendeley.com/documents/?uuid=6ae095c2-5378-4f3a-98c1-09bac2c05ca2"]}],"mendeley":{"formattedCitation":"(Aziz, 2023)","plainTextFormattedCitation":"(Aziz, 2023)","previouslyFormattedCitation":"(Aziz, 2023)"},"properties":{"noteIndex":0},"schema":"https://github.com/citation-style-language/schema/raw/master/csl-citation.json"}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(Aziz, 2023)</w:t>
      </w:r>
      <w:r w:rsidR="00A03430" w:rsidRPr="00A03430">
        <w:rPr>
          <w:rFonts w:ascii="Calibri Light" w:hAnsi="Calibri Light" w:cs="Calibri Light"/>
          <w:color w:val="0070C0"/>
          <w:sz w:val="24"/>
          <w:szCs w:val="24"/>
        </w:rPr>
        <w:fldChar w:fldCharType="end"/>
      </w:r>
      <w:r w:rsidR="00A03430">
        <w:rPr>
          <w:rFonts w:ascii="Calibri Light" w:hAnsi="Calibri Light" w:cs="Calibri Light"/>
          <w:sz w:val="24"/>
          <w:szCs w:val="24"/>
        </w:rPr>
        <w:t xml:space="preserve">. </w:t>
      </w:r>
      <w:r w:rsidR="00CB4CFA" w:rsidRPr="00CB4CFA">
        <w:rPr>
          <w:rFonts w:ascii="Calibri Light" w:hAnsi="Calibri Light" w:cs="Calibri Light"/>
          <w:sz w:val="24"/>
          <w:szCs w:val="24"/>
        </w:rPr>
        <w:t xml:space="preserve">Justice in Islam requires that the distribution of wealth, including the management of money, be carried out in a way that does not harm either party and benefits all people. </w:t>
      </w:r>
      <w:r w:rsidR="001E3488">
        <w:rPr>
          <w:rFonts w:ascii="Calibri Light" w:hAnsi="Calibri Light" w:cs="Calibri Light"/>
          <w:sz w:val="24"/>
          <w:szCs w:val="24"/>
        </w:rPr>
        <w:t>Regarding</w:t>
      </w:r>
      <w:r w:rsidR="00BF19F8" w:rsidRPr="00CB4CFA">
        <w:rPr>
          <w:rFonts w:ascii="Calibri Light" w:hAnsi="Calibri Light" w:cs="Calibri Light"/>
          <w:sz w:val="24"/>
          <w:szCs w:val="24"/>
        </w:rPr>
        <w:t xml:space="preserve"> the principle of </w:t>
      </w:r>
      <w:r w:rsidR="00BF19F8" w:rsidRPr="00DC28F6">
        <w:rPr>
          <w:rFonts w:ascii="Calibri Light" w:hAnsi="Calibri Light" w:cs="Calibri Light"/>
          <w:i/>
          <w:sz w:val="24"/>
          <w:szCs w:val="24"/>
        </w:rPr>
        <w:t>al-’</w:t>
      </w:r>
      <w:proofErr w:type="spellStart"/>
      <w:r w:rsidR="00BF19F8" w:rsidRPr="00DC28F6">
        <w:rPr>
          <w:rFonts w:ascii="Calibri Light" w:hAnsi="Calibri Light" w:cs="Calibri Light"/>
          <w:i/>
          <w:sz w:val="24"/>
          <w:szCs w:val="24"/>
        </w:rPr>
        <w:t>adālah</w:t>
      </w:r>
      <w:proofErr w:type="spellEnd"/>
      <w:r w:rsidR="00BF19F8" w:rsidRPr="009C58BB">
        <w:rPr>
          <w:rFonts w:ascii="Calibri Light" w:hAnsi="Calibri Light" w:cs="Calibri Light"/>
          <w:sz w:val="24"/>
          <w:szCs w:val="24"/>
        </w:rPr>
        <w:t xml:space="preserve"> </w:t>
      </w:r>
      <w:r w:rsidR="00BF19F8" w:rsidRPr="00CB4CFA">
        <w:rPr>
          <w:rFonts w:ascii="Calibri Light" w:hAnsi="Calibri Light" w:cs="Calibri Light"/>
          <w:sz w:val="24"/>
          <w:szCs w:val="24"/>
        </w:rPr>
        <w:t>(</w:t>
      </w:r>
      <w:r w:rsidR="00BF19F8">
        <w:rPr>
          <w:rFonts w:ascii="Calibri Light" w:hAnsi="Calibri Light" w:cs="Calibri Light"/>
          <w:sz w:val="24"/>
          <w:szCs w:val="24"/>
        </w:rPr>
        <w:t>s</w:t>
      </w:r>
      <w:r w:rsidR="00BF19F8" w:rsidRPr="00CB4CFA">
        <w:rPr>
          <w:rFonts w:ascii="Calibri Light" w:hAnsi="Calibri Light" w:cs="Calibri Light"/>
          <w:sz w:val="24"/>
          <w:szCs w:val="24"/>
        </w:rPr>
        <w:t xml:space="preserve">ocial </w:t>
      </w:r>
      <w:r w:rsidR="00BF19F8">
        <w:rPr>
          <w:rFonts w:ascii="Calibri Light" w:hAnsi="Calibri Light" w:cs="Calibri Light"/>
          <w:sz w:val="24"/>
          <w:szCs w:val="24"/>
        </w:rPr>
        <w:t>j</w:t>
      </w:r>
      <w:r w:rsidR="00BF19F8" w:rsidRPr="00CB4CFA">
        <w:rPr>
          <w:rFonts w:ascii="Calibri Light" w:hAnsi="Calibri Light" w:cs="Calibri Light"/>
          <w:sz w:val="24"/>
          <w:szCs w:val="24"/>
        </w:rPr>
        <w:t>ustice</w:t>
      </w:r>
      <w:r w:rsidR="00781481">
        <w:rPr>
          <w:rFonts w:ascii="Calibri Light" w:hAnsi="Calibri Light" w:cs="Calibri Light"/>
          <w:sz w:val="24"/>
          <w:szCs w:val="24"/>
        </w:rPr>
        <w:t xml:space="preserve">) </w:t>
      </w:r>
      <w:r w:rsidR="00781481" w:rsidRPr="00781481">
        <w:rPr>
          <w:rFonts w:ascii="Calibri Light" w:hAnsi="Calibri Light" w:cs="Calibri Light"/>
          <w:color w:val="0070C0"/>
          <w:sz w:val="24"/>
          <w:szCs w:val="24"/>
        </w:rPr>
        <w:fldChar w:fldCharType="begin" w:fldLock="1"/>
      </w:r>
      <w:r w:rsidR="00781481">
        <w:rPr>
          <w:rFonts w:ascii="Calibri Light" w:hAnsi="Calibri Light" w:cs="Calibri Light"/>
          <w:color w:val="0070C0"/>
          <w:sz w:val="24"/>
          <w:szCs w:val="24"/>
        </w:rPr>
        <w:instrText>ADDIN CSL_CITATION {"citationItems":[{"id":"ITEM-1","itemData":{"author":[{"dropping-particle":"","family":"Azid","given":"T.","non-dropping-particle":"","parse-names":false,"suffix":""},{"dropping-particle":"","family":"Sunar","given":"L.","non-dropping-particle":"","parse-names":false,"suffix":""}],"container-title":"T. Azid &amp; L. Sunar (eds.)","id":"ITEM-1","issued":{"date-parts":[["2019"]]},"title":"Social Justice in Islam (pp. 1-11).","type":"article-newspaper"},"uris":["http://www.mendeley.com/documents/?uuid=e501954b-1bfd-47c1-80f1-5628e8ab379e"]}],"mendeley":{"formattedCitation":"(Azid &amp; Sunar, 2019)","plainTextFormattedCitation":"(Azid &amp; Sunar, 2019)","previouslyFormattedCitation":"(Azid &amp; Sunar, 2019)"},"properties":{"noteIndex":0},"schema":"https://github.com/citation-style-language/schema/raw/master/csl-citation.json"}</w:instrText>
      </w:r>
      <w:r w:rsidR="00781481" w:rsidRPr="00781481">
        <w:rPr>
          <w:rFonts w:ascii="Calibri Light" w:hAnsi="Calibri Light" w:cs="Calibri Light"/>
          <w:color w:val="0070C0"/>
          <w:sz w:val="24"/>
          <w:szCs w:val="24"/>
        </w:rPr>
        <w:fldChar w:fldCharType="separate"/>
      </w:r>
      <w:r w:rsidR="00781481" w:rsidRPr="00781481">
        <w:rPr>
          <w:rFonts w:ascii="Calibri Light" w:hAnsi="Calibri Light" w:cs="Calibri Light"/>
          <w:noProof/>
          <w:color w:val="0070C0"/>
          <w:sz w:val="24"/>
          <w:szCs w:val="24"/>
        </w:rPr>
        <w:t>(Azid &amp; Sunar, 2019)</w:t>
      </w:r>
      <w:r w:rsidR="00781481" w:rsidRPr="00781481">
        <w:rPr>
          <w:rFonts w:ascii="Calibri Light" w:hAnsi="Calibri Light" w:cs="Calibri Light"/>
          <w:color w:val="0070C0"/>
          <w:sz w:val="24"/>
          <w:szCs w:val="24"/>
        </w:rPr>
        <w:fldChar w:fldCharType="end"/>
      </w:r>
      <w:r w:rsidR="00381056" w:rsidRPr="00781481">
        <w:rPr>
          <w:rFonts w:ascii="Calibri Light" w:hAnsi="Calibri Light" w:cs="Calibri Light"/>
          <w:color w:val="0070C0"/>
          <w:sz w:val="24"/>
          <w:szCs w:val="24"/>
        </w:rPr>
        <w:t xml:space="preserve"> </w:t>
      </w:r>
      <w:r w:rsidR="00BF19F8" w:rsidRPr="00CB4CFA">
        <w:rPr>
          <w:rFonts w:ascii="Calibri Light" w:hAnsi="Calibri Light" w:cs="Calibri Light"/>
          <w:sz w:val="24"/>
          <w:szCs w:val="24"/>
        </w:rPr>
        <w:t>emphasize the importance of social justice in economic policy</w:t>
      </w:r>
      <w:r w:rsidR="00241A99">
        <w:rPr>
          <w:rFonts w:ascii="Calibri Light" w:hAnsi="Calibri Light" w:cs="Calibri Light"/>
          <w:sz w:val="24"/>
          <w:szCs w:val="24"/>
        </w:rPr>
        <w:t xml:space="preserve"> </w:t>
      </w:r>
      <w:proofErr w:type="spellStart"/>
      <w:r w:rsidR="00241A99">
        <w:rPr>
          <w:rFonts w:ascii="Calibri Light" w:hAnsi="Calibri Light" w:cs="Calibri Light"/>
          <w:sz w:val="24"/>
          <w:szCs w:val="24"/>
        </w:rPr>
        <w:t>br</w:t>
      </w:r>
      <w:proofErr w:type="spellEnd"/>
      <w:r w:rsidR="00241A99">
        <w:rPr>
          <w:rFonts w:ascii="Calibri Light" w:hAnsi="Calibri Light" w:cs="Calibri Light"/>
          <w:sz w:val="24"/>
          <w:szCs w:val="24"/>
        </w:rPr>
        <w:t xml:space="preserve"> referencing to </w:t>
      </w:r>
      <w:r w:rsidR="00241A99" w:rsidRPr="00241A99">
        <w:rPr>
          <w:rFonts w:ascii="Calibri Light" w:hAnsi="Calibri Light" w:cs="Calibri Light"/>
          <w:sz w:val="24"/>
          <w:szCs w:val="24"/>
        </w:rPr>
        <w:t>equality of access to finance and protection of the weak against economic hardships.</w:t>
      </w:r>
      <w:r w:rsidR="00BF19F8" w:rsidRPr="00CB4CFA">
        <w:rPr>
          <w:rFonts w:ascii="Calibri Light" w:hAnsi="Calibri Light" w:cs="Calibri Light"/>
          <w:sz w:val="24"/>
          <w:szCs w:val="24"/>
        </w:rPr>
        <w:t xml:space="preserve"> The redenomination policy can be seen as a fairer step to reduce economic inequality and create social welfare, in accordance with the principle of </w:t>
      </w:r>
      <w:r w:rsidR="00BF19F8" w:rsidRPr="00DC28F6">
        <w:rPr>
          <w:rFonts w:ascii="Calibri Light" w:hAnsi="Calibri Light" w:cs="Calibri Light"/>
          <w:i/>
          <w:sz w:val="24"/>
          <w:szCs w:val="24"/>
        </w:rPr>
        <w:t>al-’</w:t>
      </w:r>
      <w:proofErr w:type="spellStart"/>
      <w:r w:rsidR="00BF19F8" w:rsidRPr="00DC28F6">
        <w:rPr>
          <w:rFonts w:ascii="Calibri Light" w:hAnsi="Calibri Light" w:cs="Calibri Light"/>
          <w:i/>
          <w:sz w:val="24"/>
          <w:szCs w:val="24"/>
        </w:rPr>
        <w:t>adālah</w:t>
      </w:r>
      <w:proofErr w:type="spellEnd"/>
      <w:r w:rsidR="00BF19F8" w:rsidRPr="009C58BB">
        <w:rPr>
          <w:rFonts w:ascii="Calibri Light" w:hAnsi="Calibri Light" w:cs="Calibri Light"/>
          <w:sz w:val="24"/>
          <w:szCs w:val="24"/>
        </w:rPr>
        <w:t xml:space="preserve"> </w:t>
      </w:r>
      <w:r w:rsidR="00BF19F8" w:rsidRPr="00CB4CFA">
        <w:rPr>
          <w:rFonts w:ascii="Calibri Light" w:hAnsi="Calibri Light" w:cs="Calibri Light"/>
          <w:sz w:val="24"/>
          <w:szCs w:val="24"/>
        </w:rPr>
        <w:t xml:space="preserve">in Islamic law. </w:t>
      </w:r>
      <w:r w:rsidR="00CB4CFA" w:rsidRPr="00CB4CFA">
        <w:rPr>
          <w:rFonts w:ascii="Calibri Light" w:hAnsi="Calibri Light" w:cs="Calibri Light"/>
          <w:sz w:val="24"/>
          <w:szCs w:val="24"/>
        </w:rPr>
        <w:t>In the context of rupiah redenomination, this policy must be implemented with the principle of fairness, which is not to harm the community, especially the economically weaker groups. Redenomination must be carried out with transparency and clarity so that the public does not feel disadvantaged by changes in the nominal value of the currency. This also means that this policy must pay attention to the social and psychological impact on the community and ensure that it does not add to the burden of people already affected by difficult economic conditions.</w:t>
      </w:r>
    </w:p>
    <w:p w14:paraId="10EF29BD" w14:textId="195A1A02"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The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w:t>
      </w:r>
      <w:r w:rsidR="00DC28F6" w:rsidRPr="00DC28F6">
        <w:rPr>
          <w:rFonts w:ascii="Calibri Light" w:hAnsi="Calibri Light" w:cs="Calibri Light"/>
          <w:sz w:val="24"/>
          <w:szCs w:val="24"/>
        </w:rPr>
        <w:t>(presumption of continuity)</w:t>
      </w:r>
      <w:r w:rsidR="00DC28F6">
        <w:rPr>
          <w:rFonts w:ascii="Calibri Light" w:hAnsi="Calibri Light" w:cs="Calibri Light"/>
          <w:sz w:val="24"/>
          <w:szCs w:val="24"/>
        </w:rPr>
        <w:t xml:space="preserve"> </w:t>
      </w:r>
      <w:r w:rsidRPr="00CB4CFA">
        <w:rPr>
          <w:rFonts w:ascii="Calibri Light" w:hAnsi="Calibri Light" w:cs="Calibri Light"/>
          <w:sz w:val="24"/>
          <w:szCs w:val="24"/>
        </w:rPr>
        <w:t xml:space="preserve">method in Islamic law allows for decision-making based on the greater good, although it is not always in line with more general legal provisions.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is used to make decisions that are considered more appropriate in a given situation, even if they may differ from decisions taken literally from the legal text</w:t>
      </w:r>
      <w:r w:rsidR="00A03430">
        <w:rPr>
          <w:rFonts w:ascii="Calibri Light" w:hAnsi="Calibri Light" w:cs="Calibri Light"/>
          <w:sz w:val="24"/>
          <w:szCs w:val="24"/>
        </w:rPr>
        <w:t xml:space="preserve"> </w:t>
      </w:r>
      <w:r w:rsidR="00A03430" w:rsidRPr="00A03430">
        <w:rPr>
          <w:rFonts w:ascii="Calibri Light" w:hAnsi="Calibri Light" w:cs="Calibri Light"/>
          <w:color w:val="0070C0"/>
          <w:sz w:val="24"/>
          <w:szCs w:val="24"/>
        </w:rPr>
        <w:fldChar w:fldCharType="begin" w:fldLock="1"/>
      </w:r>
      <w:r w:rsidR="00A03430">
        <w:rPr>
          <w:rFonts w:ascii="Calibri Light" w:hAnsi="Calibri Light" w:cs="Calibri Light"/>
          <w:color w:val="0070C0"/>
          <w:sz w:val="24"/>
          <w:szCs w:val="24"/>
        </w:rPr>
        <w:instrText>ADDIN CSL_CITATION {"citationItems":[{"id":"ITEM-1","itemData":{"abstract":"… dari sumur karena najis sudah menempel di dasar sumur atau di dinding-dinding sumur. Hal … bahwa maksud dari wakaf adalah memanfaatkan barang wakaf dan bukan memilikinya, …","author":[{"dropping-particle":"","family":"Beddu","given":"Muhammad Juni","non-dropping-particle":"","parse-names":false,"suffix":""}],"container-title":"Jurnal STAIN hukum ekonomi syari'ah","id":"ITEM-1","issue":"1","issued":{"date-parts":[["2020"]]},"page":"1-14","title":"Istihsan Dalam Perspektif Hukum Islam","type":"article-journal","volume":"XV"},"uris":["http://www.mendeley.com/documents/?uuid=8f646781-c765-3649-bf83-f57f7b1cc37b"]}],"mendeley":{"formattedCitation":"(Beddu, 2020)","manualFormatting":"(Beddu, 2020","plainTextFormattedCitation":"(Beddu, 2020)","previouslyFormattedCitation":"(Beddu, 2020)"},"properties":{"noteIndex":0},"schema":"https://github.com/citation-style-language/schema/raw/master/csl-citation.json"}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(Beddu, 2020</w:t>
      </w:r>
      <w:r w:rsidR="00A03430" w:rsidRPr="00A03430">
        <w:rPr>
          <w:rFonts w:ascii="Calibri Light" w:hAnsi="Calibri Light" w:cs="Calibri Light"/>
          <w:color w:val="0070C0"/>
          <w:sz w:val="24"/>
          <w:szCs w:val="24"/>
        </w:rPr>
        <w:fldChar w:fldCharType="end"/>
      </w:r>
      <w:r w:rsidR="00A03430" w:rsidRPr="00A03430">
        <w:rPr>
          <w:rFonts w:ascii="Calibri Light" w:hAnsi="Calibri Light" w:cs="Calibri Light"/>
          <w:color w:val="0070C0"/>
          <w:sz w:val="24"/>
          <w:szCs w:val="24"/>
        </w:rPr>
        <w:t xml:space="preserve">; </w:t>
      </w:r>
      <w:r w:rsidR="00A03430" w:rsidRPr="00A03430">
        <w:rPr>
          <w:rFonts w:ascii="Calibri Light" w:hAnsi="Calibri Light" w:cs="Calibri Light"/>
          <w:color w:val="0070C0"/>
          <w:sz w:val="24"/>
          <w:szCs w:val="24"/>
        </w:rPr>
        <w:fldChar w:fldCharType="begin" w:fldLock="1"/>
      </w:r>
      <w:r w:rsidR="00A03430" w:rsidRPr="00A03430">
        <w:rPr>
          <w:rFonts w:ascii="Calibri Light" w:hAnsi="Calibri Light" w:cs="Calibri Light"/>
          <w:color w:val="0070C0"/>
          <w:sz w:val="24"/>
          <w:szCs w:val="24"/>
        </w:rPr>
        <w:instrText>ADDIN CSL_CITATION {"citationItems":[{"id":"ITEM-1","itemData":{"DOI":"10.33087/jiubj.v21i1.1208","ISSN":"2549-4236","abstract":"Istihsan is one of the ijtihad methods disputed by the scholars ushul fiqh, although in reality, all scholars use it practically. The establishment of the law by istihsan method is widely carried out by scholars among the Hanafiyyah and Malikiyyah so that in the history of ushul fiqh, the Hanafiyyah are known as the group that uses istihsan as one of the methods of istinbâth al-ahkâm (determination of the law). Imam Shafi'i is a cleric who rejects istihsan as a method of determining Islamic law. But in practice Imam Shafi'i also uses istihsan as a method of determining Islamic law. The science of ushul fikih has a significant role in contributing to the existence of Islamic law, especially in the field of Sharia economic law. Research method conducted based on normative juridical approach, The specification of research used is analytical descriptive, The type of data used in this research, namely secondary data, data collection method used is literature study and analysis of secondary data that is qualitative. The results showed that istihsan is one of the methods of istinbâth al-ahkâm, which can be used as an argument and a proof of syara' and serves in determining the validity of an agreement / transaction in the field of Sharia economic law.","author":[{"dropping-particle":"","family":"Adam","given":"Panji","non-dropping-particle":"","parse-names":false,"suffix":""}],"container-title":"Jurnal Ilmiah Universitas Batanghari Jambi","id":"ITEM-1","issue":"1","issued":{"date-parts":[["2021","2","8"]]},"page":"68","title":"Penerapan Metode Istihsan Pada Bidang Muâmalah Mâliyyah (Hukum Ekonomi Syariah)","type":"article-journal","volume":"21"},"uris":["http://www.mendeley.com/documents/?uuid=873635ef-f306-43f7-ab67-9990fb191de9"]}],"mendeley":{"formattedCitation":"(Adam, 2021)","manualFormatting":"Adam, 2021)","plainTextFormattedCitation":"(Adam, 2021)","previouslyFormattedCitation":"(Adam, 2021)"},"properties":{"noteIndex":0},"schema":"https://github.com/citation-style-language/schema/raw/master/csl-citation.json"}</w:instrText>
      </w:r>
      <w:r w:rsidR="00A03430" w:rsidRPr="00A03430">
        <w:rPr>
          <w:rFonts w:ascii="Calibri Light" w:hAnsi="Calibri Light" w:cs="Calibri Light"/>
          <w:color w:val="0070C0"/>
          <w:sz w:val="24"/>
          <w:szCs w:val="24"/>
        </w:rPr>
        <w:fldChar w:fldCharType="separate"/>
      </w:r>
      <w:r w:rsidR="00A03430" w:rsidRPr="00A03430">
        <w:rPr>
          <w:rFonts w:ascii="Calibri Light" w:hAnsi="Calibri Light" w:cs="Calibri Light"/>
          <w:noProof/>
          <w:color w:val="0070C0"/>
          <w:sz w:val="24"/>
          <w:szCs w:val="24"/>
        </w:rPr>
        <w:t>Adam, 2021)</w:t>
      </w:r>
      <w:r w:rsidR="00A03430" w:rsidRPr="00A03430">
        <w:rPr>
          <w:rFonts w:ascii="Calibri Light" w:hAnsi="Calibri Light" w:cs="Calibri Light"/>
          <w:color w:val="0070C0"/>
          <w:sz w:val="24"/>
          <w:szCs w:val="24"/>
        </w:rPr>
        <w:fldChar w:fldCharType="end"/>
      </w:r>
      <w:r w:rsidR="00A03430" w:rsidRPr="00A03430">
        <w:rPr>
          <w:rFonts w:ascii="Calibri Light" w:hAnsi="Calibri Light" w:cs="Calibri Light"/>
          <w:color w:val="0070C0"/>
          <w:sz w:val="24"/>
          <w:szCs w:val="24"/>
        </w:rPr>
        <w:t>.</w:t>
      </w:r>
      <w:r w:rsidR="00A03430">
        <w:rPr>
          <w:rFonts w:ascii="Calibri Light" w:hAnsi="Calibri Light" w:cs="Calibri Light"/>
          <w:sz w:val="24"/>
          <w:szCs w:val="24"/>
        </w:rPr>
        <w:t xml:space="preserve"> </w:t>
      </w:r>
      <w:r w:rsidRPr="00CB4CFA">
        <w:rPr>
          <w:rFonts w:ascii="Calibri Light" w:hAnsi="Calibri Light" w:cs="Calibri Light"/>
          <w:sz w:val="24"/>
          <w:szCs w:val="24"/>
        </w:rPr>
        <w:t xml:space="preserve">The rupiah redenomination policy can be analyzed through the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approach if the policy is considered better than other more extreme policies, such as drastic cuts in the exchange rate or devaluation. In this case, redenomination can be seen as a more prudent option to reduce high inflation and maintain the country's economic stability without significantly damaging people's purchasing power.</w:t>
      </w:r>
    </w:p>
    <w:p w14:paraId="4220E5AB" w14:textId="77777777"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Of the several Islamic legal theories mentioned, the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al-</w:t>
      </w:r>
      <w:proofErr w:type="spellStart"/>
      <w:r w:rsidR="00D10B53">
        <w:rPr>
          <w:rFonts w:ascii="Calibri Light" w:hAnsi="Calibri Light" w:cs="Calibri Light"/>
          <w:sz w:val="24"/>
          <w:szCs w:val="24"/>
        </w:rPr>
        <w:t>adālah</w:t>
      </w:r>
      <w:proofErr w:type="spellEnd"/>
      <w:r w:rsidRPr="00CB4CFA">
        <w:rPr>
          <w:rFonts w:ascii="Calibri Light" w:hAnsi="Calibri Light" w:cs="Calibri Light"/>
          <w:sz w:val="24"/>
          <w:szCs w:val="24"/>
        </w:rPr>
        <w:t xml:space="preserve">, and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theories are most appropriate for analyzing the rupiah redenomination policy in Indonesia. </w:t>
      </w:r>
      <w:proofErr w:type="spellStart"/>
      <w:r w:rsidR="00DC28F6" w:rsidRPr="00DC28F6">
        <w:rPr>
          <w:rFonts w:ascii="Calibri Light" w:hAnsi="Calibri Light" w:cs="Calibri Light"/>
          <w:i/>
          <w:sz w:val="24"/>
          <w:szCs w:val="24"/>
        </w:rPr>
        <w:t>Maqāṣid</w:t>
      </w:r>
      <w:proofErr w:type="spellEnd"/>
      <w:r w:rsidR="00DC28F6" w:rsidRPr="00DC28F6">
        <w:rPr>
          <w:rFonts w:ascii="Calibri Light" w:hAnsi="Calibri Light" w:cs="Calibri Light"/>
          <w:i/>
          <w:sz w:val="24"/>
          <w:szCs w:val="24"/>
        </w:rPr>
        <w:t xml:space="preserve"> al-</w:t>
      </w:r>
      <w:proofErr w:type="spellStart"/>
      <w:r w:rsidR="00DC28F6" w:rsidRPr="00DC28F6">
        <w:rPr>
          <w:rFonts w:ascii="Calibri Light" w:hAnsi="Calibri Light" w:cs="Calibri Light"/>
          <w:i/>
          <w:sz w:val="24"/>
          <w:szCs w:val="24"/>
        </w:rPr>
        <w:t>Sharī’ah</w:t>
      </w:r>
      <w:proofErr w:type="spellEnd"/>
      <w:r w:rsidRPr="00CB4CFA">
        <w:rPr>
          <w:rFonts w:ascii="Calibri Light" w:hAnsi="Calibri Light" w:cs="Calibri Light"/>
          <w:sz w:val="24"/>
          <w:szCs w:val="24"/>
        </w:rPr>
        <w:t xml:space="preserve"> provides a basis for assessing whether this policy creates benefits for the people and the country. The theory of </w:t>
      </w:r>
      <w:r w:rsidR="00DC28F6" w:rsidRPr="00DC28F6">
        <w:rPr>
          <w:rFonts w:ascii="Calibri Light" w:hAnsi="Calibri Light" w:cs="Calibri Light"/>
          <w:i/>
          <w:sz w:val="24"/>
          <w:szCs w:val="24"/>
        </w:rPr>
        <w:t>al-’</w:t>
      </w:r>
      <w:proofErr w:type="spellStart"/>
      <w:r w:rsidR="00DC28F6" w:rsidRPr="00DC28F6">
        <w:rPr>
          <w:rFonts w:ascii="Calibri Light" w:hAnsi="Calibri Light" w:cs="Calibri Light"/>
          <w:i/>
          <w:sz w:val="24"/>
          <w:szCs w:val="24"/>
        </w:rPr>
        <w:t>adālah</w:t>
      </w:r>
      <w:proofErr w:type="spellEnd"/>
      <w:r w:rsidR="009C58BB" w:rsidRPr="009C58BB">
        <w:rPr>
          <w:rFonts w:ascii="Calibri Light" w:hAnsi="Calibri Light" w:cs="Calibri Light"/>
          <w:sz w:val="24"/>
          <w:szCs w:val="24"/>
        </w:rPr>
        <w:t xml:space="preserve"> </w:t>
      </w:r>
      <w:r w:rsidRPr="00CB4CFA">
        <w:rPr>
          <w:rFonts w:ascii="Calibri Light" w:hAnsi="Calibri Light" w:cs="Calibri Light"/>
          <w:sz w:val="24"/>
          <w:szCs w:val="24"/>
        </w:rPr>
        <w:t xml:space="preserve">ensures that the policy is implemented with the principle of justice that favors the welfare of the people. Meanwhile, the theory of </w:t>
      </w:r>
      <w:proofErr w:type="spellStart"/>
      <w:r w:rsidR="00DC28F6" w:rsidRPr="00DC28F6">
        <w:rPr>
          <w:rFonts w:ascii="Calibri Light" w:hAnsi="Calibri Light" w:cs="Calibri Light"/>
          <w:i/>
          <w:sz w:val="24"/>
          <w:szCs w:val="24"/>
        </w:rPr>
        <w:t>istiḥsān</w:t>
      </w:r>
      <w:proofErr w:type="spellEnd"/>
      <w:r w:rsidRPr="00CB4CFA">
        <w:rPr>
          <w:rFonts w:ascii="Calibri Light" w:hAnsi="Calibri Light" w:cs="Calibri Light"/>
          <w:sz w:val="24"/>
          <w:szCs w:val="24"/>
        </w:rPr>
        <w:t xml:space="preserve"> provides room for more prudent and wise policies in dealing with difficult economic situations.</w:t>
      </w:r>
    </w:p>
    <w:p w14:paraId="031798D5" w14:textId="7ED14CAA" w:rsidR="00CB4CFA" w:rsidRP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another perspective and option, if the government really implements an economic system that is free from </w:t>
      </w:r>
      <w:proofErr w:type="spellStart"/>
      <w:r w:rsidR="008E080D" w:rsidRPr="008E080D">
        <w:rPr>
          <w:rFonts w:ascii="Calibri Light" w:hAnsi="Calibri Light" w:cs="Calibri Light"/>
          <w:i/>
          <w:iCs/>
          <w:sz w:val="24"/>
          <w:szCs w:val="24"/>
        </w:rPr>
        <w:t>ribā</w:t>
      </w:r>
      <w:proofErr w:type="spellEnd"/>
      <w:r w:rsidR="008E080D">
        <w:rPr>
          <w:rFonts w:ascii="Calibri Light" w:hAnsi="Calibri Light" w:cs="Calibri Light"/>
          <w:sz w:val="24"/>
          <w:szCs w:val="24"/>
        </w:rPr>
        <w:t xml:space="preserve"> (</w:t>
      </w:r>
      <w:r w:rsidRPr="00CB4CFA">
        <w:rPr>
          <w:rFonts w:ascii="Calibri Light" w:hAnsi="Calibri Light" w:cs="Calibri Light"/>
          <w:sz w:val="24"/>
          <w:szCs w:val="24"/>
        </w:rPr>
        <w:t>usury</w:t>
      </w:r>
      <w:r w:rsidR="008E080D">
        <w:rPr>
          <w:rFonts w:ascii="Calibri Light" w:hAnsi="Calibri Light" w:cs="Calibri Light"/>
          <w:sz w:val="24"/>
          <w:szCs w:val="24"/>
        </w:rPr>
        <w:t>)</w:t>
      </w:r>
      <w:r w:rsidRPr="00CB4CFA">
        <w:rPr>
          <w:rFonts w:ascii="Calibri Light" w:hAnsi="Calibri Light" w:cs="Calibri Light"/>
          <w:sz w:val="24"/>
          <w:szCs w:val="24"/>
        </w:rPr>
        <w:t>, then</w:t>
      </w:r>
      <w:r w:rsidR="008E080D">
        <w:rPr>
          <w:rFonts w:ascii="Calibri Light" w:hAnsi="Calibri Light" w:cs="Calibri Light"/>
          <w:sz w:val="24"/>
          <w:szCs w:val="24"/>
        </w:rPr>
        <w:t>,</w:t>
      </w:r>
      <w:r w:rsidRPr="00CB4CFA">
        <w:rPr>
          <w:rFonts w:ascii="Calibri Light" w:hAnsi="Calibri Light" w:cs="Calibri Light"/>
          <w:sz w:val="24"/>
          <w:szCs w:val="24"/>
        </w:rPr>
        <w:t xml:space="preserve"> in the Islamic perspective, redenomination will tend to never happen. This is because redenomination usually occurs due to inflation caused by the instrument of interest (usury), whereas in Islam, all forms of usury must be eliminated</w:t>
      </w:r>
      <w:r w:rsidR="00A03430">
        <w:rPr>
          <w:rFonts w:ascii="Calibri Light" w:hAnsi="Calibri Light" w:cs="Calibri Light"/>
          <w:sz w:val="24"/>
          <w:szCs w:val="24"/>
        </w:rPr>
        <w:t xml:space="preserve"> </w:t>
      </w:r>
      <w:r w:rsidR="00A03430">
        <w:rPr>
          <w:rFonts w:ascii="Calibri Light" w:hAnsi="Calibri Light" w:cs="Calibri Light"/>
          <w:sz w:val="24"/>
          <w:szCs w:val="24"/>
        </w:rPr>
        <w:fldChar w:fldCharType="begin" w:fldLock="1"/>
      </w:r>
      <w:r w:rsidR="00781481">
        <w:rPr>
          <w:rFonts w:ascii="Calibri Light" w:hAnsi="Calibri Light" w:cs="Calibri Light"/>
          <w:sz w:val="24"/>
          <w:szCs w:val="24"/>
        </w:rPr>
        <w:instrText>ADDIN CSL_CITATION {"citationItems":[{"id":"ITEM-1","itemData":{"author":[{"dropping-particle":"","family":"Haq","given":"F.","non-dropping-particle":"","parse-names":false,"suffix":""}],"container-title":"Ar-Ribh: Jurnal Ekonomi Islam","id":"ITEM-1","issue":"2","issued":{"date-parts":[["2022"]]},"page":"160-168","title":"Riba and Business in Islam","type":"article-journal","volume":"5"},"uris":["http://www.mendeley.com/documents/?uuid=6f5dcb56-1089-4bda-ae6c-8d715bac501e"]}],"mendeley":{"formattedCitation":"(Haq, 2022)","plainTextFormattedCitation":"(Haq, 2022)","previouslyFormattedCitation":"(Haq, 2022)"},"properties":{"noteIndex":0},"schema":"https://github.com/citation-style-language/schema/raw/master/csl-citation.json"}</w:instrText>
      </w:r>
      <w:r w:rsidR="00A03430">
        <w:rPr>
          <w:rFonts w:ascii="Calibri Light" w:hAnsi="Calibri Light" w:cs="Calibri Light"/>
          <w:sz w:val="24"/>
          <w:szCs w:val="24"/>
        </w:rPr>
        <w:fldChar w:fldCharType="separate"/>
      </w:r>
      <w:r w:rsidR="00A03430" w:rsidRPr="009E69AC">
        <w:rPr>
          <w:rFonts w:ascii="Calibri Light" w:hAnsi="Calibri Light" w:cs="Calibri Light"/>
          <w:noProof/>
          <w:color w:val="0070C0"/>
          <w:sz w:val="24"/>
          <w:szCs w:val="24"/>
        </w:rPr>
        <w:t>(Haq, 2022</w:t>
      </w:r>
      <w:r w:rsidR="00A03430" w:rsidRPr="00A03430">
        <w:rPr>
          <w:rFonts w:ascii="Calibri Light" w:hAnsi="Calibri Light" w:cs="Calibri Light"/>
          <w:noProof/>
          <w:sz w:val="24"/>
          <w:szCs w:val="24"/>
        </w:rPr>
        <w:t>)</w:t>
      </w:r>
      <w:r w:rsidR="00A03430">
        <w:rPr>
          <w:rFonts w:ascii="Calibri Light" w:hAnsi="Calibri Light" w:cs="Calibri Light"/>
          <w:sz w:val="24"/>
          <w:szCs w:val="24"/>
        </w:rPr>
        <w:fldChar w:fldCharType="end"/>
      </w:r>
      <w:r w:rsidR="00A03430">
        <w:rPr>
          <w:rFonts w:ascii="Calibri Light" w:hAnsi="Calibri Light" w:cs="Calibri Light"/>
          <w:sz w:val="24"/>
          <w:szCs w:val="24"/>
        </w:rPr>
        <w:t>.</w:t>
      </w:r>
      <w:r w:rsidRPr="00CB4CFA">
        <w:rPr>
          <w:rFonts w:ascii="Calibri Light" w:hAnsi="Calibri Light" w:cs="Calibri Light"/>
          <w:sz w:val="24"/>
          <w:szCs w:val="24"/>
        </w:rPr>
        <w:t xml:space="preserve"> The characteristic of the Islamic monetary system, compared to the conventional monetary system, is that it is free of interest in the process, procedures, mechanisms, and implementation of economic policies. Another aspect that distinguishes the Islamic monetary system from the conventional system is that money only functions </w:t>
      </w:r>
      <w:r w:rsidRPr="00CB4CFA">
        <w:rPr>
          <w:rFonts w:ascii="Calibri Light" w:hAnsi="Calibri Light" w:cs="Calibri Light"/>
          <w:sz w:val="24"/>
          <w:szCs w:val="24"/>
        </w:rPr>
        <w:lastRenderedPageBreak/>
        <w:t xml:space="preserve">as a medium of exchange to facilitate and encourage economic activity, not as a tradable commodity </w:t>
      </w:r>
      <w:r w:rsidR="00781481" w:rsidRPr="00781481">
        <w:rPr>
          <w:rFonts w:ascii="Calibri Light" w:hAnsi="Calibri Light" w:cs="Calibri Light"/>
          <w:color w:val="0070C0"/>
          <w:sz w:val="24"/>
          <w:szCs w:val="24"/>
        </w:rPr>
        <w:fldChar w:fldCharType="begin" w:fldLock="1"/>
      </w:r>
      <w:r w:rsidR="00982D92">
        <w:rPr>
          <w:rFonts w:ascii="Calibri Light" w:hAnsi="Calibri Light" w:cs="Calibri Light"/>
          <w:color w:val="0070C0"/>
          <w:sz w:val="24"/>
          <w:szCs w:val="24"/>
        </w:rPr>
        <w:instrText>ADDIN CSL_CITATION {"citationItems":[{"id":"ITEM-1","itemData":{"author":[{"dropping-particle":"","family":"Solehudin","given":"M. Y.","non-dropping-particle":"","parse-names":false,"suffix":""}],"id":"ITEM-1","issued":{"date-parts":[["2016"]]},"publisher":"Thesis, Universitas Muhammadiyah Yogyakarta","title":"Analisis Wacana Redenominasi Mata Uang di Indonesia dalam Perspektif Islam","type":"thesis"},"uris":["http://www.mendeley.com/documents/?uuid=5484b865-5684-4806-a70a-deaa55d4c8e7"]}],"mendeley":{"formattedCitation":"(Solehudin, 2016)","plainTextFormattedCitation":"(Solehudin, 2016)","previouslyFormattedCitation":"(Solehudin, 2016)"},"properties":{"noteIndex":0},"schema":"https://github.com/citation-style-language/schema/raw/master/csl-citation.json"}</w:instrText>
      </w:r>
      <w:r w:rsidR="00781481" w:rsidRPr="00781481">
        <w:rPr>
          <w:rFonts w:ascii="Calibri Light" w:hAnsi="Calibri Light" w:cs="Calibri Light"/>
          <w:color w:val="0070C0"/>
          <w:sz w:val="24"/>
          <w:szCs w:val="24"/>
        </w:rPr>
        <w:fldChar w:fldCharType="separate"/>
      </w:r>
      <w:r w:rsidR="00781481" w:rsidRPr="00781481">
        <w:rPr>
          <w:rFonts w:ascii="Calibri Light" w:hAnsi="Calibri Light" w:cs="Calibri Light"/>
          <w:noProof/>
          <w:color w:val="0070C0"/>
          <w:sz w:val="24"/>
          <w:szCs w:val="24"/>
        </w:rPr>
        <w:t>(Solehudin, 2016)</w:t>
      </w:r>
      <w:r w:rsidR="00781481" w:rsidRPr="00781481">
        <w:rPr>
          <w:rFonts w:ascii="Calibri Light" w:hAnsi="Calibri Light" w:cs="Calibri Light"/>
          <w:color w:val="0070C0"/>
          <w:sz w:val="24"/>
          <w:szCs w:val="24"/>
        </w:rPr>
        <w:fldChar w:fldCharType="end"/>
      </w:r>
      <w:r w:rsidR="00781481" w:rsidRPr="00781481">
        <w:rPr>
          <w:rFonts w:ascii="Calibri Light" w:hAnsi="Calibri Light" w:cs="Calibri Light"/>
          <w:color w:val="0070C0"/>
          <w:sz w:val="24"/>
          <w:szCs w:val="24"/>
        </w:rPr>
        <w:t>.</w:t>
      </w:r>
    </w:p>
    <w:p w14:paraId="3B4ED056" w14:textId="77777777" w:rsidR="00CB4CFA" w:rsidRDefault="00CB4CFA" w:rsidP="00CB4CFA">
      <w:pPr>
        <w:spacing w:before="120" w:after="120"/>
        <w:ind w:left="440" w:right="-1" w:hanging="14"/>
        <w:jc w:val="both"/>
        <w:rPr>
          <w:rFonts w:ascii="Calibri Light" w:hAnsi="Calibri Light" w:cs="Calibri Light"/>
          <w:sz w:val="24"/>
          <w:szCs w:val="24"/>
        </w:rPr>
      </w:pPr>
      <w:r w:rsidRPr="00CB4CFA">
        <w:rPr>
          <w:rFonts w:ascii="Calibri Light" w:hAnsi="Calibri Light" w:cs="Calibri Light"/>
          <w:sz w:val="24"/>
          <w:szCs w:val="24"/>
        </w:rPr>
        <w:t xml:space="preserve">In terms of the requirements that must be met to carry out redenomination, namely the level of inflation and economic stability, Indonesia already meets the criteria to implement this policy because the level of inflation and economic growth are relatively stable. However, the Indonesian government as the </w:t>
      </w:r>
      <w:proofErr w:type="spellStart"/>
      <w:r w:rsidRPr="001E3488">
        <w:rPr>
          <w:rFonts w:ascii="Calibri Light" w:hAnsi="Calibri Light" w:cs="Calibri Light"/>
          <w:i/>
          <w:iCs/>
          <w:sz w:val="24"/>
          <w:szCs w:val="24"/>
        </w:rPr>
        <w:t>ulil</w:t>
      </w:r>
      <w:proofErr w:type="spellEnd"/>
      <w:r w:rsidRPr="001E3488">
        <w:rPr>
          <w:rFonts w:ascii="Calibri Light" w:hAnsi="Calibri Light" w:cs="Calibri Light"/>
          <w:i/>
          <w:iCs/>
          <w:sz w:val="24"/>
          <w:szCs w:val="24"/>
        </w:rPr>
        <w:t xml:space="preserve"> </w:t>
      </w:r>
      <w:proofErr w:type="spellStart"/>
      <w:r w:rsidRPr="001E3488">
        <w:rPr>
          <w:rFonts w:ascii="Calibri Light" w:hAnsi="Calibri Light" w:cs="Calibri Light"/>
          <w:i/>
          <w:iCs/>
          <w:sz w:val="24"/>
          <w:szCs w:val="24"/>
        </w:rPr>
        <w:t>amri</w:t>
      </w:r>
      <w:proofErr w:type="spellEnd"/>
      <w:r w:rsidRPr="00CB4CFA">
        <w:rPr>
          <w:rFonts w:ascii="Calibri Light" w:hAnsi="Calibri Light" w:cs="Calibri Light"/>
          <w:sz w:val="24"/>
          <w:szCs w:val="24"/>
        </w:rPr>
        <w:t xml:space="preserve"> must still examine the pros and cons of the policy through the principle of </w:t>
      </w:r>
      <w:proofErr w:type="spellStart"/>
      <w:r w:rsidRPr="001E3488">
        <w:rPr>
          <w:rFonts w:ascii="Calibri Light" w:hAnsi="Calibri Light" w:cs="Calibri Light"/>
          <w:i/>
          <w:iCs/>
          <w:sz w:val="24"/>
          <w:szCs w:val="24"/>
        </w:rPr>
        <w:t>shūrā</w:t>
      </w:r>
      <w:proofErr w:type="spellEnd"/>
      <w:r w:rsidRPr="00CB4CFA">
        <w:rPr>
          <w:rFonts w:ascii="Calibri Light" w:hAnsi="Calibri Light" w:cs="Calibri Light"/>
          <w:sz w:val="24"/>
          <w:szCs w:val="24"/>
        </w:rPr>
        <w:t xml:space="preserve"> </w:t>
      </w:r>
      <w:r w:rsidR="001E3488">
        <w:rPr>
          <w:rFonts w:ascii="Calibri Light" w:hAnsi="Calibri Light" w:cs="Calibri Light"/>
          <w:sz w:val="24"/>
          <w:szCs w:val="24"/>
        </w:rPr>
        <w:t xml:space="preserve">(consultation) </w:t>
      </w:r>
      <w:r w:rsidRPr="00CB4CFA">
        <w:rPr>
          <w:rFonts w:ascii="Calibri Light" w:hAnsi="Calibri Light" w:cs="Calibri Light"/>
          <w:sz w:val="24"/>
          <w:szCs w:val="24"/>
        </w:rPr>
        <w:t>by involving competent stakeholders, such as relevant state institutions, clerics, and experts in the fields of economics and finance. In addition, the government must also intensively socialize to the public what redenomination is.</w:t>
      </w:r>
    </w:p>
    <w:p w14:paraId="599B4C7C"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35D20857"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5596BC88" w14:textId="77777777" w:rsidR="00CB4CFA" w:rsidRPr="00CB4CFA" w:rsidRDefault="00CB4CFA" w:rsidP="00DC28F6">
      <w:pPr>
        <w:pStyle w:val="ListParagraph"/>
        <w:spacing w:before="120" w:after="120" w:line="240" w:lineRule="auto"/>
        <w:ind w:left="436" w:hanging="11"/>
        <w:contextualSpacing w:val="0"/>
        <w:jc w:val="both"/>
        <w:rPr>
          <w:rFonts w:ascii="Calibri Light" w:hAnsi="Calibri Light" w:cs="Calibri Light"/>
          <w:sz w:val="24"/>
          <w:szCs w:val="24"/>
        </w:rPr>
      </w:pPr>
      <w:r w:rsidRPr="00CB4CFA">
        <w:rPr>
          <w:rFonts w:ascii="Calibri Light" w:hAnsi="Calibri Light" w:cs="Calibri Light"/>
          <w:sz w:val="24"/>
          <w:szCs w:val="24"/>
        </w:rPr>
        <w:t xml:space="preserve">The redenomination policy in Indonesia is a complex step with profound philosophical, social, economic, and legal implications. This policy can be seen as a legitimate legal policy instrument, which is capable of increasing the credibility of the rupiah and becoming the final solution to </w:t>
      </w:r>
      <w:r w:rsidR="00DC28F6">
        <w:rPr>
          <w:rFonts w:ascii="Calibri Light" w:hAnsi="Calibri Light" w:cs="Calibri Light"/>
          <w:sz w:val="24"/>
          <w:szCs w:val="24"/>
        </w:rPr>
        <w:t>maintaining</w:t>
      </w:r>
      <w:r w:rsidRPr="00CB4CFA">
        <w:rPr>
          <w:rFonts w:ascii="Calibri Light" w:hAnsi="Calibri Light" w:cs="Calibri Light"/>
          <w:sz w:val="24"/>
          <w:szCs w:val="24"/>
        </w:rPr>
        <w:t xml:space="preserve"> monetary stability. The social and psychological impact of redenomination also requires special attention to ensure that this policy is well received by the public. As part of a country based on the rule of law and social justice, redenomination must be designed with due regard for the principles of justice and the welfare of the people.</w:t>
      </w:r>
    </w:p>
    <w:p w14:paraId="12CB9FD3" w14:textId="77777777" w:rsidR="006B0510" w:rsidRPr="00122F5F" w:rsidRDefault="00CB4CFA" w:rsidP="00CB4CFA">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CB4CFA">
        <w:rPr>
          <w:rFonts w:ascii="Calibri Light" w:hAnsi="Calibri Light" w:cs="Calibri Light"/>
          <w:sz w:val="24"/>
          <w:szCs w:val="24"/>
        </w:rPr>
        <w:t xml:space="preserve">Of the several Islamic legal theories mentioned, the </w:t>
      </w:r>
      <w:r w:rsidR="00DC28F6" w:rsidRPr="00DC28F6">
        <w:rPr>
          <w:rFonts w:ascii="Calibri Light" w:hAnsi="Calibri Light" w:cs="Calibri Light"/>
          <w:i/>
          <w:sz w:val="24"/>
          <w:szCs w:val="24"/>
        </w:rPr>
        <w:t>Maqāṣid al-Sharī’ah</w:t>
      </w:r>
      <w:r w:rsidRPr="00CB4CFA">
        <w:rPr>
          <w:rFonts w:ascii="Calibri Light" w:hAnsi="Calibri Light" w:cs="Calibri Light"/>
          <w:sz w:val="24"/>
          <w:szCs w:val="24"/>
        </w:rPr>
        <w:t xml:space="preserve">, </w:t>
      </w:r>
      <w:r w:rsidR="00DC28F6" w:rsidRPr="00DC28F6">
        <w:rPr>
          <w:rFonts w:ascii="Calibri Light" w:hAnsi="Calibri Light" w:cs="Calibri Light"/>
          <w:i/>
          <w:sz w:val="24"/>
          <w:szCs w:val="24"/>
        </w:rPr>
        <w:t>al-‘adālah</w:t>
      </w:r>
      <w:r w:rsidRPr="00CB4CFA">
        <w:rPr>
          <w:rFonts w:ascii="Calibri Light" w:hAnsi="Calibri Light" w:cs="Calibri Light"/>
          <w:sz w:val="24"/>
          <w:szCs w:val="24"/>
        </w:rPr>
        <w:t xml:space="preserve">, and </w:t>
      </w:r>
      <w:r w:rsidR="00DC28F6" w:rsidRPr="00DC28F6">
        <w:rPr>
          <w:rFonts w:ascii="Calibri Light" w:hAnsi="Calibri Light" w:cs="Calibri Light"/>
          <w:i/>
          <w:sz w:val="24"/>
          <w:szCs w:val="24"/>
        </w:rPr>
        <w:t>istiḥsān</w:t>
      </w:r>
      <w:r w:rsidRPr="00CB4CFA">
        <w:rPr>
          <w:rFonts w:ascii="Calibri Light" w:hAnsi="Calibri Light" w:cs="Calibri Light"/>
          <w:sz w:val="24"/>
          <w:szCs w:val="24"/>
        </w:rPr>
        <w:t xml:space="preserve"> theories are most appropriate for analyzing the rupiah redenomination policy in Indonesia. </w:t>
      </w:r>
      <w:r w:rsidR="00DC28F6" w:rsidRPr="00DC28F6">
        <w:rPr>
          <w:rFonts w:ascii="Calibri Light" w:hAnsi="Calibri Light" w:cs="Calibri Light"/>
          <w:i/>
          <w:sz w:val="24"/>
          <w:szCs w:val="24"/>
        </w:rPr>
        <w:t>Maqāṣid al-Sharī’ah</w:t>
      </w:r>
      <w:r w:rsidRPr="00CB4CFA">
        <w:rPr>
          <w:rFonts w:ascii="Calibri Light" w:hAnsi="Calibri Light" w:cs="Calibri Light"/>
          <w:sz w:val="24"/>
          <w:szCs w:val="24"/>
        </w:rPr>
        <w:t xml:space="preserve"> provides a basis for assessing whether this policy creates benefits for the people and the state. The theory of </w:t>
      </w:r>
      <w:r w:rsidR="00DC28F6" w:rsidRPr="00DC28F6">
        <w:rPr>
          <w:rFonts w:ascii="Calibri Light" w:hAnsi="Calibri Light" w:cs="Calibri Light"/>
          <w:i/>
          <w:sz w:val="24"/>
          <w:szCs w:val="24"/>
        </w:rPr>
        <w:t>al-’adālah</w:t>
      </w:r>
      <w:r w:rsidR="009C58BB" w:rsidRPr="009C58BB">
        <w:rPr>
          <w:rFonts w:ascii="Calibri Light" w:hAnsi="Calibri Light" w:cs="Calibri Light"/>
          <w:sz w:val="24"/>
          <w:szCs w:val="24"/>
        </w:rPr>
        <w:t xml:space="preserve"> </w:t>
      </w:r>
      <w:r w:rsidRPr="00CB4CFA">
        <w:rPr>
          <w:rFonts w:ascii="Calibri Light" w:hAnsi="Calibri Light" w:cs="Calibri Light"/>
          <w:sz w:val="24"/>
          <w:szCs w:val="24"/>
        </w:rPr>
        <w:t xml:space="preserve">ensures that the policy is implemented with the principle of justice that favors the welfare of the people. Meanwhile, </w:t>
      </w:r>
      <w:r w:rsidR="00DC28F6" w:rsidRPr="00DC28F6">
        <w:rPr>
          <w:rFonts w:ascii="Calibri Light" w:hAnsi="Calibri Light" w:cs="Calibri Light"/>
          <w:i/>
          <w:sz w:val="24"/>
          <w:szCs w:val="24"/>
        </w:rPr>
        <w:t>istiḥsān</w:t>
      </w:r>
      <w:r w:rsidRPr="00CB4CFA">
        <w:rPr>
          <w:rFonts w:ascii="Calibri Light" w:hAnsi="Calibri Light" w:cs="Calibri Light"/>
          <w:sz w:val="24"/>
          <w:szCs w:val="24"/>
        </w:rPr>
        <w:t xml:space="preserve"> provides room for more prudent policies in dealing with difficult economic situations.</w:t>
      </w:r>
    </w:p>
    <w:p w14:paraId="28BF2324"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7B3EC7A"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14:paraId="5C83DA56" w14:textId="77777777" w:rsidR="00741058" w:rsidRPr="00314B60" w:rsidRDefault="00314B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r w:rsidRPr="00314B60">
        <w:rPr>
          <w:rFonts w:ascii="Calibri Light" w:hAnsi="Calibri Light" w:cs="Calibri Light"/>
          <w:sz w:val="24"/>
          <w:szCs w:val="24"/>
        </w:rPr>
        <w:t xml:space="preserve">This study </w:t>
      </w:r>
      <w:r>
        <w:rPr>
          <w:rFonts w:ascii="Calibri Light" w:hAnsi="Calibri Light" w:cs="Calibri Light"/>
          <w:sz w:val="24"/>
          <w:szCs w:val="24"/>
          <w:lang w:val="en-US"/>
        </w:rPr>
        <w:t>is</w:t>
      </w:r>
      <w:r w:rsidRPr="00314B60">
        <w:rPr>
          <w:rFonts w:ascii="Calibri Light" w:hAnsi="Calibri Light" w:cs="Calibri Light"/>
          <w:sz w:val="24"/>
          <w:szCs w:val="24"/>
        </w:rPr>
        <w:t xml:space="preserve"> feasible with</w:t>
      </w:r>
      <w:r>
        <w:rPr>
          <w:rFonts w:ascii="Calibri Light" w:hAnsi="Calibri Light" w:cs="Calibri Light"/>
          <w:sz w:val="24"/>
          <w:szCs w:val="24"/>
          <w:lang w:val="en-US"/>
        </w:rPr>
        <w:t xml:space="preserve"> t</w:t>
      </w:r>
      <w:r w:rsidRPr="00314B60">
        <w:rPr>
          <w:rFonts w:ascii="Calibri Light" w:hAnsi="Calibri Light" w:cs="Calibri Light"/>
          <w:sz w:val="24"/>
          <w:szCs w:val="24"/>
        </w:rPr>
        <w:t xml:space="preserve">he essential </w:t>
      </w:r>
      <w:r>
        <w:rPr>
          <w:rFonts w:ascii="Calibri Light" w:hAnsi="Calibri Light" w:cs="Calibri Light"/>
          <w:sz w:val="24"/>
          <w:szCs w:val="24"/>
        </w:rPr>
        <w:t>sponsorship</w:t>
      </w:r>
      <w:r>
        <w:rPr>
          <w:rFonts w:ascii="Calibri Light" w:hAnsi="Calibri Light" w:cs="Calibri Light"/>
          <w:sz w:val="24"/>
          <w:szCs w:val="24"/>
          <w:lang w:val="en-US"/>
        </w:rPr>
        <w:t xml:space="preserve"> </w:t>
      </w:r>
      <w:r w:rsidR="00896833">
        <w:rPr>
          <w:rFonts w:ascii="Calibri Light" w:hAnsi="Calibri Light" w:cs="Calibri Light"/>
          <w:sz w:val="24"/>
          <w:szCs w:val="24"/>
          <w:lang w:val="en-US"/>
        </w:rPr>
        <w:t>of</w:t>
      </w:r>
      <w:r>
        <w:rPr>
          <w:rFonts w:ascii="Calibri Light" w:hAnsi="Calibri Light" w:cs="Calibri Light"/>
          <w:sz w:val="24"/>
          <w:szCs w:val="24"/>
          <w:lang w:val="en-US"/>
        </w:rPr>
        <w:t xml:space="preserve"> the Indonesian Ministry of Religious Affairs through UIN Sayyid Ali Rahmatullah’s </w:t>
      </w:r>
      <w:r w:rsidRPr="00314B60">
        <w:rPr>
          <w:rFonts w:ascii="Calibri Light" w:hAnsi="Calibri Light" w:cs="Calibri Light"/>
          <w:sz w:val="24"/>
          <w:szCs w:val="24"/>
          <w:lang w:val="en-US"/>
        </w:rPr>
        <w:t xml:space="preserve">Community Service and Scientific Publication Assistance Program </w:t>
      </w:r>
      <w:r w:rsidR="00447E2F">
        <w:rPr>
          <w:rFonts w:ascii="Calibri Light" w:hAnsi="Calibri Light" w:cs="Calibri Light"/>
          <w:sz w:val="24"/>
          <w:szCs w:val="24"/>
          <w:lang w:val="en-US"/>
        </w:rPr>
        <w:t>under the S</w:t>
      </w:r>
      <w:r w:rsidR="00447E2F" w:rsidRPr="00447E2F">
        <w:rPr>
          <w:rFonts w:ascii="Calibri Light" w:hAnsi="Calibri Light" w:cs="Calibri Light"/>
          <w:sz w:val="24"/>
          <w:szCs w:val="24"/>
          <w:lang w:val="en-US"/>
        </w:rPr>
        <w:t xml:space="preserve">tate </w:t>
      </w:r>
      <w:r w:rsidR="00447E2F">
        <w:rPr>
          <w:rFonts w:ascii="Calibri Light" w:hAnsi="Calibri Light" w:cs="Calibri Light"/>
          <w:sz w:val="24"/>
          <w:szCs w:val="24"/>
          <w:lang w:val="en-US"/>
        </w:rPr>
        <w:t>U</w:t>
      </w:r>
      <w:r w:rsidR="00447E2F" w:rsidRPr="00447E2F">
        <w:rPr>
          <w:rFonts w:ascii="Calibri Light" w:hAnsi="Calibri Light" w:cs="Calibri Light"/>
          <w:sz w:val="24"/>
          <w:szCs w:val="24"/>
          <w:lang w:val="en-US"/>
        </w:rPr>
        <w:t xml:space="preserve">niversity </w:t>
      </w:r>
      <w:r w:rsidR="00447E2F">
        <w:rPr>
          <w:rFonts w:ascii="Calibri Light" w:hAnsi="Calibri Light" w:cs="Calibri Light"/>
          <w:sz w:val="24"/>
          <w:szCs w:val="24"/>
          <w:lang w:val="en-US"/>
        </w:rPr>
        <w:t>O</w:t>
      </w:r>
      <w:r w:rsidR="00447E2F" w:rsidRPr="00447E2F">
        <w:rPr>
          <w:rFonts w:ascii="Calibri Light" w:hAnsi="Calibri Light" w:cs="Calibri Light"/>
          <w:sz w:val="24"/>
          <w:szCs w:val="24"/>
          <w:lang w:val="en-US"/>
        </w:rPr>
        <w:t xml:space="preserve">perational </w:t>
      </w:r>
      <w:r w:rsidR="00447E2F">
        <w:rPr>
          <w:rFonts w:ascii="Calibri Light" w:hAnsi="Calibri Light" w:cs="Calibri Light"/>
          <w:sz w:val="24"/>
          <w:szCs w:val="24"/>
          <w:lang w:val="en-US"/>
        </w:rPr>
        <w:t>A</w:t>
      </w:r>
      <w:r w:rsidR="00447E2F" w:rsidRPr="00447E2F">
        <w:rPr>
          <w:rFonts w:ascii="Calibri Light" w:hAnsi="Calibri Light" w:cs="Calibri Light"/>
          <w:sz w:val="24"/>
          <w:szCs w:val="24"/>
          <w:lang w:val="en-US"/>
        </w:rPr>
        <w:t xml:space="preserve">ssistance </w:t>
      </w:r>
      <w:r w:rsidR="00447E2F">
        <w:rPr>
          <w:rFonts w:ascii="Calibri Light" w:hAnsi="Calibri Light" w:cs="Calibri Light"/>
          <w:sz w:val="24"/>
          <w:szCs w:val="24"/>
          <w:lang w:val="en-US"/>
        </w:rPr>
        <w:t>F</w:t>
      </w:r>
      <w:r w:rsidR="00447E2F" w:rsidRPr="00447E2F">
        <w:rPr>
          <w:rFonts w:ascii="Calibri Light" w:hAnsi="Calibri Light" w:cs="Calibri Light"/>
          <w:sz w:val="24"/>
          <w:szCs w:val="24"/>
          <w:lang w:val="en-US"/>
        </w:rPr>
        <w:t>unds</w:t>
      </w:r>
      <w:r w:rsidR="00447E2F">
        <w:rPr>
          <w:rFonts w:ascii="Calibri Light" w:hAnsi="Calibri Light" w:cs="Calibri Light"/>
          <w:sz w:val="24"/>
          <w:szCs w:val="24"/>
          <w:lang w:val="en-US"/>
        </w:rPr>
        <w:t xml:space="preserve"> (BOPTN) </w:t>
      </w:r>
      <w:r w:rsidRPr="00314B60">
        <w:rPr>
          <w:rFonts w:ascii="Calibri Light" w:hAnsi="Calibri Light" w:cs="Calibri Light"/>
          <w:sz w:val="24"/>
          <w:szCs w:val="24"/>
          <w:lang w:val="en-US"/>
        </w:rPr>
        <w:t>for the 2023 Fiscal Year</w:t>
      </w:r>
      <w:r>
        <w:rPr>
          <w:rFonts w:ascii="Calibri Light" w:hAnsi="Calibri Light" w:cs="Calibri Light"/>
          <w:sz w:val="24"/>
          <w:szCs w:val="24"/>
          <w:lang w:val="en-US"/>
        </w:rPr>
        <w:t>.</w:t>
      </w:r>
    </w:p>
    <w:p w14:paraId="495C0329"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9F227A4" w14:textId="77777777"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04C809B8" w14:textId="07ADF4CA"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Pr>
          <w:rFonts w:ascii="Calibri Light" w:hAnsi="Calibri Light" w:cs="Calibri Light"/>
          <w:b/>
          <w:color w:val="A6A6A6"/>
          <w:sz w:val="24"/>
          <w:szCs w:val="24"/>
        </w:rPr>
        <w:fldChar w:fldCharType="begin" w:fldLock="1"/>
      </w:r>
      <w:r w:rsidRPr="0068534F">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color w:val="A6A6A6"/>
          <w:sz w:val="24"/>
          <w:szCs w:val="24"/>
        </w:rPr>
        <w:fldChar w:fldCharType="separate"/>
      </w:r>
      <w:r w:rsidRPr="0068534F">
        <w:rPr>
          <w:rFonts w:ascii="Calibri Light" w:hAnsi="Calibri Light" w:cs="Calibri Light"/>
          <w:sz w:val="24"/>
        </w:rPr>
        <w:t xml:space="preserve">Adam, P. (2021). Penerapan Metode Istihsan Pada Bidang Muâmalah Mâliyyah (Hukum Ekonomi Syariah). </w:t>
      </w:r>
      <w:r w:rsidRPr="0068534F">
        <w:rPr>
          <w:rFonts w:ascii="Calibri Light" w:hAnsi="Calibri Light" w:cs="Calibri Light"/>
          <w:i/>
          <w:iCs/>
          <w:sz w:val="24"/>
        </w:rPr>
        <w:t>Jurnal Ilmiah Universitas Batanghari Jambi</w:t>
      </w:r>
      <w:r w:rsidRPr="0068534F">
        <w:rPr>
          <w:rFonts w:ascii="Calibri Light" w:hAnsi="Calibri Light" w:cs="Calibri Light"/>
          <w:sz w:val="24"/>
        </w:rPr>
        <w:t xml:space="preserve">, </w:t>
      </w:r>
      <w:r w:rsidRPr="0068534F">
        <w:rPr>
          <w:rFonts w:ascii="Calibri Light" w:hAnsi="Calibri Light" w:cs="Calibri Light"/>
          <w:i/>
          <w:iCs/>
          <w:sz w:val="24"/>
        </w:rPr>
        <w:t>21</w:t>
      </w:r>
      <w:r w:rsidRPr="0068534F">
        <w:rPr>
          <w:rFonts w:ascii="Calibri Light" w:hAnsi="Calibri Light" w:cs="Calibri Light"/>
          <w:sz w:val="24"/>
        </w:rPr>
        <w:t>(1), 68. https://doi.org/10.33087/jiubj.v21i1.1208</w:t>
      </w:r>
    </w:p>
    <w:p w14:paraId="0929816F"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Agustiningtyas, W. E. P., &amp; Hendrasto, F. (2024). USING MODIFIED TECHNOLOGY </w:t>
      </w:r>
      <w:r w:rsidRPr="0068534F">
        <w:rPr>
          <w:rFonts w:ascii="Calibri Light" w:hAnsi="Calibri Light" w:cs="Calibri Light"/>
          <w:sz w:val="24"/>
        </w:rPr>
        <w:lastRenderedPageBreak/>
        <w:t xml:space="preserve">ACCEPTANCE MODEL TO INVESTIGATE QRIS ADOPTION AMONG UNIVERSITY STUDENT. </w:t>
      </w:r>
      <w:r w:rsidRPr="0068534F">
        <w:rPr>
          <w:rFonts w:ascii="Calibri Light" w:hAnsi="Calibri Light" w:cs="Calibri Light"/>
          <w:i/>
          <w:iCs/>
          <w:sz w:val="24"/>
        </w:rPr>
        <w:t>International Economics and Business Proceedings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https://proceeding.unram.ac.id/index.php/ieb/article/view/3292</w:t>
      </w:r>
    </w:p>
    <w:p w14:paraId="031C08E0" w14:textId="20BC191A" w:rsid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Allen, F., Carletti, E., Goldstein, I., &amp; Leonello, A. (2015). Moral Hazard and Government Guarantees in the Banking Industry. </w:t>
      </w:r>
      <w:r w:rsidRPr="0068534F">
        <w:rPr>
          <w:rFonts w:ascii="Calibri Light" w:hAnsi="Calibri Light" w:cs="Calibri Light"/>
          <w:i/>
          <w:iCs/>
          <w:sz w:val="24"/>
        </w:rPr>
        <w:t>Journal of Financial Regulation</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 xml:space="preserve">(1), 30–50. https://doi.org/10.1093/jfr/fju003 </w:t>
      </w:r>
    </w:p>
    <w:p w14:paraId="632DE0B0" w14:textId="057F6395"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Ananda, C. F. (n.d.). Redenominasi, Kapan Dimulai? </w:t>
      </w:r>
      <w:r w:rsidRPr="0068534F">
        <w:rPr>
          <w:rFonts w:ascii="Calibri Light" w:hAnsi="Calibri Light" w:cs="Calibri Light"/>
          <w:i/>
          <w:iCs/>
          <w:sz w:val="24"/>
        </w:rPr>
        <w:t>Feb.Ub.Ac.Id</w:t>
      </w:r>
      <w:r w:rsidRPr="0068534F">
        <w:rPr>
          <w:rFonts w:ascii="Calibri Light" w:hAnsi="Calibri Light" w:cs="Calibri Light"/>
          <w:sz w:val="24"/>
        </w:rPr>
        <w:t>. https://feb.ub.ac.id/redenominasi-kapan-dimulai/</w:t>
      </w:r>
    </w:p>
    <w:p w14:paraId="7211A96F"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Arsyad, M. (2023). Dampak Redenominasi Rupiah terhadap Penyajian Laporan Keuangan Audited. </w:t>
      </w:r>
      <w:r w:rsidRPr="0068534F">
        <w:rPr>
          <w:rFonts w:ascii="Calibri Light" w:hAnsi="Calibri Light" w:cs="Calibri Light"/>
          <w:i/>
          <w:iCs/>
          <w:sz w:val="24"/>
        </w:rPr>
        <w:t>AKUNSIKA: Jurnal Akuntansi Dan Keuangan</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 57–62. https://doi.org/10.31963/akunsika.v4i2.4277</w:t>
      </w:r>
    </w:p>
    <w:p w14:paraId="2A9DFDF0"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Ashari, M. (2020, July 28). Menanti Redenominasi. </w:t>
      </w:r>
      <w:r w:rsidRPr="0068534F">
        <w:rPr>
          <w:rFonts w:ascii="Calibri Light" w:hAnsi="Calibri Light" w:cs="Calibri Light"/>
          <w:i/>
          <w:iCs/>
          <w:sz w:val="24"/>
        </w:rPr>
        <w:t>Kemenkeu.Go.Id</w:t>
      </w:r>
      <w:r w:rsidRPr="0068534F">
        <w:rPr>
          <w:rFonts w:ascii="Calibri Light" w:hAnsi="Calibri Light" w:cs="Calibri Light"/>
          <w:sz w:val="24"/>
        </w:rPr>
        <w:t>. https://www.djkn.kemenkeu.go.id/kpknl-kisaran/baca-artikel/13281/Menanti-Redenominasi.html.</w:t>
      </w:r>
    </w:p>
    <w:p w14:paraId="0A23A859"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Ashshiddiqie, M. F., Janottama, I. P. A., &amp; Nuriarta, I. W. (2022). PERANCANGAN ANIMASI 3 DIMENSI SEBAGAI UPAYA PENGEDUKASIAN MASYARAKAT MENGENAI PENTINGNYA MENCINTAI RUPIAH SEBAGAI MATA UANG NEGARA INDONESIA. </w:t>
      </w:r>
      <w:r w:rsidRPr="0068534F">
        <w:rPr>
          <w:rFonts w:ascii="Calibri Light" w:hAnsi="Calibri Light" w:cs="Calibri Light"/>
          <w:i/>
          <w:iCs/>
          <w:sz w:val="24"/>
        </w:rPr>
        <w:t>AMARASI: JURNAL DESAIN KOMUNIKASI VISUAL</w:t>
      </w:r>
      <w:r w:rsidRPr="0068534F">
        <w:rPr>
          <w:rFonts w:ascii="Calibri Light" w:hAnsi="Calibri Light" w:cs="Calibri Light"/>
          <w:sz w:val="24"/>
        </w:rPr>
        <w:t xml:space="preserve">, </w:t>
      </w:r>
      <w:r w:rsidRPr="0068534F">
        <w:rPr>
          <w:rFonts w:ascii="Calibri Light" w:hAnsi="Calibri Light" w:cs="Calibri Light"/>
          <w:i/>
          <w:iCs/>
          <w:sz w:val="24"/>
        </w:rPr>
        <w:t>3</w:t>
      </w:r>
      <w:r w:rsidRPr="0068534F">
        <w:rPr>
          <w:rFonts w:ascii="Calibri Light" w:hAnsi="Calibri Light" w:cs="Calibri Light"/>
          <w:sz w:val="24"/>
        </w:rPr>
        <w:t>(02), 159–172. https://doi.org/10.59997/amarasi.v3i02.1689</w:t>
      </w:r>
    </w:p>
    <w:p w14:paraId="14FE0EBD" w14:textId="77777777"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Astrini, D., Juanda, B., &amp; Achsani, N. A. (2016). IMPACT OF REDENOMINATION ON PRICE, VOLUME, AND VALUE OF TRANSACTION: AN EXPERIMENTAL ECONOMIC APPRAOCH. </w:t>
      </w:r>
      <w:r w:rsidRPr="0068534F">
        <w:rPr>
          <w:rFonts w:ascii="Calibri Light" w:hAnsi="Calibri Light" w:cs="Calibri Light"/>
          <w:i/>
          <w:iCs/>
          <w:sz w:val="24"/>
        </w:rPr>
        <w:t>Buletin Ekonomi Moneter Dan Perbankan</w:t>
      </w:r>
      <w:r w:rsidRPr="0068534F">
        <w:rPr>
          <w:rFonts w:ascii="Calibri Light" w:hAnsi="Calibri Light" w:cs="Calibri Light"/>
          <w:sz w:val="24"/>
        </w:rPr>
        <w:t xml:space="preserve">, </w:t>
      </w:r>
      <w:r w:rsidRPr="0068534F">
        <w:rPr>
          <w:rFonts w:ascii="Calibri Light" w:hAnsi="Calibri Light" w:cs="Calibri Light"/>
          <w:i/>
          <w:iCs/>
          <w:sz w:val="24"/>
        </w:rPr>
        <w:t>19</w:t>
      </w:r>
      <w:r w:rsidRPr="0068534F">
        <w:rPr>
          <w:rFonts w:ascii="Calibri Light" w:hAnsi="Calibri Light" w:cs="Calibri Light"/>
          <w:sz w:val="24"/>
        </w:rPr>
        <w:t>(2), 207–238. https://doi.org/10.21098/bemp.v19i2.630</w:t>
      </w:r>
    </w:p>
    <w:p w14:paraId="7188292C" w14:textId="102BB831" w:rsidR="0068534F" w:rsidRPr="0068534F" w:rsidRDefault="0068534F" w:rsidP="0068534F">
      <w:pPr>
        <w:pStyle w:val="ListParagraph"/>
        <w:widowControl w:val="0"/>
        <w:numPr>
          <w:ilvl w:val="0"/>
          <w:numId w:val="33"/>
        </w:numPr>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Aulia, B. P., Pamungkas, K. A., Mauboy, L. M., &amp; Wijayanti, T. K. (2024). FORECASTING MONEY SUPPLY USING GARCH METHOD FOR INDONESIA REDENOMINATION POLICY. </w:t>
      </w:r>
      <w:r w:rsidRPr="0068534F">
        <w:rPr>
          <w:rFonts w:ascii="Calibri Light" w:hAnsi="Calibri Light" w:cs="Calibri Light"/>
          <w:i/>
          <w:iCs/>
          <w:sz w:val="24"/>
        </w:rPr>
        <w:t>Jurnal BPPK: Badan Pendidikan Dan Pelatihan Keuangan</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(2), 37–50</w:t>
      </w:r>
      <w:r w:rsidR="0006239C">
        <w:rPr>
          <w:rFonts w:ascii="Calibri Light" w:hAnsi="Calibri Light" w:cs="Calibri Light"/>
          <w:sz w:val="24"/>
          <w:lang w:val="en-US"/>
        </w:rPr>
        <w:t xml:space="preserve">. </w:t>
      </w:r>
      <w:r w:rsidR="0006239C" w:rsidRPr="0006239C">
        <w:rPr>
          <w:rFonts w:ascii="Calibri Light" w:hAnsi="Calibri Light" w:cs="Calibri Light"/>
          <w:sz w:val="24"/>
          <w:lang w:val="en-US"/>
        </w:rPr>
        <w:t>https://jurnalbppk.kemenkeu.go.id/jurnalbppk/article/view/831</w:t>
      </w:r>
      <w:r w:rsidRPr="0068534F">
        <w:rPr>
          <w:rFonts w:ascii="Calibri Light" w:hAnsi="Calibri Light" w:cs="Calibri Light"/>
          <w:sz w:val="24"/>
        </w:rPr>
        <w:t>.</w:t>
      </w:r>
    </w:p>
    <w:p w14:paraId="0FA065E3" w14:textId="6EB47CBF" w:rsidR="0068534F" w:rsidRPr="0068534F" w:rsidRDefault="0068534F" w:rsidP="0006239C">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Azid, T., &amp; Sunar, L. (2019). Social Justice in Islam (pp. 1-11). </w:t>
      </w:r>
      <w:r w:rsidR="0006239C">
        <w:rPr>
          <w:rFonts w:ascii="Calibri Light" w:hAnsi="Calibri Light" w:cs="Calibri Light"/>
          <w:sz w:val="24"/>
          <w:lang w:val="en-US"/>
        </w:rPr>
        <w:t xml:space="preserve">In </w:t>
      </w:r>
      <w:r w:rsidRPr="0006239C">
        <w:rPr>
          <w:rFonts w:ascii="Calibri Light" w:hAnsi="Calibri Light" w:cs="Calibri Light"/>
          <w:sz w:val="24"/>
        </w:rPr>
        <w:t>T. Azid &amp; L. Sunar (Eds.)</w:t>
      </w:r>
      <w:r w:rsidR="0006239C">
        <w:rPr>
          <w:rFonts w:ascii="Calibri Light" w:hAnsi="Calibri Light" w:cs="Calibri Light"/>
          <w:sz w:val="24"/>
          <w:lang w:val="en-US"/>
        </w:rPr>
        <w:t xml:space="preserve">, </w:t>
      </w:r>
      <w:r w:rsidR="0006239C" w:rsidRPr="0006239C">
        <w:rPr>
          <w:rFonts w:ascii="Calibri Light" w:hAnsi="Calibri Light" w:cs="Calibri Light"/>
          <w:sz w:val="24"/>
          <w:lang w:val="en-US"/>
        </w:rPr>
        <w:t xml:space="preserve">Social Justice and Islamic Economics. Routledge. </w:t>
      </w:r>
      <w:r w:rsidRPr="0006239C">
        <w:rPr>
          <w:rFonts w:ascii="Calibri Light" w:hAnsi="Calibri Light" w:cs="Calibri Light"/>
          <w:sz w:val="24"/>
        </w:rPr>
        <w:t>.</w:t>
      </w:r>
    </w:p>
    <w:p w14:paraId="17717455"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Aziz, M. A. (2023). The principles studied in islamic political thought: revisiting modern </w:t>
      </w:r>
      <w:r w:rsidRPr="0068534F">
        <w:rPr>
          <w:rFonts w:ascii="Calibri Light" w:hAnsi="Calibri Light" w:cs="Calibri Light"/>
          <w:sz w:val="24"/>
        </w:rPr>
        <w:lastRenderedPageBreak/>
        <w:t xml:space="preserve">political discourse. </w:t>
      </w:r>
      <w:r w:rsidRPr="0068534F">
        <w:rPr>
          <w:rFonts w:ascii="Calibri Light" w:hAnsi="Calibri Light" w:cs="Calibri Light"/>
          <w:i/>
          <w:iCs/>
          <w:sz w:val="24"/>
        </w:rPr>
        <w:t>IJISH (International Journal of Islamic Studies and Humanities)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 65–86. https://doi.org/10.26555/ijish.v6i1.6974</w:t>
      </w:r>
    </w:p>
    <w:p w14:paraId="7688A390" w14:textId="2E6225DD" w:rsidR="0068534F" w:rsidRPr="0068534F" w:rsidRDefault="0068534F" w:rsidP="0068534F">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Barry, B. (2005). </w:t>
      </w:r>
      <w:r w:rsidRPr="0068534F">
        <w:rPr>
          <w:rFonts w:ascii="Calibri Light" w:hAnsi="Calibri Light" w:cs="Calibri Light"/>
          <w:i/>
          <w:iCs/>
          <w:sz w:val="24"/>
        </w:rPr>
        <w:t>Why Social Justice Matters</w:t>
      </w:r>
      <w:r w:rsidRPr="0068534F">
        <w:rPr>
          <w:rFonts w:ascii="Calibri Light" w:hAnsi="Calibri Light" w:cs="Calibri Light"/>
          <w:sz w:val="24"/>
        </w:rPr>
        <w:t>. Polity.</w:t>
      </w:r>
    </w:p>
    <w:p w14:paraId="0DAB38EA" w14:textId="77777777" w:rsidR="0006239C" w:rsidRPr="0006239C" w:rsidRDefault="0068534F" w:rsidP="0006239C">
      <w:pPr>
        <w:pStyle w:val="ListParagraph"/>
        <w:numPr>
          <w:ilvl w:val="0"/>
          <w:numId w:val="33"/>
        </w:numPr>
        <w:spacing w:line="360" w:lineRule="auto"/>
        <w:ind w:left="850" w:hanging="493"/>
        <w:rPr>
          <w:rFonts w:ascii="Calibri Light" w:hAnsi="Calibri Light" w:cs="Calibri Light"/>
          <w:sz w:val="24"/>
          <w:lang w:val="en-US"/>
        </w:rPr>
      </w:pPr>
      <w:r w:rsidRPr="0006239C">
        <w:rPr>
          <w:rFonts w:ascii="Calibri Light" w:hAnsi="Calibri Light" w:cs="Calibri Light"/>
          <w:sz w:val="24"/>
        </w:rPr>
        <w:t xml:space="preserve">Beddu, M. J. (2020). Istihsan Dalam Perspektif Hukum Islam. </w:t>
      </w:r>
      <w:r w:rsidRPr="0006239C">
        <w:rPr>
          <w:rFonts w:ascii="Calibri Light" w:hAnsi="Calibri Light" w:cs="Calibri Light"/>
          <w:i/>
          <w:iCs/>
          <w:sz w:val="24"/>
        </w:rPr>
        <w:t>Jurnal STAIN Hukum Ekonomi Syari’ah</w:t>
      </w:r>
      <w:r w:rsidRPr="0006239C">
        <w:rPr>
          <w:rFonts w:ascii="Calibri Light" w:hAnsi="Calibri Light" w:cs="Calibri Light"/>
          <w:sz w:val="24"/>
        </w:rPr>
        <w:t xml:space="preserve">, </w:t>
      </w:r>
      <w:r w:rsidRPr="0006239C">
        <w:rPr>
          <w:rFonts w:ascii="Calibri Light" w:hAnsi="Calibri Light" w:cs="Calibri Light"/>
          <w:i/>
          <w:iCs/>
          <w:sz w:val="24"/>
        </w:rPr>
        <w:t>XV</w:t>
      </w:r>
      <w:r w:rsidRPr="0006239C">
        <w:rPr>
          <w:rFonts w:ascii="Calibri Light" w:hAnsi="Calibri Light" w:cs="Calibri Light"/>
          <w:sz w:val="24"/>
        </w:rPr>
        <w:t>(1), 1–14</w:t>
      </w:r>
      <w:r w:rsidR="0006239C" w:rsidRPr="0006239C">
        <w:rPr>
          <w:rFonts w:ascii="Calibri Light" w:hAnsi="Calibri Light" w:cs="Calibri Light"/>
          <w:sz w:val="24"/>
          <w:lang w:val="en-US"/>
        </w:rPr>
        <w:t xml:space="preserve">. </w:t>
      </w:r>
      <w:r w:rsidR="0006239C" w:rsidRPr="0006239C">
        <w:rPr>
          <w:rFonts w:ascii="Calibri Light" w:hAnsi="Calibri Light" w:cs="Calibri Light"/>
          <w:sz w:val="24"/>
          <w:lang w:val="en-US"/>
        </w:rPr>
        <w:t>https://jurnalstaiibnusina.ac.id/index.php/AD/article/view/28</w:t>
      </w:r>
    </w:p>
    <w:p w14:paraId="25532F34"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Bemi, W. W., &amp; Nooraeni, R. (2019). DAMPAK REDENOMINASI TERHADAP INFLASI INDONESIA: PENANGANAN MISSING MENGGUNAKAN METODE CASE DELETION, PMM, RF DAN BAYESIAN. </w:t>
      </w:r>
      <w:r w:rsidRPr="0068534F">
        <w:rPr>
          <w:rFonts w:ascii="Calibri Light" w:hAnsi="Calibri Light" w:cs="Calibri Light"/>
          <w:i/>
          <w:iCs/>
          <w:sz w:val="24"/>
        </w:rPr>
        <w:t>Indonesian Journal of Statistics and Its Applications</w:t>
      </w:r>
      <w:r w:rsidRPr="0068534F">
        <w:rPr>
          <w:rFonts w:ascii="Calibri Light" w:hAnsi="Calibri Light" w:cs="Calibri Light"/>
          <w:sz w:val="24"/>
        </w:rPr>
        <w:t xml:space="preserve">, </w:t>
      </w:r>
      <w:r w:rsidRPr="0068534F">
        <w:rPr>
          <w:rFonts w:ascii="Calibri Light" w:hAnsi="Calibri Light" w:cs="Calibri Light"/>
          <w:i/>
          <w:iCs/>
          <w:sz w:val="24"/>
        </w:rPr>
        <w:t>3</w:t>
      </w:r>
      <w:r w:rsidRPr="0068534F">
        <w:rPr>
          <w:rFonts w:ascii="Calibri Light" w:hAnsi="Calibri Light" w:cs="Calibri Light"/>
          <w:sz w:val="24"/>
        </w:rPr>
        <w:t>(3), 272–286. https://doi.org/10.29244/ijsa.v3i3.360</w:t>
      </w:r>
    </w:p>
    <w:p w14:paraId="0346B27D"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BI. (n.d.). Redenominasi bukan pemotongan uang. </w:t>
      </w:r>
      <w:r w:rsidRPr="0068534F">
        <w:rPr>
          <w:rFonts w:ascii="Calibri Light" w:hAnsi="Calibri Light" w:cs="Calibri Light"/>
          <w:i/>
          <w:iCs/>
          <w:sz w:val="24"/>
        </w:rPr>
        <w:t>BI</w:t>
      </w:r>
      <w:r w:rsidRPr="0068534F">
        <w:rPr>
          <w:rFonts w:ascii="Calibri Light" w:hAnsi="Calibri Light" w:cs="Calibri Light"/>
          <w:sz w:val="24"/>
        </w:rPr>
        <w:t>. https://www.bi.go.id/id/publikasi/ruang-media/news-release/Pages/sp_123810.aspx</w:t>
      </w:r>
    </w:p>
    <w:p w14:paraId="4A3A1BA8"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Bineksari, R. (2023, July 10). Dampak Redenominasi Rp 1.000 Jadi Rp 1 ke Saham, Ini Kata BEI. </w:t>
      </w:r>
      <w:r w:rsidRPr="0068534F">
        <w:rPr>
          <w:rFonts w:ascii="Calibri Light" w:hAnsi="Calibri Light" w:cs="Calibri Light"/>
          <w:i/>
          <w:iCs/>
          <w:sz w:val="24"/>
        </w:rPr>
        <w:t>CNBC Indonesia</w:t>
      </w:r>
      <w:r w:rsidRPr="0068534F">
        <w:rPr>
          <w:rFonts w:ascii="Calibri Light" w:hAnsi="Calibri Light" w:cs="Calibri Light"/>
          <w:sz w:val="24"/>
        </w:rPr>
        <w:t>. https://cnbcindonesia.com/market/20230710120235-17-452791/dampak-redenominasi-rp1000-jadi-rp1-ke-saham-ini-kata-bei</w:t>
      </w:r>
    </w:p>
    <w:p w14:paraId="3243E95B" w14:textId="77777777" w:rsidR="0068534F" w:rsidRPr="0068534F" w:rsidRDefault="0068534F" w:rsidP="0068534F">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Boediono. (2016). </w:t>
      </w:r>
      <w:r w:rsidRPr="0068534F">
        <w:rPr>
          <w:rFonts w:ascii="Calibri Light" w:hAnsi="Calibri Light" w:cs="Calibri Light"/>
          <w:i/>
          <w:iCs/>
          <w:sz w:val="24"/>
        </w:rPr>
        <w:t>Ekonomi Indonesia: Dalam Lintasan Sejarah</w:t>
      </w:r>
      <w:r w:rsidRPr="0068534F">
        <w:rPr>
          <w:rFonts w:ascii="Calibri Light" w:hAnsi="Calibri Light" w:cs="Calibri Light"/>
          <w:sz w:val="24"/>
        </w:rPr>
        <w:t>. Mizan Pustaka.</w:t>
      </w:r>
    </w:p>
    <w:p w14:paraId="725C130F"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Burmansyah, E., &amp; Nasution, A. P. (2017). MENGAKHIRI REZIM DEFISIT PADA KEBIJAKAN FISKAL. </w:t>
      </w:r>
      <w:r w:rsidRPr="0068534F">
        <w:rPr>
          <w:rFonts w:ascii="Calibri Light" w:hAnsi="Calibri Light" w:cs="Calibri Light"/>
          <w:i/>
          <w:iCs/>
          <w:sz w:val="24"/>
        </w:rPr>
        <w:t>ECOBISMA (JURNAL EKONOMI, BISNIS DAN MANAJEMEN)</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 1–12. https://doi.org/10.36987/ecobi.v4i2.51</w:t>
      </w:r>
    </w:p>
    <w:p w14:paraId="51541FD5" w14:textId="77777777" w:rsidR="0068534F" w:rsidRPr="0068534F" w:rsidRDefault="0068534F" w:rsidP="0068534F">
      <w:pPr>
        <w:pStyle w:val="ListParagraph"/>
        <w:widowControl w:val="0"/>
        <w:numPr>
          <w:ilvl w:val="0"/>
          <w:numId w:val="33"/>
        </w:numPr>
        <w:tabs>
          <w:tab w:val="left" w:pos="851"/>
        </w:tabs>
        <w:adjustRightInd w:val="0"/>
        <w:spacing w:line="360" w:lineRule="auto"/>
        <w:ind w:left="851" w:hanging="491"/>
        <w:jc w:val="both"/>
        <w:rPr>
          <w:rFonts w:ascii="Calibri Light" w:hAnsi="Calibri Light" w:cs="Calibri Light"/>
          <w:sz w:val="24"/>
        </w:rPr>
      </w:pPr>
      <w:r w:rsidRPr="0068534F">
        <w:rPr>
          <w:rFonts w:ascii="Calibri Light" w:hAnsi="Calibri Light" w:cs="Calibri Light"/>
          <w:sz w:val="24"/>
        </w:rPr>
        <w:t xml:space="preserve">Carissa, N., &amp; Khoirudin, R. (2020). The factors affecting the rupiah exchange rate in Indonesia. </w:t>
      </w:r>
      <w:r w:rsidRPr="0068534F">
        <w:rPr>
          <w:rFonts w:ascii="Calibri Light" w:hAnsi="Calibri Light" w:cs="Calibri Light"/>
          <w:i/>
          <w:iCs/>
          <w:sz w:val="24"/>
        </w:rPr>
        <w:t>Jurnal Ekonomi Pembangunan</w:t>
      </w:r>
      <w:r w:rsidRPr="0068534F">
        <w:rPr>
          <w:rFonts w:ascii="Calibri Light" w:hAnsi="Calibri Light" w:cs="Calibri Light"/>
          <w:sz w:val="24"/>
        </w:rPr>
        <w:t xml:space="preserve">, </w:t>
      </w:r>
      <w:r w:rsidRPr="0068534F">
        <w:rPr>
          <w:rFonts w:ascii="Calibri Light" w:hAnsi="Calibri Light" w:cs="Calibri Light"/>
          <w:i/>
          <w:iCs/>
          <w:sz w:val="24"/>
        </w:rPr>
        <w:t>18</w:t>
      </w:r>
      <w:r w:rsidRPr="0068534F">
        <w:rPr>
          <w:rFonts w:ascii="Calibri Light" w:hAnsi="Calibri Light" w:cs="Calibri Light"/>
          <w:sz w:val="24"/>
        </w:rPr>
        <w:t>(1), 37–46. https://doi.org/10.29259/jep.v18i1.9826</w:t>
      </w:r>
    </w:p>
    <w:p w14:paraId="2356121C" w14:textId="77777777" w:rsidR="0068534F" w:rsidRPr="0068534F" w:rsidRDefault="0068534F" w:rsidP="005B6DEC">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Cialdini, R. B. (2018). </w:t>
      </w:r>
      <w:r w:rsidRPr="0006239C">
        <w:rPr>
          <w:rFonts w:ascii="Calibri Light" w:hAnsi="Calibri Light" w:cs="Calibri Light"/>
          <w:i/>
          <w:iCs/>
          <w:sz w:val="24"/>
        </w:rPr>
        <w:t>Influence : The Psychology of Persuasion, Revised Edition</w:t>
      </w:r>
      <w:r w:rsidRPr="0068534F">
        <w:rPr>
          <w:rFonts w:ascii="Calibri Light" w:hAnsi="Calibri Light" w:cs="Calibri Light"/>
          <w:sz w:val="24"/>
        </w:rPr>
        <w:t xml:space="preserve">. </w:t>
      </w:r>
      <w:r w:rsidRPr="0006239C">
        <w:rPr>
          <w:rFonts w:ascii="Calibri Light" w:hAnsi="Calibri Light" w:cs="Calibri Light"/>
          <w:sz w:val="24"/>
        </w:rPr>
        <w:t>HarperCollins E-Books.</w:t>
      </w:r>
    </w:p>
    <w:p w14:paraId="06A09B63" w14:textId="0663B43B" w:rsidR="00442E0E" w:rsidRPr="00442E0E" w:rsidRDefault="00442E0E"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442E0E">
        <w:rPr>
          <w:rFonts w:ascii="Calibri Light" w:hAnsi="Calibri Light" w:cs="Calibri Light"/>
          <w:sz w:val="24"/>
          <w:lang w:val="en-US"/>
        </w:rPr>
        <w:t>CNBCI</w:t>
      </w:r>
      <w:r w:rsidRPr="00442E0E">
        <w:rPr>
          <w:rFonts w:ascii="Calibri Light" w:hAnsi="Calibri Light" w:cs="Calibri Light"/>
          <w:sz w:val="24"/>
        </w:rPr>
        <w:t>ndonesia. (2023, June 23). BI Siap Redenominasi Rupiah, Tinggal Tunggu gong saja.</w:t>
      </w:r>
      <w:r w:rsidR="003B4A96">
        <w:rPr>
          <w:rFonts w:ascii="Calibri Light" w:hAnsi="Calibri Light" w:cs="Calibri Light"/>
          <w:sz w:val="24"/>
          <w:lang w:val="en-US"/>
        </w:rPr>
        <w:t xml:space="preserve"> [Video].</w:t>
      </w:r>
      <w:r w:rsidRPr="00442E0E">
        <w:rPr>
          <w:rFonts w:ascii="Calibri Light" w:hAnsi="Calibri Light" w:cs="Calibri Light"/>
          <w:sz w:val="24"/>
        </w:rPr>
        <w:t xml:space="preserve"> </w:t>
      </w:r>
      <w:r w:rsidRPr="00442E0E">
        <w:rPr>
          <w:rFonts w:ascii="Calibri Light" w:hAnsi="Calibri Light" w:cs="Calibri Light"/>
          <w:i/>
          <w:iCs/>
          <w:sz w:val="24"/>
        </w:rPr>
        <w:t>Youtube</w:t>
      </w:r>
      <w:r w:rsidRPr="00442E0E">
        <w:rPr>
          <w:rFonts w:ascii="Calibri Light" w:hAnsi="Calibri Light" w:cs="Calibri Light"/>
          <w:sz w:val="24"/>
        </w:rPr>
        <w:t>. https://www.youtube.com/watch?v=yByY5eoZ_To</w:t>
      </w:r>
    </w:p>
    <w:p w14:paraId="38018CF2" w14:textId="27B284E2" w:rsidR="0068534F" w:rsidRPr="0068534F" w:rsidRDefault="0068534F" w:rsidP="00442E0E">
      <w:pPr>
        <w:pStyle w:val="ListParagraph"/>
        <w:widowControl w:val="0"/>
        <w:numPr>
          <w:ilvl w:val="0"/>
          <w:numId w:val="33"/>
        </w:numPr>
        <w:tabs>
          <w:tab w:val="left" w:pos="851"/>
        </w:tabs>
        <w:adjustRightInd w:val="0"/>
        <w:spacing w:line="360" w:lineRule="auto"/>
        <w:jc w:val="both"/>
        <w:rPr>
          <w:rFonts w:ascii="Calibri Light" w:hAnsi="Calibri Light" w:cs="Calibri Light"/>
          <w:sz w:val="24"/>
        </w:rPr>
      </w:pPr>
      <w:r w:rsidRPr="0068534F">
        <w:rPr>
          <w:rFonts w:ascii="Calibri Light" w:hAnsi="Calibri Light" w:cs="Calibri Light"/>
          <w:sz w:val="24"/>
        </w:rPr>
        <w:t xml:space="preserve">Cooter, R., &amp; Ulen, T. (2016). </w:t>
      </w:r>
      <w:r w:rsidRPr="0068534F">
        <w:rPr>
          <w:rFonts w:ascii="Calibri Light" w:hAnsi="Calibri Light" w:cs="Calibri Light"/>
          <w:i/>
          <w:iCs/>
          <w:sz w:val="24"/>
        </w:rPr>
        <w:t>Law and Economics</w:t>
      </w:r>
      <w:r w:rsidRPr="0068534F">
        <w:rPr>
          <w:rFonts w:ascii="Calibri Light" w:hAnsi="Calibri Light" w:cs="Calibri Light"/>
          <w:sz w:val="24"/>
        </w:rPr>
        <w:t xml:space="preserve"> (6th ed.). Berkeley Law Books.</w:t>
      </w:r>
    </w:p>
    <w:p w14:paraId="2E88F269" w14:textId="163952A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Creswell, W. J., &amp; Creswell, J. D. (2018). </w:t>
      </w:r>
      <w:r w:rsidRPr="00CF6D3F">
        <w:rPr>
          <w:rFonts w:ascii="Calibri Light" w:hAnsi="Calibri Light" w:cs="Calibri Light"/>
          <w:i/>
          <w:iCs/>
          <w:sz w:val="24"/>
        </w:rPr>
        <w:t>Research Design: Qualitative, Quantitative adn Mixed Methods Approaches</w:t>
      </w:r>
      <w:r w:rsidRPr="0068534F">
        <w:rPr>
          <w:rFonts w:ascii="Calibri Light" w:hAnsi="Calibri Light" w:cs="Calibri Light"/>
          <w:sz w:val="24"/>
        </w:rPr>
        <w:t xml:space="preserve">. </w:t>
      </w:r>
      <w:r w:rsidR="00CF6D3F">
        <w:rPr>
          <w:rFonts w:ascii="Calibri Light" w:hAnsi="Calibri Light" w:cs="Calibri Light"/>
          <w:sz w:val="24"/>
          <w:lang w:val="en-US"/>
        </w:rPr>
        <w:t>SAGE</w:t>
      </w:r>
      <w:r w:rsidRPr="0068534F">
        <w:rPr>
          <w:rFonts w:ascii="Calibri Light" w:hAnsi="Calibri Light" w:cs="Calibri Light"/>
          <w:sz w:val="24"/>
        </w:rPr>
        <w:t>.</w:t>
      </w:r>
    </w:p>
    <w:p w14:paraId="56C87F75" w14:textId="1BEE573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Dahliawati, A. (2020). Analisa Teoritik Urgensi Redenominasi atas Nilai Rupiah. </w:t>
      </w:r>
      <w:r w:rsidRPr="0068534F">
        <w:rPr>
          <w:rFonts w:ascii="Calibri Light" w:hAnsi="Calibri Light" w:cs="Calibri Light"/>
          <w:i/>
          <w:iCs/>
          <w:sz w:val="24"/>
        </w:rPr>
        <w:t xml:space="preserve">Jurnal </w:t>
      </w:r>
      <w:r w:rsidRPr="0068534F">
        <w:rPr>
          <w:rFonts w:ascii="Calibri Light" w:hAnsi="Calibri Light" w:cs="Calibri Light"/>
          <w:i/>
          <w:iCs/>
          <w:sz w:val="24"/>
        </w:rPr>
        <w:lastRenderedPageBreak/>
        <w:t>UG</w:t>
      </w:r>
      <w:r w:rsidRPr="0068534F">
        <w:rPr>
          <w:rFonts w:ascii="Calibri Light" w:hAnsi="Calibri Light" w:cs="Calibri Light"/>
          <w:sz w:val="24"/>
        </w:rPr>
        <w:t xml:space="preserve">, </w:t>
      </w:r>
      <w:r w:rsidRPr="0068534F">
        <w:rPr>
          <w:rFonts w:ascii="Calibri Light" w:hAnsi="Calibri Light" w:cs="Calibri Light"/>
          <w:i/>
          <w:iCs/>
          <w:sz w:val="24"/>
        </w:rPr>
        <w:t>14</w:t>
      </w:r>
      <w:r w:rsidRPr="0068534F">
        <w:rPr>
          <w:rFonts w:ascii="Calibri Light" w:hAnsi="Calibri Light" w:cs="Calibri Light"/>
          <w:sz w:val="24"/>
        </w:rPr>
        <w:t>(4)</w:t>
      </w:r>
      <w:r w:rsidR="00CF6D3F">
        <w:rPr>
          <w:rFonts w:ascii="Calibri Light" w:hAnsi="Calibri Light" w:cs="Calibri Light"/>
          <w:sz w:val="24"/>
          <w:lang w:val="en-US"/>
        </w:rPr>
        <w:t xml:space="preserve">, </w:t>
      </w:r>
      <w:r w:rsidR="00CF6D3F" w:rsidRPr="00CF6D3F">
        <w:rPr>
          <w:rFonts w:ascii="Calibri Light" w:hAnsi="Calibri Light" w:cs="Calibri Light"/>
          <w:sz w:val="24"/>
          <w:lang w:val="en-US"/>
        </w:rPr>
        <w:t>28-35. https://ejournal.gunadarma.ac.id/index.php/ugjournal/article/view/4932</w:t>
      </w:r>
      <w:r w:rsidRPr="0068534F">
        <w:rPr>
          <w:rFonts w:ascii="Calibri Light" w:hAnsi="Calibri Light" w:cs="Calibri Light"/>
          <w:sz w:val="24"/>
        </w:rPr>
        <w:t>.</w:t>
      </w:r>
    </w:p>
    <w:p w14:paraId="64CE991F" w14:textId="0CF49C4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De Carvalho Belo, J., Mako, W., Mbobu, M. E. M., Danus, A., &amp; Wada Betu, K. (2022). Sosialisasi Tentang Cinta Bangga Paham (CBP) Rupiah Pada Pelajar Kelas X di SMA Katolik Fides Quaerens Intellectum Kefamenanu. </w:t>
      </w:r>
      <w:r w:rsidRPr="0068534F">
        <w:rPr>
          <w:rFonts w:ascii="Calibri Light" w:hAnsi="Calibri Light" w:cs="Calibri Light"/>
          <w:i/>
          <w:iCs/>
          <w:sz w:val="24"/>
        </w:rPr>
        <w:t>BERNAS: Jurnal Pengabdian Kepada Masyarakat</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(2)</w:t>
      </w:r>
      <w:r w:rsidR="00CF6D3F">
        <w:rPr>
          <w:rFonts w:ascii="Calibri Light" w:hAnsi="Calibri Light" w:cs="Calibri Light"/>
          <w:sz w:val="24"/>
          <w:lang w:val="en-US"/>
        </w:rPr>
        <w:t xml:space="preserve">, </w:t>
      </w:r>
      <w:r w:rsidR="00CF6D3F" w:rsidRPr="00CF6D3F">
        <w:rPr>
          <w:rFonts w:ascii="Calibri Light" w:hAnsi="Calibri Light" w:cs="Calibri Light"/>
          <w:sz w:val="24"/>
        </w:rPr>
        <w:t>1-12. https://doi.org/10.36987/ecobi.v4i2.51</w:t>
      </w:r>
      <w:r w:rsidRPr="0068534F">
        <w:rPr>
          <w:rFonts w:ascii="Calibri Light" w:hAnsi="Calibri Light" w:cs="Calibri Light"/>
          <w:sz w:val="24"/>
        </w:rPr>
        <w:t>.</w:t>
      </w:r>
    </w:p>
    <w:p w14:paraId="64D5307F"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Dodd, N., Habermas, J., &amp; White, S. K. (1997). Between Facts and Norms: Contributions to a Discourse Theory of Law and Democracy. </w:t>
      </w:r>
      <w:r w:rsidRPr="0068534F">
        <w:rPr>
          <w:rFonts w:ascii="Calibri Light" w:hAnsi="Calibri Light" w:cs="Calibri Light"/>
          <w:i/>
          <w:iCs/>
          <w:sz w:val="24"/>
        </w:rPr>
        <w:t>The British Journal of Sociology</w:t>
      </w:r>
      <w:r w:rsidRPr="0068534F">
        <w:rPr>
          <w:rFonts w:ascii="Calibri Light" w:hAnsi="Calibri Light" w:cs="Calibri Light"/>
          <w:sz w:val="24"/>
        </w:rPr>
        <w:t xml:space="preserve">, </w:t>
      </w:r>
      <w:r w:rsidRPr="0068534F">
        <w:rPr>
          <w:rFonts w:ascii="Calibri Light" w:hAnsi="Calibri Light" w:cs="Calibri Light"/>
          <w:i/>
          <w:iCs/>
          <w:sz w:val="24"/>
        </w:rPr>
        <w:t>48</w:t>
      </w:r>
      <w:r w:rsidRPr="0068534F">
        <w:rPr>
          <w:rFonts w:ascii="Calibri Light" w:hAnsi="Calibri Light" w:cs="Calibri Light"/>
          <w:sz w:val="24"/>
        </w:rPr>
        <w:t>(2), 329. https://doi.org/10.2307/591763</w:t>
      </w:r>
    </w:p>
    <w:p w14:paraId="61B26A1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Editorial, T. (2023, May 6). BI Bakal Ubah Duit Rp 1.000 Jadi Rp 1? Ini Kabar Terbarunya. </w:t>
      </w:r>
      <w:r w:rsidRPr="0068534F">
        <w:rPr>
          <w:rFonts w:ascii="Calibri Light" w:hAnsi="Calibri Light" w:cs="Calibri Light"/>
          <w:i/>
          <w:iCs/>
          <w:sz w:val="24"/>
        </w:rPr>
        <w:t>CNBC Indonesia</w:t>
      </w:r>
      <w:r w:rsidRPr="0068534F">
        <w:rPr>
          <w:rFonts w:ascii="Calibri Light" w:hAnsi="Calibri Light" w:cs="Calibri Light"/>
          <w:sz w:val="24"/>
        </w:rPr>
        <w:t>. https://www.cnbcindonesia.com/news/20230506132341-4-434988/bi-bakal-ubah-duit-rp-1000-jadi-rp-1-ini-kabar-terbarunya</w:t>
      </w:r>
    </w:p>
    <w:p w14:paraId="149D4BD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Ekajaya, C. (2024). </w:t>
      </w:r>
      <w:r w:rsidRPr="0068534F">
        <w:rPr>
          <w:rFonts w:ascii="Calibri Light" w:hAnsi="Calibri Light" w:cs="Calibri Light"/>
          <w:i/>
          <w:iCs/>
          <w:sz w:val="24"/>
        </w:rPr>
        <w:t>Persepsi Pelaku UMKM Kota Pontianak Terhadap Wacana Redenominasi Rupiah di Indonesia</w:t>
      </w:r>
      <w:r w:rsidRPr="0068534F">
        <w:rPr>
          <w:rFonts w:ascii="Calibri Light" w:hAnsi="Calibri Light" w:cs="Calibri Light"/>
          <w:sz w:val="24"/>
        </w:rPr>
        <w:t xml:space="preserve"> [Doctoral Dissertation, IAIN Pontianak]. https://digilib.iainptk.ac.id/xmlui/handle/123456789/5458</w:t>
      </w:r>
    </w:p>
    <w:p w14:paraId="7173ACF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Ende, W. (2018). Justice as a Political Principle in Islam. In </w:t>
      </w:r>
      <w:r w:rsidRPr="0068534F">
        <w:rPr>
          <w:rFonts w:ascii="Calibri Light" w:hAnsi="Calibri Light" w:cs="Calibri Light"/>
          <w:i/>
          <w:iCs/>
          <w:sz w:val="24"/>
        </w:rPr>
        <w:t>Sharia and Justice</w:t>
      </w:r>
      <w:r w:rsidRPr="0068534F">
        <w:rPr>
          <w:rFonts w:ascii="Calibri Light" w:hAnsi="Calibri Light" w:cs="Calibri Light"/>
          <w:sz w:val="24"/>
        </w:rPr>
        <w:t xml:space="preserve"> (pp. 59–72). De Gruyter. https://doi.org/10.1515/9783110574593-004</w:t>
      </w:r>
    </w:p>
    <w:p w14:paraId="7DBF06C5"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Febrida, M., &amp; Karolina Br. Sebayang, L. (2018). Analisis Makro Ekonomi Sebelum dan Sesudah Penerapan Redenominasi Mata Uang. </w:t>
      </w:r>
      <w:r w:rsidRPr="0068534F">
        <w:rPr>
          <w:rFonts w:ascii="Calibri Light" w:hAnsi="Calibri Light" w:cs="Calibri Light"/>
          <w:i/>
          <w:iCs/>
          <w:sz w:val="24"/>
        </w:rPr>
        <w:t>Economics Development Analysis Journal</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(2), 153–162. https://doi.org/10.15294/edaj.v5i2.22028</w:t>
      </w:r>
    </w:p>
    <w:p w14:paraId="2473B6C5" w14:textId="0EDAD6A1"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Friedman, M. (2002). </w:t>
      </w:r>
      <w:r w:rsidRPr="003B4A96">
        <w:rPr>
          <w:rFonts w:ascii="Calibri Light" w:hAnsi="Calibri Light" w:cs="Calibri Light"/>
          <w:i/>
          <w:iCs/>
          <w:sz w:val="24"/>
        </w:rPr>
        <w:t>Capitalism and Freedom</w:t>
      </w:r>
      <w:r w:rsidRPr="0068534F">
        <w:rPr>
          <w:rFonts w:ascii="Calibri Light" w:hAnsi="Calibri Light" w:cs="Calibri Light"/>
          <w:sz w:val="24"/>
        </w:rPr>
        <w:t>. University of Chicago Press. https://doi.org/10.7208/chicago/9780226264189.001.0001</w:t>
      </w:r>
    </w:p>
    <w:p w14:paraId="1FD0F9F3" w14:textId="77777777" w:rsidR="00442E0E" w:rsidRPr="0068534F" w:rsidRDefault="00442E0E"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G</w:t>
      </w:r>
      <w:r>
        <w:rPr>
          <w:rFonts w:ascii="Calibri Light" w:hAnsi="Calibri Light" w:cs="Calibri Light"/>
          <w:sz w:val="24"/>
          <w:lang w:val="en-US"/>
        </w:rPr>
        <w:t>overnment</w:t>
      </w:r>
      <w:r w:rsidRPr="0068534F">
        <w:rPr>
          <w:rFonts w:ascii="Calibri Light" w:hAnsi="Calibri Light" w:cs="Calibri Light"/>
          <w:sz w:val="24"/>
        </w:rPr>
        <w:t xml:space="preserve"> of</w:t>
      </w:r>
      <w:r>
        <w:rPr>
          <w:rFonts w:ascii="Calibri Light" w:hAnsi="Calibri Light" w:cs="Calibri Light"/>
          <w:sz w:val="24"/>
          <w:lang w:val="en-US"/>
        </w:rPr>
        <w:t xml:space="preserve"> </w:t>
      </w:r>
      <w:r w:rsidRPr="0068534F">
        <w:rPr>
          <w:rFonts w:ascii="Calibri Light" w:hAnsi="Calibri Light" w:cs="Calibri Light"/>
          <w:sz w:val="24"/>
        </w:rPr>
        <w:t xml:space="preserve">Indonesia. (2011). </w:t>
      </w:r>
      <w:r w:rsidRPr="0068534F">
        <w:rPr>
          <w:rFonts w:ascii="Calibri Light" w:hAnsi="Calibri Light" w:cs="Calibri Light"/>
          <w:i/>
          <w:iCs/>
          <w:sz w:val="24"/>
        </w:rPr>
        <w:t>Law No. 7 of 2011 on Currency</w:t>
      </w:r>
      <w:r w:rsidRPr="0068534F">
        <w:rPr>
          <w:rFonts w:ascii="Calibri Light" w:hAnsi="Calibri Light" w:cs="Calibri Light"/>
          <w:sz w:val="24"/>
        </w:rPr>
        <w:t>. https://peraturan.bpk.go.id/Details/39182/uu-no-7-tahun-2011</w:t>
      </w:r>
    </w:p>
    <w:p w14:paraId="06375925" w14:textId="04763C6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Grey</w:t>
      </w:r>
      <w:r w:rsidR="003D0FE7">
        <w:rPr>
          <w:rFonts w:ascii="Calibri Light" w:hAnsi="Calibri Light" w:cs="Calibri Light"/>
          <w:sz w:val="24"/>
          <w:lang w:val="en-US"/>
        </w:rPr>
        <w:t>,</w:t>
      </w:r>
      <w:r w:rsidRPr="0068534F">
        <w:rPr>
          <w:rFonts w:ascii="Calibri Light" w:hAnsi="Calibri Light" w:cs="Calibri Light"/>
          <w:sz w:val="24"/>
        </w:rPr>
        <w:t xml:space="preserve"> D</w:t>
      </w:r>
      <w:r w:rsidR="003D0FE7">
        <w:rPr>
          <w:rFonts w:ascii="Calibri Light" w:hAnsi="Calibri Light" w:cs="Calibri Light"/>
          <w:sz w:val="24"/>
          <w:lang w:val="en-US"/>
        </w:rPr>
        <w:t>.</w:t>
      </w:r>
      <w:r w:rsidRPr="0068534F">
        <w:rPr>
          <w:rFonts w:ascii="Calibri Light" w:hAnsi="Calibri Light" w:cs="Calibri Light"/>
          <w:sz w:val="24"/>
        </w:rPr>
        <w:t xml:space="preserve"> E. (201</w:t>
      </w:r>
      <w:r w:rsidR="005B6DEC">
        <w:rPr>
          <w:rFonts w:ascii="Calibri Light" w:hAnsi="Calibri Light" w:cs="Calibri Light"/>
          <w:sz w:val="24"/>
          <w:lang w:val="en-US"/>
        </w:rPr>
        <w:t>8</w:t>
      </w:r>
      <w:r w:rsidRPr="0068534F">
        <w:rPr>
          <w:rFonts w:ascii="Calibri Light" w:hAnsi="Calibri Light" w:cs="Calibri Light"/>
          <w:sz w:val="24"/>
        </w:rPr>
        <w:t xml:space="preserve">). </w:t>
      </w:r>
      <w:r w:rsidRPr="003D0FE7">
        <w:rPr>
          <w:rFonts w:ascii="Calibri Light" w:hAnsi="Calibri Light" w:cs="Calibri Light"/>
          <w:i/>
          <w:iCs/>
          <w:sz w:val="24"/>
        </w:rPr>
        <w:t>Doing Research in the Real World (3rd edition)</w:t>
      </w:r>
      <w:r w:rsidRPr="0068534F">
        <w:rPr>
          <w:rFonts w:ascii="Calibri Light" w:hAnsi="Calibri Light" w:cs="Calibri Light"/>
          <w:sz w:val="24"/>
        </w:rPr>
        <w:t xml:space="preserve">. </w:t>
      </w:r>
      <w:r w:rsidRPr="003B4A96">
        <w:rPr>
          <w:rFonts w:ascii="Calibri Light" w:hAnsi="Calibri Light" w:cs="Calibri Light"/>
          <w:sz w:val="24"/>
        </w:rPr>
        <w:t>Sage.</w:t>
      </w:r>
    </w:p>
    <w:p w14:paraId="14638F0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Haq, F. (2022). Riba and Business in Islam. </w:t>
      </w:r>
      <w:r w:rsidRPr="0068534F">
        <w:rPr>
          <w:rFonts w:ascii="Calibri Light" w:hAnsi="Calibri Light" w:cs="Calibri Light"/>
          <w:i/>
          <w:iCs/>
          <w:sz w:val="24"/>
        </w:rPr>
        <w:t>Ar-Ribh: Jurnal Ekonomi Islam</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(2), 160–168. https://journal.unismuh.ac.id/index.php/ar-ribh/article/view/9206</w:t>
      </w:r>
    </w:p>
    <w:p w14:paraId="4A73987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Hart, H. L. A., &amp; Green, L. (2012). </w:t>
      </w:r>
      <w:r w:rsidRPr="0068534F">
        <w:rPr>
          <w:rFonts w:ascii="Calibri Light" w:hAnsi="Calibri Light" w:cs="Calibri Light"/>
          <w:i/>
          <w:iCs/>
          <w:sz w:val="24"/>
        </w:rPr>
        <w:t>The Concept of Law</w:t>
      </w:r>
      <w:r w:rsidRPr="0068534F">
        <w:rPr>
          <w:rFonts w:ascii="Calibri Light" w:hAnsi="Calibri Light" w:cs="Calibri Light"/>
          <w:sz w:val="24"/>
        </w:rPr>
        <w:t>. Oxford University Press.</w:t>
      </w:r>
    </w:p>
    <w:p w14:paraId="4FAC4C7E" w14:textId="3483ED2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Hasan, A. (2020). Dampak Pengurangan Nol Mata Uang terhadap Ekonomi Masyarakat Perspektif Maqāṣid al-Sharī‘ah. </w:t>
      </w:r>
      <w:r w:rsidRPr="0068534F">
        <w:rPr>
          <w:rFonts w:ascii="Calibri Light" w:hAnsi="Calibri Light" w:cs="Calibri Light"/>
          <w:i/>
          <w:iCs/>
          <w:sz w:val="24"/>
        </w:rPr>
        <w:t>Asy-Syir’ah: Jurnal Ilmu Syari’ah Dan Hukum</w:t>
      </w:r>
      <w:r w:rsidRPr="0068534F">
        <w:rPr>
          <w:rFonts w:ascii="Calibri Light" w:hAnsi="Calibri Light" w:cs="Calibri Light"/>
          <w:sz w:val="24"/>
        </w:rPr>
        <w:t xml:space="preserve">, </w:t>
      </w:r>
      <w:r w:rsidRPr="0068534F">
        <w:rPr>
          <w:rFonts w:ascii="Calibri Light" w:hAnsi="Calibri Light" w:cs="Calibri Light"/>
          <w:i/>
          <w:iCs/>
          <w:sz w:val="24"/>
        </w:rPr>
        <w:t>54</w:t>
      </w:r>
      <w:r w:rsidRPr="0068534F">
        <w:rPr>
          <w:rFonts w:ascii="Calibri Light" w:hAnsi="Calibri Light" w:cs="Calibri Light"/>
          <w:sz w:val="24"/>
        </w:rPr>
        <w:t xml:space="preserve">(2), </w:t>
      </w:r>
      <w:r w:rsidRPr="0068534F">
        <w:rPr>
          <w:rFonts w:ascii="Calibri Light" w:hAnsi="Calibri Light" w:cs="Calibri Light"/>
          <w:sz w:val="24"/>
        </w:rPr>
        <w:lastRenderedPageBreak/>
        <w:t>467</w:t>
      </w:r>
      <w:r w:rsidR="00A4776B">
        <w:rPr>
          <w:rFonts w:ascii="Calibri Light" w:hAnsi="Calibri Light" w:cs="Calibri Light"/>
          <w:sz w:val="24"/>
          <w:lang w:val="en-US"/>
        </w:rPr>
        <w:t>-492</w:t>
      </w:r>
      <w:r w:rsidRPr="0068534F">
        <w:rPr>
          <w:rFonts w:ascii="Calibri Light" w:hAnsi="Calibri Light" w:cs="Calibri Light"/>
          <w:sz w:val="24"/>
        </w:rPr>
        <w:t>. https://doi.org/10.14421/ajish.v54i2.926</w:t>
      </w:r>
    </w:p>
    <w:p w14:paraId="1FFF5A03" w14:textId="00D4FCE1"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Hermanto, B. (2021). ANALYSIS OF THE NORMATIVE LAW ENFORCEMENT OF THE CRIME OF INSULTING THE STATE SYMBOL: CASE STUDY OF THE INSULT TO THE STATE COAT OF ARMS BY ZASKIA GOTIK AND HABIB RIZIEQ. </w:t>
      </w:r>
      <w:r w:rsidRPr="0068534F">
        <w:rPr>
          <w:rFonts w:ascii="Calibri Light" w:hAnsi="Calibri Light" w:cs="Calibri Light"/>
          <w:i/>
          <w:iCs/>
          <w:sz w:val="24"/>
        </w:rPr>
        <w:t>International Review of Humanities Studies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(2)</w:t>
      </w:r>
      <w:r w:rsidR="00A4776B">
        <w:rPr>
          <w:rFonts w:ascii="Calibri Light" w:hAnsi="Calibri Light" w:cs="Calibri Light"/>
          <w:sz w:val="24"/>
          <w:lang w:val="en-US"/>
        </w:rPr>
        <w:t>, Article 9</w:t>
      </w:r>
      <w:r w:rsidRPr="0068534F">
        <w:rPr>
          <w:rFonts w:ascii="Calibri Light" w:hAnsi="Calibri Light" w:cs="Calibri Light"/>
          <w:sz w:val="24"/>
        </w:rPr>
        <w:t xml:space="preserve">. </w:t>
      </w:r>
      <w:r w:rsidR="00A4776B" w:rsidRPr="00A4776B">
        <w:rPr>
          <w:rFonts w:ascii="Calibri Light" w:hAnsi="Calibri Light" w:cs="Calibri Light"/>
          <w:sz w:val="24"/>
        </w:rPr>
        <w:t>https://scholarhub.ui.ac.id/irhs/vol6/iss2/9/</w:t>
      </w:r>
    </w:p>
    <w:p w14:paraId="222CEF92" w14:textId="17206989"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Holik, A. (2021). Pengujian Resiko Redenominasi terhadap Nilai Tukar Rupiah. </w:t>
      </w:r>
      <w:r w:rsidRPr="0068534F">
        <w:rPr>
          <w:rFonts w:ascii="Calibri Light" w:hAnsi="Calibri Light" w:cs="Calibri Light"/>
          <w:i/>
          <w:iCs/>
          <w:sz w:val="24"/>
        </w:rPr>
        <w:t>Owner</w:t>
      </w:r>
      <w:r w:rsidR="00A4776B">
        <w:rPr>
          <w:rFonts w:ascii="Calibri Light" w:hAnsi="Calibri Light" w:cs="Calibri Light"/>
          <w:i/>
          <w:iCs/>
          <w:sz w:val="24"/>
          <w:lang w:val="en-US"/>
        </w:rPr>
        <w:t xml:space="preserve">: </w:t>
      </w:r>
      <w:r w:rsidR="00A4776B" w:rsidRPr="00A4776B">
        <w:rPr>
          <w:rFonts w:ascii="Calibri Light" w:hAnsi="Calibri Light" w:cs="Calibri Light"/>
          <w:i/>
          <w:iCs/>
          <w:sz w:val="24"/>
          <w:lang w:val="en-US"/>
        </w:rPr>
        <w:t>Riset Dan Jurnal Akuntansi, 5</w:t>
      </w:r>
      <w:r w:rsidR="00A4776B" w:rsidRPr="00A4776B">
        <w:rPr>
          <w:rFonts w:ascii="Calibri Light" w:hAnsi="Calibri Light" w:cs="Calibri Light"/>
          <w:sz w:val="24"/>
          <w:lang w:val="en-US"/>
        </w:rPr>
        <w:t>(2), 620-630</w:t>
      </w:r>
      <w:r w:rsidR="00A4776B" w:rsidRPr="00A4776B">
        <w:rPr>
          <w:rFonts w:ascii="Calibri Light" w:hAnsi="Calibri Light" w:cs="Calibri Light"/>
          <w:i/>
          <w:iCs/>
          <w:sz w:val="24"/>
          <w:lang w:val="en-US"/>
        </w:rPr>
        <w:t>.</w:t>
      </w:r>
      <w:r w:rsidRPr="0068534F">
        <w:rPr>
          <w:rFonts w:ascii="Calibri Light" w:hAnsi="Calibri Light" w:cs="Calibri Light"/>
          <w:sz w:val="24"/>
        </w:rPr>
        <w:t xml:space="preserve"> https://doi.org/10.33395/owner.v5i2.495</w:t>
      </w:r>
    </w:p>
    <w:p w14:paraId="30EF7CA5" w14:textId="47FB116C"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Idris, F. N., Dzaky, A. M., Haq, R., &amp; Hafsari, S. (2022). Hegemoni dolar dan potensi kemunculan mata uang brics. </w:t>
      </w:r>
      <w:r w:rsidRPr="0068534F">
        <w:rPr>
          <w:rFonts w:ascii="Calibri Light" w:hAnsi="Calibri Light" w:cs="Calibri Light"/>
          <w:i/>
          <w:iCs/>
          <w:sz w:val="24"/>
        </w:rPr>
        <w:t>Emerald: Journal of Economics and Social Sciences Journal of Economics and Social Sciences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(1)</w:t>
      </w:r>
      <w:r w:rsidR="00A4776B">
        <w:rPr>
          <w:rFonts w:ascii="Calibri Light" w:hAnsi="Calibri Light" w:cs="Calibri Light"/>
          <w:sz w:val="24"/>
          <w:lang w:val="en-US"/>
        </w:rPr>
        <w:t>, 19-30</w:t>
      </w:r>
      <w:r w:rsidRPr="0068534F">
        <w:rPr>
          <w:rFonts w:ascii="Calibri Light" w:hAnsi="Calibri Light" w:cs="Calibri Light"/>
          <w:sz w:val="24"/>
        </w:rPr>
        <w:t>. https://jurnalsains.id/index.php/emerald/article/view/34</w:t>
      </w:r>
    </w:p>
    <w:p w14:paraId="6E8DA02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India, F. (2025, February 21). Top 10 highest-valued currencies in the world in 2025. </w:t>
      </w:r>
      <w:r w:rsidRPr="0068534F">
        <w:rPr>
          <w:rFonts w:ascii="Calibri Light" w:hAnsi="Calibri Light" w:cs="Calibri Light"/>
          <w:i/>
          <w:iCs/>
          <w:sz w:val="24"/>
        </w:rPr>
        <w:t>Forbes India</w:t>
      </w:r>
      <w:r w:rsidRPr="0068534F">
        <w:rPr>
          <w:rFonts w:ascii="Calibri Light" w:hAnsi="Calibri Light" w:cs="Calibri Light"/>
          <w:sz w:val="24"/>
        </w:rPr>
        <w:t>. https://www.forbesindia.com/article/explainers/highest-valued-currencies-world/85581/1</w:t>
      </w:r>
    </w:p>
    <w:p w14:paraId="09A7D7DE"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Investasi, B. P. (2017, July 24). Apa Beda Redenominasi dengan Sanering? Ini Penjelasannya. </w:t>
      </w:r>
      <w:r w:rsidRPr="0068534F">
        <w:rPr>
          <w:rFonts w:ascii="Calibri Light" w:hAnsi="Calibri Light" w:cs="Calibri Light"/>
          <w:i/>
          <w:iCs/>
          <w:sz w:val="24"/>
        </w:rPr>
        <w:t>Bareksa.Com</w:t>
      </w:r>
      <w:r w:rsidRPr="0068534F">
        <w:rPr>
          <w:rFonts w:ascii="Calibri Light" w:hAnsi="Calibri Light" w:cs="Calibri Light"/>
          <w:sz w:val="24"/>
        </w:rPr>
        <w:t>. https://www.bareksa.com/berita/berita-ekonomi-terkini/2017-07-24/apa-beda-redenominasi-dengan-sanering-ini-penjelasannya</w:t>
      </w:r>
    </w:p>
    <w:p w14:paraId="07111FA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Jati, S. A., &amp; Prasetyo, P. E. (2018). Analisis Persepsi Pelaku UMKM Terhadap Kebijakan Redenominasi Rupiah di Kota Semarang. </w:t>
      </w:r>
      <w:r w:rsidRPr="0068534F">
        <w:rPr>
          <w:rFonts w:ascii="Calibri Light" w:hAnsi="Calibri Light" w:cs="Calibri Light"/>
          <w:i/>
          <w:iCs/>
          <w:sz w:val="24"/>
        </w:rPr>
        <w:t>Efficient: Indonesian Journal of Development Economics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(1), 69–76. https://doi.org/10.15294/efficient.v1i1.27222</w:t>
      </w:r>
    </w:p>
    <w:p w14:paraId="36F78EB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Kauffman, R. J., Lai, H., &amp; Ho, C.-T. (2010). Incentive mechanisms, fairness and participation in online group-buying auctions. </w:t>
      </w:r>
      <w:r w:rsidRPr="0068534F">
        <w:rPr>
          <w:rFonts w:ascii="Calibri Light" w:hAnsi="Calibri Light" w:cs="Calibri Light"/>
          <w:i/>
          <w:iCs/>
          <w:sz w:val="24"/>
        </w:rPr>
        <w:t>Electronic Commerce Research and Applications</w:t>
      </w:r>
      <w:r w:rsidRPr="0068534F">
        <w:rPr>
          <w:rFonts w:ascii="Calibri Light" w:hAnsi="Calibri Light" w:cs="Calibri Light"/>
          <w:sz w:val="24"/>
        </w:rPr>
        <w:t xml:space="preserve">, </w:t>
      </w:r>
      <w:r w:rsidRPr="0068534F">
        <w:rPr>
          <w:rFonts w:ascii="Calibri Light" w:hAnsi="Calibri Light" w:cs="Calibri Light"/>
          <w:i/>
          <w:iCs/>
          <w:sz w:val="24"/>
        </w:rPr>
        <w:t>9</w:t>
      </w:r>
      <w:r w:rsidRPr="0068534F">
        <w:rPr>
          <w:rFonts w:ascii="Calibri Light" w:hAnsi="Calibri Light" w:cs="Calibri Light"/>
          <w:sz w:val="24"/>
        </w:rPr>
        <w:t>(3), 249–262. https://doi.org/10.1016/j.elerap.2008.11.009</w:t>
      </w:r>
    </w:p>
    <w:p w14:paraId="522A44B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Keen, S., Lomeli-Rodriguez, M., &amp; Joffe, H. (2022). From Challenge to Opportunity: Virtual Qualitative Research During COVID-19 and Beyond. </w:t>
      </w:r>
      <w:r w:rsidRPr="0068534F">
        <w:rPr>
          <w:rFonts w:ascii="Calibri Light" w:hAnsi="Calibri Light" w:cs="Calibri Light"/>
          <w:i/>
          <w:iCs/>
          <w:sz w:val="24"/>
        </w:rPr>
        <w:t>International Journal of Qualitative Methods</w:t>
      </w:r>
      <w:r w:rsidRPr="0068534F">
        <w:rPr>
          <w:rFonts w:ascii="Calibri Light" w:hAnsi="Calibri Light" w:cs="Calibri Light"/>
          <w:sz w:val="24"/>
        </w:rPr>
        <w:t xml:space="preserve">, </w:t>
      </w:r>
      <w:r w:rsidRPr="0068534F">
        <w:rPr>
          <w:rFonts w:ascii="Calibri Light" w:hAnsi="Calibri Light" w:cs="Calibri Light"/>
          <w:i/>
          <w:iCs/>
          <w:sz w:val="24"/>
        </w:rPr>
        <w:t>21</w:t>
      </w:r>
      <w:r w:rsidRPr="0068534F">
        <w:rPr>
          <w:rFonts w:ascii="Calibri Light" w:hAnsi="Calibri Light" w:cs="Calibri Light"/>
          <w:sz w:val="24"/>
        </w:rPr>
        <w:t>. https://doi.org/10.1177/16094069221105075</w:t>
      </w:r>
    </w:p>
    <w:p w14:paraId="3A9BED16"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Kelsen, H. (2017). General Theory of Law &amp;amp; State. In H. Kelsen &amp; A. J. Treviño (Eds.), </w:t>
      </w:r>
      <w:r w:rsidRPr="0068534F">
        <w:rPr>
          <w:rFonts w:ascii="Calibri Light" w:hAnsi="Calibri Light" w:cs="Calibri Light"/>
          <w:i/>
          <w:iCs/>
          <w:sz w:val="24"/>
        </w:rPr>
        <w:t>General Theory of Law and State</w:t>
      </w:r>
      <w:r w:rsidRPr="0068534F">
        <w:rPr>
          <w:rFonts w:ascii="Calibri Light" w:hAnsi="Calibri Light" w:cs="Calibri Light"/>
          <w:sz w:val="24"/>
        </w:rPr>
        <w:t>. Routledge. https://doi.org/10.4324/9780203790960</w:t>
      </w:r>
    </w:p>
    <w:p w14:paraId="0AE34A7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Keynes, J. M. (2018). The General Theory of Employment, Interest, and Money. In </w:t>
      </w:r>
      <w:r w:rsidRPr="0068534F">
        <w:rPr>
          <w:rFonts w:ascii="Calibri Light" w:hAnsi="Calibri Light" w:cs="Calibri Light"/>
          <w:i/>
          <w:iCs/>
          <w:sz w:val="24"/>
        </w:rPr>
        <w:t xml:space="preserve">The </w:t>
      </w:r>
      <w:r w:rsidRPr="0068534F">
        <w:rPr>
          <w:rFonts w:ascii="Calibri Light" w:hAnsi="Calibri Light" w:cs="Calibri Light"/>
          <w:i/>
          <w:iCs/>
          <w:sz w:val="24"/>
        </w:rPr>
        <w:lastRenderedPageBreak/>
        <w:t>General Theory of Employment, Interest, and Money</w:t>
      </w:r>
      <w:r w:rsidRPr="0068534F">
        <w:rPr>
          <w:rFonts w:ascii="Calibri Light" w:hAnsi="Calibri Light" w:cs="Calibri Light"/>
          <w:sz w:val="24"/>
        </w:rPr>
        <w:t>. Springer International Publishing. https://doi.org/10.1007/978-3-319-70344-2</w:t>
      </w:r>
    </w:p>
    <w:p w14:paraId="4CABCF0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Kivle, B. M. T., &amp; Espedal, G. (2022). Identifying Values Through Discourse Analysis. In </w:t>
      </w:r>
      <w:r w:rsidRPr="0068534F">
        <w:rPr>
          <w:rFonts w:ascii="Calibri Light" w:hAnsi="Calibri Light" w:cs="Calibri Light"/>
          <w:i/>
          <w:iCs/>
          <w:sz w:val="24"/>
        </w:rPr>
        <w:t>Researching Values</w:t>
      </w:r>
      <w:r w:rsidRPr="0068534F">
        <w:rPr>
          <w:rFonts w:ascii="Calibri Light" w:hAnsi="Calibri Light" w:cs="Calibri Light"/>
          <w:sz w:val="24"/>
        </w:rPr>
        <w:t xml:space="preserve"> (pp. 171–187). Springer International Publishing. https://doi.org/10.1007/978-3-030-90769-3_10</w:t>
      </w:r>
    </w:p>
    <w:p w14:paraId="76314029" w14:textId="31B7D2D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Krugman, P., Obstfeld, M., &amp; Melitz, M. (2018). </w:t>
      </w:r>
      <w:r w:rsidRPr="006E7BC3">
        <w:rPr>
          <w:rFonts w:ascii="Calibri Light" w:hAnsi="Calibri Light" w:cs="Calibri Light"/>
          <w:i/>
          <w:iCs/>
          <w:sz w:val="24"/>
        </w:rPr>
        <w:t>International Economics: Theory and Policy</w:t>
      </w:r>
      <w:r w:rsidRPr="0068534F">
        <w:rPr>
          <w:rFonts w:ascii="Calibri Light" w:hAnsi="Calibri Light" w:cs="Calibri Light"/>
          <w:sz w:val="24"/>
        </w:rPr>
        <w:t xml:space="preserve">, </w:t>
      </w:r>
      <w:r w:rsidRPr="006E7BC3">
        <w:rPr>
          <w:rFonts w:ascii="Calibri Light" w:hAnsi="Calibri Light" w:cs="Calibri Light"/>
          <w:i/>
          <w:iCs/>
          <w:sz w:val="24"/>
        </w:rPr>
        <w:t>Global Edition</w:t>
      </w:r>
      <w:r w:rsidRPr="0068534F">
        <w:rPr>
          <w:rFonts w:ascii="Calibri Light" w:hAnsi="Calibri Light" w:cs="Calibri Light"/>
          <w:sz w:val="24"/>
        </w:rPr>
        <w:t xml:space="preserve">. </w:t>
      </w:r>
      <w:r w:rsidR="006E7BC3">
        <w:rPr>
          <w:rFonts w:ascii="Calibri Light" w:hAnsi="Calibri Light" w:cs="Calibri Light"/>
          <w:sz w:val="24"/>
          <w:lang w:val="en-US"/>
        </w:rPr>
        <w:t>Harper Collins</w:t>
      </w:r>
      <w:r w:rsidRPr="0068534F">
        <w:rPr>
          <w:rFonts w:ascii="Calibri Light" w:hAnsi="Calibri Light" w:cs="Calibri Light"/>
          <w:sz w:val="24"/>
        </w:rPr>
        <w:t>.</w:t>
      </w:r>
    </w:p>
    <w:p w14:paraId="5A776D3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Kuncoro, M. (2001). </w:t>
      </w:r>
      <w:r w:rsidRPr="0068534F">
        <w:rPr>
          <w:rFonts w:ascii="Calibri Light" w:hAnsi="Calibri Light" w:cs="Calibri Light"/>
          <w:i/>
          <w:iCs/>
          <w:sz w:val="24"/>
        </w:rPr>
        <w:t>Manajemen Keuangan Internasional</w:t>
      </w:r>
      <w:r w:rsidRPr="0068534F">
        <w:rPr>
          <w:rFonts w:ascii="Calibri Light" w:hAnsi="Calibri Light" w:cs="Calibri Light"/>
          <w:sz w:val="24"/>
        </w:rPr>
        <w:t>. BPFE-Yogyakarta.</w:t>
      </w:r>
    </w:p>
    <w:p w14:paraId="32A4B3D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Kurnianingrum, T. P. (2016). Redenominasi Rupiah Dalam Prespektif Hukum. </w:t>
      </w:r>
      <w:r w:rsidRPr="0068534F">
        <w:rPr>
          <w:rFonts w:ascii="Calibri Light" w:hAnsi="Calibri Light" w:cs="Calibri Light"/>
          <w:i/>
          <w:iCs/>
          <w:sz w:val="24"/>
        </w:rPr>
        <w:t>Negara Hukum</w:t>
      </w:r>
      <w:r w:rsidRPr="0068534F">
        <w:rPr>
          <w:rFonts w:ascii="Calibri Light" w:hAnsi="Calibri Light" w:cs="Calibri Light"/>
          <w:sz w:val="24"/>
        </w:rPr>
        <w:t xml:space="preserve">, </w:t>
      </w:r>
      <w:r w:rsidRPr="0068534F">
        <w:rPr>
          <w:rFonts w:ascii="Calibri Light" w:hAnsi="Calibri Light" w:cs="Calibri Light"/>
          <w:i/>
          <w:iCs/>
          <w:sz w:val="24"/>
        </w:rPr>
        <w:t>4</w:t>
      </w:r>
      <w:r w:rsidRPr="0068534F">
        <w:rPr>
          <w:rFonts w:ascii="Calibri Light" w:hAnsi="Calibri Light" w:cs="Calibri Light"/>
          <w:sz w:val="24"/>
        </w:rPr>
        <w:t>(1), 67–85. https://jurnal.dpr.go.id/index.php/hukum/article/view/196</w:t>
      </w:r>
    </w:p>
    <w:p w14:paraId="7394EE9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Kustiani, R. (2013, March 4). Indonesia Pernah Lakukan Redenominasi pada 1965. </w:t>
      </w:r>
      <w:r w:rsidRPr="0068534F">
        <w:rPr>
          <w:rFonts w:ascii="Calibri Light" w:hAnsi="Calibri Light" w:cs="Calibri Light"/>
          <w:i/>
          <w:iCs/>
          <w:sz w:val="24"/>
        </w:rPr>
        <w:t>Tempo.Co.</w:t>
      </w:r>
      <w:r w:rsidRPr="0068534F">
        <w:rPr>
          <w:rFonts w:ascii="Calibri Light" w:hAnsi="Calibri Light" w:cs="Calibri Light"/>
          <w:sz w:val="24"/>
        </w:rPr>
        <w:t xml:space="preserve"> https://bisnis.tempo.co/read/464855/indonesia-pernah-lakukan-redenominasi-pada-1965</w:t>
      </w:r>
    </w:p>
    <w:p w14:paraId="3390FCE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Kusumatrisna, A. L., Sugema, I., &amp; Pasaribu, S. H. (2022). THRESHOLD EFFECT IN THE RELATIONSHIP BETWEEN INFLATION RATE AND ECONOMIC GROWTH IN INDONESIA. </w:t>
      </w:r>
      <w:r w:rsidRPr="0068534F">
        <w:rPr>
          <w:rFonts w:ascii="Calibri Light" w:hAnsi="Calibri Light" w:cs="Calibri Light"/>
          <w:i/>
          <w:iCs/>
          <w:sz w:val="24"/>
        </w:rPr>
        <w:t>Buletin Ekonomi Moneter Dan Perbankan</w:t>
      </w:r>
      <w:r w:rsidRPr="0068534F">
        <w:rPr>
          <w:rFonts w:ascii="Calibri Light" w:hAnsi="Calibri Light" w:cs="Calibri Light"/>
          <w:sz w:val="24"/>
        </w:rPr>
        <w:t xml:space="preserve">, </w:t>
      </w:r>
      <w:r w:rsidRPr="0068534F">
        <w:rPr>
          <w:rFonts w:ascii="Calibri Light" w:hAnsi="Calibri Light" w:cs="Calibri Light"/>
          <w:i/>
          <w:iCs/>
          <w:sz w:val="24"/>
        </w:rPr>
        <w:t>25</w:t>
      </w:r>
      <w:r w:rsidRPr="0068534F">
        <w:rPr>
          <w:rFonts w:ascii="Calibri Light" w:hAnsi="Calibri Light" w:cs="Calibri Light"/>
          <w:sz w:val="24"/>
        </w:rPr>
        <w:t>(1), 117–126. https://doi.org/10.21098/bemp.v25i1.1045</w:t>
      </w:r>
    </w:p>
    <w:p w14:paraId="5C42133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Lianto, J., &amp; Suryaputra, R. (2012). The Impact of Redenomination in Indonesia from Indonesian Citizens’ Perspective. </w:t>
      </w:r>
      <w:r w:rsidRPr="0068534F">
        <w:rPr>
          <w:rFonts w:ascii="Calibri Light" w:hAnsi="Calibri Light" w:cs="Calibri Light"/>
          <w:i/>
          <w:iCs/>
          <w:sz w:val="24"/>
        </w:rPr>
        <w:t>Procedia - Social and Behavioral Sciences</w:t>
      </w:r>
      <w:r w:rsidRPr="0068534F">
        <w:rPr>
          <w:rFonts w:ascii="Calibri Light" w:hAnsi="Calibri Light" w:cs="Calibri Light"/>
          <w:sz w:val="24"/>
        </w:rPr>
        <w:t xml:space="preserve">, </w:t>
      </w:r>
      <w:r w:rsidRPr="0068534F">
        <w:rPr>
          <w:rFonts w:ascii="Calibri Light" w:hAnsi="Calibri Light" w:cs="Calibri Light"/>
          <w:i/>
          <w:iCs/>
          <w:sz w:val="24"/>
        </w:rPr>
        <w:t>40</w:t>
      </w:r>
      <w:r w:rsidRPr="0068534F">
        <w:rPr>
          <w:rFonts w:ascii="Calibri Light" w:hAnsi="Calibri Light" w:cs="Calibri Light"/>
          <w:sz w:val="24"/>
        </w:rPr>
        <w:t>, 1–6. https://doi.org/10.1016/j.sbspro.2012.03.153</w:t>
      </w:r>
    </w:p>
    <w:p w14:paraId="6DE8DA48"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Luhmann, N. (2004). </w:t>
      </w:r>
      <w:r w:rsidRPr="0068534F">
        <w:rPr>
          <w:rFonts w:ascii="Calibri Light" w:hAnsi="Calibri Light" w:cs="Calibri Light"/>
          <w:i/>
          <w:iCs/>
          <w:sz w:val="24"/>
        </w:rPr>
        <w:t>Law as a Social System</w:t>
      </w:r>
      <w:r w:rsidRPr="0068534F">
        <w:rPr>
          <w:rFonts w:ascii="Calibri Light" w:hAnsi="Calibri Light" w:cs="Calibri Light"/>
          <w:sz w:val="24"/>
        </w:rPr>
        <w:t>. Oxford University Press.</w:t>
      </w:r>
    </w:p>
    <w:p w14:paraId="190AF52B"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Mada, B. A. (2017). Mendorong Implementasi Redenominasi Rupiah Untuk Peningkatan Efisiensi Dan Daya Saing Ekonomi Indonesia Di Era Masyarakat Ekonomi Asean (Mea). </w:t>
      </w:r>
      <w:r w:rsidRPr="0068534F">
        <w:rPr>
          <w:rFonts w:ascii="Calibri Light" w:hAnsi="Calibri Light" w:cs="Calibri Light"/>
          <w:i/>
          <w:iCs/>
          <w:sz w:val="24"/>
        </w:rPr>
        <w:t>Angewandte Chemie International Edition, 6(11), 951–952.</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https://doi.org/https://doi.org/10.35706/value.v1i2.671</w:t>
      </w:r>
    </w:p>
    <w:p w14:paraId="546C3395"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Mada WK, B. A. (2017). MENDORONG IMPLEMENTASI REDENOMINASI RUPIAH UNTUK PENINGKATAN EFISIENSI DAN DAYA SAING EKONOMI INDONESIA DI ERA MASYARAKAT EKONOMI ASEAN (MEA). </w:t>
      </w:r>
      <w:r w:rsidRPr="0068534F">
        <w:rPr>
          <w:rFonts w:ascii="Calibri Light" w:hAnsi="Calibri Light" w:cs="Calibri Light"/>
          <w:i/>
          <w:iCs/>
          <w:sz w:val="24"/>
        </w:rPr>
        <w:t>Value Journal of Management and Business</w:t>
      </w:r>
      <w:r w:rsidRPr="0068534F">
        <w:rPr>
          <w:rFonts w:ascii="Calibri Light" w:hAnsi="Calibri Light" w:cs="Calibri Light"/>
          <w:sz w:val="24"/>
        </w:rPr>
        <w:t xml:space="preserve">, </w:t>
      </w:r>
      <w:r w:rsidRPr="0068534F">
        <w:rPr>
          <w:rFonts w:ascii="Calibri Light" w:hAnsi="Calibri Light" w:cs="Calibri Light"/>
          <w:i/>
          <w:iCs/>
          <w:sz w:val="24"/>
        </w:rPr>
        <w:t>1</w:t>
      </w:r>
      <w:r w:rsidRPr="0068534F">
        <w:rPr>
          <w:rFonts w:ascii="Calibri Light" w:hAnsi="Calibri Light" w:cs="Calibri Light"/>
          <w:sz w:val="24"/>
        </w:rPr>
        <w:t>(2). https://doi.org/https://doi.org/10.35706/value.v1i2.671</w:t>
      </w:r>
    </w:p>
    <w:p w14:paraId="5603C779" w14:textId="4C690FFA"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Mankiw, N. G. (2017). </w:t>
      </w:r>
      <w:r w:rsidRPr="00CF6D3F">
        <w:rPr>
          <w:rFonts w:ascii="Calibri Light" w:hAnsi="Calibri Light" w:cs="Calibri Light"/>
          <w:i/>
          <w:iCs/>
          <w:sz w:val="24"/>
        </w:rPr>
        <w:t>Macroeconomics</w:t>
      </w:r>
      <w:r w:rsidR="00CF6D3F">
        <w:rPr>
          <w:rFonts w:ascii="Calibri Light" w:hAnsi="Calibri Light" w:cs="Calibri Light"/>
          <w:sz w:val="24"/>
          <w:lang w:val="en-US"/>
        </w:rPr>
        <w:t xml:space="preserve">, </w:t>
      </w:r>
      <w:r w:rsidR="00CF6D3F" w:rsidRPr="00CF6D3F">
        <w:rPr>
          <w:rFonts w:ascii="Calibri Light" w:hAnsi="Calibri Light" w:cs="Calibri Light"/>
          <w:i/>
          <w:iCs/>
          <w:sz w:val="24"/>
          <w:lang w:val="en-US"/>
        </w:rPr>
        <w:t>7</w:t>
      </w:r>
      <w:r w:rsidRPr="0068534F">
        <w:rPr>
          <w:rFonts w:ascii="Calibri Light" w:hAnsi="Calibri Light" w:cs="Calibri Light"/>
          <w:i/>
          <w:iCs/>
          <w:sz w:val="24"/>
        </w:rPr>
        <w:t>th Edition</w:t>
      </w:r>
      <w:r w:rsidRPr="0068534F">
        <w:rPr>
          <w:rFonts w:ascii="Calibri Light" w:hAnsi="Calibri Light" w:cs="Calibri Light"/>
          <w:sz w:val="24"/>
        </w:rPr>
        <w:t xml:space="preserve"> (Vol. 91). Worth Publisher.</w:t>
      </w:r>
    </w:p>
    <w:p w14:paraId="6A085FD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lastRenderedPageBreak/>
        <w:t xml:space="preserve">Maogoto, J. (2021). State Sovereignty and International Criminal Law: Versailles to Rome. In </w:t>
      </w:r>
      <w:r w:rsidRPr="0068534F">
        <w:rPr>
          <w:rFonts w:ascii="Calibri Light" w:hAnsi="Calibri Light" w:cs="Calibri Light"/>
          <w:i/>
          <w:iCs/>
          <w:sz w:val="24"/>
        </w:rPr>
        <w:t>State Sovereignty and International Criminal Law: Versailles to Rome</w:t>
      </w:r>
      <w:r w:rsidRPr="0068534F">
        <w:rPr>
          <w:rFonts w:ascii="Calibri Light" w:hAnsi="Calibri Light" w:cs="Calibri Light"/>
          <w:sz w:val="24"/>
        </w:rPr>
        <w:t>. Brill | Nijhoff. https://doi.org/10.1163/9789004479630</w:t>
      </w:r>
    </w:p>
    <w:p w14:paraId="5E50E696"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Matta, C. (2024). The Explanatory Power of Discourse Analysis. </w:t>
      </w:r>
      <w:r w:rsidRPr="0068534F">
        <w:rPr>
          <w:rFonts w:ascii="Calibri Light" w:hAnsi="Calibri Light" w:cs="Calibri Light"/>
          <w:i/>
          <w:iCs/>
          <w:sz w:val="24"/>
        </w:rPr>
        <w:t>Philosophy of the Social Sciences</w:t>
      </w:r>
      <w:r w:rsidRPr="0068534F">
        <w:rPr>
          <w:rFonts w:ascii="Calibri Light" w:hAnsi="Calibri Light" w:cs="Calibri Light"/>
          <w:sz w:val="24"/>
        </w:rPr>
        <w:t xml:space="preserve">, </w:t>
      </w:r>
      <w:r w:rsidRPr="0068534F">
        <w:rPr>
          <w:rFonts w:ascii="Calibri Light" w:hAnsi="Calibri Light" w:cs="Calibri Light"/>
          <w:i/>
          <w:iCs/>
          <w:sz w:val="24"/>
        </w:rPr>
        <w:t>54</w:t>
      </w:r>
      <w:r w:rsidRPr="0068534F">
        <w:rPr>
          <w:rFonts w:ascii="Calibri Light" w:hAnsi="Calibri Light" w:cs="Calibri Light"/>
          <w:sz w:val="24"/>
        </w:rPr>
        <w:t>(5), 363–386. https://doi.org/10.1177/00483931241255229</w:t>
      </w:r>
    </w:p>
    <w:p w14:paraId="60AAE68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McLeod, S. (2024, June 19). Discourse analysis. </w:t>
      </w:r>
      <w:r w:rsidRPr="0068534F">
        <w:rPr>
          <w:rFonts w:ascii="Calibri Light" w:hAnsi="Calibri Light" w:cs="Calibri Light"/>
          <w:i/>
          <w:iCs/>
          <w:sz w:val="24"/>
        </w:rPr>
        <w:t>Simply Psychology.</w:t>
      </w:r>
      <w:r w:rsidRPr="0068534F">
        <w:rPr>
          <w:rFonts w:ascii="Calibri Light" w:hAnsi="Calibri Light" w:cs="Calibri Light"/>
          <w:sz w:val="24"/>
        </w:rPr>
        <w:t xml:space="preserve"> https://www.simplypsychology.org/discourse-analysis.html</w:t>
      </w:r>
    </w:p>
    <w:p w14:paraId="175AA15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Mishkin, F. S. (2007). Monetary Policy Strategy. In </w:t>
      </w:r>
      <w:r w:rsidRPr="0068534F">
        <w:rPr>
          <w:rFonts w:ascii="Calibri Light" w:hAnsi="Calibri Light" w:cs="Calibri Light"/>
          <w:i/>
          <w:iCs/>
          <w:sz w:val="24"/>
        </w:rPr>
        <w:t>Monetary Policy Strategy</w:t>
      </w:r>
      <w:r w:rsidRPr="0068534F">
        <w:rPr>
          <w:rFonts w:ascii="Calibri Light" w:hAnsi="Calibri Light" w:cs="Calibri Light"/>
          <w:sz w:val="24"/>
        </w:rPr>
        <w:t>. https://doi.org/10.7551/mitpress/7412.001.0001</w:t>
      </w:r>
    </w:p>
    <w:p w14:paraId="0AEB2C7E"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Morris, S., &amp; Shin, H. S. (2002). Social Value of Public Information. </w:t>
      </w:r>
      <w:r w:rsidRPr="0068534F">
        <w:rPr>
          <w:rFonts w:ascii="Calibri Light" w:hAnsi="Calibri Light" w:cs="Calibri Light"/>
          <w:i/>
          <w:iCs/>
          <w:sz w:val="24"/>
        </w:rPr>
        <w:t>American Economic Review</w:t>
      </w:r>
      <w:r w:rsidRPr="0068534F">
        <w:rPr>
          <w:rFonts w:ascii="Calibri Light" w:hAnsi="Calibri Light" w:cs="Calibri Light"/>
          <w:sz w:val="24"/>
        </w:rPr>
        <w:t xml:space="preserve">, </w:t>
      </w:r>
      <w:r w:rsidRPr="0068534F">
        <w:rPr>
          <w:rFonts w:ascii="Calibri Light" w:hAnsi="Calibri Light" w:cs="Calibri Light"/>
          <w:i/>
          <w:iCs/>
          <w:sz w:val="24"/>
        </w:rPr>
        <w:t>92</w:t>
      </w:r>
      <w:r w:rsidRPr="0068534F">
        <w:rPr>
          <w:rFonts w:ascii="Calibri Light" w:hAnsi="Calibri Light" w:cs="Calibri Light"/>
          <w:sz w:val="24"/>
        </w:rPr>
        <w:t>(5), 1521–1534. https://doi.org/10.1257/000282802762024610</w:t>
      </w:r>
    </w:p>
    <w:p w14:paraId="7B169A9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Mubaroq, H. (2022). Urgensi Redenominasi Atas Nilai Rupiah (Sebuah Analisa Teoritik). </w:t>
      </w:r>
      <w:r w:rsidRPr="0068534F">
        <w:rPr>
          <w:rFonts w:ascii="Calibri Light" w:hAnsi="Calibri Light" w:cs="Calibri Light"/>
          <w:i/>
          <w:iCs/>
          <w:sz w:val="24"/>
        </w:rPr>
        <w:t>TINTA NUSANTARA</w:t>
      </w:r>
      <w:r w:rsidRPr="0068534F">
        <w:rPr>
          <w:rFonts w:ascii="Calibri Light" w:hAnsi="Calibri Light" w:cs="Calibri Light"/>
          <w:sz w:val="24"/>
        </w:rPr>
        <w:t>. https://doi.org/10.55770/tn.v1i1.69</w:t>
      </w:r>
    </w:p>
    <w:p w14:paraId="2D3665C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Muliadi, A. (2014). </w:t>
      </w:r>
      <w:r w:rsidRPr="0068534F">
        <w:rPr>
          <w:rFonts w:ascii="Calibri Light" w:hAnsi="Calibri Light" w:cs="Calibri Light"/>
          <w:i/>
          <w:iCs/>
          <w:sz w:val="24"/>
        </w:rPr>
        <w:t>Politik Hukum</w:t>
      </w:r>
      <w:r w:rsidRPr="0068534F">
        <w:rPr>
          <w:rFonts w:ascii="Calibri Light" w:hAnsi="Calibri Light" w:cs="Calibri Light"/>
          <w:sz w:val="24"/>
        </w:rPr>
        <w:t xml:space="preserve"> (2nd ed.). Akademia Permata.</w:t>
      </w:r>
    </w:p>
    <w:p w14:paraId="1AEA8C89" w14:textId="2A0FE078"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Myers, D. G. (2014). </w:t>
      </w:r>
      <w:r w:rsidRPr="00CF6D3F">
        <w:rPr>
          <w:rFonts w:ascii="Calibri Light" w:hAnsi="Calibri Light" w:cs="Calibri Light"/>
          <w:i/>
          <w:iCs/>
          <w:sz w:val="24"/>
        </w:rPr>
        <w:t>Social Psychology</w:t>
      </w:r>
      <w:r w:rsidRPr="0068534F">
        <w:rPr>
          <w:rFonts w:ascii="Calibri Light" w:hAnsi="Calibri Light" w:cs="Calibri Light"/>
          <w:sz w:val="24"/>
        </w:rPr>
        <w:t xml:space="preserve">. </w:t>
      </w:r>
      <w:r w:rsidRPr="00CF6D3F">
        <w:rPr>
          <w:rFonts w:ascii="Calibri Light" w:hAnsi="Calibri Light" w:cs="Calibri Light"/>
          <w:sz w:val="24"/>
        </w:rPr>
        <w:t>McGraw-Hill Higher Education.</w:t>
      </w:r>
    </w:p>
    <w:p w14:paraId="331E1B1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Newman, A., Bavik, Y. L., Mount, M., &amp; Shao, B. (2021). Data Collection via Online Platforms: Challenges and Recommendations for Future Research. </w:t>
      </w:r>
      <w:r w:rsidRPr="0068534F">
        <w:rPr>
          <w:rFonts w:ascii="Calibri Light" w:hAnsi="Calibri Light" w:cs="Calibri Light"/>
          <w:i/>
          <w:iCs/>
          <w:sz w:val="24"/>
        </w:rPr>
        <w:t>Applied Psychology</w:t>
      </w:r>
      <w:r w:rsidRPr="0068534F">
        <w:rPr>
          <w:rFonts w:ascii="Calibri Light" w:hAnsi="Calibri Light" w:cs="Calibri Light"/>
          <w:sz w:val="24"/>
        </w:rPr>
        <w:t xml:space="preserve">, </w:t>
      </w:r>
      <w:r w:rsidRPr="0068534F">
        <w:rPr>
          <w:rFonts w:ascii="Calibri Light" w:hAnsi="Calibri Light" w:cs="Calibri Light"/>
          <w:i/>
          <w:iCs/>
          <w:sz w:val="24"/>
        </w:rPr>
        <w:t>70</w:t>
      </w:r>
      <w:r w:rsidRPr="0068534F">
        <w:rPr>
          <w:rFonts w:ascii="Calibri Light" w:hAnsi="Calibri Light" w:cs="Calibri Light"/>
          <w:sz w:val="24"/>
        </w:rPr>
        <w:t>(3), 1380–1402. https://doi.org/10.1111/apps.12302</w:t>
      </w:r>
    </w:p>
    <w:p w14:paraId="250136F7"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Nugroho, S. (2021). Redenominasi Rupiah. In M. Bambang Parada Nugraha (Ed.), </w:t>
      </w:r>
      <w:r w:rsidRPr="0068534F">
        <w:rPr>
          <w:rFonts w:ascii="Calibri Light" w:hAnsi="Calibri Light" w:cs="Calibri Light"/>
          <w:i/>
          <w:iCs/>
          <w:sz w:val="24"/>
        </w:rPr>
        <w:t>Bonus Demografi sebagai Peluang Indonesia dalam Percepatan Pembangunan Ekonomi</w:t>
      </w:r>
      <w:r w:rsidRPr="0068534F">
        <w:rPr>
          <w:rFonts w:ascii="Calibri Light" w:hAnsi="Calibri Light" w:cs="Calibri Light"/>
          <w:sz w:val="24"/>
        </w:rPr>
        <w:t>. Penerbit Insania.</w:t>
      </w:r>
    </w:p>
    <w:p w14:paraId="3AA668C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Abdul Wakhid, A., &amp; Handayani, L. (2020). A Genealogical Analysis on the Concept and Development of Maqaṣid Syarī‘ah. </w:t>
      </w:r>
      <w:r w:rsidRPr="0068534F">
        <w:rPr>
          <w:rFonts w:ascii="Calibri Light" w:hAnsi="Calibri Light" w:cs="Calibri Light"/>
          <w:i/>
          <w:iCs/>
          <w:sz w:val="24"/>
        </w:rPr>
        <w:t>AL-’ADALAH</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1–30. https://doi.org/10.24042/adalah.v17i1.6211</w:t>
      </w:r>
    </w:p>
    <w:p w14:paraId="1D0DE22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Adam, S., &amp; Muttaqien, M. N. (2020). Maqāṣid Al-Sharī‘at: The Main Reference and Ethical-Spiritual Foundation for the Dynamization Process of Islamic Law. </w:t>
      </w:r>
      <w:r w:rsidRPr="0068534F">
        <w:rPr>
          <w:rFonts w:ascii="Calibri Light" w:hAnsi="Calibri Light" w:cs="Calibri Light"/>
          <w:i/>
          <w:iCs/>
          <w:sz w:val="24"/>
        </w:rPr>
        <w:t>AHKAM : Jurnal Ilmu Syariah</w:t>
      </w:r>
      <w:r w:rsidRPr="0068534F">
        <w:rPr>
          <w:rFonts w:ascii="Calibri Light" w:hAnsi="Calibri Light" w:cs="Calibri Light"/>
          <w:sz w:val="24"/>
        </w:rPr>
        <w:t xml:space="preserve">, </w:t>
      </w:r>
      <w:r w:rsidRPr="0068534F">
        <w:rPr>
          <w:rFonts w:ascii="Calibri Light" w:hAnsi="Calibri Light" w:cs="Calibri Light"/>
          <w:i/>
          <w:iCs/>
          <w:sz w:val="24"/>
        </w:rPr>
        <w:t>20</w:t>
      </w:r>
      <w:r w:rsidRPr="0068534F">
        <w:rPr>
          <w:rFonts w:ascii="Calibri Light" w:hAnsi="Calibri Light" w:cs="Calibri Light"/>
          <w:sz w:val="24"/>
        </w:rPr>
        <w:t>(2). https://doi.org/10.15408/ajis.v20i2.18333</w:t>
      </w:r>
    </w:p>
    <w:p w14:paraId="38AA89F3"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Nur, I., &amp; Muttaqin, M. N. (2020). Reformulating The Concept of Maṣlaḥah: From A Textual Confinement Towards A Logic Determination. </w:t>
      </w:r>
      <w:r w:rsidRPr="0068534F">
        <w:rPr>
          <w:rFonts w:ascii="Calibri Light" w:hAnsi="Calibri Light" w:cs="Calibri Light"/>
          <w:i/>
          <w:iCs/>
          <w:sz w:val="24"/>
        </w:rPr>
        <w:t>Justicia Islamica</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73. https://doi.org/10.21154/justicia.v17i1.1807</w:t>
      </w:r>
    </w:p>
    <w:p w14:paraId="017B129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lastRenderedPageBreak/>
        <w:t xml:space="preserve">Pangestuti, D. C., &amp; Riantiarno, R. F. (2021). Pembuktian Konsep Law Of One Price (LOOP) Dalam Absolute Purchasing Power Parity Menggunakan The Big Mac Index Antar Negara The Six Cheapest (Indonesia – Malaysia) Per Juli 2021. </w:t>
      </w:r>
      <w:r w:rsidRPr="0068534F">
        <w:rPr>
          <w:rFonts w:ascii="Calibri Light" w:hAnsi="Calibri Light" w:cs="Calibri Light"/>
          <w:i/>
          <w:iCs/>
          <w:sz w:val="24"/>
        </w:rPr>
        <w:t>JURNAL NUSANTARA APLIKASI MANAJEMEN BISNIS</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(2), 184–198. https://doi.org/10.29407/nusamba.v6i2.16316</w:t>
      </w:r>
    </w:p>
    <w:p w14:paraId="6983C546" w14:textId="5D6D552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Permana, S. H. (2015). PROSPEK PELAKSANAAN REDENOMINASI DI INDONESIA (Prospects of Redenomination Implementation in Indonesia). </w:t>
      </w:r>
      <w:r w:rsidRPr="0068534F">
        <w:rPr>
          <w:rFonts w:ascii="Calibri Light" w:hAnsi="Calibri Light" w:cs="Calibri Light"/>
          <w:i/>
          <w:iCs/>
          <w:sz w:val="24"/>
        </w:rPr>
        <w:t>Jurnal Ekonomi Kebijakan Publik</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w:t>
      </w:r>
      <w:r w:rsidR="006E7BC3">
        <w:rPr>
          <w:rFonts w:ascii="Calibri Light" w:hAnsi="Calibri Light" w:cs="Calibri Light"/>
          <w:sz w:val="24"/>
          <w:lang w:val="en-US"/>
        </w:rPr>
        <w:t xml:space="preserve">, 109-122. </w:t>
      </w:r>
      <w:r w:rsidR="006E7BC3" w:rsidRPr="006E7BC3">
        <w:rPr>
          <w:rFonts w:ascii="Calibri Light" w:hAnsi="Calibri Light" w:cs="Calibri Light"/>
          <w:sz w:val="24"/>
          <w:lang w:val="en-US"/>
        </w:rPr>
        <w:t>https://jurnal.dpr.go.id/index.php/ekp/article/view/159</w:t>
      </w:r>
      <w:r w:rsidR="006E7BC3">
        <w:rPr>
          <w:rFonts w:ascii="Calibri Light" w:hAnsi="Calibri Light" w:cs="Calibri Light"/>
          <w:sz w:val="24"/>
          <w:lang w:val="en-US"/>
        </w:rPr>
        <w:t>.</w:t>
      </w:r>
    </w:p>
    <w:p w14:paraId="7F33F9A6" w14:textId="2A2F7AC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Prabawani, B. (2019). </w:t>
      </w:r>
      <w:r w:rsidRPr="006E7BC3">
        <w:rPr>
          <w:rFonts w:ascii="Calibri Light" w:hAnsi="Calibri Light" w:cs="Calibri Light"/>
          <w:i/>
          <w:iCs/>
          <w:sz w:val="24"/>
        </w:rPr>
        <w:t>REDENOMINASI DI INDONESIA: Apa dan bagaimana?</w:t>
      </w:r>
      <w:r w:rsidRPr="0068534F">
        <w:rPr>
          <w:rFonts w:ascii="Calibri Light" w:hAnsi="Calibri Light" w:cs="Calibri Light"/>
          <w:sz w:val="24"/>
        </w:rPr>
        <w:t xml:space="preserve"> Istana Publishing.</w:t>
      </w:r>
    </w:p>
    <w:p w14:paraId="07FD5E34" w14:textId="4016191D"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Prabawani, B., </w:t>
      </w:r>
      <w:r w:rsidR="00185C87">
        <w:rPr>
          <w:rFonts w:ascii="Calibri Light" w:hAnsi="Calibri Light" w:cs="Calibri Light"/>
          <w:sz w:val="24"/>
          <w:lang w:val="en-US"/>
        </w:rPr>
        <w:t xml:space="preserve">&amp; </w:t>
      </w:r>
      <w:r w:rsidRPr="0068534F">
        <w:rPr>
          <w:rFonts w:ascii="Calibri Light" w:hAnsi="Calibri Light" w:cs="Calibri Light"/>
          <w:sz w:val="24"/>
        </w:rPr>
        <w:t xml:space="preserve">Prihatini, A. E. (2014). Indonesian Businesses: Coping with Redenomination Policy. </w:t>
      </w:r>
      <w:r w:rsidRPr="0068534F">
        <w:rPr>
          <w:rFonts w:ascii="Calibri Light" w:hAnsi="Calibri Light" w:cs="Calibri Light"/>
          <w:i/>
          <w:iCs/>
          <w:sz w:val="24"/>
        </w:rPr>
        <w:t>Australian Journal of Basic and Applied Sciences</w:t>
      </w:r>
      <w:r w:rsidRPr="0068534F">
        <w:rPr>
          <w:rFonts w:ascii="Calibri Light" w:hAnsi="Calibri Light" w:cs="Calibri Light"/>
          <w:sz w:val="24"/>
        </w:rPr>
        <w:t xml:space="preserve">, </w:t>
      </w:r>
      <w:r w:rsidRPr="0068534F">
        <w:rPr>
          <w:rFonts w:ascii="Calibri Light" w:hAnsi="Calibri Light" w:cs="Calibri Light"/>
          <w:i/>
          <w:iCs/>
          <w:sz w:val="24"/>
        </w:rPr>
        <w:t>8</w:t>
      </w:r>
      <w:r w:rsidRPr="0068534F">
        <w:rPr>
          <w:rFonts w:ascii="Calibri Light" w:hAnsi="Calibri Light" w:cs="Calibri Light"/>
          <w:sz w:val="24"/>
        </w:rPr>
        <w:t>(1)</w:t>
      </w:r>
      <w:r w:rsidR="00760190">
        <w:rPr>
          <w:rFonts w:ascii="Calibri Light" w:hAnsi="Calibri Light" w:cs="Calibri Light"/>
          <w:sz w:val="24"/>
          <w:lang w:val="en-US"/>
        </w:rPr>
        <w:t xml:space="preserve">, </w:t>
      </w:r>
      <w:r w:rsidR="00760190" w:rsidRPr="005E1DD0">
        <w:rPr>
          <w:rFonts w:ascii="Calibri Light" w:hAnsi="Calibri Light" w:cs="Calibri Light"/>
          <w:sz w:val="24"/>
          <w:szCs w:val="24"/>
        </w:rPr>
        <w:t xml:space="preserve">245-251. </w:t>
      </w:r>
      <w:r w:rsidR="00760190" w:rsidRPr="005B3038">
        <w:rPr>
          <w:rFonts w:ascii="Calibri Light" w:hAnsi="Calibri Light" w:cs="Calibri Light"/>
          <w:sz w:val="24"/>
          <w:szCs w:val="24"/>
        </w:rPr>
        <w:t>https://ajbasweb.com/old/ajbas/2014/Special%2013/245-253.pdf</w:t>
      </w:r>
      <w:r w:rsidRPr="0068534F">
        <w:rPr>
          <w:rFonts w:ascii="Calibri Light" w:hAnsi="Calibri Light" w:cs="Calibri Light"/>
          <w:sz w:val="24"/>
        </w:rPr>
        <w:t>.</w:t>
      </w:r>
    </w:p>
    <w:p w14:paraId="1E139EF9" w14:textId="3D996F59"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Priyono. (2013). Redenomination</w:t>
      </w:r>
      <w:r w:rsidR="005B3038">
        <w:rPr>
          <w:rFonts w:ascii="Calibri Light" w:hAnsi="Calibri Light" w:cs="Calibri Light"/>
          <w:sz w:val="24"/>
          <w:lang w:val="en-US"/>
        </w:rPr>
        <w:t>:</w:t>
      </w:r>
      <w:r w:rsidRPr="0068534F">
        <w:rPr>
          <w:rFonts w:ascii="Calibri Light" w:hAnsi="Calibri Light" w:cs="Calibri Light"/>
          <w:sz w:val="24"/>
        </w:rPr>
        <w:t xml:space="preserve"> Between Hope and Reality</w:t>
      </w:r>
      <w:r w:rsidR="005B3038">
        <w:rPr>
          <w:rFonts w:ascii="Calibri Light" w:hAnsi="Calibri Light" w:cs="Calibri Light"/>
          <w:sz w:val="24"/>
          <w:lang w:val="en-US"/>
        </w:rPr>
        <w:t xml:space="preserve"> </w:t>
      </w:r>
      <w:r w:rsidRPr="0068534F">
        <w:rPr>
          <w:rFonts w:ascii="Calibri Light" w:hAnsi="Calibri Light" w:cs="Calibri Light"/>
          <w:sz w:val="24"/>
        </w:rPr>
        <w:t xml:space="preserve">(The study of the implementation of the Redenomination in Indonesia. </w:t>
      </w:r>
      <w:r w:rsidRPr="0068534F">
        <w:rPr>
          <w:rFonts w:ascii="Calibri Light" w:hAnsi="Calibri Light" w:cs="Calibri Light"/>
          <w:i/>
          <w:iCs/>
          <w:sz w:val="24"/>
        </w:rPr>
        <w:t>International Journal of Business and Management InventionI</w:t>
      </w:r>
      <w:r w:rsidRPr="0068534F">
        <w:rPr>
          <w:rFonts w:ascii="Calibri Light" w:hAnsi="Calibri Light" w:cs="Calibri Light"/>
          <w:sz w:val="24"/>
        </w:rPr>
        <w:t xml:space="preserve">, </w:t>
      </w:r>
      <w:r w:rsidRPr="0068534F">
        <w:rPr>
          <w:rFonts w:ascii="Calibri Light" w:hAnsi="Calibri Light" w:cs="Calibri Light"/>
          <w:i/>
          <w:iCs/>
          <w:sz w:val="24"/>
        </w:rPr>
        <w:t>2</w:t>
      </w:r>
      <w:r w:rsidRPr="0068534F">
        <w:rPr>
          <w:rFonts w:ascii="Calibri Light" w:hAnsi="Calibri Light" w:cs="Calibri Light"/>
          <w:sz w:val="24"/>
        </w:rPr>
        <w:t>(4), 36–40. https://www.researchgate.net/publication/290086095_Redenomination_Between_Hope_and_Reality_The_study_of_the_implementation_of_the_Redenomination_in_Indonesia</w:t>
      </w:r>
    </w:p>
    <w:p w14:paraId="71C6852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Purnama, M. D., Aisyah, I. T. N., Rasyidah, S. A., Juniati, D., &amp; Yulistina, F. (2024). Aplikasi Topologi Jaringan Pada Akun Twitter Paling Berpengaruh Terkait Redenominasi Rupiah dengan Metode SNA. </w:t>
      </w:r>
      <w:r w:rsidRPr="0068534F">
        <w:rPr>
          <w:rFonts w:ascii="Calibri Light" w:hAnsi="Calibri Light" w:cs="Calibri Light"/>
          <w:i/>
          <w:iCs/>
          <w:sz w:val="24"/>
        </w:rPr>
        <w:t>MATHunesa: Jurnal Ilmiah Matematika</w:t>
      </w:r>
      <w:r w:rsidRPr="0068534F">
        <w:rPr>
          <w:rFonts w:ascii="Calibri Light" w:hAnsi="Calibri Light" w:cs="Calibri Light"/>
          <w:sz w:val="24"/>
        </w:rPr>
        <w:t xml:space="preserve">, </w:t>
      </w:r>
      <w:r w:rsidRPr="0068534F">
        <w:rPr>
          <w:rFonts w:ascii="Calibri Light" w:hAnsi="Calibri Light" w:cs="Calibri Light"/>
          <w:i/>
          <w:iCs/>
          <w:sz w:val="24"/>
        </w:rPr>
        <w:t>12</w:t>
      </w:r>
      <w:r w:rsidRPr="0068534F">
        <w:rPr>
          <w:rFonts w:ascii="Calibri Light" w:hAnsi="Calibri Light" w:cs="Calibri Light"/>
          <w:sz w:val="24"/>
        </w:rPr>
        <w:t>(1), 141–148. https://doi.org/10.26740/mathunesa.v12n1.p141-148</w:t>
      </w:r>
    </w:p>
    <w:p w14:paraId="67EE388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Purwanti, D. (2018). </w:t>
      </w:r>
      <w:r w:rsidRPr="0068534F">
        <w:rPr>
          <w:rFonts w:ascii="Calibri Light" w:hAnsi="Calibri Light" w:cs="Calibri Light"/>
          <w:i/>
          <w:iCs/>
          <w:sz w:val="24"/>
        </w:rPr>
        <w:t>Analisis Faktor-Faktor yang Mempengaruhi Nilai Tukar Rupiah terhadap Dolar Amerika Aplikasi Teori Purchasing Power Parity (PPP)</w:t>
      </w:r>
      <w:r w:rsidRPr="0068534F">
        <w:rPr>
          <w:rFonts w:ascii="Calibri Light" w:hAnsi="Calibri Light" w:cs="Calibri Light"/>
          <w:sz w:val="24"/>
        </w:rPr>
        <w:t xml:space="preserve"> [Doctoral Dissertation, Universitas Muhammadiyah Surakarta]. https://eprints.ums.ac.id/61344/</w:t>
      </w:r>
    </w:p>
    <w:p w14:paraId="38FC52EA" w14:textId="77777777" w:rsidR="0068534F" w:rsidRPr="0068534F" w:rsidRDefault="0068534F" w:rsidP="00CF6D3F">
      <w:pPr>
        <w:pStyle w:val="ListParagraph"/>
        <w:widowControl w:val="0"/>
        <w:numPr>
          <w:ilvl w:val="0"/>
          <w:numId w:val="33"/>
        </w:numPr>
        <w:tabs>
          <w:tab w:val="left" w:pos="851"/>
        </w:tabs>
        <w:adjustRightInd w:val="0"/>
        <w:spacing w:after="0"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Rachman, F. (2023, June 22). BI Siap Lakukan Redenominasi Rupiah, Tapi Tidak Sekarang”. </w:t>
      </w:r>
      <w:r w:rsidRPr="0068534F">
        <w:rPr>
          <w:rFonts w:ascii="Calibri Light" w:hAnsi="Calibri Light" w:cs="Calibri Light"/>
          <w:i/>
          <w:iCs/>
          <w:sz w:val="24"/>
        </w:rPr>
        <w:t>Valid News</w:t>
      </w:r>
      <w:r w:rsidRPr="0068534F">
        <w:rPr>
          <w:rFonts w:ascii="Calibri Light" w:hAnsi="Calibri Light" w:cs="Calibri Light"/>
          <w:sz w:val="24"/>
        </w:rPr>
        <w:t>. https://validnews.id/ekonomi/bi-siap-lakukan-redenominasi-</w:t>
      </w:r>
      <w:r w:rsidRPr="0068534F">
        <w:rPr>
          <w:rFonts w:ascii="Calibri Light" w:hAnsi="Calibri Light" w:cs="Calibri Light"/>
          <w:sz w:val="24"/>
        </w:rPr>
        <w:lastRenderedPageBreak/>
        <w:t>rupiah-tapi-tidak-sekarang</w:t>
      </w:r>
    </w:p>
    <w:p w14:paraId="663083BA" w14:textId="6D5E1E57" w:rsidR="00CF6D3F" w:rsidRDefault="0068534F" w:rsidP="00CF6D3F">
      <w:pPr>
        <w:widowControl w:val="0"/>
        <w:numPr>
          <w:ilvl w:val="0"/>
          <w:numId w:val="33"/>
        </w:numPr>
        <w:tabs>
          <w:tab w:val="left" w:pos="851"/>
        </w:tabs>
        <w:adjustRightInd w:val="0"/>
        <w:spacing w:line="360" w:lineRule="auto"/>
        <w:ind w:left="850" w:hanging="493"/>
        <w:contextualSpacing/>
        <w:jc w:val="both"/>
        <w:rPr>
          <w:rFonts w:ascii="Calibri Light" w:hAnsi="Calibri Light" w:cs="Calibri Light"/>
          <w:noProof/>
          <w:sz w:val="24"/>
          <w:szCs w:val="24"/>
          <w:lang w:val="fi-FI"/>
        </w:rPr>
      </w:pPr>
      <w:r w:rsidRPr="0068534F">
        <w:rPr>
          <w:rFonts w:ascii="Calibri Light" w:hAnsi="Calibri Light" w:cs="Calibri Light"/>
          <w:sz w:val="24"/>
        </w:rPr>
        <w:t xml:space="preserve">Rachmawati, M. H., &amp; Nugroho, M. A. (2022). Penggunaan Mata Uang Asing Dalam Praktik Jual-Beli Di Indonesia Menurut Undang-Undang Nomor 7 Tahun 2011 Tentang Mata Uang. </w:t>
      </w:r>
      <w:r w:rsidRPr="0068534F">
        <w:rPr>
          <w:rFonts w:ascii="Calibri Light" w:hAnsi="Calibri Light" w:cs="Calibri Light"/>
          <w:i/>
          <w:iCs/>
          <w:sz w:val="24"/>
        </w:rPr>
        <w:t>PALAR (Pakuan Law Review)</w:t>
      </w:r>
      <w:r w:rsidR="00CF6D3F" w:rsidRPr="00F70DAF">
        <w:rPr>
          <w:rFonts w:ascii="Calibri Light" w:hAnsi="Calibri Light" w:cs="Calibri Light"/>
          <w:i/>
          <w:iCs/>
          <w:sz w:val="24"/>
          <w:szCs w:val="24"/>
          <w:shd w:val="clear" w:color="auto" w:fill="FFFFFF"/>
        </w:rPr>
        <w:t>,</w:t>
      </w:r>
      <w:r w:rsidR="00CF6D3F" w:rsidRPr="00F70DAF">
        <w:rPr>
          <w:rFonts w:ascii="Calibri Light" w:hAnsi="Calibri Light" w:cs="Calibri Light"/>
          <w:sz w:val="24"/>
          <w:szCs w:val="24"/>
          <w:shd w:val="clear" w:color="auto" w:fill="FFFFFF"/>
        </w:rPr>
        <w:t> </w:t>
      </w:r>
      <w:r w:rsidR="00CF6D3F" w:rsidRPr="00F70DAF">
        <w:rPr>
          <w:rFonts w:ascii="Calibri Light" w:hAnsi="Calibri Light" w:cs="Calibri Light"/>
          <w:i/>
          <w:iCs/>
          <w:sz w:val="24"/>
          <w:szCs w:val="24"/>
          <w:shd w:val="clear" w:color="auto" w:fill="FFFFFF"/>
        </w:rPr>
        <w:t>8(</w:t>
      </w:r>
      <w:r w:rsidR="00CF6D3F" w:rsidRPr="00F70DAF">
        <w:rPr>
          <w:rFonts w:ascii="Calibri Light" w:hAnsi="Calibri Light" w:cs="Calibri Light"/>
          <w:sz w:val="24"/>
          <w:szCs w:val="24"/>
          <w:shd w:val="clear" w:color="auto" w:fill="FFFFFF"/>
        </w:rPr>
        <w:t xml:space="preserve">4), 12-22. </w:t>
      </w:r>
      <w:r w:rsidR="00CF6D3F" w:rsidRPr="00CF6D3F">
        <w:rPr>
          <w:rFonts w:ascii="Calibri Light" w:hAnsi="Calibri Light" w:cs="Calibri Light"/>
          <w:sz w:val="24"/>
          <w:szCs w:val="24"/>
          <w:shd w:val="clear" w:color="auto" w:fill="FFFFFF"/>
        </w:rPr>
        <w:t>https://journal.unpak.ac.id/index.php/palar/article/view/5973/0</w:t>
      </w:r>
    </w:p>
    <w:p w14:paraId="49A7C0A8" w14:textId="626725F2" w:rsidR="0068534F" w:rsidRPr="0068534F" w:rsidRDefault="0068534F" w:rsidP="00CF6D3F">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Rafika, A. T., Iriyanto, E., &amp; Nugroho, F. M. (2022). Perlindungan Hukum Pidana Terhadap Transaksi Yang Mempunyai Tujuan Pembayaran Menggunakan Mata Uang Rupiah Di Indonesia. </w:t>
      </w:r>
      <w:r w:rsidRPr="0068534F">
        <w:rPr>
          <w:rFonts w:ascii="Calibri Light" w:hAnsi="Calibri Light" w:cs="Calibri Light"/>
          <w:i/>
          <w:iCs/>
          <w:sz w:val="24"/>
        </w:rPr>
        <w:t>Journal Economic &amp; Business Law Review</w:t>
      </w:r>
      <w:r w:rsidRPr="0068534F">
        <w:rPr>
          <w:rFonts w:ascii="Calibri Light" w:hAnsi="Calibri Light" w:cs="Calibri Light"/>
          <w:sz w:val="24"/>
        </w:rPr>
        <w:t xml:space="preserve">, </w:t>
      </w:r>
      <w:r w:rsidRPr="0068534F">
        <w:rPr>
          <w:rFonts w:ascii="Calibri Light" w:hAnsi="Calibri Light" w:cs="Calibri Light"/>
          <w:i/>
          <w:iCs/>
          <w:sz w:val="24"/>
        </w:rPr>
        <w:t>2</w:t>
      </w:r>
      <w:r w:rsidRPr="0068534F">
        <w:rPr>
          <w:rFonts w:ascii="Calibri Light" w:hAnsi="Calibri Light" w:cs="Calibri Light"/>
          <w:sz w:val="24"/>
        </w:rPr>
        <w:t>(2), 145</w:t>
      </w:r>
      <w:r w:rsidR="00670E37">
        <w:rPr>
          <w:rFonts w:ascii="Calibri Light" w:hAnsi="Calibri Light" w:cs="Calibri Light"/>
          <w:sz w:val="24"/>
          <w:lang w:val="en-US"/>
        </w:rPr>
        <w:t>-168</w:t>
      </w:r>
      <w:r w:rsidRPr="0068534F">
        <w:rPr>
          <w:rFonts w:ascii="Calibri Light" w:hAnsi="Calibri Light" w:cs="Calibri Light"/>
          <w:sz w:val="24"/>
        </w:rPr>
        <w:t>. https://doi.org/10.19184/jeblr.v2i2.28987</w:t>
      </w:r>
    </w:p>
    <w:p w14:paraId="4396BA8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Ramandhita, A. D. (2025, March 1). Rupiah Anjlok ke Level Terendah Sejak Krismon 1998 dan Covid-19. </w:t>
      </w:r>
      <w:r w:rsidRPr="0068534F">
        <w:rPr>
          <w:rFonts w:ascii="Calibri Light" w:hAnsi="Calibri Light" w:cs="Calibri Light"/>
          <w:i/>
          <w:iCs/>
          <w:sz w:val="24"/>
        </w:rPr>
        <w:t>Rmol.Id</w:t>
      </w:r>
      <w:r w:rsidRPr="0068534F">
        <w:rPr>
          <w:rFonts w:ascii="Calibri Light" w:hAnsi="Calibri Light" w:cs="Calibri Light"/>
          <w:sz w:val="24"/>
        </w:rPr>
        <w:t>. https://rmol.id/bisnis/read/2025/03/01/658192/rupiah-anjlok-ke-level-terendah-sejak-krismon-1998-dan-covid-19.</w:t>
      </w:r>
    </w:p>
    <w:p w14:paraId="087DE007" w14:textId="13F91DC3"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Rawls, J. (1999). </w:t>
      </w:r>
      <w:r w:rsidRPr="00B74AF1">
        <w:rPr>
          <w:rFonts w:ascii="Calibri Light" w:hAnsi="Calibri Light" w:cs="Calibri Light"/>
          <w:i/>
          <w:iCs/>
          <w:sz w:val="24"/>
        </w:rPr>
        <w:t>Theory of justice. Revised Edition</w:t>
      </w:r>
      <w:r w:rsidRPr="0068534F">
        <w:rPr>
          <w:rFonts w:ascii="Calibri Light" w:hAnsi="Calibri Light" w:cs="Calibri Light"/>
          <w:sz w:val="24"/>
        </w:rPr>
        <w:t xml:space="preserve">. </w:t>
      </w:r>
      <w:r w:rsidR="00B74AF1">
        <w:rPr>
          <w:rFonts w:ascii="Calibri Light" w:hAnsi="Calibri Light" w:cs="Calibri Light"/>
          <w:sz w:val="24"/>
          <w:lang w:val="en-US"/>
        </w:rPr>
        <w:t>Harvard University Press.</w:t>
      </w:r>
    </w:p>
    <w:p w14:paraId="60081501"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Rini, A. S. (2020, July 7). ). Sri Mulyani Kembali Gagas Redenominasi, Rp 1.000 Jadi Rp 1. Kapan? </w:t>
      </w:r>
      <w:r w:rsidRPr="0068534F">
        <w:rPr>
          <w:rFonts w:ascii="Calibri Light" w:hAnsi="Calibri Light" w:cs="Calibri Light"/>
          <w:i/>
          <w:iCs/>
          <w:sz w:val="24"/>
        </w:rPr>
        <w:t>Ekonomi Bisnis</w:t>
      </w:r>
      <w:r w:rsidRPr="0068534F">
        <w:rPr>
          <w:rFonts w:ascii="Calibri Light" w:hAnsi="Calibri Light" w:cs="Calibri Light"/>
          <w:sz w:val="24"/>
        </w:rPr>
        <w:t>. https://ekonomi.bisnis.com/read/20200707/9/1262485/sri-mulyani-kembali-gagas-redenominasi-rp1.000-jadi-rp1.-kapan</w:t>
      </w:r>
    </w:p>
    <w:p w14:paraId="311AA480"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Riyono, J., Pujiastuti, C. E., &amp; Riyana Putri, A. L. (2022). Forecasting Laju Inflasi Indonesia Menggunakan Rantai Markov. </w:t>
      </w:r>
      <w:r w:rsidRPr="0068534F">
        <w:rPr>
          <w:rFonts w:ascii="Calibri Light" w:hAnsi="Calibri Light" w:cs="Calibri Light"/>
          <w:i/>
          <w:iCs/>
          <w:sz w:val="24"/>
        </w:rPr>
        <w:t>Jurnal Sains Matematika Dan Statistika</w:t>
      </w:r>
      <w:r w:rsidRPr="0068534F">
        <w:rPr>
          <w:rFonts w:ascii="Calibri Light" w:hAnsi="Calibri Light" w:cs="Calibri Light"/>
          <w:sz w:val="24"/>
        </w:rPr>
        <w:t xml:space="preserve">, </w:t>
      </w:r>
      <w:r w:rsidRPr="0068534F">
        <w:rPr>
          <w:rFonts w:ascii="Calibri Light" w:hAnsi="Calibri Light" w:cs="Calibri Light"/>
          <w:i/>
          <w:iCs/>
          <w:sz w:val="24"/>
        </w:rPr>
        <w:t>8</w:t>
      </w:r>
      <w:r w:rsidRPr="0068534F">
        <w:rPr>
          <w:rFonts w:ascii="Calibri Light" w:hAnsi="Calibri Light" w:cs="Calibri Light"/>
          <w:sz w:val="24"/>
        </w:rPr>
        <w:t>(1), 1. https://doi.org/10.24014/jsms.v8i1.14767</w:t>
      </w:r>
    </w:p>
    <w:p w14:paraId="662593DF" w14:textId="226DDA72"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Roberts, J. K., Pavlakis, A. E., &amp; Richards, M. P. (2021). It’s More Complicated Than It Seems: Virtual Qualitative Research in the COVID-19 Era. </w:t>
      </w:r>
      <w:r w:rsidRPr="0068534F">
        <w:rPr>
          <w:rFonts w:ascii="Calibri Light" w:hAnsi="Calibri Light" w:cs="Calibri Light"/>
          <w:i/>
          <w:iCs/>
          <w:sz w:val="24"/>
        </w:rPr>
        <w:t>International Journal of Qualitative Methods</w:t>
      </w:r>
      <w:r w:rsidRPr="0068534F">
        <w:rPr>
          <w:rFonts w:ascii="Calibri Light" w:hAnsi="Calibri Light" w:cs="Calibri Light"/>
          <w:sz w:val="24"/>
        </w:rPr>
        <w:t xml:space="preserve">, </w:t>
      </w:r>
      <w:r w:rsidRPr="0068534F">
        <w:rPr>
          <w:rFonts w:ascii="Calibri Light" w:hAnsi="Calibri Light" w:cs="Calibri Light"/>
          <w:i/>
          <w:iCs/>
          <w:sz w:val="24"/>
        </w:rPr>
        <w:t>20</w:t>
      </w:r>
      <w:r w:rsidR="009D76A2">
        <w:rPr>
          <w:rFonts w:ascii="Calibri Light" w:hAnsi="Calibri Light" w:cs="Calibri Light"/>
          <w:i/>
          <w:iCs/>
          <w:sz w:val="24"/>
          <w:lang w:val="en-US"/>
        </w:rPr>
        <w:t xml:space="preserve">, </w:t>
      </w:r>
      <w:r w:rsidR="009D76A2">
        <w:rPr>
          <w:rFonts w:ascii="Calibri Light" w:hAnsi="Calibri Light" w:cs="Calibri Light"/>
          <w:sz w:val="24"/>
          <w:lang w:val="en-US"/>
        </w:rPr>
        <w:t>1-13</w:t>
      </w:r>
      <w:r w:rsidRPr="0068534F">
        <w:rPr>
          <w:rFonts w:ascii="Calibri Light" w:hAnsi="Calibri Light" w:cs="Calibri Light"/>
          <w:sz w:val="24"/>
        </w:rPr>
        <w:t>. https://doi.org/10.1177/16094069211002959</w:t>
      </w:r>
    </w:p>
    <w:p w14:paraId="4AA6B5E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Rogoff, K. (1985). The Optimal Degree of Commitment to an Intermediate Monetary Target. </w:t>
      </w:r>
      <w:r w:rsidRPr="0068534F">
        <w:rPr>
          <w:rFonts w:ascii="Calibri Light" w:hAnsi="Calibri Light" w:cs="Calibri Light"/>
          <w:i/>
          <w:iCs/>
          <w:sz w:val="24"/>
        </w:rPr>
        <w:t>The Quarterly Journal of Economics</w:t>
      </w:r>
      <w:r w:rsidRPr="0068534F">
        <w:rPr>
          <w:rFonts w:ascii="Calibri Light" w:hAnsi="Calibri Light" w:cs="Calibri Light"/>
          <w:sz w:val="24"/>
        </w:rPr>
        <w:t xml:space="preserve">, </w:t>
      </w:r>
      <w:r w:rsidRPr="0068534F">
        <w:rPr>
          <w:rFonts w:ascii="Calibri Light" w:hAnsi="Calibri Light" w:cs="Calibri Light"/>
          <w:i/>
          <w:iCs/>
          <w:sz w:val="24"/>
        </w:rPr>
        <w:t>100</w:t>
      </w:r>
      <w:r w:rsidRPr="0068534F">
        <w:rPr>
          <w:rFonts w:ascii="Calibri Light" w:hAnsi="Calibri Light" w:cs="Calibri Light"/>
          <w:sz w:val="24"/>
        </w:rPr>
        <w:t>(4), 1169. https://doi.org/10.2307/1885679</w:t>
      </w:r>
    </w:p>
    <w:p w14:paraId="789CCA89" w14:textId="2984C8C4"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Schlegel, E. C., Tate, J. A., Pickler, R. H., &amp; Smith, L. H. (2021). Practical strategies for qualitative inquiry in a virtual world. </w:t>
      </w:r>
      <w:r w:rsidRPr="0068534F">
        <w:rPr>
          <w:rFonts w:ascii="Calibri Light" w:hAnsi="Calibri Light" w:cs="Calibri Light"/>
          <w:i/>
          <w:iCs/>
          <w:sz w:val="24"/>
        </w:rPr>
        <w:t>Journal of Advanced Nursing</w:t>
      </w:r>
      <w:r w:rsidRPr="0068534F">
        <w:rPr>
          <w:rFonts w:ascii="Calibri Light" w:hAnsi="Calibri Light" w:cs="Calibri Light"/>
          <w:sz w:val="24"/>
        </w:rPr>
        <w:t xml:space="preserve">, </w:t>
      </w:r>
      <w:r w:rsidRPr="0068534F">
        <w:rPr>
          <w:rFonts w:ascii="Calibri Light" w:hAnsi="Calibri Light" w:cs="Calibri Light"/>
          <w:i/>
          <w:iCs/>
          <w:sz w:val="24"/>
        </w:rPr>
        <w:t>77</w:t>
      </w:r>
      <w:r w:rsidRPr="0068534F">
        <w:rPr>
          <w:rFonts w:ascii="Calibri Light" w:hAnsi="Calibri Light" w:cs="Calibri Light"/>
          <w:sz w:val="24"/>
        </w:rPr>
        <w:t>(10), 4035–4044. https://doi.org/10.1111/jan.15000</w:t>
      </w:r>
      <w:r w:rsidR="00B74AF1">
        <w:rPr>
          <w:rFonts w:ascii="Calibri Light" w:hAnsi="Calibri Light" w:cs="Calibri Light"/>
          <w:sz w:val="24"/>
          <w:lang w:val="en-US"/>
        </w:rPr>
        <w:t xml:space="preserve"> </w:t>
      </w:r>
    </w:p>
    <w:p w14:paraId="3212DA63" w14:textId="5D731B25"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Sihwinart, D., Dewa, I., &amp; Sutedja, M. (2023). </w:t>
      </w:r>
      <w:r w:rsidRPr="0068534F">
        <w:rPr>
          <w:rFonts w:ascii="Calibri Light" w:hAnsi="Calibri Light" w:cs="Calibri Light"/>
          <w:i/>
          <w:iCs/>
          <w:sz w:val="24"/>
        </w:rPr>
        <w:t xml:space="preserve">Wacana Redenominasi Kaitanya Uang </w:t>
      </w:r>
      <w:r w:rsidRPr="0068534F">
        <w:rPr>
          <w:rFonts w:ascii="Calibri Light" w:hAnsi="Calibri Light" w:cs="Calibri Light"/>
          <w:i/>
          <w:iCs/>
          <w:sz w:val="24"/>
        </w:rPr>
        <w:lastRenderedPageBreak/>
        <w:t>Rupiah Baru Di Indonesia</w:t>
      </w:r>
      <w:r w:rsidRPr="0068534F">
        <w:rPr>
          <w:rFonts w:ascii="Calibri Light" w:hAnsi="Calibri Light" w:cs="Calibri Light"/>
          <w:sz w:val="24"/>
        </w:rPr>
        <w:t>. Online) SENADA</w:t>
      </w:r>
      <w:r w:rsidR="00B74AF1">
        <w:rPr>
          <w:rFonts w:ascii="Calibri Light" w:hAnsi="Calibri Light" w:cs="Calibri Light"/>
          <w:sz w:val="24"/>
          <w:lang w:val="en-US"/>
        </w:rPr>
        <w:t xml:space="preserve"> </w:t>
      </w:r>
      <w:r w:rsidR="00B74AF1" w:rsidRPr="00B941E2">
        <w:rPr>
          <w:rFonts w:ascii="Calibri Light" w:hAnsi="Calibri Light" w:cs="Calibri Light"/>
          <w:i/>
          <w:iCs/>
          <w:sz w:val="24"/>
          <w:szCs w:val="24"/>
        </w:rPr>
        <w:t>(Seminar Nasional Manajemen, Desain Dan Aplikasi Bisnis Teknologi)</w:t>
      </w:r>
      <w:r w:rsidR="00B74AF1" w:rsidRPr="00B941E2">
        <w:rPr>
          <w:rFonts w:ascii="Calibri Light" w:hAnsi="Calibri Light" w:cs="Calibri Light"/>
          <w:sz w:val="24"/>
          <w:szCs w:val="24"/>
        </w:rPr>
        <w:t>, </w:t>
      </w:r>
      <w:r w:rsidR="00B74AF1" w:rsidRPr="00B941E2">
        <w:rPr>
          <w:rFonts w:ascii="Calibri Light" w:hAnsi="Calibri Light" w:cs="Calibri Light"/>
          <w:i/>
          <w:iCs/>
          <w:sz w:val="24"/>
          <w:szCs w:val="24"/>
        </w:rPr>
        <w:t>6</w:t>
      </w:r>
      <w:r w:rsidR="00B74AF1" w:rsidRPr="00B941E2">
        <w:rPr>
          <w:rFonts w:ascii="Calibri Light" w:hAnsi="Calibri Light" w:cs="Calibri Light"/>
          <w:sz w:val="24"/>
          <w:szCs w:val="24"/>
        </w:rPr>
        <w:t xml:space="preserve">, 304–309. Retrieved from </w:t>
      </w:r>
      <w:r w:rsidR="00B74AF1" w:rsidRPr="00B74AF1">
        <w:rPr>
          <w:rFonts w:ascii="Calibri Light" w:hAnsi="Calibri Light" w:cs="Calibri Light"/>
          <w:sz w:val="24"/>
          <w:szCs w:val="24"/>
        </w:rPr>
        <w:t>https://eprosiding.idbbali.ac.id/index.php/senada/article/view/769</w:t>
      </w:r>
      <w:r w:rsidRPr="0068534F">
        <w:rPr>
          <w:rFonts w:ascii="Calibri Light" w:hAnsi="Calibri Light" w:cs="Calibri Light"/>
          <w:sz w:val="24"/>
        </w:rPr>
        <w:t>.</w:t>
      </w:r>
    </w:p>
    <w:p w14:paraId="1850E21B" w14:textId="155A04F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Simatupang, B. M. (2023, May 22). Digital Rupiah &amp; Rencana Redenominasi. </w:t>
      </w:r>
      <w:r w:rsidRPr="0068534F">
        <w:rPr>
          <w:rFonts w:ascii="Calibri Light" w:hAnsi="Calibri Light" w:cs="Calibri Light"/>
          <w:i/>
          <w:iCs/>
          <w:sz w:val="24"/>
        </w:rPr>
        <w:t>Bisnis.Com</w:t>
      </w:r>
      <w:r w:rsidRPr="0068534F">
        <w:rPr>
          <w:rFonts w:ascii="Calibri Light" w:hAnsi="Calibri Light" w:cs="Calibri Light"/>
          <w:sz w:val="24"/>
        </w:rPr>
        <w:t>.</w:t>
      </w:r>
      <w:r w:rsidR="00B74AF1">
        <w:rPr>
          <w:rFonts w:ascii="Calibri Light" w:hAnsi="Calibri Light" w:cs="Calibri Light"/>
          <w:sz w:val="24"/>
          <w:lang w:val="en-US"/>
        </w:rPr>
        <w:t xml:space="preserve"> </w:t>
      </w:r>
      <w:r w:rsidR="00B74AF1" w:rsidRPr="00B74AF1">
        <w:rPr>
          <w:rFonts w:ascii="Calibri Light" w:hAnsi="Calibri Light" w:cs="Calibri Light"/>
          <w:sz w:val="24"/>
          <w:szCs w:val="24"/>
          <w:lang w:val="sv-SE"/>
        </w:rPr>
        <w:t>https://ekonomi.bisnis.com/read/20230522/9/1657828/opini-digital-rupiah-rencana-redenominasi</w:t>
      </w:r>
    </w:p>
    <w:p w14:paraId="71FEECFD" w14:textId="390E1813"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Singh, H., Tang, T., Thombs, R., Armas, A., Nie, J. X., Nelson, M. L. A., &amp; Gray, C. S. (2022). Methodological Insights From a Virtual, Team-Based Rapid Qualitative Method Applied to a Study of Providers’ Perspectives of the COVID-19 Pandemic Impact on Hospital-To-Home Transitions. </w:t>
      </w:r>
      <w:r w:rsidRPr="0068534F">
        <w:rPr>
          <w:rFonts w:ascii="Calibri Light" w:hAnsi="Calibri Light" w:cs="Calibri Light"/>
          <w:i/>
          <w:iCs/>
          <w:sz w:val="24"/>
        </w:rPr>
        <w:t>International Journal of Qualitative Methods</w:t>
      </w:r>
      <w:r w:rsidR="009D76A2">
        <w:rPr>
          <w:rFonts w:ascii="Calibri Light" w:hAnsi="Calibri Light" w:cs="Calibri Light"/>
          <w:i/>
          <w:iCs/>
          <w:sz w:val="24"/>
          <w:lang w:val="en-US"/>
        </w:rPr>
        <w:t xml:space="preserve">, 21, </w:t>
      </w:r>
      <w:r w:rsidR="009D76A2">
        <w:rPr>
          <w:rFonts w:ascii="Calibri Light" w:hAnsi="Calibri Light" w:cs="Calibri Light"/>
          <w:sz w:val="24"/>
          <w:lang w:val="en-US"/>
        </w:rPr>
        <w:t>1-15</w:t>
      </w:r>
      <w:r w:rsidRPr="0068534F">
        <w:rPr>
          <w:rFonts w:ascii="Calibri Light" w:hAnsi="Calibri Light" w:cs="Calibri Light"/>
          <w:sz w:val="24"/>
        </w:rPr>
        <w:t>. https://doi.org/10.1177/16094069221107144</w:t>
      </w:r>
    </w:p>
    <w:p w14:paraId="5BD6952D"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Sirait, S. (2022). The Concept of Justice in Islam According to Majid Khadduri. </w:t>
      </w:r>
      <w:r w:rsidRPr="0068534F">
        <w:rPr>
          <w:rFonts w:ascii="Calibri Light" w:hAnsi="Calibri Light" w:cs="Calibri Light"/>
          <w:i/>
          <w:iCs/>
          <w:sz w:val="24"/>
        </w:rPr>
        <w:t>IJISH (International Journal of Islamic Studies and Humanities)</w:t>
      </w:r>
      <w:r w:rsidRPr="0068534F">
        <w:rPr>
          <w:rFonts w:ascii="Calibri Light" w:hAnsi="Calibri Light" w:cs="Calibri Light"/>
          <w:sz w:val="24"/>
        </w:rPr>
        <w:t xml:space="preserve">, </w:t>
      </w:r>
      <w:r w:rsidRPr="0068534F">
        <w:rPr>
          <w:rFonts w:ascii="Calibri Light" w:hAnsi="Calibri Light" w:cs="Calibri Light"/>
          <w:i/>
          <w:iCs/>
          <w:sz w:val="24"/>
        </w:rPr>
        <w:t>5</w:t>
      </w:r>
      <w:r w:rsidRPr="0068534F">
        <w:rPr>
          <w:rFonts w:ascii="Calibri Light" w:hAnsi="Calibri Light" w:cs="Calibri Light"/>
          <w:sz w:val="24"/>
        </w:rPr>
        <w:t>(1), 42–62. https://doi.org/10.26555/ijish.v5i1.4896</w:t>
      </w:r>
    </w:p>
    <w:p w14:paraId="5225D58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Solehudin, M. Y. (2016). </w:t>
      </w:r>
      <w:r w:rsidRPr="0068534F">
        <w:rPr>
          <w:rFonts w:ascii="Calibri Light" w:hAnsi="Calibri Light" w:cs="Calibri Light"/>
          <w:i/>
          <w:iCs/>
          <w:sz w:val="24"/>
        </w:rPr>
        <w:t>Analisis Wacana Redenominasi Mata Uang di Indonesia dalam Perspektif Islam</w:t>
      </w:r>
      <w:r w:rsidRPr="0068534F">
        <w:rPr>
          <w:rFonts w:ascii="Calibri Light" w:hAnsi="Calibri Light" w:cs="Calibri Light"/>
          <w:sz w:val="24"/>
        </w:rPr>
        <w:t xml:space="preserve"> [Thesis, Universitas Muhammadiyah Yogyakarta]. http://repository.umy.ac.id/handle/123456789/8676</w:t>
      </w:r>
    </w:p>
    <w:p w14:paraId="107CC73A"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Sopiah, A. (2023, March 23). Kapan Waktu yang Tepat Bagi RI Ubah Rp 1.000 Jadi Rp 1? </w:t>
      </w:r>
      <w:r w:rsidRPr="0068534F">
        <w:rPr>
          <w:rFonts w:ascii="Calibri Light" w:hAnsi="Calibri Light" w:cs="Calibri Light"/>
          <w:i/>
          <w:iCs/>
          <w:sz w:val="24"/>
        </w:rPr>
        <w:t>CNBC Indonesia</w:t>
      </w:r>
      <w:r w:rsidRPr="0068534F">
        <w:rPr>
          <w:rFonts w:ascii="Calibri Light" w:hAnsi="Calibri Light" w:cs="Calibri Light"/>
          <w:sz w:val="24"/>
        </w:rPr>
        <w:t>. https://www.cnbcindonesia.com/news/20230323073243-4-423877/kapan-waktu-yang-tepat-bagi-ri-ubah-rp-1000-jadi-r</w:t>
      </w:r>
    </w:p>
    <w:p w14:paraId="1DF3BE3C"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Stogdon, E. (2025, January 7). </w:t>
      </w:r>
      <w:r w:rsidRPr="009D76A2">
        <w:rPr>
          <w:rFonts w:ascii="Calibri Light" w:hAnsi="Calibri Light" w:cs="Calibri Light"/>
          <w:sz w:val="24"/>
        </w:rPr>
        <w:t>What are the weakest currencies in the world? (2025)</w:t>
      </w:r>
      <w:r w:rsidRPr="0068534F">
        <w:rPr>
          <w:rFonts w:ascii="Calibri Light" w:hAnsi="Calibri Light" w:cs="Calibri Light"/>
          <w:i/>
          <w:iCs/>
          <w:sz w:val="24"/>
        </w:rPr>
        <w:t xml:space="preserve"> Wise</w:t>
      </w:r>
      <w:r w:rsidRPr="0068534F">
        <w:rPr>
          <w:rFonts w:ascii="Calibri Light" w:hAnsi="Calibri Light" w:cs="Calibri Light"/>
          <w:sz w:val="24"/>
        </w:rPr>
        <w:t>. https://wise.com/gb/blog/weakest-currencies-in-the-world</w:t>
      </w:r>
    </w:p>
    <w:p w14:paraId="2AD5C62F"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Suharti, S., Naufal, M. D., &amp; Paiman, F. L. (2021). Inflation Effect on Unemployment in Indonesia: A Comparative Studies Between Sharia and Conventional Economic Perspectives. </w:t>
      </w:r>
      <w:r w:rsidRPr="0068534F">
        <w:rPr>
          <w:rFonts w:ascii="Calibri Light" w:hAnsi="Calibri Light" w:cs="Calibri Light"/>
          <w:i/>
          <w:iCs/>
          <w:sz w:val="24"/>
        </w:rPr>
        <w:t>JURNAL BISNIS STRATEGI</w:t>
      </w:r>
      <w:r w:rsidRPr="0068534F">
        <w:rPr>
          <w:rFonts w:ascii="Calibri Light" w:hAnsi="Calibri Light" w:cs="Calibri Light"/>
          <w:sz w:val="24"/>
        </w:rPr>
        <w:t xml:space="preserve">, </w:t>
      </w:r>
      <w:r w:rsidRPr="0068534F">
        <w:rPr>
          <w:rFonts w:ascii="Calibri Light" w:hAnsi="Calibri Light" w:cs="Calibri Light"/>
          <w:i/>
          <w:iCs/>
          <w:sz w:val="24"/>
        </w:rPr>
        <w:t>30</w:t>
      </w:r>
      <w:r w:rsidRPr="0068534F">
        <w:rPr>
          <w:rFonts w:ascii="Calibri Light" w:hAnsi="Calibri Light" w:cs="Calibri Light"/>
          <w:sz w:val="24"/>
        </w:rPr>
        <w:t>(2), 127–138. https://doi.org/10.14710/jbs.30.2.127-138</w:t>
      </w:r>
    </w:p>
    <w:p w14:paraId="6620D05D" w14:textId="7483C21B"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Sukirno, S. (2016). </w:t>
      </w:r>
      <w:r w:rsidRPr="0006239C">
        <w:rPr>
          <w:rFonts w:ascii="Calibri Light" w:hAnsi="Calibri Light" w:cs="Calibri Light"/>
          <w:i/>
          <w:iCs/>
          <w:sz w:val="24"/>
        </w:rPr>
        <w:t>Teori Pengantar Makroekonomi.</w:t>
      </w:r>
      <w:r w:rsidRPr="0068534F">
        <w:rPr>
          <w:rFonts w:ascii="Calibri Light" w:hAnsi="Calibri Light" w:cs="Calibri Light"/>
          <w:sz w:val="24"/>
        </w:rPr>
        <w:t xml:space="preserve"> </w:t>
      </w:r>
      <w:r w:rsidRPr="0006239C">
        <w:rPr>
          <w:rFonts w:ascii="Calibri Light" w:hAnsi="Calibri Light" w:cs="Calibri Light"/>
          <w:sz w:val="24"/>
        </w:rPr>
        <w:t>Rajawali Press.</w:t>
      </w:r>
    </w:p>
    <w:p w14:paraId="13E67114"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Sy, M., O’Leary, N., Nagraj, S., El-Awaisi, A., O’Carroll, V., &amp; Xyrichis, A. (2020). Doing interprofessional research in the COVID-19 era: a discussion paper. </w:t>
      </w:r>
      <w:r w:rsidRPr="0068534F">
        <w:rPr>
          <w:rFonts w:ascii="Calibri Light" w:hAnsi="Calibri Light" w:cs="Calibri Light"/>
          <w:i/>
          <w:iCs/>
          <w:sz w:val="24"/>
        </w:rPr>
        <w:t>Journal of Interprofessional Care</w:t>
      </w:r>
      <w:r w:rsidRPr="0068534F">
        <w:rPr>
          <w:rFonts w:ascii="Calibri Light" w:hAnsi="Calibri Light" w:cs="Calibri Light"/>
          <w:sz w:val="24"/>
        </w:rPr>
        <w:t xml:space="preserve">, </w:t>
      </w:r>
      <w:r w:rsidRPr="0068534F">
        <w:rPr>
          <w:rFonts w:ascii="Calibri Light" w:hAnsi="Calibri Light" w:cs="Calibri Light"/>
          <w:i/>
          <w:iCs/>
          <w:sz w:val="24"/>
        </w:rPr>
        <w:t>34</w:t>
      </w:r>
      <w:r w:rsidRPr="0068534F">
        <w:rPr>
          <w:rFonts w:ascii="Calibri Light" w:hAnsi="Calibri Light" w:cs="Calibri Light"/>
          <w:sz w:val="24"/>
        </w:rPr>
        <w:t xml:space="preserve">(5), 600–606. </w:t>
      </w:r>
      <w:r w:rsidRPr="0068534F">
        <w:rPr>
          <w:rFonts w:ascii="Calibri Light" w:hAnsi="Calibri Light" w:cs="Calibri Light"/>
          <w:sz w:val="24"/>
        </w:rPr>
        <w:lastRenderedPageBreak/>
        <w:t>https://doi.org/10.1080/13561820.2020.1791808</w:t>
      </w:r>
    </w:p>
    <w:p w14:paraId="0A8CD852" w14:textId="77777777" w:rsidR="0068534F" w:rsidRPr="0068534F" w:rsidRDefault="0068534F" w:rsidP="00442E0E">
      <w:pPr>
        <w:pStyle w:val="ListParagraph"/>
        <w:widowControl w:val="0"/>
        <w:numPr>
          <w:ilvl w:val="0"/>
          <w:numId w:val="33"/>
        </w:numPr>
        <w:tabs>
          <w:tab w:val="left" w:pos="851"/>
        </w:tabs>
        <w:adjustRightInd w:val="0"/>
        <w:spacing w:line="360" w:lineRule="auto"/>
        <w:ind w:left="850" w:hanging="493"/>
        <w:jc w:val="both"/>
        <w:rPr>
          <w:rFonts w:ascii="Calibri Light" w:hAnsi="Calibri Light" w:cs="Calibri Light"/>
          <w:sz w:val="24"/>
        </w:rPr>
      </w:pPr>
      <w:r w:rsidRPr="0068534F">
        <w:rPr>
          <w:rFonts w:ascii="Calibri Light" w:hAnsi="Calibri Light" w:cs="Calibri Light"/>
          <w:sz w:val="24"/>
        </w:rPr>
        <w:t xml:space="preserve">Syurkani, P. (2017, July 18). DPR Sudah Dukung Pembahasan RUU Redenominasi Rupiah. </w:t>
      </w:r>
      <w:r w:rsidRPr="0068534F">
        <w:rPr>
          <w:rFonts w:ascii="Calibri Light" w:hAnsi="Calibri Light" w:cs="Calibri Light"/>
          <w:i/>
          <w:iCs/>
          <w:sz w:val="24"/>
        </w:rPr>
        <w:t>Media Indonesia</w:t>
      </w:r>
      <w:r w:rsidRPr="0068534F">
        <w:rPr>
          <w:rFonts w:ascii="Calibri Light" w:hAnsi="Calibri Light" w:cs="Calibri Light"/>
          <w:sz w:val="24"/>
        </w:rPr>
        <w:t>. https://mediaindonesia.com/ekonomi/113450/dpr-sudah-dukung-pembahasan-ruu-redenominasi-rupiah</w:t>
      </w:r>
    </w:p>
    <w:p w14:paraId="58538346" w14:textId="77777777" w:rsidR="0068534F" w:rsidRPr="0068534F" w:rsidRDefault="0068534F" w:rsidP="008F6D61">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Thanh, S. D. (2015). Threshold effects of inflation on growth in the ASEAN-5 countries: A Panel Smooth Transition Regression approach. </w:t>
      </w:r>
      <w:r w:rsidRPr="0068534F">
        <w:rPr>
          <w:rFonts w:ascii="Calibri Light" w:hAnsi="Calibri Light" w:cs="Calibri Light"/>
          <w:i/>
          <w:iCs/>
          <w:sz w:val="24"/>
        </w:rPr>
        <w:t>Journal of Economics, Finance and Administrative Science</w:t>
      </w:r>
      <w:r w:rsidRPr="0068534F">
        <w:rPr>
          <w:rFonts w:ascii="Calibri Light" w:hAnsi="Calibri Light" w:cs="Calibri Light"/>
          <w:sz w:val="24"/>
        </w:rPr>
        <w:t xml:space="preserve">, </w:t>
      </w:r>
      <w:r w:rsidRPr="0068534F">
        <w:rPr>
          <w:rFonts w:ascii="Calibri Light" w:hAnsi="Calibri Light" w:cs="Calibri Light"/>
          <w:i/>
          <w:iCs/>
          <w:sz w:val="24"/>
        </w:rPr>
        <w:t>20</w:t>
      </w:r>
      <w:r w:rsidRPr="0068534F">
        <w:rPr>
          <w:rFonts w:ascii="Calibri Light" w:hAnsi="Calibri Light" w:cs="Calibri Light"/>
          <w:sz w:val="24"/>
        </w:rPr>
        <w:t>(38), 41–48. https://doi.org/10.1016/j.jefas.2015.01.003</w:t>
      </w:r>
    </w:p>
    <w:p w14:paraId="52F2F4BD" w14:textId="6034BE3D" w:rsidR="0018182C" w:rsidRPr="0068534F" w:rsidRDefault="0018182C"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Pr>
          <w:rFonts w:ascii="Calibri Light" w:hAnsi="Calibri Light" w:cs="Calibri Light"/>
          <w:sz w:val="24"/>
          <w:lang w:val="en-US"/>
        </w:rPr>
        <w:t>TheConversationI</w:t>
      </w:r>
      <w:r w:rsidRPr="0068534F">
        <w:rPr>
          <w:rFonts w:ascii="Calibri Light" w:hAnsi="Calibri Light" w:cs="Calibri Light"/>
          <w:sz w:val="24"/>
        </w:rPr>
        <w:t>ndonesia. (2023, July 10). Redenominasi Rupiah: kebijakan yang mendesak?</w:t>
      </w:r>
      <w:r w:rsidR="0006239C">
        <w:rPr>
          <w:rFonts w:ascii="Calibri Light" w:hAnsi="Calibri Light" w:cs="Calibri Light"/>
          <w:sz w:val="24"/>
          <w:lang w:val="en-US"/>
        </w:rPr>
        <w:t xml:space="preserve"> [Video].</w:t>
      </w:r>
      <w:r w:rsidRPr="0068534F">
        <w:rPr>
          <w:rFonts w:ascii="Calibri Light" w:hAnsi="Calibri Light" w:cs="Calibri Light"/>
          <w:sz w:val="24"/>
        </w:rPr>
        <w:t xml:space="preserve"> </w:t>
      </w:r>
      <w:r w:rsidRPr="0068534F">
        <w:rPr>
          <w:rFonts w:ascii="Calibri Light" w:hAnsi="Calibri Light" w:cs="Calibri Light"/>
          <w:i/>
          <w:iCs/>
          <w:sz w:val="24"/>
        </w:rPr>
        <w:t>Youtube</w:t>
      </w:r>
      <w:r w:rsidR="0006239C">
        <w:rPr>
          <w:rFonts w:ascii="Calibri Light" w:hAnsi="Calibri Light" w:cs="Calibri Light"/>
          <w:i/>
          <w:iCs/>
          <w:sz w:val="24"/>
          <w:lang w:val="en-US"/>
        </w:rPr>
        <w:t xml:space="preserve">. </w:t>
      </w:r>
      <w:r w:rsidR="0006239C" w:rsidRPr="0006239C">
        <w:rPr>
          <w:rFonts w:ascii="Calibri Light" w:hAnsi="Calibri Light" w:cs="Calibri Light"/>
          <w:sz w:val="24"/>
          <w:lang w:val="en-US"/>
        </w:rPr>
        <w:t>https://www.youtube.com/watch?v=Wuq1SlFRdNk</w:t>
      </w:r>
      <w:r w:rsidRPr="0006239C">
        <w:rPr>
          <w:rFonts w:ascii="Calibri Light" w:hAnsi="Calibri Light" w:cs="Calibri Light"/>
          <w:sz w:val="24"/>
        </w:rPr>
        <w:t>.</w:t>
      </w:r>
    </w:p>
    <w:p w14:paraId="16E00B32" w14:textId="6E6CC5EA"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Turambi, J. J. A. (2015). Redenominasi Dan Sanering Mata Uang Rupiah (IDR): Analisis Komparasi. </w:t>
      </w:r>
      <w:r w:rsidRPr="0068534F">
        <w:rPr>
          <w:rFonts w:ascii="Calibri Light" w:hAnsi="Calibri Light" w:cs="Calibri Light"/>
          <w:i/>
          <w:iCs/>
          <w:sz w:val="24"/>
        </w:rPr>
        <w:t>Jurnal EBBANK</w:t>
      </w:r>
      <w:r w:rsidRPr="0068534F">
        <w:rPr>
          <w:rFonts w:ascii="Calibri Light" w:hAnsi="Calibri Light" w:cs="Calibri Light"/>
          <w:sz w:val="24"/>
        </w:rPr>
        <w:t xml:space="preserve">, </w:t>
      </w:r>
      <w:r w:rsidRPr="0068534F">
        <w:rPr>
          <w:rFonts w:ascii="Calibri Light" w:hAnsi="Calibri Light" w:cs="Calibri Light"/>
          <w:i/>
          <w:iCs/>
          <w:sz w:val="24"/>
        </w:rPr>
        <w:t>6</w:t>
      </w:r>
      <w:r w:rsidRPr="0068534F">
        <w:rPr>
          <w:rFonts w:ascii="Calibri Light" w:hAnsi="Calibri Light" w:cs="Calibri Light"/>
          <w:sz w:val="24"/>
        </w:rPr>
        <w:t>(1), 91–99. https://ebbank.stiebbank.ac.id/index.php/EBBANK/article/view/71</w:t>
      </w:r>
    </w:p>
    <w:p w14:paraId="2C1A2CD2"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Utria, D. C. (2016). </w:t>
      </w:r>
      <w:r w:rsidRPr="0068534F">
        <w:rPr>
          <w:rFonts w:ascii="Calibri Light" w:hAnsi="Calibri Light" w:cs="Calibri Light"/>
          <w:i/>
          <w:iCs/>
          <w:sz w:val="24"/>
        </w:rPr>
        <w:t>Inflasi di Indonesia: Karakteristik dan Pengendaliannya</w:t>
      </w:r>
      <w:r w:rsidRPr="0068534F">
        <w:rPr>
          <w:rFonts w:ascii="Calibri Light" w:hAnsi="Calibri Light" w:cs="Calibri Light"/>
          <w:sz w:val="24"/>
        </w:rPr>
        <w:t>. BI Institute.</w:t>
      </w:r>
    </w:p>
    <w:p w14:paraId="03363BDA" w14:textId="664B336D"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Walsh, C. E. (201</w:t>
      </w:r>
      <w:r w:rsidR="00B74AF1">
        <w:rPr>
          <w:rFonts w:ascii="Calibri Light" w:hAnsi="Calibri Light" w:cs="Calibri Light"/>
          <w:sz w:val="24"/>
          <w:lang w:val="en-US"/>
        </w:rPr>
        <w:t>8</w:t>
      </w:r>
      <w:r w:rsidRPr="0068534F">
        <w:rPr>
          <w:rFonts w:ascii="Calibri Light" w:hAnsi="Calibri Light" w:cs="Calibri Light"/>
          <w:sz w:val="24"/>
        </w:rPr>
        <w:t xml:space="preserve">). </w:t>
      </w:r>
      <w:r w:rsidRPr="0018182C">
        <w:rPr>
          <w:rFonts w:ascii="Calibri Light" w:hAnsi="Calibri Light" w:cs="Calibri Light"/>
          <w:i/>
          <w:iCs/>
          <w:sz w:val="24"/>
        </w:rPr>
        <w:t xml:space="preserve">Monetary Theory and Policy, </w:t>
      </w:r>
      <w:r w:rsidR="00B74AF1">
        <w:rPr>
          <w:rFonts w:ascii="Calibri Light" w:hAnsi="Calibri Light" w:cs="Calibri Light"/>
          <w:i/>
          <w:iCs/>
          <w:sz w:val="24"/>
          <w:lang w:val="en-US"/>
        </w:rPr>
        <w:t>4th</w:t>
      </w:r>
      <w:r w:rsidRPr="0018182C">
        <w:rPr>
          <w:rFonts w:ascii="Calibri Light" w:hAnsi="Calibri Light" w:cs="Calibri Light"/>
          <w:i/>
          <w:iCs/>
          <w:sz w:val="24"/>
        </w:rPr>
        <w:t xml:space="preserve"> Edition</w:t>
      </w:r>
      <w:r w:rsidRPr="0068534F">
        <w:rPr>
          <w:rFonts w:ascii="Calibri Light" w:hAnsi="Calibri Light" w:cs="Calibri Light"/>
          <w:sz w:val="24"/>
        </w:rPr>
        <w:t xml:space="preserve">. </w:t>
      </w:r>
      <w:r w:rsidRPr="0018182C">
        <w:rPr>
          <w:rFonts w:ascii="Calibri Light" w:hAnsi="Calibri Light" w:cs="Calibri Light"/>
          <w:sz w:val="24"/>
        </w:rPr>
        <w:t>MIT Press Books.</w:t>
      </w:r>
    </w:p>
    <w:p w14:paraId="52A2B937" w14:textId="0D645356"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Weber, M. (1947). The Theory of Social and Economic Organization, translated by A. M. Henderson and Talcott Parsons. </w:t>
      </w:r>
      <w:r w:rsidRPr="0068534F">
        <w:rPr>
          <w:rFonts w:ascii="Calibri Light" w:hAnsi="Calibri Light" w:cs="Calibri Light"/>
          <w:i/>
          <w:iCs/>
          <w:sz w:val="24"/>
        </w:rPr>
        <w:t>AM Henderson and Talcott Parsons (New York, 1947)</w:t>
      </w:r>
      <w:r w:rsidR="0006239C">
        <w:rPr>
          <w:rFonts w:ascii="Calibri Light" w:hAnsi="Calibri Light" w:cs="Calibri Light"/>
          <w:sz w:val="24"/>
          <w:lang w:val="en-US"/>
        </w:rPr>
        <w:t>. Oxford University Press.</w:t>
      </w:r>
    </w:p>
    <w:p w14:paraId="47A85477" w14:textId="32C54A42"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Windia, I. K. (2019). Tinjauan Yuridis Tentang Penghinaan Lambang Negara Oleh Warga Negara Indonesia. </w:t>
      </w:r>
      <w:r w:rsidRPr="0068534F">
        <w:rPr>
          <w:rFonts w:ascii="Calibri Light" w:hAnsi="Calibri Light" w:cs="Calibri Light"/>
          <w:i/>
          <w:iCs/>
          <w:sz w:val="24"/>
        </w:rPr>
        <w:t>Kerta Dyatmika</w:t>
      </w:r>
      <w:r w:rsidRPr="0068534F">
        <w:rPr>
          <w:rFonts w:ascii="Calibri Light" w:hAnsi="Calibri Light" w:cs="Calibri Light"/>
          <w:sz w:val="24"/>
        </w:rPr>
        <w:t xml:space="preserve">, </w:t>
      </w:r>
      <w:r w:rsidRPr="0068534F">
        <w:rPr>
          <w:rFonts w:ascii="Calibri Light" w:hAnsi="Calibri Light" w:cs="Calibri Light"/>
          <w:i/>
          <w:iCs/>
          <w:sz w:val="24"/>
        </w:rPr>
        <w:t>16</w:t>
      </w:r>
      <w:r w:rsidRPr="0068534F">
        <w:rPr>
          <w:rFonts w:ascii="Calibri Light" w:hAnsi="Calibri Light" w:cs="Calibri Light"/>
          <w:sz w:val="24"/>
        </w:rPr>
        <w:t>(1), 21–30. http://103.207.99.162/index.php/kertadyatmika/article/view/908</w:t>
      </w:r>
      <w:r w:rsidR="0018182C">
        <w:rPr>
          <w:rFonts w:ascii="Calibri Light" w:hAnsi="Calibri Light" w:cs="Calibri Light"/>
          <w:sz w:val="24"/>
          <w:lang w:val="en-US"/>
        </w:rPr>
        <w:t xml:space="preserve">  </w:t>
      </w:r>
    </w:p>
    <w:p w14:paraId="1FBD2FC6"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Yonita, L., Hafiar, H., &amp; Sani, A. (2018). KONSTRUKSI MAKNA NASIONALISME PADA DESAIN UANG RUPIAH KERTAS. </w:t>
      </w:r>
      <w:r w:rsidRPr="0068534F">
        <w:rPr>
          <w:rFonts w:ascii="Calibri Light" w:hAnsi="Calibri Light" w:cs="Calibri Light"/>
          <w:i/>
          <w:iCs/>
          <w:sz w:val="24"/>
        </w:rPr>
        <w:t>WACANA, Jurnal Ilmiah Ilmu Komunikasi</w:t>
      </w:r>
      <w:r w:rsidRPr="0068534F">
        <w:rPr>
          <w:rFonts w:ascii="Calibri Light" w:hAnsi="Calibri Light" w:cs="Calibri Light"/>
          <w:sz w:val="24"/>
        </w:rPr>
        <w:t xml:space="preserve">, </w:t>
      </w:r>
      <w:r w:rsidRPr="0068534F">
        <w:rPr>
          <w:rFonts w:ascii="Calibri Light" w:hAnsi="Calibri Light" w:cs="Calibri Light"/>
          <w:i/>
          <w:iCs/>
          <w:sz w:val="24"/>
        </w:rPr>
        <w:t>17</w:t>
      </w:r>
      <w:r w:rsidRPr="0068534F">
        <w:rPr>
          <w:rFonts w:ascii="Calibri Light" w:hAnsi="Calibri Light" w:cs="Calibri Light"/>
          <w:sz w:val="24"/>
        </w:rPr>
        <w:t>(1), 13. https://doi.org/10.32509/wacana.v17i1.135</w:t>
      </w:r>
    </w:p>
    <w:p w14:paraId="37DE90E7" w14:textId="77777777" w:rsidR="0068534F" w:rsidRPr="0068534F" w:rsidRDefault="0068534F" w:rsidP="0018182C">
      <w:pPr>
        <w:pStyle w:val="ListParagraph"/>
        <w:widowControl w:val="0"/>
        <w:numPr>
          <w:ilvl w:val="0"/>
          <w:numId w:val="33"/>
        </w:numPr>
        <w:adjustRightInd w:val="0"/>
        <w:spacing w:line="360" w:lineRule="auto"/>
        <w:ind w:left="851" w:hanging="567"/>
        <w:jc w:val="both"/>
        <w:rPr>
          <w:rFonts w:ascii="Calibri Light" w:hAnsi="Calibri Light" w:cs="Calibri Light"/>
          <w:sz w:val="24"/>
        </w:rPr>
      </w:pPr>
      <w:r w:rsidRPr="0068534F">
        <w:rPr>
          <w:rFonts w:ascii="Calibri Light" w:hAnsi="Calibri Light" w:cs="Calibri Light"/>
          <w:sz w:val="24"/>
        </w:rPr>
        <w:t xml:space="preserve">Zamroni, Z. (2017). Sikap Mahasiswa Terhadap Denominasi dan Redenominasi Rupiah. </w:t>
      </w:r>
      <w:r w:rsidRPr="0068534F">
        <w:rPr>
          <w:rFonts w:ascii="Calibri Light" w:hAnsi="Calibri Light" w:cs="Calibri Light"/>
          <w:i/>
          <w:iCs/>
          <w:sz w:val="24"/>
        </w:rPr>
        <w:t>Psikoislamika : Jurnal Psikologi Dan Psikologi Islam</w:t>
      </w:r>
      <w:r w:rsidRPr="0068534F">
        <w:rPr>
          <w:rFonts w:ascii="Calibri Light" w:hAnsi="Calibri Light" w:cs="Calibri Light"/>
          <w:sz w:val="24"/>
        </w:rPr>
        <w:t xml:space="preserve">, </w:t>
      </w:r>
      <w:r w:rsidRPr="0068534F">
        <w:rPr>
          <w:rFonts w:ascii="Calibri Light" w:hAnsi="Calibri Light" w:cs="Calibri Light"/>
          <w:i/>
          <w:iCs/>
          <w:sz w:val="24"/>
        </w:rPr>
        <w:t>14</w:t>
      </w:r>
      <w:r w:rsidRPr="0068534F">
        <w:rPr>
          <w:rFonts w:ascii="Calibri Light" w:hAnsi="Calibri Light" w:cs="Calibri Light"/>
          <w:sz w:val="24"/>
        </w:rPr>
        <w:t>(2), 39. https://doi.org/10.18860/psi.v14i2.6510</w:t>
      </w:r>
    </w:p>
    <w:p w14:paraId="3E0CCEC9" w14:textId="20F23A29" w:rsidR="009E69AC" w:rsidRPr="00540F02" w:rsidRDefault="0068534F" w:rsidP="0068534F">
      <w:pPr>
        <w:spacing w:line="360" w:lineRule="auto"/>
        <w:jc w:val="both"/>
        <w:rPr>
          <w:rFonts w:ascii="Calibri Light" w:hAnsi="Calibri Light" w:cs="Calibri Light"/>
          <w:b/>
          <w:color w:val="A6A6A6"/>
          <w:sz w:val="24"/>
          <w:szCs w:val="24"/>
          <w:lang w:val="id-ID"/>
        </w:rPr>
      </w:pPr>
      <w:r>
        <w:rPr>
          <w:rFonts w:ascii="Calibri Light" w:hAnsi="Calibri Light" w:cs="Calibri Light"/>
          <w:b/>
          <w:color w:val="A6A6A6"/>
          <w:sz w:val="24"/>
          <w:szCs w:val="24"/>
          <w:lang w:val="id-ID"/>
        </w:rPr>
        <w:fldChar w:fldCharType="end"/>
      </w:r>
    </w:p>
    <w:sectPr w:rsidR="009E69AC"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FB6EA" w14:textId="77777777" w:rsidR="005338AD" w:rsidRDefault="005338AD">
      <w:r>
        <w:separator/>
      </w:r>
    </w:p>
  </w:endnote>
  <w:endnote w:type="continuationSeparator" w:id="0">
    <w:p w14:paraId="517A1A5E" w14:textId="77777777" w:rsidR="005338AD" w:rsidRDefault="0053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6003" w14:textId="53DC5D9D" w:rsidR="00122F5F" w:rsidRPr="00540F02" w:rsidRDefault="005D48C0"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38A30B0" wp14:editId="2D6D4427">
              <wp:simplePos x="0" y="0"/>
              <wp:positionH relativeFrom="column">
                <wp:posOffset>5151755</wp:posOffset>
              </wp:positionH>
              <wp:positionV relativeFrom="paragraph">
                <wp:posOffset>-64770</wp:posOffset>
              </wp:positionV>
              <wp:extent cx="619760" cy="278130"/>
              <wp:effectExtent l="13335" t="7620" r="5080" b="9525"/>
              <wp:wrapNone/>
              <wp:docPr id="90640195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3F04091"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A30B0"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" strokecolor="white">
              <v:textbox>
                <w:txbxContent>
                  <w:p w14:paraId="73F04091"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63A41D3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ACB3" w14:textId="2C71A848" w:rsidR="0008220C" w:rsidRPr="00540F02" w:rsidRDefault="005D48C0"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77AA5BC" wp14:editId="7CC1A8B2">
              <wp:simplePos x="0" y="0"/>
              <wp:positionH relativeFrom="column">
                <wp:posOffset>5175885</wp:posOffset>
              </wp:positionH>
              <wp:positionV relativeFrom="paragraph">
                <wp:posOffset>-64770</wp:posOffset>
              </wp:positionV>
              <wp:extent cx="619760" cy="278130"/>
              <wp:effectExtent l="8890" t="7620" r="9525" b="9525"/>
              <wp:wrapNone/>
              <wp:docPr id="116376724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5055E97"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AA5BC" id="Rectangle 8" o:spid="_x0000_s1033" style="position:absolute;margin-left:407.5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" strokecolor="white">
              <v:textbox>
                <w:txbxContent>
                  <w:p w14:paraId="45055E97"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070C41AC"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CE36" w14:textId="77E0564A" w:rsidR="00965E3F" w:rsidRPr="0008220C" w:rsidRDefault="005D48C0"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549294B" wp14:editId="32B8D56C">
              <wp:simplePos x="0" y="0"/>
              <wp:positionH relativeFrom="column">
                <wp:posOffset>5151755</wp:posOffset>
              </wp:positionH>
              <wp:positionV relativeFrom="paragraph">
                <wp:posOffset>-64770</wp:posOffset>
              </wp:positionV>
              <wp:extent cx="619760" cy="278130"/>
              <wp:effectExtent l="13335" t="7620" r="5080" b="9525"/>
              <wp:wrapNone/>
              <wp:docPr id="74415530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593EE3"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697494">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9294B"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" strokecolor="white">
              <v:textbox>
                <w:txbxContent>
                  <w:p w14:paraId="39593EE3"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697494">
                      <w:rPr>
                        <w:rFonts w:ascii="Calibri" w:hAnsi="Calibri" w:cs="Calibri"/>
                        <w:sz w:val="16"/>
                        <w:szCs w:val="16"/>
                      </w:rPr>
                      <w:t>5</w:t>
                    </w:r>
                  </w:p>
                </w:txbxContent>
              </v:textbox>
            </v:rect>
          </w:pict>
        </mc:Fallback>
      </mc:AlternateContent>
    </w:r>
    <w:r w:rsidR="00FF1D30" w:rsidRPr="0008220C">
      <w:rPr>
        <w:rFonts w:ascii="Calibri Light" w:hAnsi="Calibri Light" w:cs="Calibri Light"/>
        <w:sz w:val="16"/>
        <w:szCs w:val="16"/>
      </w:rPr>
      <w:t>International Journal Law and Society</w:t>
    </w:r>
  </w:p>
  <w:p w14:paraId="5D62C6C8"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4F4E" w14:textId="77777777" w:rsidR="005338AD" w:rsidRDefault="005338AD">
      <w:r>
        <w:separator/>
      </w:r>
    </w:p>
  </w:footnote>
  <w:footnote w:type="continuationSeparator" w:id="0">
    <w:p w14:paraId="423576A3" w14:textId="77777777" w:rsidR="005338AD" w:rsidRDefault="0053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B7DC" w14:textId="50D9802B" w:rsidR="00122F5F" w:rsidRDefault="005D48C0" w:rsidP="00122F5F">
    <w:pPr>
      <w:pStyle w:val="Header"/>
    </w:pPr>
    <w:r>
      <w:rPr>
        <w:noProof/>
      </w:rPr>
      <mc:AlternateContent>
        <mc:Choice Requires="wps">
          <w:drawing>
            <wp:anchor distT="0" distB="0" distL="114300" distR="114300" simplePos="0" relativeHeight="251656192" behindDoc="1" locked="0" layoutInCell="1" allowOverlap="1" wp14:anchorId="18AEB710" wp14:editId="183F562B">
              <wp:simplePos x="0" y="0"/>
              <wp:positionH relativeFrom="page">
                <wp:posOffset>962025</wp:posOffset>
              </wp:positionH>
              <wp:positionV relativeFrom="page">
                <wp:posOffset>947420</wp:posOffset>
              </wp:positionV>
              <wp:extent cx="1998980" cy="229870"/>
              <wp:effectExtent l="0" t="4445" r="1270" b="3810"/>
              <wp:wrapNone/>
              <wp:docPr id="7433838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E0C2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3D40AFB" w14:textId="5BFD65EA"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EB7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" filled="f" stroked="f">
              <v:textbox inset="0,0,0,0">
                <w:txbxContent>
                  <w:p w14:paraId="276E0C2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3D40AFB" w14:textId="5BFD65EA"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1B1A5E7" wp14:editId="52AFB930">
              <wp:simplePos x="0" y="0"/>
              <wp:positionH relativeFrom="page">
                <wp:posOffset>6497955</wp:posOffset>
              </wp:positionH>
              <wp:positionV relativeFrom="page">
                <wp:posOffset>445135</wp:posOffset>
              </wp:positionV>
              <wp:extent cx="231775" cy="177800"/>
              <wp:effectExtent l="1905" t="0" r="4445" b="0"/>
              <wp:wrapNone/>
              <wp:docPr id="13529820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6166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1A5E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" filled="f" stroked="f">
              <v:textbox inset="0,0,0,0">
                <w:txbxContent>
                  <w:p w14:paraId="3C16166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7362E2A" wp14:editId="270FF5A2">
              <wp:simplePos x="0" y="0"/>
              <wp:positionH relativeFrom="page">
                <wp:posOffset>3143250</wp:posOffset>
              </wp:positionH>
              <wp:positionV relativeFrom="page">
                <wp:posOffset>784860</wp:posOffset>
              </wp:positionV>
              <wp:extent cx="3523615" cy="416560"/>
              <wp:effectExtent l="0" t="3810" r="635" b="0"/>
              <wp:wrapNone/>
              <wp:docPr id="2608940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B39B7" w14:textId="215F2D72"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Nur, I.</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7A51E54A"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62E2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" filled="f" stroked="f">
              <v:textbox inset="0,0,0,0">
                <w:txbxContent>
                  <w:p w14:paraId="292B39B7" w14:textId="215F2D72"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Nur, I.</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7A51E54A"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1495D149" wp14:editId="6A645016">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D82306" w14:textId="77777777" w:rsidR="00122F5F" w:rsidRDefault="00122F5F" w:rsidP="00122F5F">
    <w:pPr>
      <w:pStyle w:val="Header"/>
      <w:rPr>
        <w:sz w:val="16"/>
        <w:szCs w:val="16"/>
      </w:rPr>
    </w:pPr>
  </w:p>
  <w:p w14:paraId="21C48E8C" w14:textId="77777777" w:rsidR="00AA4AE4" w:rsidRDefault="00AA4AE4" w:rsidP="00122F5F">
    <w:pPr>
      <w:pStyle w:val="Header"/>
      <w:rPr>
        <w:sz w:val="16"/>
        <w:szCs w:val="16"/>
      </w:rPr>
    </w:pPr>
  </w:p>
  <w:p w14:paraId="0C9D63F5"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4042" w14:textId="6B717184" w:rsidR="00540F02" w:rsidRDefault="005D48C0" w:rsidP="00540F02">
    <w:pPr>
      <w:pStyle w:val="Header"/>
    </w:pPr>
    <w:r>
      <w:rPr>
        <w:noProof/>
      </w:rPr>
      <mc:AlternateContent>
        <mc:Choice Requires="wps">
          <w:drawing>
            <wp:anchor distT="0" distB="0" distL="114300" distR="114300" simplePos="0" relativeHeight="251658240" behindDoc="1" locked="0" layoutInCell="1" allowOverlap="1" wp14:anchorId="528AA7B3" wp14:editId="5F3E1326">
              <wp:simplePos x="0" y="0"/>
              <wp:positionH relativeFrom="page">
                <wp:posOffset>962025</wp:posOffset>
              </wp:positionH>
              <wp:positionV relativeFrom="page">
                <wp:posOffset>947420</wp:posOffset>
              </wp:positionV>
              <wp:extent cx="1998980" cy="229870"/>
              <wp:effectExtent l="0" t="4445" r="1270" b="3810"/>
              <wp:wrapNone/>
              <wp:docPr id="19036501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ECE6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111896" w14:textId="292BACE3"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AA7B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" filled="f" stroked="f">
              <v:textbox inset="0,0,0,0">
                <w:txbxContent>
                  <w:p w14:paraId="5E0ECE6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9111896" w14:textId="292BACE3"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C505120" wp14:editId="22B9DE69">
              <wp:simplePos x="0" y="0"/>
              <wp:positionH relativeFrom="page">
                <wp:posOffset>6464300</wp:posOffset>
              </wp:positionH>
              <wp:positionV relativeFrom="page">
                <wp:posOffset>467360</wp:posOffset>
              </wp:positionV>
              <wp:extent cx="231775" cy="177800"/>
              <wp:effectExtent l="0" t="635" r="0" b="2540"/>
              <wp:wrapNone/>
              <wp:docPr id="2352561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D018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05120"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" filled="f" stroked="f">
              <v:textbox inset="0,0,0,0">
                <w:txbxContent>
                  <w:p w14:paraId="4E1D018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044FCF6" wp14:editId="4F302B01">
              <wp:simplePos x="0" y="0"/>
              <wp:positionH relativeFrom="page">
                <wp:posOffset>3143250</wp:posOffset>
              </wp:positionH>
              <wp:positionV relativeFrom="page">
                <wp:posOffset>784860</wp:posOffset>
              </wp:positionV>
              <wp:extent cx="3523615" cy="416560"/>
              <wp:effectExtent l="0" t="3810" r="635" b="0"/>
              <wp:wrapNone/>
              <wp:docPr id="20155173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DEBA2" w14:textId="4F7DDCDB"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Nur, I.</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5DC56AA2"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4FCF6"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" filled="f" stroked="f">
              <v:textbox inset="0,0,0,0">
                <w:txbxContent>
                  <w:p w14:paraId="347DEBA2" w14:textId="4F7DDCDB" w:rsidR="00783D53" w:rsidRPr="00FF1D30" w:rsidRDefault="00783D53" w:rsidP="00783D53">
                    <w:pPr>
                      <w:ind w:left="23"/>
                      <w:jc w:val="both"/>
                      <w:rPr>
                        <w:rFonts w:ascii="Calibri Light" w:hAnsi="Calibri Light" w:cs="Calibri Light"/>
                        <w:i/>
                        <w:sz w:val="18"/>
                      </w:rPr>
                    </w:pPr>
                    <w:r>
                      <w:rPr>
                        <w:rFonts w:ascii="Calibri Light" w:hAnsi="Calibri Light" w:cs="Calibri Light"/>
                        <w:sz w:val="18"/>
                      </w:rPr>
                      <w:t>Nur, I.</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00AD3EB7" w:rsidRPr="00AD3EB7">
                      <w:rPr>
                        <w:rFonts w:ascii="Calibri Light" w:hAnsi="Calibri Light" w:cs="Calibri Light"/>
                        <w:i/>
                        <w:sz w:val="18"/>
                      </w:rPr>
                      <w:t>Maqāṣid</w:t>
                    </w:r>
                    <w:proofErr w:type="spellEnd"/>
                    <w:r w:rsidR="00AD3EB7" w:rsidRPr="00AD3EB7">
                      <w:rPr>
                        <w:rFonts w:ascii="Calibri Light" w:hAnsi="Calibri Light" w:cs="Calibri Light"/>
                        <w:i/>
                        <w:sz w:val="18"/>
                      </w:rPr>
                      <w:t xml:space="preserve"> al-</w:t>
                    </w:r>
                    <w:proofErr w:type="spellStart"/>
                    <w:r w:rsidR="00AD3EB7" w:rsidRPr="00AD3EB7">
                      <w:rPr>
                        <w:rFonts w:ascii="Calibri Light" w:hAnsi="Calibri Light" w:cs="Calibri Light"/>
                        <w:i/>
                        <w:sz w:val="18"/>
                      </w:rPr>
                      <w:t>Sharī’ah</w:t>
                    </w:r>
                    <w:proofErr w:type="spellEnd"/>
                    <w:r w:rsidR="00AD3EB7" w:rsidRPr="0011150B">
                      <w:rPr>
                        <w:rFonts w:ascii="Calibri Light" w:hAnsi="Calibri Light" w:cs="Calibri Light"/>
                        <w:i/>
                        <w:sz w:val="18"/>
                      </w:rPr>
                      <w:t xml:space="preserve"> </w:t>
                    </w:r>
                    <w:r w:rsidRPr="0011150B">
                      <w:rPr>
                        <w:rFonts w:ascii="Calibri Light" w:hAnsi="Calibri Light" w:cs="Calibri Light"/>
                        <w:i/>
                        <w:sz w:val="18"/>
                      </w:rPr>
                      <w:t>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p w14:paraId="5DC56AA2"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11A93606" wp14:editId="7C33FD51">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D50F6D9" w14:textId="77777777" w:rsidR="00540F02" w:rsidRDefault="00540F02" w:rsidP="00540F02">
    <w:pPr>
      <w:pStyle w:val="Header"/>
      <w:rPr>
        <w:sz w:val="16"/>
        <w:szCs w:val="16"/>
      </w:rPr>
    </w:pPr>
  </w:p>
  <w:p w14:paraId="661AB89F" w14:textId="77777777" w:rsidR="00540F02" w:rsidRDefault="00540F02" w:rsidP="00540F02">
    <w:pPr>
      <w:pStyle w:val="Header"/>
      <w:rPr>
        <w:sz w:val="16"/>
        <w:szCs w:val="16"/>
      </w:rPr>
    </w:pPr>
  </w:p>
  <w:p w14:paraId="2A29AB2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32BB" w14:textId="0CF0D633" w:rsidR="00FF1D30" w:rsidRDefault="005D48C0">
    <w:pPr>
      <w:pStyle w:val="Header"/>
    </w:pPr>
    <w:r>
      <w:rPr>
        <w:noProof/>
      </w:rPr>
      <mc:AlternateContent>
        <mc:Choice Requires="wps">
          <w:drawing>
            <wp:anchor distT="0" distB="0" distL="114300" distR="114300" simplePos="0" relativeHeight="251652096" behindDoc="1" locked="0" layoutInCell="1" allowOverlap="1" wp14:anchorId="0734CFF4" wp14:editId="0AAC3EC6">
              <wp:simplePos x="0" y="0"/>
              <wp:positionH relativeFrom="page">
                <wp:posOffset>942975</wp:posOffset>
              </wp:positionH>
              <wp:positionV relativeFrom="page">
                <wp:posOffset>947420</wp:posOffset>
              </wp:positionV>
              <wp:extent cx="1998980" cy="229870"/>
              <wp:effectExtent l="0" t="4445" r="1270" b="3810"/>
              <wp:wrapNone/>
              <wp:docPr id="16622207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0CF06"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E22C6CF" w14:textId="1314FC29"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4CFF4"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" filled="f" stroked="f">
              <v:textbox inset="0,0,0,0">
                <w:txbxContent>
                  <w:p w14:paraId="0350CF06"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E22C6CF" w14:textId="1314FC29"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AD3EB7">
                      <w:rPr>
                        <w:rFonts w:ascii="Calibri Light" w:hAnsi="Calibri Light" w:cs="Calibri Light"/>
                        <w:sz w:val="12"/>
                        <w:szCs w:val="12"/>
                      </w:rPr>
                      <w:t>4</w:t>
                    </w:r>
                    <w:r w:rsidRPr="00FF1D30">
                      <w:rPr>
                        <w:rFonts w:ascii="Calibri Light" w:hAnsi="Calibri Light" w:cs="Calibri Light"/>
                        <w:sz w:val="12"/>
                        <w:szCs w:val="12"/>
                      </w:rPr>
                      <w:t>, Issue 1, 202</w:t>
                    </w:r>
                    <w:r w:rsidR="00AD3EB7">
                      <w:rPr>
                        <w:rFonts w:ascii="Calibri Light" w:hAnsi="Calibri Light" w:cs="Calibri Light"/>
                        <w:sz w:val="12"/>
                        <w:szCs w:val="12"/>
                      </w:rPr>
                      <w:t>5</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01A6F07" wp14:editId="334EBEB9">
              <wp:simplePos x="0" y="0"/>
              <wp:positionH relativeFrom="page">
                <wp:posOffset>6464300</wp:posOffset>
              </wp:positionH>
              <wp:positionV relativeFrom="page">
                <wp:posOffset>439420</wp:posOffset>
              </wp:positionV>
              <wp:extent cx="231775" cy="177800"/>
              <wp:effectExtent l="0" t="1270" r="0" b="1905"/>
              <wp:wrapNone/>
              <wp:docPr id="43032635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185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A6F07"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" filled="f" stroked="f">
              <v:textbox inset="0,0,0,0">
                <w:txbxContent>
                  <w:p w14:paraId="4023185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61221989" wp14:editId="63CA2785">
              <wp:simplePos x="0" y="0"/>
              <wp:positionH relativeFrom="page">
                <wp:posOffset>3143250</wp:posOffset>
              </wp:positionH>
              <wp:positionV relativeFrom="page">
                <wp:posOffset>784860</wp:posOffset>
              </wp:positionV>
              <wp:extent cx="3516630" cy="416560"/>
              <wp:effectExtent l="0" t="3810" r="0" b="0"/>
              <wp:wrapNone/>
              <wp:docPr id="9369352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45981" w14:textId="5CCAFFCD" w:rsidR="00FF1D30" w:rsidRPr="00FF1D30" w:rsidRDefault="0011150B" w:rsidP="0011150B">
                          <w:pPr>
                            <w:ind w:left="23"/>
                            <w:jc w:val="both"/>
                            <w:rPr>
                              <w:rFonts w:ascii="Calibri Light" w:hAnsi="Calibri Light" w:cs="Calibri Light"/>
                              <w:i/>
                              <w:sz w:val="18"/>
                            </w:rPr>
                          </w:pPr>
                          <w:r>
                            <w:rPr>
                              <w:rFonts w:ascii="Calibri Light" w:hAnsi="Calibri Light" w:cs="Calibri Light"/>
                              <w:sz w:val="18"/>
                            </w:rPr>
                            <w:t>Nur, I.</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00FF1D30"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Pr="00AD3EB7">
                            <w:rPr>
                              <w:rFonts w:ascii="Calibri Light" w:hAnsi="Calibri Light" w:cs="Calibri Light"/>
                              <w:i/>
                              <w:sz w:val="18"/>
                            </w:rPr>
                            <w:t>Maq</w:t>
                          </w:r>
                          <w:r w:rsidR="00AD3EB7" w:rsidRPr="00AD3EB7">
                            <w:rPr>
                              <w:rFonts w:ascii="Calibri Light" w:hAnsi="Calibri Light" w:cs="Calibri Light"/>
                              <w:i/>
                              <w:sz w:val="18"/>
                            </w:rPr>
                            <w:t>āṣ</w:t>
                          </w:r>
                          <w:r w:rsidRPr="00AD3EB7">
                            <w:rPr>
                              <w:rFonts w:ascii="Calibri Light" w:hAnsi="Calibri Light" w:cs="Calibri Light"/>
                              <w:i/>
                              <w:sz w:val="18"/>
                            </w:rPr>
                            <w:t>id</w:t>
                          </w:r>
                          <w:proofErr w:type="spellEnd"/>
                          <w:r w:rsidRPr="00AD3EB7">
                            <w:rPr>
                              <w:rFonts w:ascii="Calibri Light" w:hAnsi="Calibri Light" w:cs="Calibri Light"/>
                              <w:i/>
                              <w:sz w:val="18"/>
                            </w:rPr>
                            <w:t xml:space="preserve"> al-</w:t>
                          </w:r>
                          <w:proofErr w:type="spellStart"/>
                          <w:r w:rsidRPr="00AD3EB7">
                            <w:rPr>
                              <w:rFonts w:ascii="Calibri Light" w:hAnsi="Calibri Light" w:cs="Calibri Light"/>
                              <w:i/>
                              <w:sz w:val="18"/>
                            </w:rPr>
                            <w:t>Shar</w:t>
                          </w:r>
                          <w:r w:rsidR="00AD3EB7" w:rsidRPr="00AD3EB7">
                            <w:rPr>
                              <w:rFonts w:ascii="Calibri Light" w:hAnsi="Calibri Light" w:cs="Calibri Light"/>
                              <w:i/>
                              <w:sz w:val="18"/>
                            </w:rPr>
                            <w:t>ī</w:t>
                          </w:r>
                          <w:r w:rsidRPr="00AD3EB7">
                            <w:rPr>
                              <w:rFonts w:ascii="Calibri Light" w:hAnsi="Calibri Light" w:cs="Calibri Light"/>
                              <w:i/>
                              <w:sz w:val="18"/>
                            </w:rPr>
                            <w:t>’a</w:t>
                          </w:r>
                          <w:r w:rsidR="00AD3EB7" w:rsidRPr="00AD3EB7">
                            <w:rPr>
                              <w:rFonts w:ascii="Calibri Light" w:hAnsi="Calibri Light" w:cs="Calibri Light"/>
                              <w:i/>
                              <w:sz w:val="18"/>
                            </w:rPr>
                            <w:t>h</w:t>
                          </w:r>
                          <w:proofErr w:type="spellEnd"/>
                          <w:r w:rsidRPr="0011150B">
                            <w:rPr>
                              <w:rFonts w:ascii="Calibri Light" w:hAnsi="Calibri Light" w:cs="Calibri Light"/>
                              <w:i/>
                              <w:sz w:val="18"/>
                            </w:rPr>
                            <w:t xml:space="preserve"> 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21989"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" filled="f" stroked="f">
              <v:textbox inset="0,0,0,0">
                <w:txbxContent>
                  <w:p w14:paraId="4D845981" w14:textId="5CCAFFCD" w:rsidR="00FF1D30" w:rsidRPr="00FF1D30" w:rsidRDefault="0011150B" w:rsidP="0011150B">
                    <w:pPr>
                      <w:ind w:left="23"/>
                      <w:jc w:val="both"/>
                      <w:rPr>
                        <w:rFonts w:ascii="Calibri Light" w:hAnsi="Calibri Light" w:cs="Calibri Light"/>
                        <w:i/>
                        <w:sz w:val="18"/>
                      </w:rPr>
                    </w:pPr>
                    <w:r>
                      <w:rPr>
                        <w:rFonts w:ascii="Calibri Light" w:hAnsi="Calibri Light" w:cs="Calibri Light"/>
                        <w:sz w:val="18"/>
                      </w:rPr>
                      <w:t>Nur, I.</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Puspitasari</w:t>
                    </w:r>
                    <w:proofErr w:type="spellEnd"/>
                    <w:r>
                      <w:rPr>
                        <w:rFonts w:ascii="Calibri Light" w:hAnsi="Calibri Light" w:cs="Calibri Light"/>
                        <w:sz w:val="18"/>
                      </w:rPr>
                      <w:t>, R. D.</w:t>
                    </w:r>
                    <w:r w:rsidR="00FF1D30" w:rsidRPr="00FF1D30">
                      <w:rPr>
                        <w:rFonts w:ascii="Calibri Light" w:hAnsi="Calibri Light" w:cs="Calibri Light"/>
                        <w:spacing w:val="-3"/>
                        <w:sz w:val="18"/>
                      </w:rPr>
                      <w:t xml:space="preserve"> </w:t>
                    </w:r>
                    <w:r w:rsidRPr="0011150B">
                      <w:rPr>
                        <w:rFonts w:ascii="Calibri Light" w:hAnsi="Calibri Light" w:cs="Calibri Light"/>
                        <w:i/>
                        <w:sz w:val="18"/>
                      </w:rPr>
                      <w:t xml:space="preserve">Legal Politics of Redenomination from </w:t>
                    </w:r>
                    <w:proofErr w:type="spellStart"/>
                    <w:r w:rsidRPr="00AD3EB7">
                      <w:rPr>
                        <w:rFonts w:ascii="Calibri Light" w:hAnsi="Calibri Light" w:cs="Calibri Light"/>
                        <w:i/>
                        <w:sz w:val="18"/>
                      </w:rPr>
                      <w:t>Maq</w:t>
                    </w:r>
                    <w:r w:rsidR="00AD3EB7" w:rsidRPr="00AD3EB7">
                      <w:rPr>
                        <w:rFonts w:ascii="Calibri Light" w:hAnsi="Calibri Light" w:cs="Calibri Light"/>
                        <w:i/>
                        <w:sz w:val="18"/>
                      </w:rPr>
                      <w:t>āṣ</w:t>
                    </w:r>
                    <w:r w:rsidRPr="00AD3EB7">
                      <w:rPr>
                        <w:rFonts w:ascii="Calibri Light" w:hAnsi="Calibri Light" w:cs="Calibri Light"/>
                        <w:i/>
                        <w:sz w:val="18"/>
                      </w:rPr>
                      <w:t>id</w:t>
                    </w:r>
                    <w:proofErr w:type="spellEnd"/>
                    <w:r w:rsidRPr="00AD3EB7">
                      <w:rPr>
                        <w:rFonts w:ascii="Calibri Light" w:hAnsi="Calibri Light" w:cs="Calibri Light"/>
                        <w:i/>
                        <w:sz w:val="18"/>
                      </w:rPr>
                      <w:t xml:space="preserve"> al-</w:t>
                    </w:r>
                    <w:proofErr w:type="spellStart"/>
                    <w:r w:rsidRPr="00AD3EB7">
                      <w:rPr>
                        <w:rFonts w:ascii="Calibri Light" w:hAnsi="Calibri Light" w:cs="Calibri Light"/>
                        <w:i/>
                        <w:sz w:val="18"/>
                      </w:rPr>
                      <w:t>Shar</w:t>
                    </w:r>
                    <w:r w:rsidR="00AD3EB7" w:rsidRPr="00AD3EB7">
                      <w:rPr>
                        <w:rFonts w:ascii="Calibri Light" w:hAnsi="Calibri Light" w:cs="Calibri Light"/>
                        <w:i/>
                        <w:sz w:val="18"/>
                      </w:rPr>
                      <w:t>ī</w:t>
                    </w:r>
                    <w:r w:rsidRPr="00AD3EB7">
                      <w:rPr>
                        <w:rFonts w:ascii="Calibri Light" w:hAnsi="Calibri Light" w:cs="Calibri Light"/>
                        <w:i/>
                        <w:sz w:val="18"/>
                      </w:rPr>
                      <w:t>’a</w:t>
                    </w:r>
                    <w:r w:rsidR="00AD3EB7" w:rsidRPr="00AD3EB7">
                      <w:rPr>
                        <w:rFonts w:ascii="Calibri Light" w:hAnsi="Calibri Light" w:cs="Calibri Light"/>
                        <w:i/>
                        <w:sz w:val="18"/>
                      </w:rPr>
                      <w:t>h</w:t>
                    </w:r>
                    <w:proofErr w:type="spellEnd"/>
                    <w:r w:rsidRPr="0011150B">
                      <w:rPr>
                        <w:rFonts w:ascii="Calibri Light" w:hAnsi="Calibri Light" w:cs="Calibri Light"/>
                        <w:i/>
                        <w:sz w:val="18"/>
                      </w:rPr>
                      <w:t xml:space="preserve"> Perspective:</w:t>
                    </w:r>
                    <w:r>
                      <w:rPr>
                        <w:rFonts w:ascii="Calibri Light" w:hAnsi="Calibri Light" w:cs="Calibri Light"/>
                        <w:i/>
                        <w:sz w:val="18"/>
                      </w:rPr>
                      <w:t xml:space="preserve"> </w:t>
                    </w:r>
                    <w:r w:rsidRPr="0011150B">
                      <w:rPr>
                        <w:rFonts w:ascii="Calibri Light" w:hAnsi="Calibri Light" w:cs="Calibri Light"/>
                        <w:i/>
                        <w:sz w:val="18"/>
                      </w:rPr>
                      <w:t>The Monetary Authority's Last Resort in Facilitating Rupiah Credibility</w:t>
                    </w:r>
                  </w:p>
                </w:txbxContent>
              </v:textbox>
              <w10:wrap anchorx="page" anchory="page"/>
            </v:shape>
          </w:pict>
        </mc:Fallback>
      </mc:AlternateContent>
    </w:r>
    <w:r>
      <w:rPr>
        <w:noProof/>
      </w:rPr>
      <w:drawing>
        <wp:inline distT="0" distB="0" distL="0" distR="0" wp14:anchorId="743A8D3C" wp14:editId="5FD2A6D5">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089FEFC" w14:textId="77777777" w:rsidR="00FF1D30" w:rsidRDefault="00FF1D30">
    <w:pPr>
      <w:pStyle w:val="Header"/>
      <w:rPr>
        <w:sz w:val="16"/>
        <w:szCs w:val="16"/>
      </w:rPr>
    </w:pPr>
  </w:p>
  <w:p w14:paraId="3907D53A" w14:textId="77777777" w:rsidR="00FF1D30" w:rsidRDefault="00FF1D30">
    <w:pPr>
      <w:pStyle w:val="Header"/>
      <w:rPr>
        <w:sz w:val="16"/>
        <w:szCs w:val="16"/>
      </w:rPr>
    </w:pPr>
  </w:p>
  <w:p w14:paraId="7C8BD713"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6D2765"/>
    <w:multiLevelType w:val="hybridMultilevel"/>
    <w:tmpl w:val="491664F6"/>
    <w:lvl w:ilvl="0" w:tplc="35D6B58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C8B2A75"/>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2" w15:restartNumberingAfterBreak="0">
    <w:nsid w:val="1D1E3992"/>
    <w:multiLevelType w:val="hybridMultilevel"/>
    <w:tmpl w:val="FFFFFFFF"/>
    <w:lvl w:ilvl="0" w:tplc="765E6144">
      <w:start w:val="1"/>
      <w:numFmt w:val="decimal"/>
      <w:lvlText w:val="[%1]"/>
      <w:lvlJc w:val="left"/>
      <w:pPr>
        <w:ind w:left="2062" w:hanging="360"/>
      </w:pPr>
      <w:rPr>
        <w:rFonts w:ascii="Calibri Light" w:hAnsi="Calibri Light" w:cs="Calibri Light" w:hint="default"/>
        <w:b w:val="0"/>
        <w:bCs w:val="0"/>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5E25B66"/>
    <w:multiLevelType w:val="hybridMultilevel"/>
    <w:tmpl w:val="F3D84216"/>
    <w:lvl w:ilvl="0" w:tplc="765E614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EB2167D"/>
    <w:multiLevelType w:val="hybridMultilevel"/>
    <w:tmpl w:val="BB9A9934"/>
    <w:lvl w:ilvl="0" w:tplc="765E614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26F4DEA"/>
    <w:multiLevelType w:val="hybridMultilevel"/>
    <w:tmpl w:val="F2D813B2"/>
    <w:lvl w:ilvl="0" w:tplc="BCDAA6E4">
      <w:start w:val="1"/>
      <w:numFmt w:val="decimal"/>
      <w:lvlText w:val="[%1]"/>
      <w:lvlJc w:val="left"/>
      <w:pPr>
        <w:ind w:left="720" w:hanging="360"/>
      </w:pPr>
      <w:rPr>
        <w:rFonts w:ascii="Calibri Light" w:hAnsi="Calibri Light" w:cs="Calibri Light" w:hint="default"/>
        <w:b w:val="0"/>
        <w:bCs w:val="0"/>
        <w:color w:val="auto"/>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43F4D"/>
    <w:multiLevelType w:val="hybridMultilevel"/>
    <w:tmpl w:val="FFFFFFFF"/>
    <w:lvl w:ilvl="0" w:tplc="E1121740">
      <w:start w:val="3"/>
      <w:numFmt w:val="decimal"/>
      <w:lvlText w:val="%1."/>
      <w:lvlJc w:val="left"/>
      <w:pPr>
        <w:ind w:left="720" w:hanging="360"/>
      </w:pPr>
      <w:rPr>
        <w:rFonts w:ascii="Calibri Light" w:hAnsi="Calibri Light" w:cs="Calibri Light" w:hint="default"/>
        <w:sz w:val="24"/>
        <w:szCs w:val="24"/>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9"/>
  </w:num>
  <w:num w:numId="3">
    <w:abstractNumId w:val="10"/>
  </w:num>
  <w:num w:numId="4">
    <w:abstractNumId w:val="26"/>
  </w:num>
  <w:num w:numId="5">
    <w:abstractNumId w:val="24"/>
  </w:num>
  <w:num w:numId="6">
    <w:abstractNumId w:val="23"/>
  </w:num>
  <w:num w:numId="7">
    <w:abstractNumId w:val="33"/>
  </w:num>
  <w:num w:numId="8">
    <w:abstractNumId w:val="17"/>
  </w:num>
  <w:num w:numId="9">
    <w:abstractNumId w:val="27"/>
  </w:num>
  <w:num w:numId="10">
    <w:abstractNumId w:val="29"/>
  </w:num>
  <w:num w:numId="11">
    <w:abstractNumId w:val="13"/>
  </w:num>
  <w:num w:numId="12">
    <w:abstractNumId w:val="21"/>
  </w:num>
  <w:num w:numId="13">
    <w:abstractNumId w:val="8"/>
  </w:num>
  <w:num w:numId="14">
    <w:abstractNumId w:val="0"/>
  </w:num>
  <w:num w:numId="15">
    <w:abstractNumId w:val="34"/>
  </w:num>
  <w:num w:numId="16">
    <w:abstractNumId w:val="22"/>
  </w:num>
  <w:num w:numId="17">
    <w:abstractNumId w:val="32"/>
  </w:num>
  <w:num w:numId="18">
    <w:abstractNumId w:val="31"/>
  </w:num>
  <w:num w:numId="19">
    <w:abstractNumId w:val="20"/>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2"/>
  </w:num>
  <w:num w:numId="27">
    <w:abstractNumId w:val="15"/>
  </w:num>
  <w:num w:numId="28">
    <w:abstractNumId w:val="6"/>
  </w:num>
  <w:num w:numId="29">
    <w:abstractNumId w:val="19"/>
  </w:num>
  <w:num w:numId="30">
    <w:abstractNumId w:val="11"/>
  </w:num>
  <w:num w:numId="31">
    <w:abstractNumId w:val="30"/>
  </w:num>
  <w:num w:numId="32">
    <w:abstractNumId w:val="25"/>
  </w:num>
  <w:num w:numId="33">
    <w:abstractNumId w:val="7"/>
  </w:num>
  <w:num w:numId="34">
    <w:abstractNumId w:val="18"/>
  </w:num>
  <w:num w:numId="35">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1612"/>
    <w:rsid w:val="00003189"/>
    <w:rsid w:val="00005ED9"/>
    <w:rsid w:val="00010DEE"/>
    <w:rsid w:val="000243A3"/>
    <w:rsid w:val="00024881"/>
    <w:rsid w:val="0002569B"/>
    <w:rsid w:val="00027E04"/>
    <w:rsid w:val="0003090A"/>
    <w:rsid w:val="000376DE"/>
    <w:rsid w:val="000417D3"/>
    <w:rsid w:val="000475BE"/>
    <w:rsid w:val="00055FC4"/>
    <w:rsid w:val="00056F9B"/>
    <w:rsid w:val="0006191D"/>
    <w:rsid w:val="0006239C"/>
    <w:rsid w:val="00066AC1"/>
    <w:rsid w:val="000741B9"/>
    <w:rsid w:val="00076F8C"/>
    <w:rsid w:val="0008220C"/>
    <w:rsid w:val="00086498"/>
    <w:rsid w:val="000877EE"/>
    <w:rsid w:val="000A0B41"/>
    <w:rsid w:val="000A2548"/>
    <w:rsid w:val="000B0038"/>
    <w:rsid w:val="000B0CE5"/>
    <w:rsid w:val="000B40E1"/>
    <w:rsid w:val="000B59CD"/>
    <w:rsid w:val="000C08CC"/>
    <w:rsid w:val="000C3688"/>
    <w:rsid w:val="000C6199"/>
    <w:rsid w:val="000C683D"/>
    <w:rsid w:val="000E1F30"/>
    <w:rsid w:val="000E31DC"/>
    <w:rsid w:val="000E4C89"/>
    <w:rsid w:val="000E7DCF"/>
    <w:rsid w:val="000F26C5"/>
    <w:rsid w:val="000F66AA"/>
    <w:rsid w:val="00103AFF"/>
    <w:rsid w:val="00105118"/>
    <w:rsid w:val="00110D78"/>
    <w:rsid w:val="0011150B"/>
    <w:rsid w:val="0011441D"/>
    <w:rsid w:val="00116ED8"/>
    <w:rsid w:val="00117792"/>
    <w:rsid w:val="00122F5F"/>
    <w:rsid w:val="00123EF2"/>
    <w:rsid w:val="001245CB"/>
    <w:rsid w:val="0013783B"/>
    <w:rsid w:val="001578E9"/>
    <w:rsid w:val="00160417"/>
    <w:rsid w:val="00162A30"/>
    <w:rsid w:val="00165813"/>
    <w:rsid w:val="0016757F"/>
    <w:rsid w:val="00171D19"/>
    <w:rsid w:val="00173196"/>
    <w:rsid w:val="00177F04"/>
    <w:rsid w:val="0018182C"/>
    <w:rsid w:val="0018288D"/>
    <w:rsid w:val="00185C87"/>
    <w:rsid w:val="00187357"/>
    <w:rsid w:val="00187CDA"/>
    <w:rsid w:val="001A07A8"/>
    <w:rsid w:val="001A0F2D"/>
    <w:rsid w:val="001A4705"/>
    <w:rsid w:val="001B1959"/>
    <w:rsid w:val="001B3613"/>
    <w:rsid w:val="001B5E2C"/>
    <w:rsid w:val="001B74F6"/>
    <w:rsid w:val="001C1E25"/>
    <w:rsid w:val="001C2739"/>
    <w:rsid w:val="001C3D6C"/>
    <w:rsid w:val="001C3E10"/>
    <w:rsid w:val="001C4865"/>
    <w:rsid w:val="001C7BDA"/>
    <w:rsid w:val="001D016B"/>
    <w:rsid w:val="001D5E03"/>
    <w:rsid w:val="001D7DEE"/>
    <w:rsid w:val="001E02DA"/>
    <w:rsid w:val="001E2AAA"/>
    <w:rsid w:val="001E3488"/>
    <w:rsid w:val="0020406B"/>
    <w:rsid w:val="0020676E"/>
    <w:rsid w:val="00207AC4"/>
    <w:rsid w:val="002132FC"/>
    <w:rsid w:val="00216CB6"/>
    <w:rsid w:val="00217D1E"/>
    <w:rsid w:val="00221D46"/>
    <w:rsid w:val="00223090"/>
    <w:rsid w:val="00224082"/>
    <w:rsid w:val="0023030A"/>
    <w:rsid w:val="00232255"/>
    <w:rsid w:val="00241A99"/>
    <w:rsid w:val="00241B8D"/>
    <w:rsid w:val="00245C56"/>
    <w:rsid w:val="00251164"/>
    <w:rsid w:val="00253D8A"/>
    <w:rsid w:val="00260D64"/>
    <w:rsid w:val="002632DB"/>
    <w:rsid w:val="00263B8F"/>
    <w:rsid w:val="00266FF8"/>
    <w:rsid w:val="002676D3"/>
    <w:rsid w:val="00271DA6"/>
    <w:rsid w:val="0027200A"/>
    <w:rsid w:val="0027427C"/>
    <w:rsid w:val="00274990"/>
    <w:rsid w:val="002876B3"/>
    <w:rsid w:val="00287EDB"/>
    <w:rsid w:val="00292833"/>
    <w:rsid w:val="00295FB9"/>
    <w:rsid w:val="002961FA"/>
    <w:rsid w:val="002A293E"/>
    <w:rsid w:val="002A4E05"/>
    <w:rsid w:val="002B1A37"/>
    <w:rsid w:val="002C2FAC"/>
    <w:rsid w:val="002D0F54"/>
    <w:rsid w:val="002D1D04"/>
    <w:rsid w:val="002D2DAC"/>
    <w:rsid w:val="002D40E1"/>
    <w:rsid w:val="002E0452"/>
    <w:rsid w:val="002E695D"/>
    <w:rsid w:val="002F4D18"/>
    <w:rsid w:val="00301FEB"/>
    <w:rsid w:val="00303D42"/>
    <w:rsid w:val="0030640D"/>
    <w:rsid w:val="00306C1D"/>
    <w:rsid w:val="00312D76"/>
    <w:rsid w:val="00314B60"/>
    <w:rsid w:val="00334520"/>
    <w:rsid w:val="00334792"/>
    <w:rsid w:val="003363F0"/>
    <w:rsid w:val="00336A9A"/>
    <w:rsid w:val="00337779"/>
    <w:rsid w:val="0034128C"/>
    <w:rsid w:val="0035324C"/>
    <w:rsid w:val="003571B3"/>
    <w:rsid w:val="00362CBC"/>
    <w:rsid w:val="00381056"/>
    <w:rsid w:val="00381B26"/>
    <w:rsid w:val="00382478"/>
    <w:rsid w:val="00386F26"/>
    <w:rsid w:val="00387148"/>
    <w:rsid w:val="00387C94"/>
    <w:rsid w:val="003948B0"/>
    <w:rsid w:val="00395535"/>
    <w:rsid w:val="003A3350"/>
    <w:rsid w:val="003B28D6"/>
    <w:rsid w:val="003B4A96"/>
    <w:rsid w:val="003C40CE"/>
    <w:rsid w:val="003C482F"/>
    <w:rsid w:val="003C5369"/>
    <w:rsid w:val="003C7929"/>
    <w:rsid w:val="003D0FE7"/>
    <w:rsid w:val="003D3A2E"/>
    <w:rsid w:val="003D408C"/>
    <w:rsid w:val="003E1185"/>
    <w:rsid w:val="003F690C"/>
    <w:rsid w:val="00400BB8"/>
    <w:rsid w:val="00406D0E"/>
    <w:rsid w:val="00411F5E"/>
    <w:rsid w:val="00413EEB"/>
    <w:rsid w:val="00415562"/>
    <w:rsid w:val="0041684D"/>
    <w:rsid w:val="004174DD"/>
    <w:rsid w:val="0042323F"/>
    <w:rsid w:val="00423FBA"/>
    <w:rsid w:val="00425716"/>
    <w:rsid w:val="00425E5D"/>
    <w:rsid w:val="00432533"/>
    <w:rsid w:val="0043312F"/>
    <w:rsid w:val="004350DD"/>
    <w:rsid w:val="0043544C"/>
    <w:rsid w:val="0044270D"/>
    <w:rsid w:val="00442E0E"/>
    <w:rsid w:val="00442F6C"/>
    <w:rsid w:val="00446467"/>
    <w:rsid w:val="00447E2F"/>
    <w:rsid w:val="00450868"/>
    <w:rsid w:val="00451D00"/>
    <w:rsid w:val="00453027"/>
    <w:rsid w:val="004535C9"/>
    <w:rsid w:val="004538A9"/>
    <w:rsid w:val="00457FEB"/>
    <w:rsid w:val="00461A20"/>
    <w:rsid w:val="00463904"/>
    <w:rsid w:val="004657C4"/>
    <w:rsid w:val="00476E9F"/>
    <w:rsid w:val="00480529"/>
    <w:rsid w:val="00481B20"/>
    <w:rsid w:val="004863B6"/>
    <w:rsid w:val="00486707"/>
    <w:rsid w:val="0048722D"/>
    <w:rsid w:val="004926FD"/>
    <w:rsid w:val="004928B8"/>
    <w:rsid w:val="00497A78"/>
    <w:rsid w:val="004A19B5"/>
    <w:rsid w:val="004A4564"/>
    <w:rsid w:val="004A680D"/>
    <w:rsid w:val="004A68CB"/>
    <w:rsid w:val="004B07C4"/>
    <w:rsid w:val="004B08D8"/>
    <w:rsid w:val="004B0E60"/>
    <w:rsid w:val="004B1803"/>
    <w:rsid w:val="004B2784"/>
    <w:rsid w:val="004C15A0"/>
    <w:rsid w:val="004D00AE"/>
    <w:rsid w:val="004D0872"/>
    <w:rsid w:val="004D21CC"/>
    <w:rsid w:val="004D5A18"/>
    <w:rsid w:val="004D67B0"/>
    <w:rsid w:val="004D7EF4"/>
    <w:rsid w:val="004F5003"/>
    <w:rsid w:val="004F5144"/>
    <w:rsid w:val="004F5368"/>
    <w:rsid w:val="00500754"/>
    <w:rsid w:val="00500AAF"/>
    <w:rsid w:val="005022AA"/>
    <w:rsid w:val="005031E8"/>
    <w:rsid w:val="0050390B"/>
    <w:rsid w:val="00503DD2"/>
    <w:rsid w:val="005062E6"/>
    <w:rsid w:val="005132A0"/>
    <w:rsid w:val="005227C8"/>
    <w:rsid w:val="00524622"/>
    <w:rsid w:val="00525454"/>
    <w:rsid w:val="00526B87"/>
    <w:rsid w:val="005277E5"/>
    <w:rsid w:val="005323E6"/>
    <w:rsid w:val="005338AD"/>
    <w:rsid w:val="0053629A"/>
    <w:rsid w:val="005367ED"/>
    <w:rsid w:val="00540451"/>
    <w:rsid w:val="00540F02"/>
    <w:rsid w:val="0054303A"/>
    <w:rsid w:val="00543077"/>
    <w:rsid w:val="005469BE"/>
    <w:rsid w:val="005478C9"/>
    <w:rsid w:val="00550F2E"/>
    <w:rsid w:val="00553784"/>
    <w:rsid w:val="005569E1"/>
    <w:rsid w:val="00556AEC"/>
    <w:rsid w:val="0056036E"/>
    <w:rsid w:val="005611F1"/>
    <w:rsid w:val="00561637"/>
    <w:rsid w:val="005626AA"/>
    <w:rsid w:val="005635B4"/>
    <w:rsid w:val="005706E6"/>
    <w:rsid w:val="00571CFE"/>
    <w:rsid w:val="005771AB"/>
    <w:rsid w:val="00583A95"/>
    <w:rsid w:val="00586CEF"/>
    <w:rsid w:val="00586E7F"/>
    <w:rsid w:val="00591DE5"/>
    <w:rsid w:val="0059236C"/>
    <w:rsid w:val="005A1013"/>
    <w:rsid w:val="005A4F69"/>
    <w:rsid w:val="005B15F5"/>
    <w:rsid w:val="005B21F6"/>
    <w:rsid w:val="005B3038"/>
    <w:rsid w:val="005B6DEC"/>
    <w:rsid w:val="005C14AA"/>
    <w:rsid w:val="005C29C0"/>
    <w:rsid w:val="005C643D"/>
    <w:rsid w:val="005D48C0"/>
    <w:rsid w:val="005D4A0D"/>
    <w:rsid w:val="005D52A4"/>
    <w:rsid w:val="005E1DD0"/>
    <w:rsid w:val="005E7673"/>
    <w:rsid w:val="005F6FDF"/>
    <w:rsid w:val="006035FA"/>
    <w:rsid w:val="006052AE"/>
    <w:rsid w:val="0061613E"/>
    <w:rsid w:val="0062062F"/>
    <w:rsid w:val="0062129F"/>
    <w:rsid w:val="00621B1D"/>
    <w:rsid w:val="00622926"/>
    <w:rsid w:val="0062388D"/>
    <w:rsid w:val="006352D0"/>
    <w:rsid w:val="006419D1"/>
    <w:rsid w:val="00647C72"/>
    <w:rsid w:val="006538D6"/>
    <w:rsid w:val="00654B07"/>
    <w:rsid w:val="006622CD"/>
    <w:rsid w:val="00664A4E"/>
    <w:rsid w:val="00670E37"/>
    <w:rsid w:val="00674CB5"/>
    <w:rsid w:val="00676E54"/>
    <w:rsid w:val="00680536"/>
    <w:rsid w:val="00683C1D"/>
    <w:rsid w:val="0068534F"/>
    <w:rsid w:val="006902BB"/>
    <w:rsid w:val="00692B63"/>
    <w:rsid w:val="00697494"/>
    <w:rsid w:val="006A3F87"/>
    <w:rsid w:val="006A7DFF"/>
    <w:rsid w:val="006B0510"/>
    <w:rsid w:val="006B2D02"/>
    <w:rsid w:val="006B4AEF"/>
    <w:rsid w:val="006B6E0F"/>
    <w:rsid w:val="006C65C4"/>
    <w:rsid w:val="006C6EBD"/>
    <w:rsid w:val="006C7730"/>
    <w:rsid w:val="006D6149"/>
    <w:rsid w:val="006D782E"/>
    <w:rsid w:val="006E2F83"/>
    <w:rsid w:val="006E7BC3"/>
    <w:rsid w:val="006E7FC3"/>
    <w:rsid w:val="006F02EB"/>
    <w:rsid w:val="006F2DC8"/>
    <w:rsid w:val="006F411A"/>
    <w:rsid w:val="00700DE2"/>
    <w:rsid w:val="00704378"/>
    <w:rsid w:val="00707398"/>
    <w:rsid w:val="00715582"/>
    <w:rsid w:val="007169EC"/>
    <w:rsid w:val="00727B9E"/>
    <w:rsid w:val="007322AC"/>
    <w:rsid w:val="00734A28"/>
    <w:rsid w:val="00741058"/>
    <w:rsid w:val="00744F6A"/>
    <w:rsid w:val="00755AB4"/>
    <w:rsid w:val="00760190"/>
    <w:rsid w:val="00761E7C"/>
    <w:rsid w:val="007636FC"/>
    <w:rsid w:val="00781481"/>
    <w:rsid w:val="007816FC"/>
    <w:rsid w:val="00781D8B"/>
    <w:rsid w:val="00783D53"/>
    <w:rsid w:val="0079311F"/>
    <w:rsid w:val="007933FE"/>
    <w:rsid w:val="00796577"/>
    <w:rsid w:val="00796A75"/>
    <w:rsid w:val="007A2AA8"/>
    <w:rsid w:val="007A5A78"/>
    <w:rsid w:val="007A62B7"/>
    <w:rsid w:val="007A65BF"/>
    <w:rsid w:val="007B6823"/>
    <w:rsid w:val="007B7376"/>
    <w:rsid w:val="007C3FE9"/>
    <w:rsid w:val="007D0114"/>
    <w:rsid w:val="007D1F1D"/>
    <w:rsid w:val="007D5BA1"/>
    <w:rsid w:val="007D7597"/>
    <w:rsid w:val="007E23A6"/>
    <w:rsid w:val="007E508F"/>
    <w:rsid w:val="007E7F6E"/>
    <w:rsid w:val="007F02FB"/>
    <w:rsid w:val="007F3168"/>
    <w:rsid w:val="007F37D6"/>
    <w:rsid w:val="007F422E"/>
    <w:rsid w:val="007F6E1A"/>
    <w:rsid w:val="00802718"/>
    <w:rsid w:val="00802990"/>
    <w:rsid w:val="00802A96"/>
    <w:rsid w:val="00810811"/>
    <w:rsid w:val="008157AA"/>
    <w:rsid w:val="00815993"/>
    <w:rsid w:val="0082272E"/>
    <w:rsid w:val="00822EC3"/>
    <w:rsid w:val="00843308"/>
    <w:rsid w:val="00852EC7"/>
    <w:rsid w:val="0085484D"/>
    <w:rsid w:val="00862178"/>
    <w:rsid w:val="00862DDA"/>
    <w:rsid w:val="00863A78"/>
    <w:rsid w:val="00874359"/>
    <w:rsid w:val="00874EB7"/>
    <w:rsid w:val="008765A5"/>
    <w:rsid w:val="008774B0"/>
    <w:rsid w:val="00882CAF"/>
    <w:rsid w:val="008841C4"/>
    <w:rsid w:val="0088746C"/>
    <w:rsid w:val="00891355"/>
    <w:rsid w:val="008940D8"/>
    <w:rsid w:val="00896833"/>
    <w:rsid w:val="008973B2"/>
    <w:rsid w:val="008A259B"/>
    <w:rsid w:val="008B23F8"/>
    <w:rsid w:val="008B4BA9"/>
    <w:rsid w:val="008B7A0F"/>
    <w:rsid w:val="008C1861"/>
    <w:rsid w:val="008C302B"/>
    <w:rsid w:val="008C3DC2"/>
    <w:rsid w:val="008C45DE"/>
    <w:rsid w:val="008C5EA4"/>
    <w:rsid w:val="008D0F02"/>
    <w:rsid w:val="008D21A5"/>
    <w:rsid w:val="008D30DA"/>
    <w:rsid w:val="008E080D"/>
    <w:rsid w:val="008E554D"/>
    <w:rsid w:val="008E7B56"/>
    <w:rsid w:val="008F3342"/>
    <w:rsid w:val="008F69DA"/>
    <w:rsid w:val="008F6D61"/>
    <w:rsid w:val="00902F9C"/>
    <w:rsid w:val="00903CCF"/>
    <w:rsid w:val="00906AC7"/>
    <w:rsid w:val="00911A24"/>
    <w:rsid w:val="009206DD"/>
    <w:rsid w:val="009276FB"/>
    <w:rsid w:val="00931325"/>
    <w:rsid w:val="00931F25"/>
    <w:rsid w:val="0093569E"/>
    <w:rsid w:val="00936811"/>
    <w:rsid w:val="00940F83"/>
    <w:rsid w:val="0094187E"/>
    <w:rsid w:val="0094209C"/>
    <w:rsid w:val="00945575"/>
    <w:rsid w:val="0095288D"/>
    <w:rsid w:val="00954BA8"/>
    <w:rsid w:val="00965E3F"/>
    <w:rsid w:val="00965F50"/>
    <w:rsid w:val="00965FF3"/>
    <w:rsid w:val="00971BE4"/>
    <w:rsid w:val="00980C58"/>
    <w:rsid w:val="0098193E"/>
    <w:rsid w:val="00982D92"/>
    <w:rsid w:val="009865FF"/>
    <w:rsid w:val="00987772"/>
    <w:rsid w:val="0099291C"/>
    <w:rsid w:val="009929B4"/>
    <w:rsid w:val="00993008"/>
    <w:rsid w:val="009A1281"/>
    <w:rsid w:val="009B6344"/>
    <w:rsid w:val="009B764B"/>
    <w:rsid w:val="009B7A37"/>
    <w:rsid w:val="009C58BB"/>
    <w:rsid w:val="009D76A2"/>
    <w:rsid w:val="009D7AA9"/>
    <w:rsid w:val="009D7D1F"/>
    <w:rsid w:val="009E2468"/>
    <w:rsid w:val="009E3624"/>
    <w:rsid w:val="009E4EBA"/>
    <w:rsid w:val="009E69AC"/>
    <w:rsid w:val="009F091C"/>
    <w:rsid w:val="009F2D64"/>
    <w:rsid w:val="009F409C"/>
    <w:rsid w:val="009F6F7B"/>
    <w:rsid w:val="00A03126"/>
    <w:rsid w:val="00A03430"/>
    <w:rsid w:val="00A1034F"/>
    <w:rsid w:val="00A13315"/>
    <w:rsid w:val="00A1542C"/>
    <w:rsid w:val="00A175E3"/>
    <w:rsid w:val="00A27B34"/>
    <w:rsid w:val="00A347ED"/>
    <w:rsid w:val="00A353C6"/>
    <w:rsid w:val="00A37C4B"/>
    <w:rsid w:val="00A429ED"/>
    <w:rsid w:val="00A43778"/>
    <w:rsid w:val="00A4558F"/>
    <w:rsid w:val="00A4776B"/>
    <w:rsid w:val="00A50B27"/>
    <w:rsid w:val="00A549F9"/>
    <w:rsid w:val="00A562A0"/>
    <w:rsid w:val="00A5653C"/>
    <w:rsid w:val="00A574C4"/>
    <w:rsid w:val="00A57EF2"/>
    <w:rsid w:val="00A60243"/>
    <w:rsid w:val="00A602DE"/>
    <w:rsid w:val="00A64896"/>
    <w:rsid w:val="00A67525"/>
    <w:rsid w:val="00A71464"/>
    <w:rsid w:val="00A72073"/>
    <w:rsid w:val="00A72FCF"/>
    <w:rsid w:val="00A758BF"/>
    <w:rsid w:val="00A762E8"/>
    <w:rsid w:val="00A8066D"/>
    <w:rsid w:val="00A80B2E"/>
    <w:rsid w:val="00A819B4"/>
    <w:rsid w:val="00A83E44"/>
    <w:rsid w:val="00A91CAD"/>
    <w:rsid w:val="00A92D0F"/>
    <w:rsid w:val="00A95B23"/>
    <w:rsid w:val="00AA2769"/>
    <w:rsid w:val="00AA4AE4"/>
    <w:rsid w:val="00AA4E7D"/>
    <w:rsid w:val="00AA6636"/>
    <w:rsid w:val="00AC263D"/>
    <w:rsid w:val="00AC465E"/>
    <w:rsid w:val="00AC6628"/>
    <w:rsid w:val="00AD2E20"/>
    <w:rsid w:val="00AD3EB7"/>
    <w:rsid w:val="00AD3EFD"/>
    <w:rsid w:val="00AD4E41"/>
    <w:rsid w:val="00AD559D"/>
    <w:rsid w:val="00AF27DA"/>
    <w:rsid w:val="00AF33B1"/>
    <w:rsid w:val="00AF35CC"/>
    <w:rsid w:val="00AF73DF"/>
    <w:rsid w:val="00B02CE0"/>
    <w:rsid w:val="00B045F0"/>
    <w:rsid w:val="00B06540"/>
    <w:rsid w:val="00B17324"/>
    <w:rsid w:val="00B22D38"/>
    <w:rsid w:val="00B232B7"/>
    <w:rsid w:val="00B23A33"/>
    <w:rsid w:val="00B25EDF"/>
    <w:rsid w:val="00B33BE4"/>
    <w:rsid w:val="00B35DC8"/>
    <w:rsid w:val="00B4389C"/>
    <w:rsid w:val="00B47B2C"/>
    <w:rsid w:val="00B553D5"/>
    <w:rsid w:val="00B56B54"/>
    <w:rsid w:val="00B608CA"/>
    <w:rsid w:val="00B70E6B"/>
    <w:rsid w:val="00B74AF1"/>
    <w:rsid w:val="00B76173"/>
    <w:rsid w:val="00B80A1A"/>
    <w:rsid w:val="00B86BF7"/>
    <w:rsid w:val="00B905EC"/>
    <w:rsid w:val="00B91F74"/>
    <w:rsid w:val="00B93524"/>
    <w:rsid w:val="00B941E2"/>
    <w:rsid w:val="00B9472D"/>
    <w:rsid w:val="00B975EE"/>
    <w:rsid w:val="00BA6FF3"/>
    <w:rsid w:val="00BB2B6F"/>
    <w:rsid w:val="00BB65E3"/>
    <w:rsid w:val="00BB6938"/>
    <w:rsid w:val="00BC51D8"/>
    <w:rsid w:val="00BD5D62"/>
    <w:rsid w:val="00BD79A0"/>
    <w:rsid w:val="00BE144D"/>
    <w:rsid w:val="00BE17FD"/>
    <w:rsid w:val="00BE30EB"/>
    <w:rsid w:val="00BF19F8"/>
    <w:rsid w:val="00BF2901"/>
    <w:rsid w:val="00C02B08"/>
    <w:rsid w:val="00C02E08"/>
    <w:rsid w:val="00C03879"/>
    <w:rsid w:val="00C05523"/>
    <w:rsid w:val="00C10C09"/>
    <w:rsid w:val="00C10DF8"/>
    <w:rsid w:val="00C119F0"/>
    <w:rsid w:val="00C11C42"/>
    <w:rsid w:val="00C13817"/>
    <w:rsid w:val="00C152F9"/>
    <w:rsid w:val="00C16CDF"/>
    <w:rsid w:val="00C1756D"/>
    <w:rsid w:val="00C21420"/>
    <w:rsid w:val="00C26170"/>
    <w:rsid w:val="00C32D56"/>
    <w:rsid w:val="00C411A8"/>
    <w:rsid w:val="00C420B8"/>
    <w:rsid w:val="00C421C2"/>
    <w:rsid w:val="00C47973"/>
    <w:rsid w:val="00C50A65"/>
    <w:rsid w:val="00C549E7"/>
    <w:rsid w:val="00C54EF1"/>
    <w:rsid w:val="00C5622A"/>
    <w:rsid w:val="00C6051D"/>
    <w:rsid w:val="00C67610"/>
    <w:rsid w:val="00C71E29"/>
    <w:rsid w:val="00C72516"/>
    <w:rsid w:val="00C7405A"/>
    <w:rsid w:val="00C7503D"/>
    <w:rsid w:val="00C86BC1"/>
    <w:rsid w:val="00C93C98"/>
    <w:rsid w:val="00C969C8"/>
    <w:rsid w:val="00CA7439"/>
    <w:rsid w:val="00CB41DC"/>
    <w:rsid w:val="00CB4CFA"/>
    <w:rsid w:val="00CC56D8"/>
    <w:rsid w:val="00CC6A37"/>
    <w:rsid w:val="00CD59EE"/>
    <w:rsid w:val="00CE2A67"/>
    <w:rsid w:val="00CE4F97"/>
    <w:rsid w:val="00CE741E"/>
    <w:rsid w:val="00CE7D9C"/>
    <w:rsid w:val="00CF03A1"/>
    <w:rsid w:val="00CF4746"/>
    <w:rsid w:val="00CF57D6"/>
    <w:rsid w:val="00CF632C"/>
    <w:rsid w:val="00CF6D3F"/>
    <w:rsid w:val="00D03108"/>
    <w:rsid w:val="00D10B53"/>
    <w:rsid w:val="00D21DBE"/>
    <w:rsid w:val="00D26ADD"/>
    <w:rsid w:val="00D31234"/>
    <w:rsid w:val="00D327F8"/>
    <w:rsid w:val="00D354DA"/>
    <w:rsid w:val="00D41DEC"/>
    <w:rsid w:val="00D426D5"/>
    <w:rsid w:val="00D44083"/>
    <w:rsid w:val="00D561F4"/>
    <w:rsid w:val="00D57022"/>
    <w:rsid w:val="00D57A56"/>
    <w:rsid w:val="00D63088"/>
    <w:rsid w:val="00D635B8"/>
    <w:rsid w:val="00D67104"/>
    <w:rsid w:val="00D70AEE"/>
    <w:rsid w:val="00D719BB"/>
    <w:rsid w:val="00D73826"/>
    <w:rsid w:val="00D775DE"/>
    <w:rsid w:val="00D81ECA"/>
    <w:rsid w:val="00D85DD2"/>
    <w:rsid w:val="00D90FE5"/>
    <w:rsid w:val="00D92E72"/>
    <w:rsid w:val="00D94113"/>
    <w:rsid w:val="00D96860"/>
    <w:rsid w:val="00DA02CF"/>
    <w:rsid w:val="00DA0663"/>
    <w:rsid w:val="00DB51BE"/>
    <w:rsid w:val="00DC1CC8"/>
    <w:rsid w:val="00DC28F6"/>
    <w:rsid w:val="00DC3AF3"/>
    <w:rsid w:val="00DC48EA"/>
    <w:rsid w:val="00DC5DB0"/>
    <w:rsid w:val="00DC66E5"/>
    <w:rsid w:val="00DC7B34"/>
    <w:rsid w:val="00DD4F3F"/>
    <w:rsid w:val="00DD601D"/>
    <w:rsid w:val="00DD77C0"/>
    <w:rsid w:val="00DE1E48"/>
    <w:rsid w:val="00DE4617"/>
    <w:rsid w:val="00DF0C41"/>
    <w:rsid w:val="00DF0EC0"/>
    <w:rsid w:val="00DF1636"/>
    <w:rsid w:val="00DF2729"/>
    <w:rsid w:val="00DF5622"/>
    <w:rsid w:val="00DF6442"/>
    <w:rsid w:val="00E005F9"/>
    <w:rsid w:val="00E0470A"/>
    <w:rsid w:val="00E074C7"/>
    <w:rsid w:val="00E11ED3"/>
    <w:rsid w:val="00E1461B"/>
    <w:rsid w:val="00E17AAD"/>
    <w:rsid w:val="00E25502"/>
    <w:rsid w:val="00E27218"/>
    <w:rsid w:val="00E30D6B"/>
    <w:rsid w:val="00E30E14"/>
    <w:rsid w:val="00E36AA2"/>
    <w:rsid w:val="00E439CB"/>
    <w:rsid w:val="00E46E84"/>
    <w:rsid w:val="00E546C5"/>
    <w:rsid w:val="00E5640B"/>
    <w:rsid w:val="00E605AF"/>
    <w:rsid w:val="00E65AF8"/>
    <w:rsid w:val="00E7088C"/>
    <w:rsid w:val="00E73641"/>
    <w:rsid w:val="00E75F6E"/>
    <w:rsid w:val="00E77C4D"/>
    <w:rsid w:val="00E82626"/>
    <w:rsid w:val="00E90C62"/>
    <w:rsid w:val="00E922F2"/>
    <w:rsid w:val="00E93AC4"/>
    <w:rsid w:val="00EA4465"/>
    <w:rsid w:val="00EA4EF4"/>
    <w:rsid w:val="00EA5258"/>
    <w:rsid w:val="00EB177A"/>
    <w:rsid w:val="00EB323F"/>
    <w:rsid w:val="00EB4F47"/>
    <w:rsid w:val="00EB5A85"/>
    <w:rsid w:val="00EB743A"/>
    <w:rsid w:val="00EB78F5"/>
    <w:rsid w:val="00EC4D8B"/>
    <w:rsid w:val="00ED2F7D"/>
    <w:rsid w:val="00ED719C"/>
    <w:rsid w:val="00EF3F70"/>
    <w:rsid w:val="00F01DBC"/>
    <w:rsid w:val="00F06CD1"/>
    <w:rsid w:val="00F06FB4"/>
    <w:rsid w:val="00F1027C"/>
    <w:rsid w:val="00F1389F"/>
    <w:rsid w:val="00F1612A"/>
    <w:rsid w:val="00F23791"/>
    <w:rsid w:val="00F3381A"/>
    <w:rsid w:val="00F345F2"/>
    <w:rsid w:val="00F369EC"/>
    <w:rsid w:val="00F52E83"/>
    <w:rsid w:val="00F64F55"/>
    <w:rsid w:val="00F660DB"/>
    <w:rsid w:val="00F70DAF"/>
    <w:rsid w:val="00F727DB"/>
    <w:rsid w:val="00F7294C"/>
    <w:rsid w:val="00F814D0"/>
    <w:rsid w:val="00F9056B"/>
    <w:rsid w:val="00F956D7"/>
    <w:rsid w:val="00FA0437"/>
    <w:rsid w:val="00FA3FD1"/>
    <w:rsid w:val="00FA5D4C"/>
    <w:rsid w:val="00FB2A93"/>
    <w:rsid w:val="00FB4B69"/>
    <w:rsid w:val="00FB5880"/>
    <w:rsid w:val="00FB5AB3"/>
    <w:rsid w:val="00FB7659"/>
    <w:rsid w:val="00FC2DC7"/>
    <w:rsid w:val="00FC3FCF"/>
    <w:rsid w:val="00FC4C88"/>
    <w:rsid w:val="00FC65C4"/>
    <w:rsid w:val="00FC679E"/>
    <w:rsid w:val="00FC7F7E"/>
    <w:rsid w:val="00FD08EE"/>
    <w:rsid w:val="00FE0722"/>
    <w:rsid w:val="00FE59A0"/>
    <w:rsid w:val="00FE703C"/>
    <w:rsid w:val="00FF1D30"/>
    <w:rsid w:val="00FF28AE"/>
    <w:rsid w:val="00FF3EDF"/>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AF2932"/>
  <w14:defaultImageDpi w14:val="0"/>
  <w15:docId w15:val="{DD27474A-E2B0-4074-B078-DD236DCB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
    <w:link w:val="ListParagraph"/>
    <w:uiPriority w:val="1"/>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customStyle="1" w:styleId="fontstyle01">
    <w:name w:val="fontstyle01"/>
    <w:rsid w:val="00896833"/>
    <w:rPr>
      <w:rFonts w:ascii="TimesNewRomanPSMT" w:hAnsi="TimesNewRomanPSMT"/>
      <w:color w:val="242021"/>
      <w:sz w:val="18"/>
    </w:rPr>
  </w:style>
  <w:style w:type="character" w:styleId="CommentReference">
    <w:name w:val="annotation reference"/>
    <w:basedOn w:val="DefaultParagraphFont"/>
    <w:uiPriority w:val="99"/>
    <w:rsid w:val="00FF28AE"/>
    <w:rPr>
      <w:sz w:val="16"/>
      <w:szCs w:val="16"/>
    </w:rPr>
  </w:style>
  <w:style w:type="paragraph" w:styleId="CommentText">
    <w:name w:val="annotation text"/>
    <w:basedOn w:val="Normal"/>
    <w:link w:val="CommentTextChar"/>
    <w:uiPriority w:val="99"/>
    <w:rsid w:val="00FF28AE"/>
  </w:style>
  <w:style w:type="character" w:customStyle="1" w:styleId="CommentTextChar">
    <w:name w:val="Comment Text Char"/>
    <w:basedOn w:val="DefaultParagraphFont"/>
    <w:link w:val="CommentText"/>
    <w:uiPriority w:val="99"/>
    <w:rsid w:val="00FF28AE"/>
    <w:rPr>
      <w:lang w:val="en-US" w:eastAsia="en-GB"/>
    </w:rPr>
  </w:style>
  <w:style w:type="paragraph" w:styleId="CommentSubject">
    <w:name w:val="annotation subject"/>
    <w:basedOn w:val="CommentText"/>
    <w:next w:val="CommentText"/>
    <w:link w:val="CommentSubjectChar"/>
    <w:uiPriority w:val="99"/>
    <w:rsid w:val="00FF28AE"/>
    <w:rPr>
      <w:b/>
      <w:bCs/>
    </w:rPr>
  </w:style>
  <w:style w:type="character" w:customStyle="1" w:styleId="CommentSubjectChar">
    <w:name w:val="Comment Subject Char"/>
    <w:basedOn w:val="CommentTextChar"/>
    <w:link w:val="CommentSubject"/>
    <w:uiPriority w:val="99"/>
    <w:rsid w:val="00FF28AE"/>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5.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75760-E667-499C-A83F-23E7EF4C2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11517</Words>
  <Characters>69215</Characters>
  <Application>Microsoft Office Word</Application>
  <DocSecurity>0</DocSecurity>
  <Lines>1107</Lines>
  <Paragraphs>275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80466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DELL</cp:lastModifiedBy>
  <cp:revision>2</cp:revision>
  <cp:lastPrinted>2008-11-01T04:52:00Z</cp:lastPrinted>
  <dcterms:created xsi:type="dcterms:W3CDTF">2025-03-16T15:07:00Z</dcterms:created>
  <dcterms:modified xsi:type="dcterms:W3CDTF">2025-03-16T15:07:00Z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1246218b227756649c8b015b52616cadde575428b34cc5b4d6dcae97252ded16</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b17d640d-4caf-3957-9065-4ae91f93e41d</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http://www.zotero.org/styles/apa-6th-edition</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http://www.zotero.org/styles/apa</vt:lpwstr>
  </property>
  <property fmtid="{D5CDD505-2E9C-101B-9397-08002B2CF9AE}" pid="13" name="Mendeley Recent Style Name 3_1">
    <vt:lpwstr>American Psychological Association 7th edition</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12th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4th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9th edition</vt:lpwstr>
  </property>
  <property fmtid="{D5CDD505-2E9C-101B-9397-08002B2CF9AE}" pid="22" name="Mendeley Recent Style Id 8_1">
    <vt:lpwstr>http://www.zotero.org/styles/turabian-fullnote-bibliography</vt:lpwstr>
  </property>
  <property fmtid="{D5CDD505-2E9C-101B-9397-08002B2CF9AE}" pid="23" name="Mendeley Recent Style Name 8_1">
    <vt:lpwstr>Turabian 9th edition (full note)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