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2C2843" w:rsidRDefault="00DE1E48" w:rsidP="00122F5F">
      <w:pPr>
        <w:rPr>
          <w:rFonts w:ascii="Calibri Light" w:hAnsi="Calibri Light" w:cs="Calibri Light"/>
          <w:b/>
          <w:bCs/>
          <w:sz w:val="24"/>
          <w:szCs w:val="24"/>
          <w:lang w:val="uk-UA"/>
        </w:rPr>
      </w:pPr>
    </w:p>
    <w:p w:rsidR="00DE1E48" w:rsidRPr="00122F5F" w:rsidRDefault="002C2843" w:rsidP="00122F5F">
      <w:pPr>
        <w:rPr>
          <w:rFonts w:ascii="Calibri Light" w:hAnsi="Calibri Light" w:cs="Calibri Light"/>
          <w:b/>
          <w:bCs/>
          <w:iCs/>
          <w:sz w:val="28"/>
          <w:szCs w:val="28"/>
          <w:lang w:val="id-ID"/>
        </w:rPr>
      </w:pPr>
      <w:r w:rsidRPr="002C2843">
        <w:rPr>
          <w:rFonts w:ascii="Calibri Light" w:hAnsi="Calibri Light" w:cs="Calibri Light"/>
          <w:b/>
          <w:bCs/>
          <w:sz w:val="28"/>
          <w:szCs w:val="28"/>
        </w:rPr>
        <w:t>Analysis of Factors and Proposals for Improving the Efficiency of Judicial Decision Enforcement in Ukraine</w:t>
      </w:r>
    </w:p>
    <w:p w:rsidR="00DE1E48" w:rsidRPr="00122F5F" w:rsidRDefault="00DE1E48" w:rsidP="001D7DEE">
      <w:pPr>
        <w:jc w:val="center"/>
        <w:rPr>
          <w:rFonts w:ascii="Calibri Light" w:hAnsi="Calibri Light" w:cs="Calibri Light"/>
          <w:sz w:val="24"/>
          <w:szCs w:val="24"/>
        </w:rPr>
      </w:pP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B757DB" w:rsidP="00863A78">
      <w:pPr>
        <w:ind w:right="737"/>
        <w:rPr>
          <w:rFonts w:ascii="Calibri Light" w:hAnsi="Calibri Light" w:cs="Calibri Light"/>
          <w:b/>
          <w:bCs/>
        </w:rPr>
      </w:pPr>
      <w:r>
        <w:rPr>
          <w:rFonts w:ascii="Calibri Light" w:hAnsi="Calibri Light" w:cs="Calibri Light"/>
          <w:noProof/>
          <w:position w:val="-13"/>
        </w:rPr>
        <w:drawing>
          <wp:inline distT="0" distB="0" distL="0" distR="0">
            <wp:extent cx="254000" cy="254000"/>
            <wp:effectExtent l="0" t="0" r="0" b="0"/>
            <wp:docPr id="1" name="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8">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lang w:val="en-GB"/>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E3364" w:rsidRPr="006E3364">
        <w:rPr>
          <w:rFonts w:ascii="Calibri Light" w:hAnsi="Calibri Light" w:cs="Calibri Light"/>
          <w:i/>
          <w:iCs/>
          <w:noProof/>
          <w:color w:val="000000"/>
          <w:sz w:val="24"/>
          <w:szCs w:val="24"/>
          <w:lang w:val="en-GB"/>
        </w:rPr>
        <w:t>This study aims to analyse the primary factors limiting the efficiency of judicial decision enforcement in Ukraine, identify the key determinants, and propose measures to enhance this process. The methodological foundation of the research is based on documentary analysis of regulatory legal acts and scientific literature. Relevant academic sources were selected following the PRISMA guidelines, which enabled the identification of 47 publications meeting inclusion and exclusion criteria. The findings highlight that the failure to enforce judicial decisions in Ukraine is a multifaceted issue requiring further resolution. Specific challenges include economic constraints, inconsistencies in accessing data from various databases and registers, corruption-related matters, and the disproportion between state and private executors. Proposals for improvement include updating government programmes for the compensation of judicial debts, amending regulations on the sale of state property by lifting moratoriums on such sales while increasing the state’s share to 75%, and restructuring existing debts. Another potential measure involves increasing the number of private</w:t>
      </w:r>
      <w:r w:rsidR="006E3364" w:rsidRPr="006E3364">
        <w:rPr>
          <w:rFonts w:ascii="Calibri Light" w:hAnsi="Calibri Light" w:cs="Calibri Light"/>
          <w:i/>
          <w:iCs/>
          <w:noProof/>
          <w:color w:val="000000"/>
          <w:sz w:val="24"/>
          <w:szCs w:val="24"/>
          <w:lang w:val="uk-UA"/>
        </w:rPr>
        <w:t xml:space="preserve"> </w:t>
      </w:r>
      <w:r w:rsidR="006E3364" w:rsidRPr="006E3364">
        <w:rPr>
          <w:rFonts w:ascii="Calibri Light" w:hAnsi="Calibri Light" w:cs="Calibri Light"/>
          <w:i/>
          <w:iCs/>
          <w:noProof/>
          <w:color w:val="000000"/>
          <w:sz w:val="24"/>
          <w:szCs w:val="24"/>
          <w:lang w:val="en-GB"/>
        </w:rPr>
        <w:t>executors, granting them broader powers, and improving their access to state information. The conclusions emphasise that the current situation regarding the non-enforcement of judicial decisions requires further comprehensive reforms, particularly in the existing legislative framework.</w:t>
      </w:r>
    </w:p>
    <w:p w:rsidR="005F333D" w:rsidRPr="00122F5F" w:rsidRDefault="005F333D" w:rsidP="00540F02">
      <w:pPr>
        <w:ind w:right="-1"/>
        <w:jc w:val="both"/>
        <w:rPr>
          <w:rFonts w:ascii="Calibri Light" w:hAnsi="Calibri Light" w:cs="Calibri Light"/>
          <w:noProof/>
          <w:color w:val="000000"/>
          <w:sz w:val="24"/>
          <w:szCs w:val="24"/>
          <w:lang w:val="id-ID"/>
        </w:rPr>
      </w:pPr>
    </w:p>
    <w:p w:rsidR="00DE1E48" w:rsidRPr="005F333D" w:rsidRDefault="005F333D" w:rsidP="005F333D">
      <w:pPr>
        <w:ind w:right="-1"/>
        <w:jc w:val="both"/>
        <w:rPr>
          <w:rFonts w:ascii="Calibri Light" w:hAnsi="Calibri Light" w:cs="Calibri Light"/>
          <w:i/>
          <w:iCs/>
          <w:sz w:val="24"/>
          <w:szCs w:val="24"/>
          <w:lang w:val="id-ID"/>
        </w:rPr>
      </w:pPr>
      <w:r w:rsidRPr="005F333D">
        <w:rPr>
          <w:rFonts w:ascii="Calibri Light" w:hAnsi="Calibri Light" w:cs="Calibri Light"/>
          <w:i/>
          <w:noProof/>
          <w:sz w:val="24"/>
          <w:szCs w:val="24"/>
          <w:lang w:val="id-ID"/>
        </w:rPr>
        <w:t xml:space="preserve">Penelitian ini bertujuan untuk menganalisis faktor utama yang membatasi efektivitas pelaksanaan putusan pengadilan di Ukraina, mengidentifikasi determinan kunci, dan mengusulkan langkah-langkah untuk meningkatkan proses ini. Landasan metodologis penelitian ini didasarkan pada analisis dokumen terhadap peraturan hukum dan literatur ilmiah. Sumber akademik yang relevan dipilih sesuai dengan pedoman PRISMA, yang memungkinkan identifikasi 47 publikasi yang memenuhi kriteria inklusi dan eksklusi. Hasil penelitian menunjukkan bahwa kegagalan dalam melaksanakan putusan pengadilan di Ukraina merupakan masalah kompleks yang memerlukan penyelesaian lebih lanjut. Tantangan spesifik meliputi kendala ekonomi, inkonsistensi dalam akses data dari berbagai basis data dan register, masalah terkait korupsi, serta ketidakseimbangan antara pelaksana negara dan swasta. Usulan perbaikan mencakup pembaruan program pemerintah untuk </w:t>
      </w:r>
      <w:r w:rsidRPr="005F333D">
        <w:rPr>
          <w:rFonts w:ascii="Calibri Light" w:hAnsi="Calibri Light" w:cs="Calibri Light"/>
          <w:i/>
          <w:noProof/>
          <w:sz w:val="24"/>
          <w:szCs w:val="24"/>
          <w:lang w:val="id-ID"/>
        </w:rPr>
        <w:lastRenderedPageBreak/>
        <w:t>kompensasi utang yudisial, perubahan regulasi terkait penjualan properti negara dengan mencabut moratorium atas penjualan tersebut sambil meningkatkan porsi kepemilikan negara hingga 75%, serta restrukturisasi utang yang ada. Langkah potensial lainnya mencakup peningkatan jumlah pelaksana swasta, pemberian kewenangan yang lebih luas kepada mereka, serta peningkatan akses mereka terhadap informasi negara. Kesimpulan penelitian menekankan bahwa situasi saat ini terkait kegagalan pelaksanaan putusan pengadilan memerlukan reformasi menyeluruh lebih lanjut, terutama dalam kerangka legislatif yang ada.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E3364">
        <w:rPr>
          <w:rStyle w:val="shorttext"/>
          <w:rFonts w:ascii="Calibri Light" w:hAnsi="Calibri Light" w:cs="Calibri Light"/>
          <w:i/>
          <w:iCs/>
          <w:sz w:val="24"/>
          <w:szCs w:val="24"/>
        </w:rPr>
        <w:t>E</w:t>
      </w:r>
      <w:r w:rsidR="006E3364" w:rsidRPr="006E3364">
        <w:rPr>
          <w:rStyle w:val="shorttext"/>
          <w:rFonts w:ascii="Calibri Light" w:hAnsi="Calibri Light" w:cs="Calibri Light"/>
          <w:i/>
          <w:iCs/>
          <w:sz w:val="24"/>
          <w:szCs w:val="24"/>
          <w:lang w:val="en"/>
        </w:rPr>
        <w:t xml:space="preserve">nforcement officers, </w:t>
      </w:r>
      <w:r w:rsidR="006E3364">
        <w:rPr>
          <w:rStyle w:val="shorttext"/>
          <w:rFonts w:ascii="Calibri Light" w:hAnsi="Calibri Light" w:cs="Calibri Light"/>
          <w:i/>
          <w:iCs/>
          <w:sz w:val="24"/>
          <w:szCs w:val="24"/>
          <w:lang w:val="en"/>
        </w:rPr>
        <w:t>J</w:t>
      </w:r>
      <w:r w:rsidR="006E3364" w:rsidRPr="006E3364">
        <w:rPr>
          <w:rStyle w:val="shorttext"/>
          <w:rFonts w:ascii="Calibri Light" w:hAnsi="Calibri Light" w:cs="Calibri Light"/>
          <w:i/>
          <w:iCs/>
          <w:sz w:val="24"/>
          <w:szCs w:val="24"/>
          <w:lang w:val="en"/>
        </w:rPr>
        <w:t xml:space="preserve">udicial decisions, </w:t>
      </w:r>
      <w:r w:rsidR="006E3364">
        <w:rPr>
          <w:rStyle w:val="shorttext"/>
          <w:rFonts w:ascii="Calibri Light" w:hAnsi="Calibri Light" w:cs="Calibri Light"/>
          <w:i/>
          <w:iCs/>
          <w:sz w:val="24"/>
          <w:szCs w:val="24"/>
          <w:lang w:val="en"/>
        </w:rPr>
        <w:t>D</w:t>
      </w:r>
      <w:r w:rsidR="006E3364" w:rsidRPr="006E3364">
        <w:rPr>
          <w:rStyle w:val="shorttext"/>
          <w:rFonts w:ascii="Calibri Light" w:hAnsi="Calibri Light" w:cs="Calibri Light"/>
          <w:i/>
          <w:iCs/>
          <w:sz w:val="24"/>
          <w:szCs w:val="24"/>
          <w:lang w:val="en"/>
        </w:rPr>
        <w:t xml:space="preserve">ecision enforcement, </w:t>
      </w:r>
      <w:r w:rsidR="006E3364">
        <w:rPr>
          <w:rStyle w:val="shorttext"/>
          <w:rFonts w:ascii="Calibri Light" w:hAnsi="Calibri Light" w:cs="Calibri Light"/>
          <w:i/>
          <w:iCs/>
          <w:sz w:val="24"/>
          <w:szCs w:val="24"/>
          <w:lang w:val="en"/>
        </w:rPr>
        <w:t>A</w:t>
      </w:r>
      <w:r w:rsidR="006E3364" w:rsidRPr="006E3364">
        <w:rPr>
          <w:rStyle w:val="shorttext"/>
          <w:rFonts w:ascii="Calibri Light" w:hAnsi="Calibri Light" w:cs="Calibri Light"/>
          <w:i/>
          <w:iCs/>
          <w:sz w:val="24"/>
          <w:szCs w:val="24"/>
          <w:lang w:val="en"/>
        </w:rPr>
        <w:t xml:space="preserve">buse, </w:t>
      </w:r>
      <w:r w:rsidR="006E3364">
        <w:rPr>
          <w:rStyle w:val="shorttext"/>
          <w:rFonts w:ascii="Calibri Light" w:hAnsi="Calibri Light" w:cs="Calibri Light"/>
          <w:i/>
          <w:iCs/>
          <w:sz w:val="24"/>
          <w:szCs w:val="24"/>
          <w:lang w:val="en"/>
        </w:rPr>
        <w:t>C</w:t>
      </w:r>
      <w:r w:rsidR="006E3364" w:rsidRPr="006E3364">
        <w:rPr>
          <w:rStyle w:val="shorttext"/>
          <w:rFonts w:ascii="Calibri Light" w:hAnsi="Calibri Light" w:cs="Calibri Light"/>
          <w:i/>
          <w:iCs/>
          <w:sz w:val="24"/>
          <w:szCs w:val="24"/>
          <w:lang w:val="en"/>
        </w:rPr>
        <w:t xml:space="preserve">hallenges, </w:t>
      </w:r>
      <w:r w:rsidR="006E3364">
        <w:rPr>
          <w:rStyle w:val="shorttext"/>
          <w:rFonts w:ascii="Calibri Light" w:hAnsi="Calibri Light" w:cs="Calibri Light"/>
          <w:i/>
          <w:iCs/>
          <w:sz w:val="24"/>
          <w:szCs w:val="24"/>
          <w:lang w:val="en"/>
        </w:rPr>
        <w:t>M</w:t>
      </w:r>
      <w:r w:rsidR="006E3364" w:rsidRPr="006E3364">
        <w:rPr>
          <w:rStyle w:val="shorttext"/>
          <w:rFonts w:ascii="Calibri Light" w:hAnsi="Calibri Light" w:cs="Calibri Light"/>
          <w:i/>
          <w:iCs/>
          <w:sz w:val="24"/>
          <w:szCs w:val="24"/>
          <w:lang w:val="en"/>
        </w:rPr>
        <w:t>oratorium</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the contemporary democratic world, enforcing judicial decisions is a crucial element of an effective legal system, as it directly impacts the realisation of justice. However, the issue of low efficiency in enforcing judicial decisions undermines any positive transformations within the existing judicial system. Without addressing this issue, further changes and reforms in the judiciary lose their practical significance. Additionally, a court system aligned with modern international practices will hold little practical value for society if its decisions—especially those made against state authorities or entities—cannot be enforced.</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Contemporary authors have characterised various aspects of enforcement proceedings in Ukraine. According to recent studies, the socially-oriented nature of transformative changes in Ukraine's development necessitates the introduction of effective mechanisms for ensuring constitutionally guaranteed citizens' rights, including the right to judicial protection</w:t>
      </w:r>
      <w:r w:rsidRPr="00277909">
        <w:rPr>
          <w:rFonts w:ascii="Calibri Light" w:hAnsi="Calibri Light" w:cs="Calibri Light"/>
          <w:sz w:val="24"/>
          <w:szCs w:val="24"/>
          <w:lang w:val="uk-UA"/>
        </w:rPr>
        <w:t xml:space="preserve"> </w:t>
      </w:r>
      <w:r w:rsidRPr="00277909">
        <w:rPr>
          <w:rFonts w:ascii="Calibri Light" w:hAnsi="Calibri Light" w:cs="Calibri Light"/>
          <w:sz w:val="24"/>
          <w:szCs w:val="24"/>
        </w:rPr>
        <w:t>[1; 2].</w:t>
      </w:r>
      <w:r w:rsidRPr="00277909">
        <w:rPr>
          <w:rFonts w:ascii="Calibri Light" w:hAnsi="Calibri Light" w:cs="Calibri Light"/>
          <w:sz w:val="24"/>
          <w:szCs w:val="24"/>
          <w:lang w:val="en-GB"/>
        </w:rPr>
        <w:t xml:space="preserve"> Furthermore, the proper enforcement of court decisions is a pivotal factor in the effective functioning of the judiciary and the state apparatus as a whole. Scholars highlight that implementing judicial decisions represents a core component of modern adjudication; without the actual enforcement of court rulings, the essence of justice is rendered meaningless [3].</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In the works of Brekke et al. [4] and Lubis [5], it is noted that the right to a fair trial encompasses access to the court system and the crucial right to enforce judicial decisions. Consequently, enforcement proceedings are a key element in safeguarding individuals' and legal entities' rights and freedoms [6]. Additionally, contemporary scholarship underscores that enforcement mechanisms are fundamental to a state that fosters the development of a legal and civil society [7; 8]. An empirical study conducted by Navarrete and Castillo-Ortiz examines public perceptions of judicial systems [9]. The authors conclude that constitutional courts may adversely affect public attitudes towards the judiciary, particularly regarding perceptions of judicial independence and fairness [9].</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Several studies have pointed out the low efficiency of Ukraine's enforcement proceedings in executing judicial acts. Specifically, reforms that enforce court decisions and those of other authorities, as outlined in Ukraine's laws "On Enforcement Proceedings," have </w:t>
      </w:r>
      <w:r w:rsidRPr="00277909">
        <w:rPr>
          <w:rFonts w:ascii="Calibri Light" w:hAnsi="Calibri Light" w:cs="Calibri Light"/>
          <w:sz w:val="24"/>
          <w:szCs w:val="24"/>
          <w:lang w:val="en-GB"/>
        </w:rPr>
        <w:lastRenderedPageBreak/>
        <w:t>fallen short of expected outcomes [10]. Kravtsova and Petrova explored the scientific and practical evaluation of administrative jurisdiction in the context of Ukraine's new administrative procedural norms [11]. Following the adoption of the new Code of Administrative Procedure, their study clarified issues of jurisdiction and territorial competence of Ukrainian administrative courts [11]. In a separate survey, Kyselova [12] conducted a five-year analysis of the judicial experiences of selected Ukrainian enterprises. Her findings revealed critical aspects of the dual commercial judicial system in Ukraine. While most parties in routine cases reported generally favourable experiences, a minority of instances encountered "black tracks," significantly hindering the restoration of justice [12]. Prytyka et al. identified key legal challenges in current Ukrainian legislation [13].</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Similarly, Potapenko et al. examined the incorporation of specific international standards into the reform of the national judicial system [10]. Petriv [14] analysed the functionality of Ukraine's Constitutional Court, identifying key characteristics of constitutional justice and its role in sustaining state institutions. His research emphasised the importance of constitutional justice in fostering a legal and democratic state supported by innovative and effective institutions. Additionally, he addressed particular challenges within enforcement processes [14].</w:t>
      </w:r>
    </w:p>
    <w:p w:rsidR="00277909" w:rsidRPr="00A4345E"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In light of these findings, numerous issues related to enforcing judicial decisions in Ukraine remain unresolved. This problem continues to be of significant academic and practical relevance. Notably, insufficient attention has been paid to identifying potential opportunities for improving the efficiency of judicial enforcement in Ukraine. This study seeks to address these gaps by identifying the key obstacles and factors limiting the effectiveness of judicial enforcement. Furthermore, it will propose targeted mechanisms and recommendations to mitigate the identified challenges.</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Ukraine, the enforcement process faces several serious challenges, including delays in execution procedures and a lack of transparency. These issues erode public trust in the judicial system and hinder the development of a rule-of-law state. Thus, the problem of efficient judicial decision enforcement remains highly relevant for Ukraine.</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Despite ongoing efforts to reform and optimise legislative processes, the majority of enforcement orders are not implemented effectively, leading to significant social and economic repercussions. Identifying the factors that influence the efficiency of judicial decision enforcement and formulating concrete proposals for improving it represent critical areas of focus for enhancing the state legal system.</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The central research problem is that, despite numerous legislative initiatives and legal reforms in Ukraine, the enforcement of judicial decisions remains weak. This issue affects civil and criminal cases, where specific difficulties in enforcement arise from poor coordination between judicial authorities and </w:t>
      </w:r>
      <w:r w:rsidRPr="00A4345E">
        <w:rPr>
          <w:rFonts w:ascii="Calibri Light" w:hAnsi="Calibri Light" w:cs="Calibri Light"/>
          <w:sz w:val="24"/>
          <w:szCs w:val="24"/>
        </w:rPr>
        <w:t>executive authorities</w:t>
      </w:r>
      <w:r w:rsidRPr="00A4345E">
        <w:rPr>
          <w:rFonts w:ascii="Calibri Light" w:hAnsi="Calibri Light" w:cs="Calibri Light"/>
          <w:sz w:val="24"/>
          <w:szCs w:val="24"/>
          <w:lang w:val="en-GB"/>
        </w:rPr>
        <w:t>. Moreover, corruption and inefficiencies in leveraging innovative technologies are also prominent factors. The urgency of addressing this research problem is heightened by growing demands for transparency and fairness in legal enforcement, as observed in EU countries and as part of Ukraine’s broader judicial reform process.</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lastRenderedPageBreak/>
        <w:t>This study focuses on identifying the key factors for optimising the efficiency of judicial decision enforcement in Ukraine and developing proposals for improving enforcement processes. The analysis includes an examination of both internal and external factors affecting judicial enforcement. It seeks to understand common forms of non-compliance with mandatory judicial decisions, particularly those involving state authorities in Ukraine.</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This research aims to critically analyse the main factors limiting the effectiveness of judicial decision enforcement in Ukraine, identify the key determinants, and propose strategies for improvement. Accordingly, the primary research questions are as follows:</w:t>
      </w:r>
    </w:p>
    <w:p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analyse academic materials on the key factors affecting the enforcement of judicial decisions.</w:t>
      </w:r>
    </w:p>
    <w:p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identify the problems in the enforcement process that directly influence the effectiveness of justice.</w:t>
      </w:r>
    </w:p>
    <w:p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examine potential solutions discussed in the scientific literature to address these challenges.</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The study also proposes several hypotheses for testing:</w:t>
      </w:r>
    </w:p>
    <w:p w:rsidR="00A4345E" w:rsidRPr="00A4345E" w:rsidRDefault="00A4345E" w:rsidP="00A4345E">
      <w:pPr>
        <w:numPr>
          <w:ilvl w:val="0"/>
          <w:numId w:val="31"/>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An inefficient organisational structure within executive authorities significantly complicates the judicial decision enforcement process.</w:t>
      </w:r>
    </w:p>
    <w:p w:rsidR="00A4345E" w:rsidRDefault="00A4345E" w:rsidP="00A4345E">
      <w:pPr>
        <w:spacing w:before="120" w:after="120"/>
        <w:ind w:left="426"/>
        <w:jc w:val="both"/>
        <w:rPr>
          <w:rFonts w:ascii="Calibri Light" w:hAnsi="Calibri Light" w:cs="Calibri Light"/>
          <w:sz w:val="24"/>
          <w:szCs w:val="24"/>
          <w:lang w:val="en"/>
        </w:rPr>
      </w:pPr>
      <w:r w:rsidRPr="00A4345E">
        <w:rPr>
          <w:rFonts w:ascii="Calibri Light" w:hAnsi="Calibri Light" w:cs="Calibri Light"/>
          <w:sz w:val="24"/>
          <w:szCs w:val="24"/>
          <w:lang w:val="en-GB"/>
        </w:rPr>
        <w:t>The absence of innovative tools for automation in enforcement proceedings delays the implementation of judicial decisions and increases the likelihood of errors.</w:t>
      </w:r>
    </w:p>
    <w:p w:rsidR="00A4345E" w:rsidRDefault="00A4345E" w:rsidP="00003189">
      <w:pPr>
        <w:spacing w:before="120" w:after="120"/>
        <w:ind w:left="426"/>
        <w:jc w:val="both"/>
        <w:rPr>
          <w:rFonts w:ascii="Calibri Light" w:hAnsi="Calibri Light" w:cs="Calibri Light"/>
          <w:sz w:val="24"/>
          <w:szCs w:val="24"/>
          <w:lang w:val="en"/>
        </w:rPr>
      </w:pPr>
    </w:p>
    <w:p w:rsidR="005F333D" w:rsidRDefault="005F333D" w:rsidP="00003189">
      <w:pPr>
        <w:spacing w:before="120" w:after="120"/>
        <w:ind w:left="426"/>
        <w:jc w:val="both"/>
        <w:rPr>
          <w:rFonts w:ascii="Calibri Light" w:hAnsi="Calibri Light" w:cs="Calibri Light"/>
          <w:sz w:val="24"/>
          <w:szCs w:val="24"/>
          <w:lang w:val="en"/>
        </w:rPr>
      </w:pPr>
    </w:p>
    <w:p w:rsidR="005F333D" w:rsidRDefault="005F333D" w:rsidP="00003189">
      <w:pPr>
        <w:spacing w:before="120" w:after="120"/>
        <w:ind w:left="426"/>
        <w:jc w:val="both"/>
        <w:rPr>
          <w:rFonts w:ascii="Calibri Light" w:hAnsi="Calibri Light" w:cs="Calibri Light"/>
          <w:sz w:val="24"/>
          <w:szCs w:val="24"/>
          <w:lang w:val="en"/>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A4345E" w:rsidRDefault="00A4345E" w:rsidP="008C3DC2">
      <w:pPr>
        <w:spacing w:before="120" w:after="120"/>
        <w:ind w:left="426"/>
        <w:jc w:val="both"/>
        <w:rPr>
          <w:rFonts w:ascii="Calibri Light" w:hAnsi="Calibri Light" w:cs="Calibri Light"/>
          <w:sz w:val="24"/>
          <w:szCs w:val="24"/>
        </w:rPr>
      </w:pP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methodological foundation of this study is documentary analysis, chosen for its capacity to comprehensively identify and evaluate the core factors influencing the enforcement of court decisions in Ukraine. This approach enables an in-depth exploration of Ukraine's unique case. It facilitates a thorough analysis of the challenges and opportunities related to court decision enforcement under the pressures of wartime conditions.</w:t>
      </w:r>
    </w:p>
    <w:p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Collection</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employs various types of materials, including:</w:t>
      </w:r>
    </w:p>
    <w:p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Legislative and regulatory acts</w:t>
      </w:r>
      <w:r w:rsidRPr="00277909">
        <w:rPr>
          <w:rFonts w:ascii="Calibri Light" w:hAnsi="Calibri Light" w:cs="Calibri Light"/>
          <w:sz w:val="24"/>
          <w:szCs w:val="24"/>
          <w:lang w:val="en-GB"/>
        </w:rPr>
        <w:t xml:space="preserve"> governing enforcement proceedings in Ukraine.</w:t>
      </w:r>
    </w:p>
    <w:p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Data from the Ministry of Justice of Ukraine</w:t>
      </w:r>
      <w:r w:rsidRPr="00277909">
        <w:rPr>
          <w:rFonts w:ascii="Calibri Light" w:hAnsi="Calibri Light" w:cs="Calibri Light"/>
          <w:sz w:val="24"/>
          <w:szCs w:val="24"/>
          <w:lang w:val="en-GB"/>
        </w:rPr>
        <w:t xml:space="preserve"> and other statistical services.</w:t>
      </w:r>
    </w:p>
    <w:p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Analytical reports and reviews</w:t>
      </w:r>
      <w:r w:rsidRPr="00277909">
        <w:rPr>
          <w:rFonts w:ascii="Calibri Light" w:hAnsi="Calibri Light" w:cs="Calibri Light"/>
          <w:sz w:val="24"/>
          <w:szCs w:val="24"/>
          <w:lang w:val="en-GB"/>
        </w:rPr>
        <w:t xml:space="preserve"> produced by international organisations.</w:t>
      </w:r>
    </w:p>
    <w:p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lastRenderedPageBreak/>
        <w:t>Scientific literature</w:t>
      </w:r>
      <w:r w:rsidRPr="00277909">
        <w:rPr>
          <w:rFonts w:ascii="Calibri Light" w:hAnsi="Calibri Light" w:cs="Calibri Light"/>
          <w:sz w:val="24"/>
          <w:szCs w:val="24"/>
          <w:lang w:val="en-GB"/>
        </w:rPr>
        <w:t>, including monographs, scholarly articles, and conference proceedings.</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reviewed academic literature primarily spans publications from 2018 to 2024. All sources meet predefined criteria, such as a substantive connection to judicial practices in Ukraine and the EU and relevance to the research topic. Only peer-reviewed sources were considered, ensuring a rigorous verification and editorial process.</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literature review's geographical focus includes Ukraine and EU countries, with additional studies on judicial practices in other nations incorporated for comparative analysis. These broader studies were included to draw meaningful parallels with Ukraine's practices.</w:t>
      </w:r>
    </w:p>
    <w:p w:rsidR="00277909" w:rsidRPr="00277909" w:rsidRDefault="00277909" w:rsidP="00277909">
      <w:pPr>
        <w:spacing w:before="120" w:after="120"/>
        <w:ind w:left="426"/>
        <w:jc w:val="both"/>
        <w:rPr>
          <w:rFonts w:ascii="Calibri Light" w:hAnsi="Calibri Light" w:cs="Calibri Light"/>
          <w:b/>
          <w:bCs/>
          <w:sz w:val="24"/>
          <w:szCs w:val="24"/>
          <w:lang w:val="en-GB"/>
        </w:rPr>
      </w:pPr>
      <w:r w:rsidRPr="00277909">
        <w:rPr>
          <w:rFonts w:ascii="Calibri Light" w:hAnsi="Calibri Light" w:cs="Calibri Light"/>
          <w:b/>
          <w:bCs/>
          <w:sz w:val="24"/>
          <w:szCs w:val="24"/>
          <w:lang w:val="en-GB"/>
        </w:rPr>
        <w:t>Instruments and Procedure</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material collection stage played a critical role in the research process. A targeted selection process identified seven legislative acts, analytical reviews, and statistical materials relevant to the study.</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PRISMA approach was utilised to identify key academic sources. This method facilitated the systematic collection and inclusion of the most pertinent materials. The following academic databases were searched: Scopus and Google Scholar. Search queries included keywords such as </w:t>
      </w:r>
      <w:r w:rsidRPr="00277909">
        <w:rPr>
          <w:rFonts w:ascii="Calibri Light" w:hAnsi="Calibri Light" w:cs="Calibri Light"/>
          <w:i/>
          <w:iCs/>
          <w:sz w:val="24"/>
          <w:szCs w:val="24"/>
          <w:lang w:val="en-GB"/>
        </w:rPr>
        <w:t>judicial system</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proceedings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process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court decision execution</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Ukraine</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factors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prospects</w:t>
      </w:r>
      <w:r w:rsidRPr="00277909">
        <w:rPr>
          <w:rFonts w:ascii="Calibri Light" w:hAnsi="Calibri Light" w:cs="Calibri Light"/>
          <w:sz w:val="24"/>
          <w:szCs w:val="24"/>
          <w:lang w:val="en-GB"/>
        </w:rPr>
        <w:t xml:space="preserve">, and </w:t>
      </w:r>
      <w:r w:rsidRPr="00277909">
        <w:rPr>
          <w:rFonts w:ascii="Calibri Light" w:hAnsi="Calibri Light" w:cs="Calibri Light"/>
          <w:i/>
          <w:iCs/>
          <w:sz w:val="24"/>
          <w:szCs w:val="24"/>
          <w:lang w:val="en-GB"/>
        </w:rPr>
        <w:t>optimisation</w:t>
      </w:r>
      <w:r w:rsidRPr="00277909">
        <w:rPr>
          <w:rFonts w:ascii="Calibri Light" w:hAnsi="Calibri Light" w:cs="Calibri Light"/>
          <w:sz w:val="24"/>
          <w:szCs w:val="24"/>
          <w:lang w:val="en-GB"/>
        </w:rPr>
        <w:t>. A total of 3,455 results were initially retrieved.</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selection process involved:</w:t>
      </w:r>
    </w:p>
    <w:p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Eliminating duplicate entries.</w:t>
      </w:r>
    </w:p>
    <w:p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Excluding articles unrelated to the research topic.</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inclusion criteria were strictly defined as follows:</w:t>
      </w:r>
    </w:p>
    <w:p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addresses the realities of Ukraine's judicial system.</w:t>
      </w:r>
    </w:p>
    <w:p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work provides a detailed examination of court decision enforcement procedures in Ukraine.</w:t>
      </w:r>
    </w:p>
    <w:p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establishes a substantive connection between the judicial systems of EU countries and the enforcement of court decisions.</w:t>
      </w:r>
    </w:p>
    <w:p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primary language is English. In exceptional cases, Ukrainian-language sources were included if accompanied by an English abstract (see Figure 1).</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This rigorous approach ensured the selection of high-quality sources directly relevant to the research objectives.</w:t>
      </w:r>
    </w:p>
    <w:p w:rsidR="00277909" w:rsidRPr="00277909" w:rsidRDefault="00B757DB" w:rsidP="00277909">
      <w:pPr>
        <w:spacing w:before="120" w:after="120"/>
        <w:ind w:left="426"/>
        <w:jc w:val="both"/>
        <w:rPr>
          <w:rFonts w:ascii="Calibri Light" w:hAnsi="Calibri Light" w:cs="Calibri Light"/>
          <w:sz w:val="24"/>
          <w:szCs w:val="24"/>
          <w:lang w:val="en-GB"/>
        </w:rPr>
      </w:pPr>
      <w:r>
        <w:rPr>
          <w:rFonts w:ascii="Calibri Light" w:hAnsi="Calibri Light" w:cs="Calibri Light"/>
          <w:noProof/>
          <w:sz w:val="24"/>
          <w:szCs w:val="24"/>
          <w:lang w:val="en-GB"/>
        </w:rPr>
        <w:lastRenderedPageBreak/>
        <mc:AlternateContent>
          <mc:Choice Requires="wpc">
            <w:drawing>
              <wp:inline distT="0" distB="0" distL="0" distR="0">
                <wp:extent cx="5760085" cy="5113020"/>
                <wp:effectExtent l="0" t="0" r="0" b="5080"/>
                <wp:docPr id="14"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743079" name="Блок-схема: альтернативный процесс 770533322"/>
                        <wps:cNvSpPr>
                          <a:spLocks/>
                        </wps:cNvSpPr>
                        <wps:spPr bwMode="auto">
                          <a:xfrm>
                            <a:off x="709295" y="34925"/>
                            <a:ext cx="4358640" cy="275590"/>
                          </a:xfrm>
                          <a:prstGeom prst="flowChartAlternateProcess">
                            <a:avLst/>
                          </a:prstGeom>
                          <a:solidFill>
                            <a:srgbClr val="8064A2"/>
                          </a:solidFill>
                          <a:ln w="12700">
                            <a:solidFill>
                              <a:srgbClr val="BA8C00"/>
                            </a:solidFill>
                            <a:miter lim="800000"/>
                            <a:headEnd type="none" w="sm" len="sm"/>
                            <a:tailEnd type="none" w="sm" len="sm"/>
                          </a:ln>
                        </wps:spPr>
                        <wps:txbx>
                          <w:txbxContent>
                            <w:p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wps:txbx>
                        <wps:bodyPr rot="0" vert="horz" wrap="square" lIns="91425" tIns="0" rIns="91425" bIns="0" anchor="ctr" anchorCtr="0" upright="1">
                          <a:noAutofit/>
                        </wps:bodyPr>
                      </wps:wsp>
                      <wps:wsp>
                        <wps:cNvPr id="1104005173" name="Прямоугольник 770533311"/>
                        <wps:cNvSpPr>
                          <a:spLocks/>
                        </wps:cNvSpPr>
                        <wps:spPr bwMode="auto">
                          <a:xfrm>
                            <a:off x="682625" y="567055"/>
                            <a:ext cx="1898650" cy="75882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D0192C" w:rsidRDefault="00C36C85" w:rsidP="00277909">
                              <w:pPr>
                                <w:jc w:val="center"/>
                                <w:textDirection w:val="btLr"/>
                                <w:rPr>
                                  <w:lang w:val="en-GB"/>
                                </w:rPr>
                              </w:pPr>
                              <w:r w:rsidRPr="00D0192C">
                                <w:rPr>
                                  <w:color w:val="000000"/>
                                  <w:lang w:val="en-GB"/>
                                </w:rPr>
                                <w:t>Records identified from:</w:t>
                              </w:r>
                            </w:p>
                            <w:p w:rsidR="00C36C85" w:rsidRPr="00D0192C" w:rsidRDefault="00C36C85" w:rsidP="00277909">
                              <w:pPr>
                                <w:jc w:val="center"/>
                                <w:textDirection w:val="btLr"/>
                                <w:rPr>
                                  <w:lang w:val="en-GB"/>
                                </w:rPr>
                              </w:pPr>
                              <w:r w:rsidRPr="00D0192C">
                                <w:rPr>
                                  <w:color w:val="000000"/>
                                  <w:lang w:val="en-GB"/>
                                </w:rPr>
                                <w:t>Databases (n = 3455 )</w:t>
                              </w:r>
                            </w:p>
                          </w:txbxContent>
                        </wps:txbx>
                        <wps:bodyPr rot="0" vert="horz" wrap="square" lIns="91425" tIns="45698" rIns="91425" bIns="45698" anchor="ctr" anchorCtr="0" upright="1">
                          <a:noAutofit/>
                        </wps:bodyPr>
                      </wps:wsp>
                      <wps:wsp>
                        <wps:cNvPr id="399497270" name="Прямоугольник 770533328"/>
                        <wps:cNvSpPr>
                          <a:spLocks/>
                        </wps:cNvSpPr>
                        <wps:spPr bwMode="auto">
                          <a:xfrm>
                            <a:off x="3173095" y="559435"/>
                            <a:ext cx="1900555" cy="76644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D0192C" w:rsidRDefault="00C36C85" w:rsidP="00277909">
                              <w:pPr>
                                <w:jc w:val="center"/>
                                <w:textDirection w:val="btLr"/>
                                <w:rPr>
                                  <w:lang w:val="en-GB"/>
                                </w:rPr>
                              </w:pPr>
                              <w:r w:rsidRPr="00D0192C">
                                <w:rPr>
                                  <w:color w:val="000000"/>
                                  <w:lang w:val="en-GB"/>
                                </w:rPr>
                                <w:t>Duplicate removed</w:t>
                              </w:r>
                            </w:p>
                            <w:p w:rsidR="00C36C85" w:rsidRPr="00D0192C" w:rsidRDefault="00C36C85" w:rsidP="00277909">
                              <w:pPr>
                                <w:jc w:val="center"/>
                                <w:textDirection w:val="btLr"/>
                                <w:rPr>
                                  <w:lang w:val="en-GB"/>
                                </w:rPr>
                              </w:pPr>
                              <w:r w:rsidRPr="00D0192C">
                                <w:rPr>
                                  <w:color w:val="000000"/>
                                  <w:lang w:val="en-GB"/>
                                </w:rPr>
                                <w:t>(n = 651)</w:t>
                              </w:r>
                            </w:p>
                          </w:txbxContent>
                        </wps:txbx>
                        <wps:bodyPr rot="0" vert="horz" wrap="square" lIns="91425" tIns="45698" rIns="91425" bIns="45698" anchor="ctr" anchorCtr="0" upright="1">
                          <a:noAutofit/>
                        </wps:bodyPr>
                      </wps:wsp>
                      <wps:wsp>
                        <wps:cNvPr id="1186454348" name="Блок-схема: альтернативный процесс 770533323"/>
                        <wps:cNvSpPr>
                          <a:spLocks/>
                        </wps:cNvSpPr>
                        <wps:spPr bwMode="auto">
                          <a:xfrm>
                            <a:off x="258445" y="488315"/>
                            <a:ext cx="274320" cy="906145"/>
                          </a:xfrm>
                          <a:prstGeom prst="flowChartAlternateProcess">
                            <a:avLst/>
                          </a:prstGeom>
                          <a:solidFill>
                            <a:srgbClr val="9CC2E5"/>
                          </a:solidFill>
                          <a:ln w="12700">
                            <a:solidFill>
                              <a:srgbClr val="000000"/>
                            </a:solidFill>
                            <a:miter lim="800000"/>
                            <a:headEnd type="none" w="sm" len="sm"/>
                            <a:tailEnd type="none" w="sm" len="sm"/>
                          </a:ln>
                        </wps:spPr>
                        <wps:txbx>
                          <w:txbxContent>
                            <w:p w:rsidR="00C36C85" w:rsidRPr="00D0192C" w:rsidRDefault="00C36C85" w:rsidP="00277909">
                              <w:pPr>
                                <w:jc w:val="center"/>
                                <w:textDirection w:val="btLr"/>
                                <w:rPr>
                                  <w:lang w:val="en-GB"/>
                                </w:rPr>
                              </w:pPr>
                              <w:r w:rsidRPr="00D0192C">
                                <w:rPr>
                                  <w:b/>
                                  <w:color w:val="000000"/>
                                  <w:lang w:val="en-GB"/>
                                </w:rPr>
                                <w:t>Identification</w:t>
                              </w:r>
                            </w:p>
                          </w:txbxContent>
                        </wps:txbx>
                        <wps:bodyPr rot="0" vert="vert270" wrap="square" lIns="0" tIns="45698" rIns="0" bIns="45698" anchor="ctr" anchorCtr="0" upright="1">
                          <a:noAutofit/>
                        </wps:bodyPr>
                      </wps:wsp>
                      <wps:wsp>
                        <wps:cNvPr id="188616927" name="Прямая со стрелкой 770533327"/>
                        <wps:cNvCnPr>
                          <a:cxnSpLocks/>
                        </wps:cNvCnPr>
                        <wps:spPr bwMode="auto">
                          <a:xfrm>
                            <a:off x="1640840" y="1325880"/>
                            <a:ext cx="635"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628984975" name="Прямоугольник 770533329"/>
                        <wps:cNvSpPr>
                          <a:spLocks/>
                        </wps:cNvSpPr>
                        <wps:spPr bwMode="auto">
                          <a:xfrm>
                            <a:off x="682625" y="1607185"/>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D0192C" w:rsidRDefault="00C36C85" w:rsidP="00277909">
                              <w:pPr>
                                <w:jc w:val="center"/>
                                <w:textDirection w:val="btLr"/>
                                <w:rPr>
                                  <w:lang w:val="en-GB"/>
                                </w:rPr>
                              </w:pPr>
                              <w:r w:rsidRPr="00D0192C">
                                <w:rPr>
                                  <w:color w:val="000000"/>
                                  <w:lang w:val="en-GB"/>
                                </w:rPr>
                                <w:t>Records screened</w:t>
                              </w:r>
                            </w:p>
                            <w:p w:rsidR="00C36C85" w:rsidRPr="00D0192C" w:rsidRDefault="00C36C85" w:rsidP="00277909">
                              <w:pPr>
                                <w:jc w:val="center"/>
                                <w:textDirection w:val="btLr"/>
                                <w:rPr>
                                  <w:lang w:val="en-GB"/>
                                </w:rPr>
                              </w:pPr>
                              <w:r w:rsidRPr="00D0192C">
                                <w:rPr>
                                  <w:color w:val="000000"/>
                                  <w:lang w:val="en-GB"/>
                                </w:rPr>
                                <w:t>(n = 2801)</w:t>
                              </w:r>
                            </w:p>
                          </w:txbxContent>
                        </wps:txbx>
                        <wps:bodyPr rot="0" vert="horz" wrap="square" lIns="91425" tIns="45698" rIns="91425" bIns="45698" anchor="ctr" anchorCtr="0" upright="1">
                          <a:noAutofit/>
                        </wps:bodyPr>
                      </wps:wsp>
                      <wps:wsp>
                        <wps:cNvPr id="1376316430" name="Прямоугольник 770533317"/>
                        <wps:cNvSpPr>
                          <a:spLocks/>
                        </wps:cNvSpPr>
                        <wps:spPr bwMode="auto">
                          <a:xfrm>
                            <a:off x="3169285" y="1607185"/>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D0192C" w:rsidRDefault="00C36C85" w:rsidP="00277909">
                              <w:pPr>
                                <w:jc w:val="center"/>
                                <w:textDirection w:val="btLr"/>
                                <w:rPr>
                                  <w:lang w:val="en-GB"/>
                                </w:rPr>
                              </w:pPr>
                              <w:r w:rsidRPr="00D0192C">
                                <w:rPr>
                                  <w:color w:val="000000"/>
                                  <w:lang w:val="en-GB"/>
                                </w:rPr>
                                <w:t>Records excluded by analysis abstracts (n = 897)</w:t>
                              </w:r>
                            </w:p>
                          </w:txbxContent>
                        </wps:txbx>
                        <wps:bodyPr rot="0" vert="horz" wrap="square" lIns="91425" tIns="45698" rIns="91425" bIns="45698" anchor="ctr" anchorCtr="0" upright="1">
                          <a:noAutofit/>
                        </wps:bodyPr>
                      </wps:wsp>
                      <wps:wsp>
                        <wps:cNvPr id="1680063318" name="Прямая со стрелкой 770533320"/>
                        <wps:cNvCnPr>
                          <a:cxnSpLocks/>
                        </wps:cNvCnPr>
                        <wps:spPr bwMode="auto">
                          <a:xfrm>
                            <a:off x="1641475" y="2146935"/>
                            <a:ext cx="635" cy="28257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591692654" name="Прямоугольник 770533326"/>
                        <wps:cNvSpPr>
                          <a:spLocks/>
                        </wps:cNvSpPr>
                        <wps:spPr bwMode="auto">
                          <a:xfrm>
                            <a:off x="675640" y="2429510"/>
                            <a:ext cx="1898650" cy="53848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D0192C" w:rsidRDefault="00C36C85" w:rsidP="00277909">
                              <w:pPr>
                                <w:jc w:val="center"/>
                                <w:textDirection w:val="btLr"/>
                                <w:rPr>
                                  <w:lang w:val="en-GB"/>
                                </w:rPr>
                              </w:pPr>
                              <w:r w:rsidRPr="00D0192C">
                                <w:rPr>
                                  <w:color w:val="000000"/>
                                  <w:lang w:val="en-GB"/>
                                </w:rPr>
                                <w:t>Reports sought for retrieval</w:t>
                              </w:r>
                            </w:p>
                            <w:p w:rsidR="00C36C85" w:rsidRPr="00D0192C" w:rsidRDefault="00C36C85" w:rsidP="00277909">
                              <w:pPr>
                                <w:jc w:val="center"/>
                                <w:textDirection w:val="btLr"/>
                                <w:rPr>
                                  <w:lang w:val="en-GB"/>
                                </w:rPr>
                              </w:pPr>
                              <w:r w:rsidRPr="00D0192C">
                                <w:rPr>
                                  <w:color w:val="000000"/>
                                  <w:lang w:val="en-GB"/>
                                </w:rPr>
                                <w:t>(n =1904 )</w:t>
                              </w:r>
                            </w:p>
                          </w:txbxContent>
                        </wps:txbx>
                        <wps:bodyPr rot="0" vert="horz" wrap="square" lIns="91425" tIns="45698" rIns="91425" bIns="45698" anchor="ctr" anchorCtr="0" upright="1">
                          <a:noAutofit/>
                        </wps:bodyPr>
                      </wps:wsp>
                      <wps:wsp>
                        <wps:cNvPr id="2131393032" name="Прямоугольник 770533315"/>
                        <wps:cNvSpPr>
                          <a:spLocks/>
                        </wps:cNvSpPr>
                        <wps:spPr bwMode="auto">
                          <a:xfrm>
                            <a:off x="3169285" y="2428240"/>
                            <a:ext cx="1898650" cy="53975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D0192C" w:rsidRDefault="00C36C85" w:rsidP="00277909">
                              <w:pPr>
                                <w:jc w:val="center"/>
                                <w:textDirection w:val="btLr"/>
                                <w:rPr>
                                  <w:lang w:val="en-GB"/>
                                </w:rPr>
                              </w:pPr>
                              <w:r w:rsidRPr="00D0192C">
                                <w:rPr>
                                  <w:color w:val="000000"/>
                                  <w:lang w:val="en-GB"/>
                                </w:rPr>
                                <w:t>Reports not retrieved</w:t>
                              </w:r>
                            </w:p>
                            <w:p w:rsidR="00C36C85" w:rsidRPr="00D0192C" w:rsidRDefault="00C36C85" w:rsidP="00277909">
                              <w:pPr>
                                <w:jc w:val="center"/>
                                <w:textDirection w:val="btLr"/>
                                <w:rPr>
                                  <w:lang w:val="en-GB"/>
                                </w:rPr>
                              </w:pPr>
                              <w:r w:rsidRPr="00D0192C">
                                <w:rPr>
                                  <w:color w:val="000000"/>
                                  <w:lang w:val="en-GB"/>
                                </w:rPr>
                                <w:t>(n = 112)</w:t>
                              </w:r>
                            </w:p>
                          </w:txbxContent>
                        </wps:txbx>
                        <wps:bodyPr rot="0" vert="horz" wrap="square" lIns="91425" tIns="45698" rIns="91425" bIns="45698" anchor="ctr" anchorCtr="0" upright="1">
                          <a:noAutofit/>
                        </wps:bodyPr>
                      </wps:wsp>
                      <wps:wsp>
                        <wps:cNvPr id="1271381363" name="Блок-схема: альтернативный процесс 770533321"/>
                        <wps:cNvSpPr>
                          <a:spLocks/>
                        </wps:cNvSpPr>
                        <wps:spPr bwMode="auto">
                          <a:xfrm>
                            <a:off x="257810" y="1607185"/>
                            <a:ext cx="274955" cy="2237740"/>
                          </a:xfrm>
                          <a:prstGeom prst="flowChartAlternateProcess">
                            <a:avLst/>
                          </a:prstGeom>
                          <a:solidFill>
                            <a:srgbClr val="9CC2E5"/>
                          </a:solidFill>
                          <a:ln w="12700">
                            <a:solidFill>
                              <a:srgbClr val="000000"/>
                            </a:solidFill>
                            <a:miter lim="800000"/>
                            <a:headEnd type="none" w="sm" len="sm"/>
                            <a:tailEnd type="none" w="sm" len="sm"/>
                          </a:ln>
                        </wps:spPr>
                        <wps:txbx>
                          <w:txbxContent>
                            <w:p w:rsidR="00C36C85" w:rsidRPr="00D0192C" w:rsidRDefault="00C36C85" w:rsidP="00277909">
                              <w:pPr>
                                <w:jc w:val="center"/>
                                <w:textDirection w:val="btLr"/>
                                <w:rPr>
                                  <w:lang w:val="en-GB"/>
                                </w:rPr>
                              </w:pPr>
                              <w:r w:rsidRPr="00D0192C">
                                <w:rPr>
                                  <w:b/>
                                  <w:color w:val="000000"/>
                                  <w:lang w:val="en-GB"/>
                                </w:rPr>
                                <w:t>Screening</w:t>
                              </w:r>
                            </w:p>
                          </w:txbxContent>
                        </wps:txbx>
                        <wps:bodyPr rot="0" vert="vert270" wrap="square" lIns="0" tIns="0" rIns="0" bIns="0" anchor="ctr" anchorCtr="0" upright="1">
                          <a:noAutofit/>
                        </wps:bodyPr>
                      </wps:wsp>
                      <wps:wsp>
                        <wps:cNvPr id="2034686102" name="Прямая со стрелкой 1"/>
                        <wps:cNvCnPr>
                          <a:cxnSpLocks/>
                        </wps:cNvCnPr>
                        <wps:spPr bwMode="auto">
                          <a:xfrm>
                            <a:off x="2585085" y="960120"/>
                            <a:ext cx="59182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7866887" name="Прямая со стрелкой 2"/>
                        <wps:cNvCnPr>
                          <a:cxnSpLocks/>
                        </wps:cNvCnPr>
                        <wps:spPr bwMode="auto">
                          <a:xfrm>
                            <a:off x="2574290" y="1866265"/>
                            <a:ext cx="609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3623744" name="Прямая со стрелкой 3"/>
                        <wps:cNvCnPr>
                          <a:cxnSpLocks/>
                        </wps:cNvCnPr>
                        <wps:spPr bwMode="auto">
                          <a:xfrm>
                            <a:off x="2570480" y="2681605"/>
                            <a:ext cx="59880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8125350" name="Прямая со стрелкой 770533316"/>
                        <wps:cNvCnPr>
                          <a:cxnSpLocks/>
                        </wps:cNvCnPr>
                        <wps:spPr bwMode="auto">
                          <a:xfrm>
                            <a:off x="1642110" y="2967990"/>
                            <a:ext cx="635"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673121542" name="Прямоугольник 770533313"/>
                        <wps:cNvSpPr>
                          <a:spLocks/>
                        </wps:cNvSpPr>
                        <wps:spPr bwMode="auto">
                          <a:xfrm>
                            <a:off x="670560" y="3249295"/>
                            <a:ext cx="1899920" cy="5391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D0192C" w:rsidRDefault="00C36C85" w:rsidP="00277909">
                              <w:pPr>
                                <w:jc w:val="center"/>
                                <w:textDirection w:val="btLr"/>
                              </w:pPr>
                              <w:r w:rsidRPr="00D0192C">
                                <w:rPr>
                                  <w:color w:val="000000"/>
                                </w:rPr>
                                <w:t>Reports assessed for eligibility (n = 1792 )</w:t>
                              </w:r>
                            </w:p>
                          </w:txbxContent>
                        </wps:txbx>
                        <wps:bodyPr rot="0" vert="horz" wrap="square" lIns="91425" tIns="45698" rIns="91425" bIns="45698" anchor="ctr" anchorCtr="0" upright="1">
                          <a:noAutofit/>
                        </wps:bodyPr>
                      </wps:wsp>
                      <wps:wsp>
                        <wps:cNvPr id="510274783" name="Прямоугольник 770533330"/>
                        <wps:cNvSpPr>
                          <a:spLocks/>
                        </wps:cNvSpPr>
                        <wps:spPr bwMode="auto">
                          <a:xfrm>
                            <a:off x="3176905" y="3249295"/>
                            <a:ext cx="1899920" cy="83375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8B61DD" w:rsidRDefault="00C36C85" w:rsidP="00277909">
                              <w:pPr>
                                <w:jc w:val="center"/>
                                <w:textDirection w:val="btLr"/>
                                <w:rPr>
                                  <w:lang w:val="pt-PT"/>
                                </w:rPr>
                              </w:pPr>
                              <w:r w:rsidRPr="008B61DD">
                                <w:rPr>
                                  <w:color w:val="000000"/>
                                  <w:lang w:val="pt-PT"/>
                                </w:rPr>
                                <w:t>Reports excluded:</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1 (n = 431 )</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3 (n =  354)</w:t>
                              </w:r>
                            </w:p>
                            <w:p w:rsidR="00C36C85" w:rsidRPr="00D0192C" w:rsidRDefault="00C36C85" w:rsidP="00277909">
                              <w:pPr>
                                <w:jc w:val="center"/>
                                <w:textDirection w:val="btLr"/>
                                <w:rPr>
                                  <w:lang w:val="en-GB"/>
                                </w:rPr>
                              </w:pPr>
                              <w:r w:rsidRPr="00D0192C">
                                <w:rPr>
                                  <w:color w:val="000000"/>
                                  <w:lang w:val="en-GB"/>
                                </w:rPr>
                                <w:t>С. 4.( n =  70)</w:t>
                              </w:r>
                            </w:p>
                          </w:txbxContent>
                        </wps:txbx>
                        <wps:bodyPr rot="0" vert="horz" wrap="square" lIns="91425" tIns="45698" rIns="91425" bIns="45698" anchor="ctr" anchorCtr="0" upright="1">
                          <a:noAutofit/>
                        </wps:bodyPr>
                      </wps:wsp>
                      <wps:wsp>
                        <wps:cNvPr id="2051438349" name="Прямоугольник 770533319"/>
                        <wps:cNvSpPr>
                          <a:spLocks/>
                        </wps:cNvSpPr>
                        <wps:spPr bwMode="auto">
                          <a:xfrm>
                            <a:off x="681355" y="4354195"/>
                            <a:ext cx="1899920" cy="75882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C36C85" w:rsidRPr="00D0192C" w:rsidRDefault="00C36C85" w:rsidP="00277909">
                              <w:pPr>
                                <w:jc w:val="center"/>
                                <w:textDirection w:val="btLr"/>
                                <w:rPr>
                                  <w:lang w:val="en-GB"/>
                                </w:rPr>
                              </w:pPr>
                              <w:r w:rsidRPr="00D0192C">
                                <w:rPr>
                                  <w:color w:val="000000"/>
                                  <w:lang w:val="en-GB"/>
                                </w:rPr>
                                <w:t>Studies included</w:t>
                              </w:r>
                            </w:p>
                            <w:p w:rsidR="00C36C85" w:rsidRPr="00D0192C" w:rsidRDefault="00C36C85" w:rsidP="00277909">
                              <w:pPr>
                                <w:jc w:val="center"/>
                                <w:textDirection w:val="btLr"/>
                                <w:rPr>
                                  <w:lang w:val="en-GB"/>
                                </w:rPr>
                              </w:pPr>
                              <w:r w:rsidRPr="00D0192C">
                                <w:rPr>
                                  <w:color w:val="000000"/>
                                  <w:lang w:val="en-GB"/>
                                </w:rPr>
                                <w:t>(n = 40 )</w:t>
                              </w:r>
                            </w:p>
                          </w:txbxContent>
                        </wps:txbx>
                        <wps:bodyPr rot="0" vert="horz" wrap="square" lIns="91425" tIns="45698" rIns="91425" bIns="45698" anchor="ctr" anchorCtr="0" upright="1">
                          <a:noAutofit/>
                        </wps:bodyPr>
                      </wps:wsp>
                      <wps:wsp>
                        <wps:cNvPr id="2061685254" name="Блок-схема: альтернативный процесс 770533325"/>
                        <wps:cNvSpPr>
                          <a:spLocks/>
                        </wps:cNvSpPr>
                        <wps:spPr bwMode="auto">
                          <a:xfrm>
                            <a:off x="205740" y="4343400"/>
                            <a:ext cx="275590" cy="758190"/>
                          </a:xfrm>
                          <a:prstGeom prst="flowChartAlternateProcess">
                            <a:avLst/>
                          </a:prstGeom>
                          <a:solidFill>
                            <a:srgbClr val="9CC2E5"/>
                          </a:solidFill>
                          <a:ln w="12700">
                            <a:solidFill>
                              <a:srgbClr val="000000"/>
                            </a:solidFill>
                            <a:miter lim="800000"/>
                            <a:headEnd type="none" w="sm" len="sm"/>
                            <a:tailEnd type="none" w="sm" len="sm"/>
                          </a:ln>
                        </wps:spPr>
                        <wps:txbx>
                          <w:txbxContent>
                            <w:p w:rsidR="00C36C85" w:rsidRPr="00D0192C" w:rsidRDefault="00C36C85" w:rsidP="00277909">
                              <w:pPr>
                                <w:jc w:val="center"/>
                                <w:textDirection w:val="btLr"/>
                                <w:rPr>
                                  <w:lang w:val="en-GB"/>
                                </w:rPr>
                              </w:pPr>
                              <w:r w:rsidRPr="00D0192C">
                                <w:rPr>
                                  <w:b/>
                                  <w:color w:val="000000"/>
                                  <w:lang w:val="en-GB"/>
                                </w:rPr>
                                <w:t>Included</w:t>
                              </w:r>
                            </w:p>
                          </w:txbxContent>
                        </wps:txbx>
                        <wps:bodyPr rot="0" vert="vert270" wrap="square" lIns="0" tIns="45698" rIns="0" bIns="45698" anchor="ctr" anchorCtr="0" upright="1">
                          <a:noAutofit/>
                        </wps:bodyPr>
                      </wps:wsp>
                      <wps:wsp>
                        <wps:cNvPr id="1056550447" name="Прямая со стрелкой 4"/>
                        <wps:cNvCnPr>
                          <a:cxnSpLocks/>
                        </wps:cNvCnPr>
                        <wps:spPr bwMode="auto">
                          <a:xfrm flipV="1">
                            <a:off x="2567305" y="3520440"/>
                            <a:ext cx="609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5414105" name="Прямая со стрелкой 770533331"/>
                        <wps:cNvCnPr>
                          <a:cxnSpLocks/>
                        </wps:cNvCnPr>
                        <wps:spPr bwMode="auto">
                          <a:xfrm flipH="1">
                            <a:off x="1642745" y="3788410"/>
                            <a:ext cx="635" cy="56578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 o:spid="_x0000_s1026" editas="canvas" style="width:453.55pt;height:402.6pt;mso-position-horizontal-relative:char;mso-position-vertical-relative:line" coordsize="57600,511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0;height:51130;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770533322" o:spid="_x0000_s1028" type="#_x0000_t176" style="position:absolute;left:7092;top:349;width:43587;height:275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" fillcolor="#8064a2" strokecolor="#ba8c00" strokeweight="1pt">
                  <v:stroke startarrowwidth="narrow" startarrowlength="short" endarrowwidth="narrow" endarrowlength="short"/>
                  <v:path arrowok="t"/>
                  <v:textbox inset="2.53958mm,0,2.53958mm,0">
                    <w:txbxContent>
                      <w:p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v:textbox>
                </v:shape>
                <v:rect id="Прямоугольник 770533311" o:spid="_x0000_s1029" style="position:absolute;left:6826;top:5670;width:18986;height:75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" filled="f" strokeweight="1pt">
                  <v:stroke startarrowwidth="narrow" startarrowlength="short" endarrowwidth="narrow" endarrowlength="short"/>
                  <v:path arrowok="t"/>
                  <v:textbox inset="2.53958mm,1.2694mm,2.53958mm,1.2694mm">
                    <w:txbxContent>
                      <w:p w:rsidR="00C36C85" w:rsidRPr="00D0192C" w:rsidRDefault="00C36C85" w:rsidP="00277909">
                        <w:pPr>
                          <w:jc w:val="center"/>
                          <w:textDirection w:val="btLr"/>
                          <w:rPr>
                            <w:lang w:val="en-GB"/>
                          </w:rPr>
                        </w:pPr>
                        <w:r w:rsidRPr="00D0192C">
                          <w:rPr>
                            <w:color w:val="000000"/>
                            <w:lang w:val="en-GB"/>
                          </w:rPr>
                          <w:t>Records identified from:</w:t>
                        </w:r>
                      </w:p>
                      <w:p w:rsidR="00C36C85" w:rsidRPr="00D0192C" w:rsidRDefault="00C36C85" w:rsidP="00277909">
                        <w:pPr>
                          <w:jc w:val="center"/>
                          <w:textDirection w:val="btLr"/>
                          <w:rPr>
                            <w:lang w:val="en-GB"/>
                          </w:rPr>
                        </w:pPr>
                        <w:r w:rsidRPr="00D0192C">
                          <w:rPr>
                            <w:color w:val="000000"/>
                            <w:lang w:val="en-GB"/>
                          </w:rPr>
                          <w:t>Databases (n = 3455 )</w:t>
                        </w:r>
                      </w:p>
                    </w:txbxContent>
                  </v:textbox>
                </v:rect>
                <v:rect id="Прямоугольник 770533328" o:spid="_x0000_s1030" style="position:absolute;left:31730;top:5594;width:19006;height:76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" filled="f" strokeweight="1pt">
                  <v:stroke startarrowwidth="narrow" startarrowlength="short" endarrowwidth="narrow" endarrowlength="short"/>
                  <v:path arrowok="t"/>
                  <v:textbox inset="2.53958mm,1.2694mm,2.53958mm,1.2694mm">
                    <w:txbxContent>
                      <w:p w:rsidR="00C36C85" w:rsidRPr="00D0192C" w:rsidRDefault="00C36C85" w:rsidP="00277909">
                        <w:pPr>
                          <w:jc w:val="center"/>
                          <w:textDirection w:val="btLr"/>
                          <w:rPr>
                            <w:lang w:val="en-GB"/>
                          </w:rPr>
                        </w:pPr>
                        <w:r w:rsidRPr="00D0192C">
                          <w:rPr>
                            <w:color w:val="000000"/>
                            <w:lang w:val="en-GB"/>
                          </w:rPr>
                          <w:t>Duplicate removed</w:t>
                        </w:r>
                      </w:p>
                      <w:p w:rsidR="00C36C85" w:rsidRPr="00D0192C" w:rsidRDefault="00C36C85" w:rsidP="00277909">
                        <w:pPr>
                          <w:jc w:val="center"/>
                          <w:textDirection w:val="btLr"/>
                          <w:rPr>
                            <w:lang w:val="en-GB"/>
                          </w:rPr>
                        </w:pPr>
                        <w:r w:rsidRPr="00D0192C">
                          <w:rPr>
                            <w:color w:val="000000"/>
                            <w:lang w:val="en-GB"/>
                          </w:rPr>
                          <w:t>(n = 651)</w:t>
                        </w:r>
                      </w:p>
                    </w:txbxContent>
                  </v:textbox>
                </v:rect>
                <v:shape id="Блок-схема: альтернативный процесс 770533323" o:spid="_x0000_s1031" type="#_x0000_t176" style="position:absolute;left:2584;top:4883;width:2743;height:906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" fillcolor="#9cc2e5" strokeweight="1pt">
                  <v:stroke startarrowwidth="narrow" startarrowlength="short" endarrowwidth="narrow" endarrowlength="short"/>
                  <v:path arrowok="t"/>
                  <v:textbox style="layout-flow:vertical;mso-layout-flow-alt:bottom-to-top" inset="0,1.2694mm,0,1.2694mm">
                    <w:txbxContent>
                      <w:p w:rsidR="00C36C85" w:rsidRPr="00D0192C" w:rsidRDefault="00C36C85" w:rsidP="00277909">
                        <w:pPr>
                          <w:jc w:val="center"/>
                          <w:textDirection w:val="btLr"/>
                          <w:rPr>
                            <w:lang w:val="en-GB"/>
                          </w:rPr>
                        </w:pPr>
                        <w:r w:rsidRPr="00D0192C">
                          <w:rPr>
                            <w:b/>
                            <w:color w:val="000000"/>
                            <w:lang w:val="en-GB"/>
                          </w:rPr>
                          <w:t>Identification</w:t>
                        </w:r>
                      </w:p>
                    </w:txbxContent>
                  </v:textbox>
                </v:shape>
                <v:shapetype id="_x0000_t32" coordsize="21600,21600" o:spt="32" o:oned="t" path="m,l21600,21600e" filled="f">
                  <v:path arrowok="t" fillok="f" o:connecttype="none"/>
                  <o:lock v:ext="edit" shapetype="t"/>
                </v:shapetype>
                <v:shape id="Прямая со стрелкой 770533327" o:spid="_x0000_s1032" type="#_x0000_t32" style="position:absolute;left:16408;top:13258;width:6;height:2813;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">
                  <v:stroke startarrowwidth="narrow" startarrowlength="short" endarrow="block" joinstyle="miter"/>
                  <o:lock v:ext="edit" shapetype="f"/>
                </v:shape>
                <v:rect id="Прямоугольник 770533329" o:spid="_x0000_s1033" style="position:absolute;left:6826;top:16071;width:18986;height:539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" filled="f" strokeweight="1pt">
                  <v:stroke startarrowwidth="narrow" startarrowlength="short" endarrowwidth="narrow" endarrowlength="short"/>
                  <v:path arrowok="t"/>
                  <v:textbox inset="2.53958mm,1.2694mm,2.53958mm,1.2694mm">
                    <w:txbxContent>
                      <w:p w:rsidR="00C36C85" w:rsidRPr="00D0192C" w:rsidRDefault="00C36C85" w:rsidP="00277909">
                        <w:pPr>
                          <w:jc w:val="center"/>
                          <w:textDirection w:val="btLr"/>
                          <w:rPr>
                            <w:lang w:val="en-GB"/>
                          </w:rPr>
                        </w:pPr>
                        <w:r w:rsidRPr="00D0192C">
                          <w:rPr>
                            <w:color w:val="000000"/>
                            <w:lang w:val="en-GB"/>
                          </w:rPr>
                          <w:t>Records screened</w:t>
                        </w:r>
                      </w:p>
                      <w:p w:rsidR="00C36C85" w:rsidRPr="00D0192C" w:rsidRDefault="00C36C85" w:rsidP="00277909">
                        <w:pPr>
                          <w:jc w:val="center"/>
                          <w:textDirection w:val="btLr"/>
                          <w:rPr>
                            <w:lang w:val="en-GB"/>
                          </w:rPr>
                        </w:pPr>
                        <w:r w:rsidRPr="00D0192C">
                          <w:rPr>
                            <w:color w:val="000000"/>
                            <w:lang w:val="en-GB"/>
                          </w:rPr>
                          <w:t>(n = 2801)</w:t>
                        </w:r>
                      </w:p>
                    </w:txbxContent>
                  </v:textbox>
                </v:rect>
                <v:rect id="Прямоугольник 770533317" o:spid="_x0000_s1034" style="position:absolute;left:31692;top:16071;width:18987;height:539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" filled="f" strokeweight="1pt">
                  <v:stroke startarrowwidth="narrow" startarrowlength="short" endarrowwidth="narrow" endarrowlength="short"/>
                  <v:path arrowok="t"/>
                  <v:textbox inset="2.53958mm,1.2694mm,2.53958mm,1.2694mm">
                    <w:txbxContent>
                      <w:p w:rsidR="00C36C85" w:rsidRPr="00D0192C" w:rsidRDefault="00C36C85" w:rsidP="00277909">
                        <w:pPr>
                          <w:jc w:val="center"/>
                          <w:textDirection w:val="btLr"/>
                          <w:rPr>
                            <w:lang w:val="en-GB"/>
                          </w:rPr>
                        </w:pPr>
                        <w:r w:rsidRPr="00D0192C">
                          <w:rPr>
                            <w:color w:val="000000"/>
                            <w:lang w:val="en-GB"/>
                          </w:rPr>
                          <w:t>Records excluded by analysis abstracts (n = 897)</w:t>
                        </w:r>
                      </w:p>
                    </w:txbxContent>
                  </v:textbox>
                </v:rect>
                <v:shape id="Прямая со стрелкой 770533320" o:spid="_x0000_s1035" type="#_x0000_t32" style="position:absolute;left:16414;top:21469;width:7;height:282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">
                  <v:stroke startarrowwidth="narrow" startarrowlength="short" endarrow="block" joinstyle="miter"/>
                  <o:lock v:ext="edit" shapetype="f"/>
                </v:shape>
                <v:rect id="Прямоугольник 770533326" o:spid="_x0000_s1036" style="position:absolute;left:6756;top:24295;width:18986;height:538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" filled="f" strokeweight="1pt">
                  <v:stroke startarrowwidth="narrow" startarrowlength="short" endarrowwidth="narrow" endarrowlength="short"/>
                  <v:path arrowok="t"/>
                  <v:textbox inset="2.53958mm,1.2694mm,2.53958mm,1.2694mm">
                    <w:txbxContent>
                      <w:p w:rsidR="00C36C85" w:rsidRPr="00D0192C" w:rsidRDefault="00C36C85" w:rsidP="00277909">
                        <w:pPr>
                          <w:jc w:val="center"/>
                          <w:textDirection w:val="btLr"/>
                          <w:rPr>
                            <w:lang w:val="en-GB"/>
                          </w:rPr>
                        </w:pPr>
                        <w:r w:rsidRPr="00D0192C">
                          <w:rPr>
                            <w:color w:val="000000"/>
                            <w:lang w:val="en-GB"/>
                          </w:rPr>
                          <w:t>Reports sought for retrieval</w:t>
                        </w:r>
                      </w:p>
                      <w:p w:rsidR="00C36C85" w:rsidRPr="00D0192C" w:rsidRDefault="00C36C85" w:rsidP="00277909">
                        <w:pPr>
                          <w:jc w:val="center"/>
                          <w:textDirection w:val="btLr"/>
                          <w:rPr>
                            <w:lang w:val="en-GB"/>
                          </w:rPr>
                        </w:pPr>
                        <w:r w:rsidRPr="00D0192C">
                          <w:rPr>
                            <w:color w:val="000000"/>
                            <w:lang w:val="en-GB"/>
                          </w:rPr>
                          <w:t>(n =1904 )</w:t>
                        </w:r>
                      </w:p>
                    </w:txbxContent>
                  </v:textbox>
                </v:rect>
                <v:rect id="Прямоугольник 770533315" o:spid="_x0000_s1037" style="position:absolute;left:31692;top:24282;width:18987;height:53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" filled="f" strokeweight="1pt">
                  <v:stroke startarrowwidth="narrow" startarrowlength="short" endarrowwidth="narrow" endarrowlength="short"/>
                  <v:path arrowok="t"/>
                  <v:textbox inset="2.53958mm,1.2694mm,2.53958mm,1.2694mm">
                    <w:txbxContent>
                      <w:p w:rsidR="00C36C85" w:rsidRPr="00D0192C" w:rsidRDefault="00C36C85" w:rsidP="00277909">
                        <w:pPr>
                          <w:jc w:val="center"/>
                          <w:textDirection w:val="btLr"/>
                          <w:rPr>
                            <w:lang w:val="en-GB"/>
                          </w:rPr>
                        </w:pPr>
                        <w:r w:rsidRPr="00D0192C">
                          <w:rPr>
                            <w:color w:val="000000"/>
                            <w:lang w:val="en-GB"/>
                          </w:rPr>
                          <w:t>Reports not retrieved</w:t>
                        </w:r>
                      </w:p>
                      <w:p w:rsidR="00C36C85" w:rsidRPr="00D0192C" w:rsidRDefault="00C36C85" w:rsidP="00277909">
                        <w:pPr>
                          <w:jc w:val="center"/>
                          <w:textDirection w:val="btLr"/>
                          <w:rPr>
                            <w:lang w:val="en-GB"/>
                          </w:rPr>
                        </w:pPr>
                        <w:r w:rsidRPr="00D0192C">
                          <w:rPr>
                            <w:color w:val="000000"/>
                            <w:lang w:val="en-GB"/>
                          </w:rPr>
                          <w:t>(n = 112)</w:t>
                        </w:r>
                      </w:p>
                    </w:txbxContent>
                  </v:textbox>
                </v:rect>
                <v:shape id="Блок-схема: альтернативный процесс 770533321" o:spid="_x0000_s1038" type="#_x0000_t176" style="position:absolute;left:2578;top:16071;width:2749;height:2237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" fillcolor="#9cc2e5" strokeweight="1pt">
                  <v:stroke startarrowwidth="narrow" startarrowlength="short" endarrowwidth="narrow" endarrowlength="short"/>
                  <v:path arrowok="t"/>
                  <v:textbox style="layout-flow:vertical;mso-layout-flow-alt:bottom-to-top" inset="0,0,0,0">
                    <w:txbxContent>
                      <w:p w:rsidR="00C36C85" w:rsidRPr="00D0192C" w:rsidRDefault="00C36C85" w:rsidP="00277909">
                        <w:pPr>
                          <w:jc w:val="center"/>
                          <w:textDirection w:val="btLr"/>
                          <w:rPr>
                            <w:lang w:val="en-GB"/>
                          </w:rPr>
                        </w:pPr>
                        <w:r w:rsidRPr="00D0192C">
                          <w:rPr>
                            <w:b/>
                            <w:color w:val="000000"/>
                            <w:lang w:val="en-GB"/>
                          </w:rPr>
                          <w:t>Screening</w:t>
                        </w:r>
                      </w:p>
                    </w:txbxContent>
                  </v:textbox>
                </v:shape>
                <v:shape id="Прямая со стрелкой 1" o:spid="_x0000_s1039" type="#_x0000_t32" style="position:absolute;left:25850;top:9601;width:5919;height: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">
                  <v:stroke endarrow="block"/>
                  <o:lock v:ext="edit" shapetype="f"/>
                </v:shape>
                <v:shape id="Прямая со стрелкой 2" o:spid="_x0000_s1040" type="#_x0000_t32" style="position:absolute;left:25742;top:18662;width:6096;height: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">
                  <v:stroke endarrow="block"/>
                  <o:lock v:ext="edit" shapetype="f"/>
                </v:shape>
                <v:shape id="Прямая со стрелкой 3" o:spid="_x0000_s1041" type="#_x0000_t32" style="position:absolute;left:25704;top:26816;width:5988;height: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">
                  <v:stroke endarrow="block"/>
                  <o:lock v:ext="edit" shapetype="f"/>
                </v:shape>
                <v:shape id="Прямая со стрелкой 770533316" o:spid="_x0000_s1042" type="#_x0000_t32" style="position:absolute;left:16421;top:29679;width:6;height:2813;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">
                  <v:stroke startarrowwidth="narrow" startarrowlength="short" endarrow="block" joinstyle="miter"/>
                  <o:lock v:ext="edit" shapetype="f"/>
                </v:shape>
                <v:rect id="Прямоугольник 770533313" o:spid="_x0000_s1043" style="position:absolute;left:6705;top:32492;width:18999;height:539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" filled="f" strokeweight="1pt">
                  <v:stroke startarrowwidth="narrow" startarrowlength="short" endarrowwidth="narrow" endarrowlength="short"/>
                  <v:path arrowok="t"/>
                  <v:textbox inset="2.53958mm,1.2694mm,2.53958mm,1.2694mm">
                    <w:txbxContent>
                      <w:p w:rsidR="00C36C85" w:rsidRPr="00D0192C" w:rsidRDefault="00C36C85" w:rsidP="00277909">
                        <w:pPr>
                          <w:jc w:val="center"/>
                          <w:textDirection w:val="btLr"/>
                        </w:pPr>
                        <w:r w:rsidRPr="00D0192C">
                          <w:rPr>
                            <w:color w:val="000000"/>
                          </w:rPr>
                          <w:t>Reports assessed for eligibility (n = 1792 )</w:t>
                        </w:r>
                      </w:p>
                    </w:txbxContent>
                  </v:textbox>
                </v:rect>
                <v:rect id="Прямоугольник 770533330" o:spid="_x0000_s1044" style="position:absolute;left:31769;top:32492;width:18999;height:833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" filled="f" strokeweight="1pt">
                  <v:stroke startarrowwidth="narrow" startarrowlength="short" endarrowwidth="narrow" endarrowlength="short"/>
                  <v:path arrowok="t"/>
                  <v:textbox inset="2.53958mm,1.2694mm,2.53958mm,1.2694mm">
                    <w:txbxContent>
                      <w:p w:rsidR="00C36C85" w:rsidRPr="008B61DD" w:rsidRDefault="00C36C85" w:rsidP="00277909">
                        <w:pPr>
                          <w:jc w:val="center"/>
                          <w:textDirection w:val="btLr"/>
                          <w:rPr>
                            <w:lang w:val="pt-PT"/>
                          </w:rPr>
                        </w:pPr>
                        <w:r w:rsidRPr="008B61DD">
                          <w:rPr>
                            <w:color w:val="000000"/>
                            <w:lang w:val="pt-PT"/>
                          </w:rPr>
                          <w:t>Reports excluded:</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1 (n = 431 )</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3 (n =  354)</w:t>
                        </w:r>
                      </w:p>
                      <w:p w:rsidR="00C36C85" w:rsidRPr="00D0192C" w:rsidRDefault="00C36C85" w:rsidP="00277909">
                        <w:pPr>
                          <w:jc w:val="center"/>
                          <w:textDirection w:val="btLr"/>
                          <w:rPr>
                            <w:lang w:val="en-GB"/>
                          </w:rPr>
                        </w:pPr>
                        <w:r w:rsidRPr="00D0192C">
                          <w:rPr>
                            <w:color w:val="000000"/>
                            <w:lang w:val="en-GB"/>
                          </w:rPr>
                          <w:t>С. 4.( n =  70)</w:t>
                        </w:r>
                      </w:p>
                    </w:txbxContent>
                  </v:textbox>
                </v:rect>
                <v:rect id="Прямоугольник 770533319" o:spid="_x0000_s1045" style="position:absolute;left:6813;top:43541;width:18999;height:758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" filled="f" strokeweight="1pt">
                  <v:stroke startarrowwidth="narrow" startarrowlength="short" endarrowwidth="narrow" endarrowlength="short"/>
                  <v:path arrowok="t"/>
                  <v:textbox inset="2.53958mm,1.2694mm,2.53958mm,1.2694mm">
                    <w:txbxContent>
                      <w:p w:rsidR="00C36C85" w:rsidRPr="00D0192C" w:rsidRDefault="00C36C85" w:rsidP="00277909">
                        <w:pPr>
                          <w:jc w:val="center"/>
                          <w:textDirection w:val="btLr"/>
                          <w:rPr>
                            <w:lang w:val="en-GB"/>
                          </w:rPr>
                        </w:pPr>
                        <w:r w:rsidRPr="00D0192C">
                          <w:rPr>
                            <w:color w:val="000000"/>
                            <w:lang w:val="en-GB"/>
                          </w:rPr>
                          <w:t>Studies included</w:t>
                        </w:r>
                      </w:p>
                      <w:p w:rsidR="00C36C85" w:rsidRPr="00D0192C" w:rsidRDefault="00C36C85" w:rsidP="00277909">
                        <w:pPr>
                          <w:jc w:val="center"/>
                          <w:textDirection w:val="btLr"/>
                          <w:rPr>
                            <w:lang w:val="en-GB"/>
                          </w:rPr>
                        </w:pPr>
                        <w:r w:rsidRPr="00D0192C">
                          <w:rPr>
                            <w:color w:val="000000"/>
                            <w:lang w:val="en-GB"/>
                          </w:rPr>
                          <w:t>(n = 40 )</w:t>
                        </w:r>
                      </w:p>
                    </w:txbxContent>
                  </v:textbox>
                </v:rect>
                <v:shape id="Блок-схема: альтернативный процесс 770533325" o:spid="_x0000_s1046" type="#_x0000_t176" style="position:absolute;left:2057;top:43434;width:2756;height:758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" fillcolor="#9cc2e5" strokeweight="1pt">
                  <v:stroke startarrowwidth="narrow" startarrowlength="short" endarrowwidth="narrow" endarrowlength="short"/>
                  <v:path arrowok="t"/>
                  <v:textbox style="layout-flow:vertical;mso-layout-flow-alt:bottom-to-top" inset="0,1.2694mm,0,1.2694mm">
                    <w:txbxContent>
                      <w:p w:rsidR="00C36C85" w:rsidRPr="00D0192C" w:rsidRDefault="00C36C85" w:rsidP="00277909">
                        <w:pPr>
                          <w:jc w:val="center"/>
                          <w:textDirection w:val="btLr"/>
                          <w:rPr>
                            <w:lang w:val="en-GB"/>
                          </w:rPr>
                        </w:pPr>
                        <w:r w:rsidRPr="00D0192C">
                          <w:rPr>
                            <w:b/>
                            <w:color w:val="000000"/>
                            <w:lang w:val="en-GB"/>
                          </w:rPr>
                          <w:t>Included</w:t>
                        </w:r>
                      </w:p>
                    </w:txbxContent>
                  </v:textbox>
                </v:shape>
                <v:shape id="Прямая со стрелкой 4" o:spid="_x0000_s1047" type="#_x0000_t32" style="position:absolute;left:25673;top:35204;width:6096;height:6;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">
                  <v:stroke endarrow="block"/>
                  <o:lock v:ext="edit" shapetype="f"/>
                </v:shape>
                <v:shape id="Прямая со стрелкой 770533331" o:spid="_x0000_s1048" type="#_x0000_t32" style="position:absolute;left:16427;top:37884;width:6;height:5657;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">
                  <v:stroke startarrowwidth="narrow" startarrowlength="short" endarrow="block" joinstyle="miter"/>
                  <o:lock v:ext="edit" shapetype="f"/>
                </v:shape>
                <w10:anchorlock/>
              </v:group>
            </w:pict>
          </mc:Fallback>
        </mc:AlternateContent>
      </w:r>
    </w:p>
    <w:p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b/>
          <w:i/>
          <w:sz w:val="24"/>
          <w:szCs w:val="24"/>
          <w:lang w:val="en-GB"/>
        </w:rPr>
        <w:t xml:space="preserve">Figure 1. </w:t>
      </w:r>
      <w:r w:rsidRPr="00277909">
        <w:rPr>
          <w:rFonts w:ascii="Calibri Light" w:hAnsi="Calibri Light" w:cs="Calibri Light"/>
          <w:i/>
          <w:sz w:val="24"/>
          <w:szCs w:val="24"/>
          <w:lang w:val="en-GB"/>
        </w:rPr>
        <w:t>PRISMA Flowchart</w:t>
      </w:r>
    </w:p>
    <w:p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i/>
          <w:sz w:val="24"/>
          <w:szCs w:val="24"/>
          <w:lang w:val="en-GB"/>
        </w:rPr>
        <w:t>Source: Authors’ development.</w:t>
      </w:r>
    </w:p>
    <w:p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Analysis</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Within the case study approach, the data analysis was rigorously focused on identifying key factors influencing the effectiveness of court decision enforcement in Ukraine. The analysis was conducted using Google Sheets, where primary tables were created to categorise the research themes. Specifically:</w:t>
      </w:r>
    </w:p>
    <w:p w:rsidR="00277909" w:rsidRPr="00277909" w:rsidRDefault="00277909" w:rsidP="00277909">
      <w:pPr>
        <w:numPr>
          <w:ilvl w:val="0"/>
          <w:numId w:val="35"/>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first table addressed the areas of legislation, analytical reports, and key provisions.</w:t>
      </w:r>
    </w:p>
    <w:p w:rsidR="00277909" w:rsidRPr="00277909" w:rsidRDefault="00277909" w:rsidP="00277909">
      <w:pPr>
        <w:numPr>
          <w:ilvl w:val="0"/>
          <w:numId w:val="35"/>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second table was based on literature analysis, encompassing details such as the author, year of publication, factors affecting the enforcement of court decisions, and identified issues.</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All collected data were subsequently categorised into the following key themes:</w:t>
      </w:r>
    </w:p>
    <w:p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Factors influencing decision enforcement.</w:t>
      </w:r>
    </w:p>
    <w:p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Responsibilities of the involved parties and enforcement authorities.</w:t>
      </w:r>
    </w:p>
    <w:p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lastRenderedPageBreak/>
        <w:t>Challenges at the enforcement stage.</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These themes were synthesised and subjected to comparative analysis with practices of court decision enforcement in other countries.</w:t>
      </w:r>
    </w:p>
    <w:p w:rsidR="00A4345E" w:rsidRDefault="00277909" w:rsidP="00277909">
      <w:pPr>
        <w:spacing w:before="120" w:after="120"/>
        <w:ind w:left="426"/>
        <w:jc w:val="both"/>
        <w:rPr>
          <w:rFonts w:ascii="Calibri Light" w:hAnsi="Calibri Light" w:cs="Calibri Light"/>
          <w:sz w:val="24"/>
          <w:szCs w:val="24"/>
        </w:rPr>
      </w:pPr>
      <w:r w:rsidRPr="00277909">
        <w:rPr>
          <w:rFonts w:ascii="Calibri Light" w:hAnsi="Calibri Light" w:cs="Calibri Light"/>
          <w:sz w:val="24"/>
          <w:szCs w:val="24"/>
          <w:lang w:val="en-GB"/>
        </w:rPr>
        <w:t>Analysing the selected case (Ukrainian realities) enabled the identification of fundamental systemic problems impacting the effectiveness of court decision enforcement in Ukraine. The synthesis and generalisation of the findings allowed for the development of valuable practical recommendations to optimise the enforcement process at the national level.</w:t>
      </w: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effective enforcement of judicial decisions is recognised as a cornerstone for upholding the rule of law, safeguarding the rights and freedoms of citizens, and maintaining a sufficient level of trust in the judicial system in Ukraine. However, the current practices for implementing such decisions face numerous challenges, which, to some extent, undermine their enforceability (see Figure 2).</w:t>
      </w:r>
    </w:p>
    <w:p w:rsidR="00277909" w:rsidRPr="00E41250" w:rsidRDefault="00B57EFB"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noProof/>
          <w:lang w:val="ru-RU"/>
        </w:rPr>
        <w:object w:dxaOrig="8660" w:dyaOrig="3418">
          <v:shape id="Диаграмма 770533309" o:spid="_x0000_i1026" type="#_x0000_t75" alt="" style="width:433pt;height:171pt;visibility:visible;mso-width-percent:0;mso-height-percent:0;mso-width-percent:0;mso-height-percent:0" o:ole="">
            <v:imagedata r:id="rId9" o:title="" cropbottom="-38f" cropright="-8f"/>
            <o:lock v:ext="edit" aspectratio="f"/>
          </v:shape>
          <o:OLEObject Type="Embed" ProgID="Excel.Sheet.8" ShapeID="Диаграмма 770533309" DrawAspect="Content" ObjectID="_1805348217" r:id="rId10">
            <o:FieldCodes>\s</o:FieldCodes>
          </o:OLEObject>
        </w:object>
      </w:r>
      <w:r w:rsidR="00277909" w:rsidRPr="00E41250">
        <w:rPr>
          <w:rFonts w:ascii="Calibri Light" w:hAnsi="Calibri Light" w:cs="Calibri Light"/>
          <w:b/>
          <w:bCs/>
          <w:i/>
          <w:sz w:val="24"/>
          <w:szCs w:val="24"/>
          <w:lang w:val="en-GB"/>
        </w:rPr>
        <w:t xml:space="preserve">Figure 2. </w:t>
      </w:r>
      <w:r w:rsidR="00277909" w:rsidRPr="00E41250">
        <w:rPr>
          <w:rFonts w:ascii="Calibri Light" w:hAnsi="Calibri Light" w:cs="Calibri Light"/>
          <w:i/>
          <w:sz w:val="24"/>
          <w:szCs w:val="24"/>
          <w:lang w:val="en-GB"/>
        </w:rPr>
        <w:t xml:space="preserve">Statistics on the </w:t>
      </w:r>
      <w:r w:rsidR="00E41250">
        <w:rPr>
          <w:rFonts w:ascii="Calibri Light" w:hAnsi="Calibri Light" w:cs="Calibri Light"/>
          <w:i/>
          <w:sz w:val="24"/>
          <w:szCs w:val="24"/>
          <w:lang w:val="en-GB"/>
        </w:rPr>
        <w:t>E</w:t>
      </w:r>
      <w:r w:rsidR="00277909" w:rsidRPr="00E41250">
        <w:rPr>
          <w:rFonts w:ascii="Calibri Light" w:hAnsi="Calibri Light" w:cs="Calibri Light"/>
          <w:i/>
          <w:sz w:val="24"/>
          <w:szCs w:val="24"/>
          <w:lang w:val="en-GB"/>
        </w:rPr>
        <w:t xml:space="preserve">nforcement of </w:t>
      </w:r>
      <w:r w:rsidR="00E41250">
        <w:rPr>
          <w:rFonts w:ascii="Calibri Light" w:hAnsi="Calibri Light" w:cs="Calibri Light"/>
          <w:i/>
          <w:sz w:val="24"/>
          <w:szCs w:val="24"/>
          <w:lang w:val="en-GB"/>
        </w:rPr>
        <w:t>J</w:t>
      </w:r>
      <w:r w:rsidR="00277909" w:rsidRPr="00E41250">
        <w:rPr>
          <w:rFonts w:ascii="Calibri Light" w:hAnsi="Calibri Light" w:cs="Calibri Light"/>
          <w:i/>
          <w:sz w:val="24"/>
          <w:szCs w:val="24"/>
          <w:lang w:val="en-GB"/>
        </w:rPr>
        <w:t xml:space="preserve">udicial </w:t>
      </w:r>
      <w:r w:rsidR="00E41250">
        <w:rPr>
          <w:rFonts w:ascii="Calibri Light" w:hAnsi="Calibri Light" w:cs="Calibri Light"/>
          <w:i/>
          <w:sz w:val="24"/>
          <w:szCs w:val="24"/>
          <w:lang w:val="en-GB"/>
        </w:rPr>
        <w:t>D</w:t>
      </w:r>
      <w:r w:rsidR="00277909" w:rsidRPr="00E41250">
        <w:rPr>
          <w:rFonts w:ascii="Calibri Light" w:hAnsi="Calibri Light" w:cs="Calibri Light"/>
          <w:i/>
          <w:sz w:val="24"/>
          <w:szCs w:val="24"/>
          <w:lang w:val="en-GB"/>
        </w:rPr>
        <w:t xml:space="preserve">ecisions by the State Enforcement Service of Ukraine, 2018–2020 (in </w:t>
      </w:r>
      <w:r w:rsidR="00E41250">
        <w:rPr>
          <w:rFonts w:ascii="Calibri Light" w:hAnsi="Calibri Light" w:cs="Calibri Light"/>
          <w:i/>
          <w:sz w:val="24"/>
          <w:szCs w:val="24"/>
          <w:lang w:val="en-GB"/>
        </w:rPr>
        <w:t>T</w:t>
      </w:r>
      <w:r w:rsidR="00277909" w:rsidRPr="00E41250">
        <w:rPr>
          <w:rFonts w:ascii="Calibri Light" w:hAnsi="Calibri Light" w:cs="Calibri Light"/>
          <w:i/>
          <w:sz w:val="24"/>
          <w:szCs w:val="24"/>
          <w:lang w:val="en-GB"/>
        </w:rPr>
        <w:t>housands)</w:t>
      </w:r>
    </w:p>
    <w:p w:rsidR="00277909" w:rsidRPr="00E41250" w:rsidRDefault="00277909"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i/>
          <w:sz w:val="24"/>
          <w:szCs w:val="24"/>
          <w:lang w:val="en-GB"/>
        </w:rPr>
        <w:t xml:space="preserve">Source: </w:t>
      </w:r>
      <w:r w:rsidR="00E41250">
        <w:rPr>
          <w:rFonts w:ascii="Calibri Light" w:hAnsi="Calibri Light" w:cs="Calibri Light"/>
          <w:i/>
          <w:sz w:val="24"/>
          <w:szCs w:val="24"/>
          <w:lang w:val="en-GB"/>
        </w:rPr>
        <w:t>C</w:t>
      </w:r>
      <w:r w:rsidRPr="00E41250">
        <w:rPr>
          <w:rFonts w:ascii="Calibri Light" w:hAnsi="Calibri Light" w:cs="Calibri Light"/>
          <w:i/>
          <w:sz w:val="24"/>
          <w:szCs w:val="24"/>
          <w:lang w:val="en-GB"/>
        </w:rPr>
        <w:t xml:space="preserve">ompiled by the </w:t>
      </w:r>
      <w:r w:rsidR="00E41250">
        <w:rPr>
          <w:rFonts w:ascii="Calibri Light" w:hAnsi="Calibri Light" w:cs="Calibri Light"/>
          <w:i/>
          <w:sz w:val="24"/>
          <w:szCs w:val="24"/>
          <w:lang w:val="en-GB"/>
        </w:rPr>
        <w:t>A</w:t>
      </w:r>
      <w:r w:rsidRPr="00E41250">
        <w:rPr>
          <w:rFonts w:ascii="Calibri Light" w:hAnsi="Calibri Light" w:cs="Calibri Light"/>
          <w:i/>
          <w:sz w:val="24"/>
          <w:szCs w:val="24"/>
          <w:lang w:val="en-GB"/>
        </w:rPr>
        <w:t xml:space="preserve">uthors </w:t>
      </w:r>
      <w:r w:rsidR="00E41250">
        <w:rPr>
          <w:rFonts w:ascii="Calibri Light" w:hAnsi="Calibri Light" w:cs="Calibri Light"/>
          <w:i/>
          <w:sz w:val="24"/>
          <w:szCs w:val="24"/>
          <w:lang w:val="en-GB"/>
        </w:rPr>
        <w:t>B</w:t>
      </w:r>
      <w:r w:rsidRPr="00E41250">
        <w:rPr>
          <w:rFonts w:ascii="Calibri Light" w:hAnsi="Calibri Light" w:cs="Calibri Light"/>
          <w:i/>
          <w:sz w:val="24"/>
          <w:szCs w:val="24"/>
          <w:lang w:val="en-GB"/>
        </w:rPr>
        <w:t>ased on [15].</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low rate of judicial decision enforcement has specific economic implications [16]. For instance, researchers examining several Latin American countries have identified a correlation between the enforcement of judicial decisions and the macroeconomic consequences of non-compliance. Given that Ukraine faces challenges similar to those observed in Latin American states in its justice sector, these findings are also relevant to the Ukrainian context. Specifically, the low effectiveness in enforcing judicial decisions can lead to a reduction in economic transactions, a decrease in investment inflows, geographic constraints on establishing business relationships, limited mechanisms for conducting digital payments, increased credit rates, inflation, and more [17].</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In 2019–2020, Ukraine ranked seventh from the bottom in compliance with the European Court of Human Rights decisions. As of late 2019, Ukraine had implemented 63.5% of such decisions, while 36.52% remained pending. States performing worse than Ukraine included Moldova (62.3% of cases implemented), Malta (61.6%), Armenia (58%), Albania </w:t>
      </w:r>
      <w:r w:rsidRPr="00277909">
        <w:rPr>
          <w:rFonts w:ascii="Calibri Light" w:hAnsi="Calibri Light" w:cs="Calibri Light"/>
          <w:sz w:val="24"/>
          <w:szCs w:val="24"/>
          <w:lang w:val="en-GB"/>
        </w:rPr>
        <w:lastRenderedPageBreak/>
        <w:t>(58.1%), and Russia (39.01%, with 60.99% pending enforcement). Azerbaijan ranked last, with only 17% of decisions implemented. As of 2024, Ukraine's performance has slightly improved, with 63% of cases resolved and 37% still pending enforcement (see Figure 3).</w:t>
      </w:r>
    </w:p>
    <w:p w:rsidR="006A511E" w:rsidRDefault="00B57EFB" w:rsidP="00277909">
      <w:pPr>
        <w:spacing w:before="120" w:after="120"/>
        <w:ind w:left="440" w:right="-1" w:hanging="14"/>
        <w:jc w:val="both"/>
        <w:rPr>
          <w:rFonts w:ascii="Calibri Light" w:hAnsi="Calibri Light" w:cs="Calibri Light"/>
          <w:sz w:val="24"/>
          <w:szCs w:val="24"/>
        </w:rPr>
      </w:pPr>
      <w:r w:rsidRPr="00B57EFB">
        <w:rPr>
          <w:rFonts w:ascii="Calibri Light" w:hAnsi="Calibri Light" w:cs="Calibri Light"/>
          <w:noProof/>
          <w:sz w:val="24"/>
          <w:szCs w:val="24"/>
          <w:lang w:val="ru-RU"/>
        </w:rPr>
        <w:object w:dxaOrig="8305" w:dyaOrig="4244">
          <v:shape id="Диаграмма 770533310" o:spid="_x0000_i1025" type="#_x0000_t75" alt="" style="width:416pt;height:212pt;visibility:visible;mso-width-percent:0;mso-height-percent:0;mso-width-percent:0;mso-height-percent:0" o:ole="">
            <v:imagedata r:id="rId11" o:title=""/>
            <o:lock v:ext="edit" aspectratio="f"/>
          </v:shape>
          <o:OLEObject Type="Embed" ProgID="Excel.Sheet.8" ShapeID="Диаграмма 770533310" DrawAspect="Content" ObjectID="_1805348218" r:id="rId12">
            <o:FieldCodes>\s</o:FieldCodes>
          </o:OLEObject>
        </w:object>
      </w:r>
    </w:p>
    <w:p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b/>
          <w:bCs/>
          <w:i/>
          <w:sz w:val="24"/>
          <w:szCs w:val="24"/>
          <w:lang w:val="en-GB"/>
        </w:rPr>
        <w:t xml:space="preserve">Figure 3. </w:t>
      </w:r>
      <w:r w:rsidRPr="006A511E">
        <w:rPr>
          <w:rFonts w:ascii="Calibri Light" w:hAnsi="Calibri Light" w:cs="Calibri Light"/>
          <w:i/>
          <w:sz w:val="24"/>
          <w:szCs w:val="24"/>
          <w:lang w:val="en-GB"/>
        </w:rPr>
        <w:t xml:space="preserve">Statistics on </w:t>
      </w:r>
      <w:r w:rsidR="006A511E">
        <w:rPr>
          <w:rFonts w:ascii="Calibri Light" w:hAnsi="Calibri Light" w:cs="Calibri Light"/>
          <w:i/>
          <w:sz w:val="24"/>
          <w:szCs w:val="24"/>
          <w:lang w:val="en-GB"/>
        </w:rPr>
        <w:t>N</w:t>
      </w:r>
      <w:r w:rsidRPr="006A511E">
        <w:rPr>
          <w:rFonts w:ascii="Calibri Light" w:hAnsi="Calibri Light" w:cs="Calibri Light"/>
          <w:i/>
          <w:sz w:val="24"/>
          <w:szCs w:val="24"/>
          <w:lang w:val="en-GB"/>
        </w:rPr>
        <w:t>on-</w:t>
      </w:r>
      <w:r w:rsidR="006A511E">
        <w:rPr>
          <w:rFonts w:ascii="Calibri Light" w:hAnsi="Calibri Light" w:cs="Calibri Light"/>
          <w:i/>
          <w:sz w:val="24"/>
          <w:szCs w:val="24"/>
          <w:lang w:val="en-GB"/>
        </w:rPr>
        <w:t>E</w:t>
      </w:r>
      <w:r w:rsidRPr="006A511E">
        <w:rPr>
          <w:rFonts w:ascii="Calibri Light" w:hAnsi="Calibri Light" w:cs="Calibri Light"/>
          <w:i/>
          <w:sz w:val="24"/>
          <w:szCs w:val="24"/>
          <w:lang w:val="en-GB"/>
        </w:rPr>
        <w:t xml:space="preserve">nforcement of European Court of Human Rights </w:t>
      </w:r>
      <w:r w:rsidR="006A511E">
        <w:rPr>
          <w:rFonts w:ascii="Calibri Light" w:hAnsi="Calibri Light" w:cs="Calibri Light"/>
          <w:i/>
          <w:sz w:val="24"/>
          <w:szCs w:val="24"/>
          <w:lang w:val="en-GB"/>
        </w:rPr>
        <w:t>D</w:t>
      </w:r>
      <w:r w:rsidRPr="006A511E">
        <w:rPr>
          <w:rFonts w:ascii="Calibri Light" w:hAnsi="Calibri Light" w:cs="Calibri Light"/>
          <w:i/>
          <w:sz w:val="24"/>
          <w:szCs w:val="24"/>
          <w:lang w:val="en-GB"/>
        </w:rPr>
        <w:t>ecisions</w:t>
      </w:r>
    </w:p>
    <w:p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Source: [18].</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According to the observations of international legal institutions (European Court of Human Rights, Venice Commission, Council of Europe), there are significant barriers to the implementation of judicial decisions, as frequent changes in the legislative framework introduce a certain level of chaos into the work of the executive service, creating opportunities for abuse or the emergence of legal conflicts. This situation, in general, does not contribute to fostering trust in the judicial system in Ukraine. Issues also arise from the process of adhering to budgetary discipline, under which the reimbursement of court-ordered expenses is carried out. A fundamental problem is the lack of funds to execute court decisions (for instance, the inability of a debtor to fulfil their obligations) [19]. Experts have suggested adopting a restructuring plan for payments (primarily concerning ECHR decisions) and transitioning to gradual debt repayment is an appropriate solution. This may require adopting government programmes that guarantee a certain percentage of reimbursement, including through the issuance of treasury bills. A significant step towards simplifying the enforcement of judicial decisions could be the creation of a unified database for judicial decision enforcement, which would greatly ease access for bailiffs in implementing the material components of court rulings [20; 21]. Among potential mechanisms is a simplified, automated decision enforcement system. However, there are some reservations regarding this. The automated enforcement system is currently operational and is used to register relevant actions between bailiffs, divide cases among various state executors, and monitor deadlines and account statuses involved in executing decisions. Its minimal interaction with other state registers is a weak point in its operation. For example, the State Register of Civil Status Acts of Ukrainian citizens, the Unified State Register of Legal Entities and Individual Entrepreneurs, and other essential registers do not interact with </w:t>
      </w:r>
      <w:r w:rsidRPr="00277909">
        <w:rPr>
          <w:rFonts w:ascii="Calibri Light" w:hAnsi="Calibri Light" w:cs="Calibri Light"/>
          <w:sz w:val="24"/>
          <w:szCs w:val="24"/>
          <w:lang w:val="en-GB"/>
        </w:rPr>
        <w:lastRenderedPageBreak/>
        <w:t>this system. First and foremost, it would be beneficial to establish functional links between the Automated Enforcement System and the Unified State Register of Court Decisions [22; 23]. The next step should be connecting data from various databases regarding the accounts of individuals and legal entities, though this remains a distant prospect.</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practical implementation of automated management systems also directly depends on a well-established cybersecurity environment. This process is especially relevant in wartime since the vulnerability of such systems poses a threat not only to the functioning of enterprises but also to national security. Recent practice shows that hacker attacks on APCS have already led to their hacking. This made it difficult for executors to work and access important information and documents and the scope of enforcement proceedings. This situation emphasises the need for such actions as strengthening data protection (ensuring secure storage and transmission of information to prevent attackers from accessing enforcement documents), creating backup copies (to restore systems after a hack quickly), forming clear protocols for responding to cyber incidents (will help minimise the consequences of attacks), introducing modern cyber protection technologies and training personnel. Thus, protecting automated management systems in wartime is not just a technical task but also a strategic mechanism that requires attention from the state.</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Russian aggression against Ukraine has exacerbated the accumulation of economic issues. The inability to enforce court decisions due to a lack of financial resources often leads to unresolved court rulings [18]. This includes the operation of moratoriums on disposing of state-owned enterprises' assets with debts from court decisions (including those where the state holds more than 25% ownership). The continued operation of such moratoriums has led to situations where, although the state did not hold a controlling stake in an enterprise, the state’s share exceeded 25%, making the enforcement of court decisions within the framework of executive proceedings impossible. As a result, a backlog of cases developed, and it was impossible to implement claimants’ rights, even if a court ruling supported them. The struggle against such moratoriums has not been sufficiently compelling. Some proposed mechanisms involved the engagement of the State Treasury Service of Ukraine (in cases concerning the enforcement of decisions regarding state-owned enterprises' debts or obligations). When insufficient funds were in the enterprise's accounts, financial resources were drawn from specific expenditure articles in the state budget for those years [24]. These withdrawals were accounted for as expenditures in the State Budget. As a result of the withdrawals, an inspection of the enterprise’s operations was conducted, and the findings were forwarded to fiscal or law enforcement agencies (if serious violations were detected). However, chronic shortages of funds in the State Budget made it impossible to carry out the planned payments. Corruption and the ineffective use of resources prevented an effective response to abuses by state enterprise managers. Possible solutions to this situation could include the gradual privatisation of state enterprises, reducing state ownership, and abandoning the policy of moratoriums. A significant challenge for enforcing judicial decisions in Ukraine is the disproportionate number of state and private bailiffs. Ukraine operates a mixed system of decision enforcement. This system could be effective if there were </w:t>
      </w:r>
      <w:r w:rsidRPr="00277909">
        <w:rPr>
          <w:rFonts w:ascii="Calibri Light" w:hAnsi="Calibri Light" w:cs="Calibri Light"/>
          <w:sz w:val="24"/>
          <w:szCs w:val="24"/>
          <w:lang w:val="en-GB"/>
        </w:rPr>
        <w:lastRenderedPageBreak/>
        <w:t>approximately equal numbers of private and state bailiffs. At least, in some states (Bulgaria, Georgia, Greece), similar systems have already proven effective under these conditions. However, in the Ukrainian context, such parity does not exist, meaning that state bailiffs, nearly twenty times more numerous, bear the greater responsibility and workload. Excessive bureaucracy in the execution process, difficulties accessing relevant registers and databases, and corruption challenges create conditions for the delay of judicial decision enforcement by state bailiffs [25; 26]. Based on the statistics provided and practices in other countries, increasing the effectiveness of the executive service would require the involvement of a more significant number of private bailiffs.</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At the same time, Ukraine must continue using the mixed system of enforcement proceedings. The presence of state bailiffs should be maintained at a level sufficient to enforce court decisions that, from a commercial perspective, are less attractive for financial compensation for bailiffs, such as decisions in cases involving economically disadvantaged citizens or resolving minor property disputes [27]. There are legislative restrictions concerning the work of private bailiffs. For example, the jurisdiction of state bailiffs includes the enforcement of decisions from the European Court of Human Rights, court decisions against the state (or enterprises and institutions where the state owns at least 25%), as well as court decisions in favour of the state, and so on [28-30]. These restrictions are unnecessary, as the professionalism of private bailiffs is on par with state bailiffs. There are well-founded reasons to believe that if a specialist has completed all the necessary accreditation and training levels, they are sufficiently professional to provide such services. For this reason, there are current and relevant demands to expand the powers of private bailiffs. This approach would help streamline the enforcement of court decisions, facilitating the implementation of rulings in civil proceedings, which would significantly improve the efficiency of the judiciary as a means of protecting human rights.</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An additional issue for the Ukrainian enforcement system is the consideration of court complaints regarding the actions of private or state bailiffs. The defendant's party submits complaints about almost every action the bailiffs take, even disputing basic actions such as directing requests to obtain necessary information about the debtor or their property. As a result, enforcing a court ruling transforms into an additional judicial process, focusing on examining complaints against the bailiff's actions. While filing such complaints does not provide a legal basis for cancelling an effective court ruling, the complaints affect the enforcement process, causing delays. At a minimum, bailiffs must attend additional court hearings, prepare necessary materials, and incur financial costs. In practice, both private and state bailiffs may make occasional errors that need to be addressed in court, but these instances do not constitute a systemic issue and are exceptions to the rule. From this perspective, such complaints against the actions of bailiffs by the party subject to enforcement of the court's decision can be seen as a form of legal abuse. This legal issue is not unique to Ukraine. Similar challenges are widely observed in some Asian countries [8; 31].</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We believe the optimal solution lies in applying mechanisms such as strengthening court fees as a compensatory tool. This approach could partially indirectly discourage claimants from submitting groundless claims and motions to the court. Compared to claims, using </w:t>
      </w:r>
      <w:r w:rsidRPr="00277909">
        <w:rPr>
          <w:rFonts w:ascii="Calibri Light" w:hAnsi="Calibri Light" w:cs="Calibri Light"/>
          <w:sz w:val="24"/>
          <w:szCs w:val="24"/>
          <w:lang w:val="en-GB"/>
        </w:rPr>
        <w:lastRenderedPageBreak/>
        <w:t>court fees for complaints about the actions of bailiffs is a viable alternative. This approach should not be seen as an infringement on an individual's or citizen's right to access justice [32]. Currently, the standards of the European Court of Human Rights, national decisions from courts in European Union member states, and other existing practices do not allow the collection of court fees to be considered a tool for restricting access to justice. We are referring to the use of proportional or differentiated rates, which are economically justified, with exceptions for their application, as well as provisions for deferrals, instalments, or even reductions in the amount owed.</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outlined problems and proposals for improving the effectiveness of enforcement in Ukraine can be summarised (see Table 1) for further academic discussion.</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b/>
          <w:sz w:val="24"/>
          <w:szCs w:val="24"/>
          <w:lang w:val="en-GB"/>
        </w:rPr>
        <w:t>Table 1.</w:t>
      </w:r>
      <w:r w:rsidRPr="00277909">
        <w:rPr>
          <w:rFonts w:ascii="Calibri Light" w:hAnsi="Calibri Light" w:cs="Calibri Light"/>
          <w:sz w:val="24"/>
          <w:szCs w:val="24"/>
          <w:lang w:val="en-GB"/>
        </w:rPr>
        <w:t xml:space="preserve"> Existing Issues and Proposals for Improving the Enforcement of Court Decisions</w:t>
      </w:r>
    </w:p>
    <w:tbl>
      <w:tblPr>
        <w:tblW w:w="8646" w:type="dxa"/>
        <w:tblInd w:w="534" w:type="dxa"/>
        <w:tblBorders>
          <w:top w:val="single" w:sz="4" w:space="0" w:color="auto"/>
          <w:bottom w:val="single" w:sz="4" w:space="0" w:color="auto"/>
          <w:insideH w:val="single" w:sz="4" w:space="0" w:color="auto"/>
        </w:tblBorders>
        <w:tblLayout w:type="fixed"/>
        <w:tblLook w:val="0400" w:firstRow="0" w:lastRow="0" w:firstColumn="0" w:lastColumn="0" w:noHBand="0" w:noVBand="1"/>
      </w:tblPr>
      <w:tblGrid>
        <w:gridCol w:w="2960"/>
        <w:gridCol w:w="5686"/>
      </w:tblGrid>
      <w:tr w:rsidR="00277909" w:rsidRPr="00277909" w:rsidTr="006A511E">
        <w:tc>
          <w:tcPr>
            <w:tcW w:w="2960" w:type="dxa"/>
            <w:shd w:val="clear" w:color="auto" w:fill="BFBFBF" w:themeFill="background1" w:themeFillShade="BF"/>
          </w:tcPr>
          <w:p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Issue</w:t>
            </w:r>
          </w:p>
        </w:tc>
        <w:tc>
          <w:tcPr>
            <w:tcW w:w="5686" w:type="dxa"/>
            <w:shd w:val="clear" w:color="auto" w:fill="BFBFBF" w:themeFill="background1" w:themeFillShade="BF"/>
          </w:tcPr>
          <w:p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Proposal</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Economic problems with the implementation of court decisions</w:t>
            </w:r>
          </w:p>
        </w:tc>
        <w:tc>
          <w:tcPr>
            <w:tcW w:w="5686" w:type="dxa"/>
          </w:tcPr>
          <w:p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Possibility of making decisions on debt restructuring.</w:t>
            </w:r>
          </w:p>
          <w:p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A unique government program for debt financing exists.</w:t>
            </w:r>
          </w:p>
          <w:p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Lifting of moratoriums on the sale of state property (property objects where the state's share is more than 25%).</w:t>
            </w:r>
          </w:p>
          <w:p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Reduction of state-owned companies and enterprises, from which it is challenging to obtain appropriate compensation even with the involvement of bailiffs.</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Impeding the operation of automated systems for the execution of court decisions</w:t>
            </w:r>
          </w:p>
        </w:tc>
        <w:tc>
          <w:tcPr>
            <w:tcW w:w="5686"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The need to expand access to databases and state registers</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Debtor abuse, corruption challenges</w:t>
            </w:r>
          </w:p>
        </w:tc>
        <w:tc>
          <w:tcPr>
            <w:tcW w:w="5686" w:type="dxa"/>
          </w:tcPr>
          <w:p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Amendments to the laws of Ukraine.</w:t>
            </w:r>
          </w:p>
          <w:p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Improved digitalisation and openness of enforcement proceedings.</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Disproportionate number of state and private bailiffs</w:t>
            </w:r>
          </w:p>
        </w:tc>
        <w:tc>
          <w:tcPr>
            <w:tcW w:w="5686" w:type="dxa"/>
          </w:tcPr>
          <w:p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Increasing the number of private bailiffs.</w:t>
            </w:r>
          </w:p>
          <w:p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Expanding the order of cases in which private bailiffs can be involved.</w:t>
            </w:r>
          </w:p>
          <w:p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Preservation and optimisation of the work of the state bailiff service.</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Unfounded complaints about the work of bailiffs</w:t>
            </w:r>
          </w:p>
        </w:tc>
        <w:tc>
          <w:tcPr>
            <w:tcW w:w="5686" w:type="dxa"/>
          </w:tcPr>
          <w:p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Payment of a court fee for filing charges against the actions of bailiffs.</w:t>
            </w:r>
          </w:p>
          <w:p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Use a proportional or differentiated rate with an economic justification, exceptions to application, tools for introducing a deferral of payment, instalments or even a reduction in the court fee.</w:t>
            </w:r>
          </w:p>
        </w:tc>
      </w:tr>
    </w:tbl>
    <w:p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 xml:space="preserve">Source: Authors’ </w:t>
      </w:r>
      <w:r w:rsidR="006A511E" w:rsidRPr="006A511E">
        <w:rPr>
          <w:rFonts w:ascii="Calibri Light" w:hAnsi="Calibri Light" w:cs="Calibri Light"/>
          <w:i/>
          <w:sz w:val="24"/>
          <w:szCs w:val="24"/>
          <w:lang w:val="en-GB"/>
        </w:rPr>
        <w:t>D</w:t>
      </w:r>
      <w:r w:rsidRPr="006A511E">
        <w:rPr>
          <w:rFonts w:ascii="Calibri Light" w:hAnsi="Calibri Light" w:cs="Calibri Light"/>
          <w:i/>
          <w:sz w:val="24"/>
          <w:szCs w:val="24"/>
          <w:lang w:val="en-GB"/>
        </w:rPr>
        <w:t>evelopment.</w:t>
      </w:r>
    </w:p>
    <w:p w:rsidR="00A4345E" w:rsidRDefault="00277909" w:rsidP="00277909">
      <w:pPr>
        <w:spacing w:before="120" w:after="120"/>
        <w:ind w:left="440" w:right="-1" w:hanging="14"/>
        <w:jc w:val="both"/>
        <w:rPr>
          <w:rFonts w:ascii="Calibri Light" w:hAnsi="Calibri Light" w:cs="Calibri Light"/>
          <w:sz w:val="24"/>
          <w:szCs w:val="24"/>
        </w:rPr>
      </w:pPr>
      <w:r w:rsidRPr="00277909">
        <w:rPr>
          <w:rFonts w:ascii="Calibri Light" w:hAnsi="Calibri Light" w:cs="Calibri Light"/>
          <w:sz w:val="24"/>
          <w:szCs w:val="24"/>
          <w:lang w:val="en-GB"/>
        </w:rPr>
        <w:t>Thus, scholars' proposals regarding improving court decision enforcement are quite extensive. However, some issues are difficult to resolve solely through amendments to the legislative framework; they will require a comprehensive review and solution.</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The enforcement of court decisions in Ukraine represents a significant challenge which directly impacts the level of trust in the judiciary. The primary research problem involved analysing the key factors limiting the effective implementation of court rulings in Ukraine, identifying the main contributors, and proposing strategies to improve the efficiency of judicial enforcement. This objective required a thorough examination of specific issues related to the enforcement process that directly affect the effectiveness of justice and a </w:t>
      </w:r>
      <w:r w:rsidRPr="006A511E">
        <w:rPr>
          <w:rFonts w:ascii="Calibri Light" w:hAnsi="Calibri Light" w:cs="Calibri Light"/>
          <w:sz w:val="24"/>
          <w:szCs w:val="24"/>
          <w:lang w:val="en-GB"/>
        </w:rPr>
        <w:lastRenderedPageBreak/>
        <w:t>detailed review of potential solutions for improving the situation, particularly those suggested in academic literature.</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highlight that the efficiency of enforcing court decisions is crucial for justice, economic development, and investment attractiveness. Researchers have consistently emphasised this [31; 33; 34]. Among the significant issues identified are financial constraints and legislative restrictions that prevent bailiffs from fully or even partially enforcing court rulings. Legislative acts, such as moratoriums on debt collection from enterprises with at least 25% state ownership, exacerbate these challenges. This situation is rightly classified as a legal contradiction, necessitating legislative amendments or the gradual repeal of such moratoriums [17; 35].</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These findings support the first hypothesis of the study, which proposed that an inefficient organisational framework within the enforcement service significantly hinders the enforcement process. The gradual reduction of state ownership and even the complete privatisation of enterprises and institutions is suggested as a potential solution. However, scholars rightly argue that during wartime, complete privatisation of state-owned assets is infeasible [36; 37]. Furthermore, many state and municipal institutions would remain in public ownership, necessitating a more flexible approach.</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Researchers' proposals to establish special reserve funds for compensations resulting from court rulings appear more practical [38; 39]. However, such approaches require further refinement, as a complete divestiture of state-owned enterprises is neither realistic nor desirable. A more nuanced solution might involve legislative amendments mandating the inclusion of necessary funds in the budgets of state-owned enterprises, especially those with less than 75% state ownership. Specifically, increasing the threshold for moratoriums from 25% to 75% could filter out a significant proportion of organisations that exploit their state capital share to evade judicial enforcement.</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Considering that the proportion of state enterprises with more than 75% state ownership is relatively low, this adjustment would facilitate compliance with court rulings while allowing for better budget planning for enforcement obligations. Such legislative changes would balance public ownership interests with the need for effective judicial enforcement.</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results highlight the importance of automating certain aspects of judicial decision enforcement, a finding that also validates the study’s second hypothesis. Further advancement in this direction remains highly relevant, as corroborated by other research [40-42]. Additionally, the issue of regulating the activities of private judicial executors requires attention. Expanding their rights and the scope of cases they are authorised to enforce is recognised by researchers as a promising avenue for improvement. However, the proposal to grant private executors full authority to handle cases where the state is the defendant remains contentious [43; 44]. Considering the ongoing Russian aggression and the sensitive nature of the defence sector and related areas, involving vetted state-appointed executors in such cases appears to be a more viable solution.</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Furthermore, scholars point out the higher success rates of private executors, mainly when dealing with private disputes involving court rulings, which are generally less </w:t>
      </w:r>
      <w:r w:rsidRPr="006A511E">
        <w:rPr>
          <w:rFonts w:ascii="Calibri Light" w:hAnsi="Calibri Light" w:cs="Calibri Light"/>
          <w:sz w:val="24"/>
          <w:szCs w:val="24"/>
          <w:lang w:val="en-GB"/>
        </w:rPr>
        <w:lastRenderedPageBreak/>
        <w:t>complex than cases involving state institutions [43; 45]. This factor underscores the need for qualitative legislative changes to the framework for enforcing judicial decisions. Without such reforms, significant improvements in enforcement outcomes may not materialise, even with the involvement of private executors, who are often more motivated by performance-based fees.</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This perspective also relates to the challenges posed by obstacles in judicial enforcement. Other studies support the introduction of court fee payments (provided they are reasonably priced), indicating the potential of such measures to counter deliberate abuses of the system </w:t>
      </w:r>
      <w:r w:rsidRPr="006A511E">
        <w:rPr>
          <w:rFonts w:ascii="Calibri Light" w:hAnsi="Calibri Light" w:cs="Calibri Light"/>
          <w:sz w:val="24"/>
          <w:szCs w:val="24"/>
        </w:rPr>
        <w:t>[46]</w:t>
      </w:r>
      <w:r w:rsidRPr="006A511E">
        <w:rPr>
          <w:rFonts w:ascii="Calibri Light" w:hAnsi="Calibri Light" w:cs="Calibri Light"/>
          <w:sz w:val="24"/>
          <w:szCs w:val="24"/>
          <w:lang w:val="en-GB"/>
        </w:rPr>
        <w:t>.</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also draw attention to corruption-related challenges that impede the enforcement of judicial decisions. These include intentional inaction by bailiffs who may deliberately perform their duties inadequately. There is a pressing need for a comprehensive review of legislative measures to counter corruption. The results reinforce the views of other researchers, suggesting that transparency – mainly achieved through digital tools – is an effective solution. This approach requires minimal capital investment yet yields significant outcomes (Myroslavskyi &amp; Leshchenko, 2022; Shevchuk et al., 2024) [47; 48]. Future transformations in the enforcement procedures could accelerate the process and address challenges related to unprofessional or wilfully negligent conduct by executors.</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methodology employed in this study has certain limitations that must be considered for future research. Firstly, scholarly sources were selected based primarily on their chronological relevance. The study predominantly utilised research published within the last five years in peer-reviewed academic journals indexed in bibliometric databases. While this ensures the credibility and contemporary significance of the sources, it is plausible that some older studies remain pertinent, given that the issue of judicial decision enforcement is not a novel concern.</w:t>
      </w:r>
    </w:p>
    <w:p w:rsidR="00A4345E" w:rsidRDefault="006A511E" w:rsidP="006A511E">
      <w:pPr>
        <w:spacing w:before="120" w:after="120"/>
        <w:ind w:left="440" w:right="-1" w:hanging="14"/>
        <w:jc w:val="both"/>
        <w:rPr>
          <w:rFonts w:ascii="Calibri Light" w:hAnsi="Calibri Light" w:cs="Calibri Light"/>
          <w:sz w:val="24"/>
          <w:szCs w:val="24"/>
        </w:rPr>
      </w:pPr>
      <w:r w:rsidRPr="006A511E">
        <w:rPr>
          <w:rFonts w:ascii="Calibri Light" w:hAnsi="Calibri Light" w:cs="Calibri Light"/>
          <w:sz w:val="24"/>
          <w:szCs w:val="24"/>
          <w:lang w:val="en-GB"/>
        </w:rPr>
        <w:t>Another limitation relates to the focus on Ukraine and its specific experience. Materials published in Ukrainian were excluded from the analysis. The methodology explicitly prioritised studies published in English to facilitate additional critique and analysis within the multinational research community, which tends to engage more actively with English-language publications. However, this approach might have overlooked specific relevant perspectives. Although these omissions do not affect the overall findings, they could form the basis for future research with alternative objectives.</w:t>
      </w:r>
    </w:p>
    <w:p w:rsidR="00741058" w:rsidRPr="002D2B29"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Thus, enforcing court decisions in Ukraine is a multifaceted issue requiring further resolution. The analysis conducted has identified several pressing problems that significantly delay this process. Primarily, economic challenges impede the enforcement of court rulings. Additionally, the process is hindered by difficulties and inconsistencies in accessing information from various registry databases, significantly complicating the automation of court decision enforcement.</w:t>
      </w:r>
    </w:p>
    <w:p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Corruption-related challenges were also noted, arising from legal and legislative discrepancies and certain abuses by debtors, such as the frequent contestation of any </w:t>
      </w:r>
      <w:r w:rsidRPr="002D2B29">
        <w:rPr>
          <w:rFonts w:ascii="Calibri Light" w:hAnsi="Calibri Light" w:cs="Calibri Light"/>
          <w:sz w:val="24"/>
          <w:szCs w:val="24"/>
          <w:lang w:val="en-GB"/>
        </w:rPr>
        <w:lastRenderedPageBreak/>
        <w:t>actions by court enforcers, which obstruct progress in the enforcement process. Another significant issue is the disproportionate number of state executors, who, under existing legislation, possess significantly broader powers than their private counterparts. Furthermore, private executors are excluded from numerous cases, particularly those where the state is a defendant.</w:t>
      </w:r>
    </w:p>
    <w:p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Implementing a series of structural reforms is one proposal for overcoming the negative phenomenon of court decisions not being enforced. These reforms encompass updating government programmes for compensating judicial debts, lifting restrictions on the sale of state property (by amending the moratorium to allow for the sale of up to 75% of state-owned assets), and introducing opportunities for debt restructuring.</w:t>
      </w:r>
    </w:p>
    <w:p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A critical area for further development involves expanding court enforcers' access to databases and state registries. Overall, the digitisation and transparency of enforcement processes require special attention, as these measures can improve the general situation regarding court decision enforcement and restore public trust in the judiciary in Ukraine.</w:t>
      </w:r>
    </w:p>
    <w:p w:rsidR="006A511E"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rPr>
      </w:pPr>
      <w:r w:rsidRPr="002D2B29">
        <w:rPr>
          <w:rFonts w:ascii="Calibri Light" w:hAnsi="Calibri Light" w:cs="Calibri Light"/>
          <w:sz w:val="24"/>
          <w:szCs w:val="24"/>
          <w:lang w:val="en-GB"/>
        </w:rPr>
        <w:t>Another method for addressing these issues is to include a greater number of private executors. Their participation could foster competition, potentially leading to enhanced efficiency and revitalisation in the enforcement of court decisions.</w:t>
      </w:r>
    </w:p>
    <w:p w:rsidR="00741058" w:rsidRPr="002D2B29" w:rsidRDefault="00F369EC" w:rsidP="00F369EC">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rPr>
        <w:t xml:space="preserve">Holodnyk, Y., Predmestnikov, O., Vasylenko, V., Gorinov, P., &amp; Kudin, S. (2023). </w:t>
      </w:r>
      <w:r w:rsidRPr="002D2B29">
        <w:rPr>
          <w:rFonts w:ascii="Calibri Light" w:hAnsi="Calibri Light" w:cs="Calibri Light"/>
          <w:sz w:val="24"/>
          <w:szCs w:val="24"/>
          <w:lang w:val="en-GB"/>
        </w:rPr>
        <w:t xml:space="preserve">Legal regulation of public control over the activities of Ukrainian law enforcement agencies: Experience of Ukraine and certain countries.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(79), 567–582. </w:t>
      </w:r>
      <w:hyperlink r:id="rId13" w:history="1">
        <w:r w:rsidRPr="002D2B29">
          <w:rPr>
            <w:rStyle w:val="Hyperlink"/>
            <w:rFonts w:ascii="Calibri Light" w:hAnsi="Calibri Light" w:cs="Calibri Light"/>
            <w:sz w:val="24"/>
            <w:szCs w:val="24"/>
            <w:lang w:val="es-VE"/>
          </w:rPr>
          <w:t>https://doi.org/10.46398/cuestpol.4179.38</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s-VE"/>
        </w:rPr>
        <w:t xml:space="preserve">Krupchan, O., Salmanova, O., Makarenko, N., Paskar, A., &amp; Yatskovyna, V. (2023). </w:t>
      </w:r>
      <w:r w:rsidRPr="002D2B29">
        <w:rPr>
          <w:rFonts w:ascii="Calibri Light" w:hAnsi="Calibri Light" w:cs="Calibri Light"/>
          <w:sz w:val="24"/>
          <w:szCs w:val="24"/>
          <w:lang w:val="en-GB"/>
        </w:rPr>
        <w:t xml:space="preserve">Access to Justice within Administrative Proceedings of Ukraine: Modern Realities and European Experience.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(77), 103–115. </w:t>
      </w:r>
      <w:hyperlink r:id="rId14" w:history="1">
        <w:r w:rsidRPr="002D2B29">
          <w:rPr>
            <w:rStyle w:val="Hyperlink"/>
            <w:rFonts w:ascii="Calibri Light" w:hAnsi="Calibri Light" w:cs="Calibri Light"/>
            <w:sz w:val="24"/>
            <w:szCs w:val="24"/>
            <w:lang w:val="es-VE"/>
          </w:rPr>
          <w:t>https://doi.org/10.46398/cuestpol.4177.07</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s-VE"/>
        </w:rPr>
        <w:t xml:space="preserve">Baranyanan, S. D., Firmandayu, N., &amp; Danendra, R. (2024). </w:t>
      </w:r>
      <w:r w:rsidRPr="002D2B29">
        <w:rPr>
          <w:rFonts w:ascii="Calibri Light" w:hAnsi="Calibri Light" w:cs="Calibri Light"/>
          <w:sz w:val="24"/>
          <w:szCs w:val="24"/>
          <w:lang w:val="en-GB"/>
        </w:rPr>
        <w:t xml:space="preserve">The Compliance of Regional Autonomy with State Administrative Court Decisions. </w:t>
      </w:r>
      <w:r w:rsidRPr="002D2B29">
        <w:rPr>
          <w:rFonts w:ascii="Calibri Light" w:hAnsi="Calibri Light" w:cs="Calibri Light"/>
          <w:i/>
          <w:sz w:val="24"/>
          <w:szCs w:val="24"/>
          <w:lang w:val="en-GB"/>
        </w:rPr>
        <w:t>Journal of Sustainable Development and Regulatory Issues (JSDERI)</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35–52. </w:t>
      </w:r>
      <w:hyperlink r:id="rId15" w:history="1">
        <w:r w:rsidRPr="002D2B29">
          <w:rPr>
            <w:rStyle w:val="Hyperlink"/>
            <w:rFonts w:ascii="Calibri Light" w:hAnsi="Calibri Light" w:cs="Calibri Light"/>
            <w:sz w:val="24"/>
            <w:szCs w:val="24"/>
            <w:lang w:val="en-GB"/>
          </w:rPr>
          <w:t>https://doi.org/10.53955/jsderi.v2i1.25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u w:val="single"/>
          <w:lang w:val="uk-UA"/>
        </w:rPr>
      </w:pPr>
      <w:r w:rsidRPr="002D2B29">
        <w:rPr>
          <w:rFonts w:ascii="Calibri Light" w:hAnsi="Calibri Light" w:cs="Calibri Light"/>
          <w:sz w:val="24"/>
          <w:szCs w:val="24"/>
          <w:lang w:val="en-GB"/>
        </w:rPr>
        <w:t xml:space="preserve">Brekke, S. A., Fjelstul, J. C., Hermansen, S. S. L., &amp; Naurin, D. (2023). The CJEU Database Platform: Decisions and Decision-Makers. </w:t>
      </w:r>
      <w:r w:rsidRPr="002D2B29">
        <w:rPr>
          <w:rFonts w:ascii="Calibri Light" w:hAnsi="Calibri Light" w:cs="Calibri Light"/>
          <w:i/>
          <w:iCs/>
          <w:sz w:val="24"/>
          <w:szCs w:val="24"/>
          <w:lang w:val="en-GB"/>
        </w:rPr>
        <w:t>Journal of Law and Courts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11</w:t>
      </w:r>
      <w:r w:rsidRPr="002D2B29">
        <w:rPr>
          <w:rFonts w:ascii="Calibri Light" w:hAnsi="Calibri Light" w:cs="Calibri Light"/>
          <w:sz w:val="24"/>
          <w:szCs w:val="24"/>
          <w:lang w:val="en-GB"/>
        </w:rPr>
        <w:t xml:space="preserve">(2), 389–410. </w:t>
      </w:r>
      <w:hyperlink r:id="rId16" w:history="1">
        <w:r w:rsidRPr="002D2B29">
          <w:rPr>
            <w:rStyle w:val="Hyperlink"/>
            <w:rFonts w:ascii="Calibri Light" w:hAnsi="Calibri Light" w:cs="Calibri Light"/>
            <w:sz w:val="24"/>
            <w:szCs w:val="24"/>
            <w:lang w:val="uk-UA"/>
          </w:rPr>
          <w:t>https://doi.org/10.1017/jlc.2022.3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Lubis, A. F. (2024). </w:t>
      </w:r>
      <w:r w:rsidRPr="002D2B29">
        <w:rPr>
          <w:rFonts w:ascii="Calibri Light" w:hAnsi="Calibri Light" w:cs="Calibri Light"/>
          <w:sz w:val="24"/>
          <w:szCs w:val="24"/>
          <w:lang w:val="en-GB"/>
        </w:rPr>
        <w:t xml:space="preserve">Law Enforcement In Cases Of Criminal Domestic Violence (KDRT) Within The TNI.  </w:t>
      </w:r>
      <w:r w:rsidRPr="002D2B29">
        <w:rPr>
          <w:rFonts w:ascii="Calibri Light" w:hAnsi="Calibri Light" w:cs="Calibri Light"/>
          <w:i/>
          <w:sz w:val="24"/>
          <w:szCs w:val="24"/>
          <w:lang w:val="en-GB"/>
        </w:rPr>
        <w:t>International Journal of Law and Society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134–141. </w:t>
      </w:r>
      <w:hyperlink r:id="rId17" w:history="1">
        <w:r w:rsidRPr="002D2B29">
          <w:rPr>
            <w:rStyle w:val="Hyperlink"/>
            <w:rFonts w:ascii="Calibri Light" w:hAnsi="Calibri Light" w:cs="Calibri Light"/>
            <w:sz w:val="24"/>
            <w:szCs w:val="24"/>
            <w:lang w:val="en-GB"/>
          </w:rPr>
          <w:t>https://doi.org/10.62951/ijls.v1i2.37</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Gentile, G. (2023). Effective judicial protection: Enforcement, judicial federalism and the politics of EU law. </w:t>
      </w:r>
      <w:r w:rsidRPr="002D2B29">
        <w:rPr>
          <w:rFonts w:ascii="Calibri Light" w:hAnsi="Calibri Light" w:cs="Calibri Light"/>
          <w:i/>
          <w:iCs/>
          <w:sz w:val="24"/>
          <w:szCs w:val="24"/>
          <w:lang w:val="en-GB"/>
        </w:rPr>
        <w:t>European Law Open</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2</w:t>
      </w:r>
      <w:r w:rsidRPr="002D2B29">
        <w:rPr>
          <w:rFonts w:ascii="Calibri Light" w:hAnsi="Calibri Light" w:cs="Calibri Light"/>
          <w:sz w:val="24"/>
          <w:szCs w:val="24"/>
          <w:lang w:val="en-GB"/>
        </w:rPr>
        <w:t xml:space="preserve">(1), 128–143. </w:t>
      </w:r>
      <w:hyperlink r:id="rId18" w:history="1">
        <w:r w:rsidRPr="002D2B29">
          <w:rPr>
            <w:rStyle w:val="Hyperlink"/>
            <w:rFonts w:ascii="Calibri Light" w:hAnsi="Calibri Light" w:cs="Calibri Light"/>
            <w:sz w:val="24"/>
            <w:szCs w:val="24"/>
            <w:lang w:val="en-GB"/>
          </w:rPr>
          <w:t>https://doi.org/10.1017/elo.2022.48</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Bello, S. A. (2024). The Politics of Poverty and Economic Development in Nigeria. </w:t>
      </w:r>
      <w:r w:rsidRPr="002D2B29">
        <w:rPr>
          <w:rFonts w:ascii="Calibri Light" w:hAnsi="Calibri Light" w:cs="Calibri Light"/>
          <w:i/>
          <w:sz w:val="24"/>
          <w:szCs w:val="24"/>
          <w:lang w:val="en-GB"/>
        </w:rPr>
        <w:t>Futurity of Social Sciences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(4), 101–116. </w:t>
      </w:r>
      <w:hyperlink r:id="rId19" w:history="1">
        <w:r w:rsidRPr="002D2B29">
          <w:rPr>
            <w:rStyle w:val="Hyperlink"/>
            <w:rFonts w:ascii="Calibri Light" w:hAnsi="Calibri Light" w:cs="Calibri Light"/>
            <w:sz w:val="24"/>
            <w:szCs w:val="24"/>
            <w:lang w:val="en-GB"/>
          </w:rPr>
          <w:t>https://doi.org/10.57125/fs.2024.12.20.06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 xml:space="preserve">Magalhães, P. C., Skiple, J. K., Pereira, M. M., Arnesen, S., &amp; Bentsen, H. L. (2023). Beyond the Myth of Legality? Framing Effects and Public Reactions to High Court Decisions in Europe. </w:t>
      </w:r>
      <w:r w:rsidRPr="002D2B29">
        <w:rPr>
          <w:rFonts w:ascii="Calibri Light" w:hAnsi="Calibri Light" w:cs="Calibri Light"/>
          <w:i/>
          <w:iCs/>
          <w:sz w:val="24"/>
          <w:szCs w:val="24"/>
          <w:lang w:val="en-GB"/>
        </w:rPr>
        <w:t>Comparative Political Studies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56</w:t>
      </w:r>
      <w:r w:rsidRPr="002D2B29">
        <w:rPr>
          <w:rFonts w:ascii="Calibri Light" w:hAnsi="Calibri Light" w:cs="Calibri Light"/>
          <w:sz w:val="24"/>
          <w:szCs w:val="24"/>
          <w:lang w:val="en-GB"/>
        </w:rPr>
        <w:t xml:space="preserve">(10), 1537–1566. </w:t>
      </w:r>
      <w:hyperlink r:id="rId20" w:history="1">
        <w:r w:rsidRPr="002D2B29">
          <w:rPr>
            <w:rStyle w:val="Hyperlink"/>
            <w:rFonts w:ascii="Calibri Light" w:hAnsi="Calibri Light" w:cs="Calibri Light"/>
            <w:sz w:val="24"/>
            <w:szCs w:val="24"/>
            <w:lang w:val="en-GB"/>
          </w:rPr>
          <w:t>https://doi.org/10.1177/00104140231152769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Navarrete, R. M., &amp; Castillo-Ortiz, P. (2019). </w:t>
      </w:r>
      <w:r w:rsidRPr="002D2B29">
        <w:rPr>
          <w:rFonts w:ascii="Calibri Light" w:hAnsi="Calibri Light" w:cs="Calibri Light"/>
          <w:sz w:val="24"/>
          <w:szCs w:val="24"/>
          <w:lang w:val="en-GB"/>
        </w:rPr>
        <w:t xml:space="preserve">Constitutional courts and citizens’ perceptions of judicial systems in Europe. </w:t>
      </w:r>
      <w:r w:rsidRPr="002D2B29">
        <w:rPr>
          <w:rFonts w:ascii="Calibri Light" w:hAnsi="Calibri Light" w:cs="Calibri Light"/>
          <w:i/>
          <w:sz w:val="24"/>
          <w:szCs w:val="24"/>
          <w:lang w:val="en-GB"/>
        </w:rPr>
        <w:t>Comparative European Politics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18</w:t>
      </w:r>
      <w:r w:rsidRPr="002D2B29">
        <w:rPr>
          <w:rFonts w:ascii="Calibri Light" w:hAnsi="Calibri Light" w:cs="Calibri Light"/>
          <w:sz w:val="24"/>
          <w:szCs w:val="24"/>
          <w:lang w:val="en-GB"/>
        </w:rPr>
        <w:t xml:space="preserve">(2), 128–150. </w:t>
      </w:r>
      <w:hyperlink r:id="rId21" w:history="1">
        <w:r w:rsidRPr="002D2B29">
          <w:rPr>
            <w:rStyle w:val="Hyperlink"/>
            <w:rFonts w:ascii="Calibri Light" w:hAnsi="Calibri Light" w:cs="Calibri Light"/>
            <w:sz w:val="24"/>
            <w:szCs w:val="24"/>
            <w:lang w:val="en-GB"/>
          </w:rPr>
          <w:t>https://doi.org/10.1057/s41295-019-00154-9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Potapenko, A. V., Pylypenko, S. A., Korolenko, V. M., &amp; Melnyk, I. S. (2020). Implementation of International Standards for Determining an Efficient Civil Law Remedy by a National Court.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10</w:t>
      </w:r>
      <w:r w:rsidRPr="002D2B29">
        <w:rPr>
          <w:rFonts w:ascii="Calibri Light" w:hAnsi="Calibri Light" w:cs="Calibri Light"/>
          <w:sz w:val="24"/>
          <w:szCs w:val="24"/>
          <w:lang w:val="en-GB"/>
        </w:rPr>
        <w:t xml:space="preserve">, 412–422. </w:t>
      </w:r>
      <w:hyperlink r:id="rId22" w:history="1">
        <w:r w:rsidRPr="002D2B29">
          <w:rPr>
            <w:rStyle w:val="Hyperlink"/>
            <w:rFonts w:ascii="Calibri Light" w:hAnsi="Calibri Light" w:cs="Calibri Light"/>
            <w:sz w:val="24"/>
            <w:szCs w:val="24"/>
            <w:lang w:val="en-GB"/>
          </w:rPr>
          <w:t>https://doi.org/10.6000/1929-4409.2021.10.49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Kravtsova, T. M., &amp; Petrova, N. O. (2018). </w:t>
      </w:r>
      <w:r w:rsidRPr="002D2B29">
        <w:rPr>
          <w:rFonts w:ascii="Calibri Light" w:hAnsi="Calibri Light" w:cs="Calibri Light"/>
          <w:sz w:val="24"/>
          <w:szCs w:val="24"/>
          <w:lang w:val="en-GB"/>
        </w:rPr>
        <w:t xml:space="preserve">Scientific and practical analysis of administrative jurisdiction in the light of adoption of the new code of administrative procedure of Ukraine. In </w:t>
      </w:r>
      <w:r w:rsidRPr="002D2B29">
        <w:rPr>
          <w:rFonts w:ascii="Calibri Light" w:hAnsi="Calibri Light" w:cs="Calibri Light"/>
          <w:i/>
          <w:sz w:val="24"/>
          <w:szCs w:val="24"/>
          <w:lang w:val="en-GB"/>
        </w:rPr>
        <w:t xml:space="preserve">Administrative law and administrative-procedural law: Origins, achievements and prospects of development </w:t>
      </w:r>
      <w:r w:rsidRPr="002D2B29">
        <w:rPr>
          <w:rFonts w:ascii="Calibri Light" w:hAnsi="Calibri Light" w:cs="Calibri Light"/>
          <w:sz w:val="24"/>
          <w:szCs w:val="24"/>
          <w:lang w:val="en-GB"/>
        </w:rPr>
        <w:t xml:space="preserve">(pp. 71–84). Izdevnieciba “Baltija Publishing”. </w:t>
      </w:r>
      <w:hyperlink r:id="rId23" w:history="1">
        <w:r w:rsidRPr="002D2B29">
          <w:rPr>
            <w:rStyle w:val="Hyperlink"/>
            <w:rFonts w:ascii="Calibri Light" w:hAnsi="Calibri Light" w:cs="Calibri Light"/>
            <w:sz w:val="24"/>
            <w:szCs w:val="24"/>
            <w:lang w:val="en-GB"/>
          </w:rPr>
          <w:t>https://doi.org/10.30525/978-9934-571-54-1-6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Kyselova, T. (2014). Dualism of Ukrainian Commercial Courts: Exploratory Study. </w:t>
      </w:r>
      <w:r w:rsidRPr="002D2B29">
        <w:rPr>
          <w:rFonts w:ascii="Calibri Light" w:hAnsi="Calibri Light" w:cs="Calibri Light"/>
          <w:i/>
          <w:sz w:val="24"/>
          <w:szCs w:val="24"/>
          <w:lang w:val="en-GB"/>
        </w:rPr>
        <w:t>Hague Journal on the Rule of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6</w:t>
      </w:r>
      <w:r w:rsidRPr="002D2B29">
        <w:rPr>
          <w:rFonts w:ascii="Calibri Light" w:hAnsi="Calibri Light" w:cs="Calibri Light"/>
          <w:sz w:val="24"/>
          <w:szCs w:val="24"/>
          <w:lang w:val="en-GB"/>
        </w:rPr>
        <w:t xml:space="preserve">(02), 178–201. </w:t>
      </w:r>
      <w:hyperlink r:id="rId24">
        <w:r w:rsidRPr="002D2B29">
          <w:rPr>
            <w:rStyle w:val="Hyperlink"/>
            <w:rFonts w:ascii="Calibri Light" w:hAnsi="Calibri Light" w:cs="Calibri Light"/>
            <w:sz w:val="24"/>
            <w:szCs w:val="24"/>
            <w:lang w:val="en-GB"/>
          </w:rPr>
          <w:t>https://papers.ssrn.com/sol3/papers.cfm?abstract_id=2457360</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Prytyka, Y., Izarova, I., Maliarchuk, L., &amp; Terekh, O. (2022). Legal Challenges for Ukraine under Martial Law: Protection of Civil, Property and Labour Rights, Right to a Fair Trial, and Enforcement of Decisions. </w:t>
      </w:r>
      <w:r w:rsidRPr="002D2B29">
        <w:rPr>
          <w:rFonts w:ascii="Calibri Light" w:hAnsi="Calibri Light" w:cs="Calibri Light"/>
          <w:i/>
          <w:sz w:val="24"/>
          <w:szCs w:val="24"/>
          <w:lang w:val="en-GB"/>
        </w:rPr>
        <w:t>Access to Justice in Eastern Europe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5</w:t>
      </w:r>
      <w:r w:rsidRPr="002D2B29">
        <w:rPr>
          <w:rFonts w:ascii="Calibri Light" w:hAnsi="Calibri Light" w:cs="Calibri Light"/>
          <w:sz w:val="24"/>
          <w:szCs w:val="24"/>
          <w:lang w:val="en-GB"/>
        </w:rPr>
        <w:t xml:space="preserve">(3), 1–20. </w:t>
      </w:r>
      <w:hyperlink r:id="rId25" w:history="1">
        <w:r w:rsidRPr="002D2B29">
          <w:rPr>
            <w:rStyle w:val="Hyperlink"/>
            <w:rFonts w:ascii="Calibri Light" w:hAnsi="Calibri Light" w:cs="Calibri Light"/>
            <w:sz w:val="24"/>
            <w:szCs w:val="24"/>
            <w:lang w:val="en-GB"/>
          </w:rPr>
          <w:t>https://doi.org/10.33327/ajee-18-5.2-n000329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Petriv, I. (2019). Functioning of the constitutional court of Ukraine as part of improving the mechanisms of public administration and sustainable development of the state. </w:t>
      </w:r>
      <w:r w:rsidRPr="002D2B29">
        <w:rPr>
          <w:rFonts w:ascii="Calibri Light" w:hAnsi="Calibri Light" w:cs="Calibri Light"/>
          <w:i/>
          <w:sz w:val="24"/>
          <w:szCs w:val="24"/>
          <w:lang w:val="en-GB"/>
        </w:rPr>
        <w:t>Journal of Business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8</w:t>
      </w:r>
      <w:r w:rsidRPr="002D2B29">
        <w:rPr>
          <w:rFonts w:ascii="Calibri Light" w:hAnsi="Calibri Light" w:cs="Calibri Light"/>
          <w:sz w:val="24"/>
          <w:szCs w:val="24"/>
          <w:lang w:val="en-GB"/>
        </w:rPr>
        <w:t xml:space="preserve">(2), 34–41. </w:t>
      </w:r>
      <w:hyperlink r:id="rId26" w:history="1">
        <w:r w:rsidRPr="002D2B29">
          <w:rPr>
            <w:rStyle w:val="Hyperlink"/>
            <w:rFonts w:ascii="Calibri Light" w:hAnsi="Calibri Light" w:cs="Calibri Light"/>
            <w:sz w:val="24"/>
            <w:szCs w:val="24"/>
            <w:lang w:val="en-GB"/>
          </w:rPr>
          <w:t>https://doi.org/10.31578/.v8i2.165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Justlictors. (n.d.).</w:t>
      </w:r>
      <w:r w:rsidRPr="002D2B29">
        <w:rPr>
          <w:rFonts w:ascii="Calibri Light" w:hAnsi="Calibri Light" w:cs="Calibri Light"/>
          <w:i/>
          <w:sz w:val="24"/>
          <w:szCs w:val="24"/>
          <w:lang w:val="en-GB"/>
        </w:rPr>
        <w:t xml:space="preserve"> Statistics of enforcement success for 2018–2021</w:t>
      </w:r>
      <w:r w:rsidRPr="002D2B29">
        <w:rPr>
          <w:rFonts w:ascii="Calibri Light" w:hAnsi="Calibri Light" w:cs="Calibri Light"/>
          <w:sz w:val="24"/>
          <w:szCs w:val="24"/>
          <w:lang w:val="en-GB"/>
        </w:rPr>
        <w:t xml:space="preserve">. </w:t>
      </w:r>
      <w:hyperlink r:id="rId27">
        <w:r w:rsidRPr="002D2B29">
          <w:rPr>
            <w:rStyle w:val="Hyperlink"/>
            <w:rFonts w:ascii="Calibri Light" w:hAnsi="Calibri Light" w:cs="Calibri Light"/>
            <w:sz w:val="24"/>
            <w:szCs w:val="24"/>
            <w:lang w:val="uk-UA"/>
          </w:rPr>
          <w:t>https://justlictors.com.ua/en/statistics-of-enforcement-success/</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Diia (n.d.).</w:t>
      </w:r>
      <w:r w:rsidRPr="002D2B29">
        <w:rPr>
          <w:rFonts w:ascii="Calibri Light" w:hAnsi="Calibri Light" w:cs="Calibri Light"/>
          <w:i/>
          <w:sz w:val="24"/>
          <w:szCs w:val="24"/>
          <w:lang w:val="en-GB"/>
        </w:rPr>
        <w:t xml:space="preserve"> Unified State Register of Court Decisions for 2022</w:t>
      </w:r>
      <w:r w:rsidRPr="002D2B29">
        <w:rPr>
          <w:rFonts w:ascii="Calibri Light" w:hAnsi="Calibri Light" w:cs="Calibri Light"/>
          <w:sz w:val="24"/>
          <w:szCs w:val="24"/>
          <w:lang w:val="en-GB"/>
        </w:rPr>
        <w:t xml:space="preserve">. </w:t>
      </w:r>
      <w:hyperlink r:id="rId28" w:history="1">
        <w:r w:rsidRPr="002D2B29">
          <w:rPr>
            <w:rStyle w:val="Hyperlink"/>
            <w:rFonts w:ascii="Calibri Light" w:hAnsi="Calibri Light" w:cs="Calibri Light"/>
            <w:sz w:val="24"/>
            <w:szCs w:val="24"/>
            <w:lang w:val="uk-UA"/>
          </w:rPr>
          <w:t>https://data.gov.ua/dataset/ediniy-derzhavniy-reestr-sudovih-rishen-za-2022-rik_763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Ribeiro, L., &amp; Fondevila, G. (2023). Legal defense in Latin America: Challenges within change. </w:t>
      </w:r>
      <w:r w:rsidRPr="002D2B29">
        <w:rPr>
          <w:rFonts w:ascii="Calibri Light" w:hAnsi="Calibri Light" w:cs="Calibri Light"/>
          <w:i/>
          <w:iCs/>
          <w:sz w:val="24"/>
          <w:szCs w:val="24"/>
          <w:lang w:val="en-GB"/>
        </w:rPr>
        <w:t>Crime, Law and Social Change</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79</w:t>
      </w:r>
      <w:r w:rsidRPr="002D2B29">
        <w:rPr>
          <w:rFonts w:ascii="Calibri Light" w:hAnsi="Calibri Light" w:cs="Calibri Light"/>
          <w:sz w:val="24"/>
          <w:szCs w:val="24"/>
          <w:lang w:val="en-GB"/>
        </w:rPr>
        <w:t xml:space="preserve">(5), 473–481. </w:t>
      </w:r>
      <w:hyperlink r:id="rId29" w:history="1">
        <w:r w:rsidRPr="002D2B29">
          <w:rPr>
            <w:rStyle w:val="Hyperlink"/>
            <w:rFonts w:ascii="Calibri Light" w:hAnsi="Calibri Light" w:cs="Calibri Light"/>
            <w:sz w:val="24"/>
            <w:szCs w:val="24"/>
            <w:lang w:val="en-GB"/>
          </w:rPr>
          <w:t>https://doi.org/10.1007/s10611-023-10090-1</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Department for the Execution of Judgmentsof the European Court of Human Rights. (n.d.) </w:t>
      </w:r>
      <w:r w:rsidRPr="002D2B29">
        <w:rPr>
          <w:rFonts w:ascii="Calibri Light" w:hAnsi="Calibri Light" w:cs="Calibri Light"/>
          <w:i/>
          <w:sz w:val="24"/>
          <w:szCs w:val="24"/>
          <w:lang w:val="en-GB"/>
        </w:rPr>
        <w:t>Ukraine</w:t>
      </w:r>
      <w:r w:rsidRPr="002D2B29">
        <w:rPr>
          <w:rFonts w:ascii="Calibri Light" w:hAnsi="Calibri Light" w:cs="Calibri Light"/>
          <w:sz w:val="24"/>
          <w:szCs w:val="24"/>
          <w:lang w:val="en-GB"/>
        </w:rPr>
        <w:t xml:space="preserve">. Council of Europe. </w:t>
      </w:r>
      <w:hyperlink r:id="rId30" w:history="1">
        <w:r w:rsidRPr="002D2B29">
          <w:rPr>
            <w:rStyle w:val="Hyperlink"/>
            <w:rFonts w:ascii="Calibri Light" w:hAnsi="Calibri Light" w:cs="Calibri Light"/>
            <w:sz w:val="24"/>
            <w:szCs w:val="24"/>
            <w:lang w:val="en-GB"/>
          </w:rPr>
          <w:t>https://www.coe.int/en/web/execution/ukraine</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de-DE"/>
        </w:rPr>
      </w:pPr>
      <w:r w:rsidRPr="002D2B29">
        <w:rPr>
          <w:rFonts w:ascii="Calibri Light" w:hAnsi="Calibri Light" w:cs="Calibri Light"/>
          <w:sz w:val="24"/>
          <w:szCs w:val="24"/>
          <w:lang w:val="en-GB"/>
        </w:rPr>
        <w:t xml:space="preserve">Gordienko, A., Najafli, E., Kobko, Y., Savenko, V., &amp; Korostashova, I. (2024). Legal Regulation of E-courts in Ukraine as an Element of Access to Justice for the Protection of Individual Rights. </w:t>
      </w:r>
      <w:r w:rsidRPr="002D2B29">
        <w:rPr>
          <w:rFonts w:ascii="Calibri Light" w:hAnsi="Calibri Light" w:cs="Calibri Light"/>
          <w:i/>
          <w:sz w:val="24"/>
          <w:szCs w:val="24"/>
          <w:lang w:val="de-DE"/>
        </w:rPr>
        <w:t>Jurnal IUS Kajian Hukum dan Keadilan</w:t>
      </w:r>
      <w:r w:rsidRPr="002D2B29">
        <w:rPr>
          <w:rFonts w:ascii="Calibri Light" w:hAnsi="Calibri Light" w:cs="Calibri Light"/>
          <w:sz w:val="24"/>
          <w:szCs w:val="24"/>
          <w:lang w:val="de-DE"/>
        </w:rPr>
        <w:t xml:space="preserve">, </w:t>
      </w:r>
      <w:r w:rsidRPr="002D2B29">
        <w:rPr>
          <w:rFonts w:ascii="Calibri Light" w:hAnsi="Calibri Light" w:cs="Calibri Light"/>
          <w:i/>
          <w:sz w:val="24"/>
          <w:szCs w:val="24"/>
          <w:lang w:val="de-DE"/>
        </w:rPr>
        <w:t>12</w:t>
      </w:r>
      <w:r w:rsidRPr="002D2B29">
        <w:rPr>
          <w:rFonts w:ascii="Calibri Light" w:hAnsi="Calibri Light" w:cs="Calibri Light"/>
          <w:sz w:val="24"/>
          <w:szCs w:val="24"/>
          <w:lang w:val="de-DE"/>
        </w:rPr>
        <w:t xml:space="preserve">(1), 17–30. </w:t>
      </w:r>
      <w:hyperlink r:id="rId31" w:history="1">
        <w:r w:rsidRPr="002D2B29">
          <w:rPr>
            <w:rStyle w:val="Hyperlink"/>
            <w:rFonts w:ascii="Calibri Light" w:hAnsi="Calibri Light" w:cs="Calibri Light"/>
            <w:sz w:val="24"/>
            <w:szCs w:val="24"/>
            <w:lang w:val="de-DE"/>
          </w:rPr>
          <w:t>https://doi.org/10.29303/ius.v12i1.1316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Bogdan</w:t>
      </w:r>
      <w:r w:rsidRPr="002D2B29">
        <w:rPr>
          <w:rFonts w:ascii="Calibri Light" w:hAnsi="Calibri Light" w:cs="Calibri Light"/>
          <w:sz w:val="24"/>
          <w:szCs w:val="24"/>
          <w:lang w:val="uk-UA"/>
        </w:rPr>
        <w:t xml:space="preserve">, </w:t>
      </w:r>
      <w:r w:rsidRPr="002D2B29">
        <w:rPr>
          <w:rFonts w:ascii="Calibri Light" w:hAnsi="Calibri Light" w:cs="Calibri Light"/>
          <w:sz w:val="24"/>
          <w:szCs w:val="24"/>
          <w:lang w:val="en-GB"/>
        </w:rPr>
        <w:t>D</w:t>
      </w:r>
      <w:r w:rsidRPr="002D2B29">
        <w:rPr>
          <w:rFonts w:ascii="Calibri Light" w:hAnsi="Calibri Light" w:cs="Calibri Light"/>
          <w:sz w:val="24"/>
          <w:szCs w:val="24"/>
          <w:lang w:val="uk-UA"/>
        </w:rPr>
        <w:t xml:space="preserve">. (2022). </w:t>
      </w:r>
      <w:r w:rsidRPr="002D2B29">
        <w:rPr>
          <w:rFonts w:ascii="Calibri Light" w:hAnsi="Calibri Light" w:cs="Calibri Light"/>
          <w:sz w:val="24"/>
          <w:szCs w:val="24"/>
          <w:lang w:val="en-GB"/>
        </w:rPr>
        <w:t xml:space="preserve">Considering the provisions of the constitution of Ukraine in decision-making by local courts. </w:t>
      </w:r>
      <w:r w:rsidRPr="002D2B29">
        <w:rPr>
          <w:rFonts w:ascii="Calibri Light" w:hAnsi="Calibri Light" w:cs="Calibri Light"/>
          <w:i/>
          <w:sz w:val="24"/>
          <w:szCs w:val="24"/>
          <w:lang w:val="en-GB"/>
        </w:rPr>
        <w:t>Entrepreneurship, Economy and Law</w:t>
      </w:r>
      <w:r w:rsidRPr="002D2B29">
        <w:rPr>
          <w:rFonts w:ascii="Calibri Light" w:hAnsi="Calibri Light" w:cs="Calibri Light"/>
          <w:sz w:val="24"/>
          <w:szCs w:val="24"/>
          <w:lang w:val="en-GB"/>
        </w:rPr>
        <w:t xml:space="preserve">, (5), 89–97. </w:t>
      </w:r>
      <w:hyperlink r:id="rId32" w:history="1">
        <w:r w:rsidRPr="002D2B29">
          <w:rPr>
            <w:rStyle w:val="Hyperlink"/>
            <w:rFonts w:ascii="Calibri Light" w:hAnsi="Calibri Light" w:cs="Calibri Light"/>
            <w:sz w:val="24"/>
            <w:szCs w:val="24"/>
            <w:lang w:val="en-GB"/>
          </w:rPr>
          <w:t>https://doi.org/10.32849/2663-5313/2022.5.14</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lastRenderedPageBreak/>
        <w:t xml:space="preserve">Franchuk, V. V., Trach Rosolovska, S. V., Selskyy, P. R., Mykolenko, A. Z., &amp; Bodnar, P. Y. (2018). </w:t>
      </w:r>
      <w:r w:rsidRPr="002D2B29">
        <w:rPr>
          <w:rFonts w:ascii="Calibri Light" w:hAnsi="Calibri Light" w:cs="Calibri Light"/>
          <w:sz w:val="24"/>
          <w:szCs w:val="24"/>
          <w:lang w:val="en-GB"/>
        </w:rPr>
        <w:t xml:space="preserve">Analysis of final judgements in cases of medical negligence occurred in Ukraine. </w:t>
      </w:r>
      <w:r w:rsidRPr="002D2B29">
        <w:rPr>
          <w:rFonts w:ascii="Calibri Light" w:hAnsi="Calibri Light" w:cs="Calibri Light"/>
          <w:i/>
          <w:sz w:val="24"/>
          <w:szCs w:val="24"/>
          <w:lang w:val="en-GB"/>
        </w:rPr>
        <w:t>Wiadomosci lekarskie,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71</w:t>
      </w:r>
      <w:r w:rsidRPr="002D2B29">
        <w:rPr>
          <w:rFonts w:ascii="Calibri Light" w:hAnsi="Calibri Light" w:cs="Calibri Light"/>
          <w:sz w:val="24"/>
          <w:szCs w:val="24"/>
          <w:lang w:val="en-GB"/>
        </w:rPr>
        <w:t xml:space="preserve">(3 pt 2), 757–760. </w:t>
      </w:r>
      <w:hyperlink r:id="rId33" w:history="1">
        <w:r w:rsidRPr="002D2B29">
          <w:rPr>
            <w:rStyle w:val="Hyperlink"/>
            <w:rFonts w:ascii="Calibri Light" w:hAnsi="Calibri Light" w:cs="Calibri Light"/>
            <w:sz w:val="24"/>
            <w:szCs w:val="24"/>
            <w:lang w:val="en-GB"/>
          </w:rPr>
          <w:t>https://pubmed.ncbi.nlm.nih.gov/29783262/</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Mokiy, A., Ilyash, O., Pynda, Y., Pikh, M., &amp; Tyurin, V. (2020). Dynamic Characteristics of the Interconnections Urging the Construction Enterprises Development and Regions Economic Growth. </w:t>
      </w:r>
      <w:r w:rsidRPr="002D2B29">
        <w:rPr>
          <w:rFonts w:ascii="Calibri Light" w:hAnsi="Calibri Light" w:cs="Calibri Light"/>
          <w:i/>
          <w:iCs/>
          <w:sz w:val="24"/>
          <w:szCs w:val="24"/>
          <w:lang w:val="en-GB"/>
        </w:rPr>
        <w:t>TEM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(4), 1550–1561. </w:t>
      </w:r>
      <w:hyperlink r:id="rId34" w:history="1">
        <w:r w:rsidRPr="002D2B29">
          <w:rPr>
            <w:rStyle w:val="Hyperlink"/>
            <w:rFonts w:ascii="Calibri Light" w:hAnsi="Calibri Light" w:cs="Calibri Light"/>
            <w:sz w:val="24"/>
            <w:szCs w:val="24"/>
            <w:lang w:val="en-GB"/>
          </w:rPr>
          <w:t>https://doi.org/10.18421/TEM94-30</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Shrub, I. V. (2024). Legislative prospects for the creation and functioning of a unified state register of weapons. In </w:t>
      </w:r>
      <w:r w:rsidRPr="002D2B29">
        <w:rPr>
          <w:rFonts w:ascii="Calibri Light" w:hAnsi="Calibri Light" w:cs="Calibri Light"/>
          <w:i/>
          <w:sz w:val="24"/>
          <w:szCs w:val="24"/>
          <w:lang w:val="en-GB"/>
        </w:rPr>
        <w:t xml:space="preserve">Legal regulation of arms circulation in Ukraine: New challenges and prospects for solutions </w:t>
      </w:r>
      <w:r w:rsidRPr="002D2B29">
        <w:rPr>
          <w:rFonts w:ascii="Calibri Light" w:hAnsi="Calibri Light" w:cs="Calibri Light"/>
          <w:sz w:val="24"/>
          <w:szCs w:val="24"/>
          <w:lang w:val="en-GB"/>
        </w:rPr>
        <w:t xml:space="preserve">(pp. 182–185). Baltija Publishing. </w:t>
      </w:r>
      <w:hyperlink r:id="rId35" w:history="1">
        <w:r w:rsidRPr="002D2B29">
          <w:rPr>
            <w:rStyle w:val="Hyperlink"/>
            <w:rFonts w:ascii="Calibri Light" w:hAnsi="Calibri Light" w:cs="Calibri Light"/>
            <w:sz w:val="24"/>
            <w:szCs w:val="24"/>
            <w:lang w:val="en-GB"/>
          </w:rPr>
          <w:t>https://doi.org/10.30525/978-9934-26-453-5-45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Law of Ukraine “On Enforcement Proceedings” No. 1404-VIII (2024). </w:t>
      </w:r>
      <w:hyperlink r:id="rId36" w:history="1">
        <w:r w:rsidRPr="002D2B29">
          <w:rPr>
            <w:rStyle w:val="Hyperlink"/>
            <w:rFonts w:ascii="Calibri Light" w:hAnsi="Calibri Light" w:cs="Calibri Light"/>
            <w:sz w:val="24"/>
            <w:szCs w:val="24"/>
            <w:lang w:val="uk-UA"/>
          </w:rPr>
          <w:t>https://zakon.rada.gov.ua/laws/show/1404</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pt-PT"/>
        </w:rPr>
        <w:t xml:space="preserve">Gorinov, P., &amp; Mereniuk K. (2022). </w:t>
      </w:r>
      <w:r w:rsidRPr="002D2B29">
        <w:rPr>
          <w:rFonts w:ascii="Calibri Light" w:hAnsi="Calibri Light" w:cs="Calibri Light"/>
          <w:sz w:val="24"/>
          <w:szCs w:val="24"/>
          <w:lang w:val="en-GB"/>
        </w:rPr>
        <w:t xml:space="preserve">Military law in Ukraine: future prospects for development. </w:t>
      </w:r>
      <w:r w:rsidRPr="002D2B29">
        <w:rPr>
          <w:rFonts w:ascii="Calibri Light" w:hAnsi="Calibri Light" w:cs="Calibri Light"/>
          <w:i/>
          <w:sz w:val="24"/>
          <w:szCs w:val="24"/>
          <w:lang w:val="en-GB"/>
        </w:rPr>
        <w:t>Futurity Economics&amp;Law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(3), 46–59. </w:t>
      </w:r>
      <w:hyperlink r:id="rId37" w:history="1">
        <w:r w:rsidRPr="002D2B29">
          <w:rPr>
            <w:rStyle w:val="Hyperlink"/>
            <w:rFonts w:ascii="Calibri Light" w:hAnsi="Calibri Light" w:cs="Calibri Light"/>
            <w:sz w:val="24"/>
            <w:szCs w:val="24"/>
            <w:lang w:val="en-GB"/>
          </w:rPr>
          <w:t>https://doi.org/10.57125/fel.2022.09.25.03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Roskoshnyi, I. (2023). The Right to Conscientious Objection Under Martial Law in Ukraine. </w:t>
      </w:r>
      <w:r w:rsidRPr="002D2B29">
        <w:rPr>
          <w:rFonts w:ascii="Calibri Light" w:hAnsi="Calibri Light" w:cs="Calibri Light"/>
          <w:i/>
          <w:sz w:val="24"/>
          <w:szCs w:val="24"/>
          <w:lang w:val="en-GB"/>
        </w:rPr>
        <w:t>SSRN Electronic Journal</w:t>
      </w:r>
      <w:r w:rsidRPr="002D2B29">
        <w:rPr>
          <w:rFonts w:ascii="Calibri Light" w:hAnsi="Calibri Light" w:cs="Calibri Light"/>
          <w:sz w:val="24"/>
          <w:szCs w:val="24"/>
          <w:lang w:val="en-GB"/>
        </w:rPr>
        <w:t xml:space="preserve">. </w:t>
      </w:r>
      <w:hyperlink r:id="rId38" w:history="1">
        <w:r w:rsidRPr="002D2B29">
          <w:rPr>
            <w:rStyle w:val="Hyperlink"/>
            <w:rFonts w:ascii="Calibri Light" w:hAnsi="Calibri Light" w:cs="Calibri Light"/>
            <w:sz w:val="24"/>
            <w:szCs w:val="24"/>
            <w:lang w:val="en-GB"/>
          </w:rPr>
          <w:t>https://doi.org/10.2139/ssrn.4554325</w:t>
        </w:r>
      </w:hyperlink>
      <w:r w:rsidRPr="002D2B29">
        <w:rPr>
          <w:rFonts w:ascii="Calibri Light" w:hAnsi="Calibri Light" w:cs="Calibri Light"/>
          <w:sz w:val="24"/>
          <w:szCs w:val="24"/>
          <w:lang w:val="en-GB"/>
        </w:rPr>
        <w:t xml:space="preserve"> </w:t>
      </w:r>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Khalymon, S., &amp; Prytula, A. (2019). Problems of implementation of whistleblower institution in Ukraine </w:t>
      </w:r>
      <w:r w:rsidRPr="002D2B29">
        <w:rPr>
          <w:rFonts w:ascii="Calibri Light" w:hAnsi="Calibri Light" w:cs="Calibri Light"/>
          <w:i/>
          <w:sz w:val="24"/>
          <w:szCs w:val="24"/>
          <w:lang w:val="en-GB"/>
        </w:rPr>
        <w:t>Juridical Tribune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(2), 436–454. </w:t>
      </w:r>
      <w:hyperlink r:id="rId39" w:history="1">
        <w:r w:rsidRPr="002D2B29">
          <w:rPr>
            <w:rStyle w:val="Hyperlink"/>
            <w:rFonts w:ascii="Calibri Light" w:hAnsi="Calibri Light" w:cs="Calibri Light"/>
            <w:sz w:val="24"/>
            <w:szCs w:val="24"/>
            <w:lang w:val="de-DE"/>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ideas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repec</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org</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a</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asr</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journl</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v</w:t>
        </w:r>
        <w:r w:rsidRPr="002D2B29">
          <w:rPr>
            <w:rStyle w:val="Hyperlink"/>
            <w:rFonts w:ascii="Calibri Light" w:hAnsi="Calibri Light" w:cs="Calibri Light"/>
            <w:sz w:val="24"/>
            <w:szCs w:val="24"/>
            <w:lang w:val="uk-UA"/>
          </w:rPr>
          <w:t>9</w:t>
        </w:r>
        <w:r w:rsidRPr="002D2B29">
          <w:rPr>
            <w:rStyle w:val="Hyperlink"/>
            <w:rFonts w:ascii="Calibri Light" w:hAnsi="Calibri Light" w:cs="Calibri Light"/>
            <w:sz w:val="24"/>
            <w:szCs w:val="24"/>
            <w:lang w:val="de-DE"/>
          </w:rPr>
          <w:t>y</w:t>
        </w:r>
        <w:r w:rsidRPr="002D2B29">
          <w:rPr>
            <w:rStyle w:val="Hyperlink"/>
            <w:rFonts w:ascii="Calibri Light" w:hAnsi="Calibri Light" w:cs="Calibri Light"/>
            <w:sz w:val="24"/>
            <w:szCs w:val="24"/>
            <w:lang w:val="uk-UA"/>
          </w:rPr>
          <w:t>2019</w:t>
        </w:r>
        <w:r w:rsidRPr="002D2B29">
          <w:rPr>
            <w:rStyle w:val="Hyperlink"/>
            <w:rFonts w:ascii="Calibri Light" w:hAnsi="Calibri Light" w:cs="Calibri Light"/>
            <w:sz w:val="24"/>
            <w:szCs w:val="24"/>
            <w:lang w:val="de-DE"/>
          </w:rPr>
          <w:t>i</w:t>
        </w:r>
        <w:r w:rsidRPr="002D2B29">
          <w:rPr>
            <w:rStyle w:val="Hyperlink"/>
            <w:rFonts w:ascii="Calibri Light" w:hAnsi="Calibri Light" w:cs="Calibri Light"/>
            <w:sz w:val="24"/>
            <w:szCs w:val="24"/>
            <w:lang w:val="uk-UA"/>
          </w:rPr>
          <w:t>2</w:t>
        </w:r>
        <w:r w:rsidRPr="002D2B29">
          <w:rPr>
            <w:rStyle w:val="Hyperlink"/>
            <w:rFonts w:ascii="Calibri Light" w:hAnsi="Calibri Light" w:cs="Calibri Light"/>
            <w:sz w:val="24"/>
            <w:szCs w:val="24"/>
            <w:lang w:val="de-DE"/>
          </w:rPr>
          <w:t>p</w:t>
        </w:r>
        <w:r w:rsidRPr="002D2B29">
          <w:rPr>
            <w:rStyle w:val="Hyperlink"/>
            <w:rFonts w:ascii="Calibri Light" w:hAnsi="Calibri Light" w:cs="Calibri Light"/>
            <w:sz w:val="24"/>
            <w:szCs w:val="24"/>
            <w:lang w:val="uk-UA"/>
          </w:rPr>
          <w:t>436-454.</w:t>
        </w:r>
        <w:r w:rsidRPr="002D2B29">
          <w:rPr>
            <w:rStyle w:val="Hyperlink"/>
            <w:rFonts w:ascii="Calibri Light" w:hAnsi="Calibri Light" w:cs="Calibri Light"/>
            <w:sz w:val="24"/>
            <w:szCs w:val="24"/>
            <w:lang w:val="de-DE"/>
          </w:rPr>
          <w:t>html</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Meleshevich, A., &amp; Forstein, C. (2014). </w:t>
      </w:r>
      <w:r w:rsidRPr="002D2B29">
        <w:rPr>
          <w:rFonts w:ascii="Calibri Light" w:hAnsi="Calibri Light" w:cs="Calibri Light"/>
          <w:sz w:val="24"/>
          <w:szCs w:val="24"/>
          <w:lang w:val="en-GB"/>
        </w:rPr>
        <w:t xml:space="preserve">Bringing Human Rights Home: The Challenge of Enforcing Judicial Rulings in Ukraine and Russia. </w:t>
      </w:r>
      <w:r w:rsidRPr="002D2B29">
        <w:rPr>
          <w:rFonts w:ascii="Calibri Light" w:hAnsi="Calibri Light" w:cs="Calibri Light"/>
          <w:i/>
          <w:sz w:val="24"/>
          <w:szCs w:val="24"/>
          <w:lang w:val="en-GB"/>
        </w:rPr>
        <w:t>Indiana International &amp; Comparative Law Review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24</w:t>
      </w:r>
      <w:r w:rsidRPr="002D2B29">
        <w:rPr>
          <w:rFonts w:ascii="Calibri Light" w:hAnsi="Calibri Light" w:cs="Calibri Light"/>
          <w:sz w:val="24"/>
          <w:szCs w:val="24"/>
          <w:lang w:val="en-GB"/>
        </w:rPr>
        <w:t xml:space="preserve">(2), 269–312. </w:t>
      </w:r>
      <w:hyperlink r:id="rId40" w:history="1">
        <w:r w:rsidRPr="002D2B29">
          <w:rPr>
            <w:rStyle w:val="Hyperlink"/>
            <w:rFonts w:ascii="Calibri Light" w:hAnsi="Calibri Light" w:cs="Calibri Light"/>
            <w:sz w:val="24"/>
            <w:szCs w:val="24"/>
            <w:lang w:val="en-GB"/>
          </w:rPr>
          <w:t>https://doi.org/10.18060/18268</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Lysodyed, O., Matyukhina, N., Babaieva, O., &amp; Davydenko, S. (2023a). Conflict of interest in the activities of judges in Ukraine and the European Union: A comparative legal study. </w:t>
      </w:r>
      <w:r w:rsidRPr="002D2B29">
        <w:rPr>
          <w:rFonts w:ascii="Calibri Light" w:hAnsi="Calibri Light" w:cs="Calibri Light"/>
          <w:i/>
          <w:sz w:val="24"/>
          <w:szCs w:val="24"/>
          <w:lang w:val="en-GB"/>
        </w:rPr>
        <w:t>Juridical Tribune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13</w:t>
      </w:r>
      <w:r w:rsidRPr="002D2B29">
        <w:rPr>
          <w:rFonts w:ascii="Calibri Light" w:hAnsi="Calibri Light" w:cs="Calibri Light"/>
          <w:sz w:val="24"/>
          <w:szCs w:val="24"/>
          <w:lang w:val="en-GB"/>
        </w:rPr>
        <w:t xml:space="preserve">(2). </w:t>
      </w:r>
      <w:hyperlink r:id="rId41" w:history="1">
        <w:r w:rsidRPr="002D2B29">
          <w:rPr>
            <w:rStyle w:val="Hyperlink"/>
            <w:rFonts w:ascii="Calibri Light" w:hAnsi="Calibri Light" w:cs="Calibri Light"/>
            <w:sz w:val="24"/>
            <w:szCs w:val="24"/>
            <w:lang w:val="en-GB"/>
          </w:rPr>
          <w:t>https://doi.org/10.24818/tbj/2023/13/2.06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n-GB"/>
        </w:rPr>
        <w:t xml:space="preserve">Shevchuk, O., Protsiuk, I., Mokhonchuk, S., Papusha, I. (2019). Adaptation of Ukrainian legislation on drug trafficking control to the European Union legislation (separate aspects). </w:t>
      </w:r>
      <w:r w:rsidRPr="002D2B29">
        <w:rPr>
          <w:rFonts w:ascii="Calibri Light" w:hAnsi="Calibri Light" w:cs="Calibri Light"/>
          <w:i/>
          <w:sz w:val="24"/>
          <w:szCs w:val="24"/>
          <w:lang w:val="es-VE"/>
        </w:rPr>
        <w:t>Juridical Tribune/Tribuna Juridică</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9</w:t>
      </w:r>
      <w:r w:rsidRPr="002D2B29">
        <w:rPr>
          <w:rFonts w:ascii="Calibri Light" w:hAnsi="Calibri Light" w:cs="Calibri Light"/>
          <w:sz w:val="24"/>
          <w:szCs w:val="24"/>
          <w:lang w:val="es-VE"/>
        </w:rPr>
        <w:t xml:space="preserve">, 117–126. </w:t>
      </w:r>
      <w:hyperlink r:id="rId42">
        <w:r w:rsidRPr="002D2B29">
          <w:rPr>
            <w:rStyle w:val="Hyperlink"/>
            <w:rFonts w:ascii="Calibri Light" w:hAnsi="Calibri Light" w:cs="Calibri Light"/>
            <w:sz w:val="24"/>
            <w:szCs w:val="24"/>
            <w:lang w:val="es-VE"/>
          </w:rPr>
          <w:t>https://ideas.repec.org/a/asr/journl/v9y2019ispecialp117-126.html</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Mappasessu, M. (2024). Analysis of the Role of Judicial Institutions in Sharia Economic Law Enforcement in Indonesia. </w:t>
      </w:r>
      <w:r w:rsidRPr="002D2B29">
        <w:rPr>
          <w:rFonts w:ascii="Calibri Light" w:hAnsi="Calibri Light" w:cs="Calibri Light"/>
          <w:i/>
          <w:sz w:val="24"/>
          <w:szCs w:val="24"/>
          <w:lang w:val="en-GB"/>
        </w:rPr>
        <w:t>Journal of Islamic Economy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1–7. </w:t>
      </w:r>
      <w:hyperlink r:id="rId43" w:history="1">
        <w:r w:rsidRPr="002D2B29">
          <w:rPr>
            <w:rStyle w:val="Hyperlink"/>
            <w:rFonts w:ascii="Calibri Light" w:hAnsi="Calibri Light" w:cs="Calibri Light"/>
            <w:sz w:val="24"/>
            <w:szCs w:val="24"/>
            <w:lang w:val="en-GB"/>
          </w:rPr>
          <w:t>https://doi.org/10.62872/gtygez33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Luchtman, M. (2023). Setting the Scene: The Rise of EU Law Enforcement Authorities. In M. Luchtman, K. Ligeti, &amp; J. Vervaele (Eds.), </w:t>
      </w:r>
      <w:r w:rsidRPr="002D2B29">
        <w:rPr>
          <w:rFonts w:ascii="Calibri Light" w:hAnsi="Calibri Light" w:cs="Calibri Light"/>
          <w:i/>
          <w:sz w:val="24"/>
          <w:szCs w:val="24"/>
          <w:lang w:val="en-GB"/>
        </w:rPr>
        <w:t>EU Enforcement Authorities</w:t>
      </w:r>
      <w:r w:rsidRPr="002D2B29">
        <w:rPr>
          <w:rFonts w:ascii="Calibri Light" w:hAnsi="Calibri Light" w:cs="Calibri Light"/>
          <w:sz w:val="24"/>
          <w:szCs w:val="24"/>
          <w:lang w:val="en-GB"/>
        </w:rPr>
        <w:t xml:space="preserve">. Hart Publishing. </w:t>
      </w:r>
      <w:hyperlink r:id="rId44" w:history="1">
        <w:r w:rsidRPr="002D2B29">
          <w:rPr>
            <w:rStyle w:val="Hyperlink"/>
            <w:rFonts w:ascii="Calibri Light" w:hAnsi="Calibri Light" w:cs="Calibri Light"/>
            <w:sz w:val="24"/>
            <w:szCs w:val="24"/>
            <w:lang w:val="en-GB"/>
          </w:rPr>
          <w:t>https://doi.org/10.5040/9781509946495.ch-001</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Jaworski, B. (2024). General principles of enforcement proceedings in administration. </w:t>
      </w:r>
      <w:r w:rsidRPr="002D2B29">
        <w:rPr>
          <w:rFonts w:ascii="Calibri Light" w:hAnsi="Calibri Light" w:cs="Calibri Light"/>
          <w:i/>
          <w:sz w:val="24"/>
          <w:szCs w:val="24"/>
          <w:lang w:val="en-GB"/>
        </w:rPr>
        <w:t>Roczniki Administracji i Prawa</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(XXIV), 175–192. </w:t>
      </w:r>
      <w:hyperlink r:id="rId45" w:history="1">
        <w:r w:rsidRPr="002D2B29">
          <w:rPr>
            <w:rStyle w:val="Hyperlink"/>
            <w:rFonts w:ascii="Calibri Light" w:hAnsi="Calibri Light" w:cs="Calibri Light"/>
            <w:sz w:val="24"/>
            <w:szCs w:val="24"/>
            <w:lang w:val="en-GB"/>
          </w:rPr>
          <w:t>https://doi.org/10.5604/01.3001.0054.4689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 xml:space="preserve">Pūraitė-Andrikienė, D. (2023). Towards an Effective Constitution in Lithuania: The Role of the Constitutional Court.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(2), 134–165. </w:t>
      </w:r>
      <w:hyperlink r:id="rId46" w:history="1">
        <w:r w:rsidRPr="002D2B29">
          <w:rPr>
            <w:rStyle w:val="Hyperlink"/>
            <w:rFonts w:ascii="Calibri Light" w:hAnsi="Calibri Light" w:cs="Calibri Light"/>
            <w:sz w:val="24"/>
            <w:szCs w:val="24"/>
            <w:lang w:val="en-GB"/>
          </w:rPr>
          <w:t>https://doi.org/10.1163/15730352-bja10079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Obikhod, T., &amp; Bilenchuk, P. (2021). Efficiency improvement challenges of law application in Ukraine. </w:t>
      </w:r>
      <w:r w:rsidRPr="002D2B29">
        <w:rPr>
          <w:rFonts w:ascii="Calibri Light" w:hAnsi="Calibri Light" w:cs="Calibri Light"/>
          <w:i/>
          <w:sz w:val="24"/>
          <w:szCs w:val="24"/>
          <w:lang w:val="en-GB"/>
        </w:rPr>
        <w:t>Scientific Works of National Aviation University. Series: Law Journal “Air and Space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(60), 58–62. </w:t>
      </w:r>
      <w:hyperlink r:id="rId47" w:history="1">
        <w:r w:rsidRPr="002D2B29">
          <w:rPr>
            <w:rStyle w:val="Hyperlink"/>
            <w:rFonts w:ascii="Calibri Light" w:hAnsi="Calibri Light" w:cs="Calibri Light"/>
            <w:sz w:val="24"/>
            <w:szCs w:val="24"/>
            <w:lang w:val="en-GB"/>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doi</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org</w:t>
        </w:r>
        <w:r w:rsidRPr="002D2B29">
          <w:rPr>
            <w:rStyle w:val="Hyperlink"/>
            <w:rFonts w:ascii="Calibri Light" w:hAnsi="Calibri Light" w:cs="Calibri Light"/>
            <w:sz w:val="24"/>
            <w:szCs w:val="24"/>
            <w:lang w:val="uk-UA"/>
          </w:rPr>
          <w:t>/10.18372/2307-9061.60.15953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Korniienko, P., &amp; Petrunenko, I. (2023). </w:t>
      </w:r>
      <w:r w:rsidRPr="002D2B29">
        <w:rPr>
          <w:rFonts w:ascii="Calibri Light" w:hAnsi="Calibri Light" w:cs="Calibri Light"/>
          <w:sz w:val="24"/>
          <w:szCs w:val="24"/>
          <w:lang w:val="en-GB"/>
        </w:rPr>
        <w:t xml:space="preserve">The Impact of International Sanctions on Ukraine’s Sustainable Development in the Context of Russian Cyberwarfare. </w:t>
      </w:r>
      <w:r w:rsidRPr="002D2B29">
        <w:rPr>
          <w:rFonts w:ascii="Calibri Light" w:hAnsi="Calibri Light" w:cs="Calibri Light"/>
          <w:i/>
          <w:sz w:val="24"/>
          <w:szCs w:val="24"/>
          <w:lang w:val="en-GB"/>
        </w:rPr>
        <w:t>Law, Business and Sustainability Herald, 3</w:t>
      </w:r>
      <w:r w:rsidRPr="002D2B29">
        <w:rPr>
          <w:rFonts w:ascii="Calibri Light" w:hAnsi="Calibri Light" w:cs="Calibri Light"/>
          <w:sz w:val="24"/>
          <w:szCs w:val="24"/>
          <w:lang w:val="en-GB"/>
        </w:rPr>
        <w:t xml:space="preserve">(2), 30–47. </w:t>
      </w:r>
      <w:hyperlink r:id="rId48">
        <w:r w:rsidRPr="002D2B29">
          <w:rPr>
            <w:rStyle w:val="Hyperlink"/>
            <w:rFonts w:ascii="Calibri Light" w:hAnsi="Calibri Light" w:cs="Calibri Light"/>
            <w:sz w:val="24"/>
            <w:szCs w:val="24"/>
            <w:lang w:val="en-GB"/>
          </w:rPr>
          <w:t>https://lbsherald.org/index.php/journal/article/view/65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Mytnyk, A. A., Syrota, D. I., Slobodianyk, T. M., Loktionova, V. V., &amp; Pleskun, O. V. (2020). Ensuring Enforcement of Judgements through the Prism of Reforming Criminal Provisions.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735–747. </w:t>
      </w:r>
      <w:hyperlink r:id="rId49" w:history="1">
        <w:r w:rsidRPr="002D2B29">
          <w:rPr>
            <w:rStyle w:val="Hyperlink"/>
            <w:rFonts w:ascii="Calibri Light" w:hAnsi="Calibri Light" w:cs="Calibri Light"/>
            <w:sz w:val="24"/>
            <w:szCs w:val="24"/>
            <w:lang w:val="en-GB"/>
          </w:rPr>
          <w:t>https://doi.org/10.6000/1929-4409.2020.09.69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Muraev, P., Muraev, R., &amp; Andryushchenko, O. (2021). The Coordination of the Activities of the Law Enforcement Agencies for the Prevention and Detection of Crimes Committed by Minors. </w:t>
      </w:r>
      <w:r w:rsidRPr="002D2B29">
        <w:rPr>
          <w:rFonts w:ascii="Calibri Light" w:hAnsi="Calibri Light" w:cs="Calibri Light"/>
          <w:i/>
          <w:sz w:val="24"/>
          <w:szCs w:val="24"/>
          <w:lang w:val="en-GB"/>
        </w:rPr>
        <w:t>Legal Concept</w:t>
      </w:r>
      <w:r w:rsidRPr="002D2B29">
        <w:rPr>
          <w:rFonts w:ascii="Calibri Light" w:hAnsi="Calibri Light" w:cs="Calibri Light"/>
          <w:sz w:val="24"/>
          <w:szCs w:val="24"/>
          <w:lang w:val="en-GB"/>
        </w:rPr>
        <w:t xml:space="preserve">, (2), 33–40. </w:t>
      </w:r>
      <w:hyperlink r:id="rId50" w:history="1">
        <w:r w:rsidRPr="002D2B29">
          <w:rPr>
            <w:rStyle w:val="Hyperlink"/>
            <w:rFonts w:ascii="Calibri Light" w:hAnsi="Calibri Light" w:cs="Calibri Light"/>
            <w:sz w:val="24"/>
            <w:szCs w:val="24"/>
            <w:lang w:val="en-GB"/>
          </w:rPr>
          <w:t>https://doi.org/10.15688/lc.jvolsu.2021.2.5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Teremetskyi, V., Kovalchuk, O., Kolesnikov, A., Bogdanov, R., Korniienko, M., &amp; Dir, I. (2024). Improving the Information and Legal Support of the Judicial System of Ukraine: Experience of the European Court of Human Rights. </w:t>
      </w:r>
      <w:r w:rsidRPr="002D2B29">
        <w:rPr>
          <w:rFonts w:ascii="Calibri Light" w:hAnsi="Calibri Light" w:cs="Calibri Light"/>
          <w:i/>
          <w:sz w:val="24"/>
          <w:szCs w:val="24"/>
          <w:lang w:val="en-GB"/>
        </w:rPr>
        <w:t>Journal of Ecohumanism</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(3), 61–74. </w:t>
      </w:r>
      <w:hyperlink r:id="rId51" w:history="1">
        <w:r w:rsidRPr="002D2B29">
          <w:rPr>
            <w:rStyle w:val="Hyperlink"/>
            <w:rFonts w:ascii="Calibri Light" w:hAnsi="Calibri Light" w:cs="Calibri Light"/>
            <w:sz w:val="24"/>
            <w:szCs w:val="24"/>
            <w:lang w:val="en-GB"/>
          </w:rPr>
          <w:t>https://doi.org/10.62754/joe.v3i3.3349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Iliev, K. (2022). </w:t>
      </w:r>
      <w:r w:rsidRPr="002D2B29">
        <w:rPr>
          <w:rFonts w:ascii="Calibri Light" w:hAnsi="Calibri Light" w:cs="Calibri Light"/>
          <w:sz w:val="24"/>
          <w:szCs w:val="24"/>
          <w:lang w:val="en-GB"/>
        </w:rPr>
        <w:t xml:space="preserve">Philosophical views on the procedure for regulating the norms of Blockchain technologies in the context of future prospects for the development of the meta-universe. </w:t>
      </w:r>
      <w:r w:rsidRPr="002D2B29">
        <w:rPr>
          <w:rFonts w:ascii="Calibri Light" w:hAnsi="Calibri Light" w:cs="Calibri Light"/>
          <w:i/>
          <w:sz w:val="24"/>
          <w:szCs w:val="24"/>
          <w:lang w:val="en-GB"/>
        </w:rPr>
        <w:t>Futurity Philosophy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(1), 30–41. </w:t>
      </w:r>
      <w:hyperlink r:id="rId52" w:history="1">
        <w:r w:rsidRPr="002D2B29">
          <w:rPr>
            <w:rStyle w:val="Hyperlink"/>
            <w:rFonts w:ascii="Calibri Light" w:hAnsi="Calibri Light" w:cs="Calibri Light"/>
            <w:sz w:val="24"/>
            <w:szCs w:val="24"/>
            <w:lang w:val="en-GB"/>
          </w:rPr>
          <w:t>https://doi.org/10.57125/fp.2022.03.30.03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Krap, A., Bataiev, S., Bobro, N., Kozub, V., &amp; Hlevatska, N. (2024). Examination of digital advancements: Their influence on contemporary corporate management methods and approaches. </w:t>
      </w:r>
      <w:r w:rsidRPr="002D2B29">
        <w:rPr>
          <w:rFonts w:ascii="Calibri Light" w:hAnsi="Calibri Light" w:cs="Calibri Light"/>
          <w:i/>
          <w:sz w:val="24"/>
          <w:szCs w:val="24"/>
          <w:lang w:val="en-GB"/>
        </w:rPr>
        <w:t>Multidisciplinary Reviews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w:t>
      </w:r>
      <w:r w:rsidRPr="002D2B29">
        <w:rPr>
          <w:rFonts w:ascii="Calibri Light" w:hAnsi="Calibri Light" w:cs="Calibri Light"/>
          <w:sz w:val="24"/>
          <w:szCs w:val="24"/>
          <w:lang w:val="en-GB"/>
        </w:rPr>
        <w:t xml:space="preserve">, Article 2024spe026. </w:t>
      </w:r>
      <w:hyperlink r:id="rId53" w:history="1">
        <w:r w:rsidRPr="002D2B29">
          <w:rPr>
            <w:rStyle w:val="Hyperlink"/>
            <w:rFonts w:ascii="Calibri Light" w:hAnsi="Calibri Light" w:cs="Calibri Light"/>
            <w:sz w:val="24"/>
            <w:szCs w:val="24"/>
            <w:lang w:val="en-GB"/>
          </w:rPr>
          <w:t>https://doi.org/10.31893/multirev.2024spe026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Prokopenko, O., &amp; Sapinski, A. (2024). Using Virtual Reality in Education: Ethical and Social Dimensions. </w:t>
      </w:r>
      <w:r w:rsidRPr="002D2B29">
        <w:rPr>
          <w:rFonts w:ascii="Calibri Light" w:hAnsi="Calibri Light" w:cs="Calibri Light"/>
          <w:i/>
          <w:sz w:val="24"/>
          <w:szCs w:val="24"/>
          <w:lang w:val="en-GB"/>
        </w:rPr>
        <w:t>E-Learning Innovations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41–62. </w:t>
      </w:r>
      <w:hyperlink r:id="rId54" w:history="1">
        <w:r w:rsidRPr="002D2B29">
          <w:rPr>
            <w:rStyle w:val="Hyperlink"/>
            <w:rFonts w:ascii="Calibri Light" w:hAnsi="Calibri Light" w:cs="Calibri Light"/>
            <w:sz w:val="24"/>
            <w:szCs w:val="24"/>
            <w:lang w:val="en-GB"/>
          </w:rPr>
          <w:t>https://doi.org/10.57125/elij.2024.03.25.03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Gruev, I. (2023). Responsive Judicial Review in Kelsenian Constitutional Courts: The Impeding Effects of Limited Standing and Formalism.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(3-4), 426–444. </w:t>
      </w:r>
      <w:hyperlink r:id="rId55" w:history="1">
        <w:r w:rsidRPr="002D2B29">
          <w:rPr>
            <w:rStyle w:val="Hyperlink"/>
            <w:rFonts w:ascii="Calibri Light" w:hAnsi="Calibri Light" w:cs="Calibri Light"/>
            <w:sz w:val="24"/>
            <w:szCs w:val="24"/>
            <w:lang w:val="en-GB"/>
          </w:rPr>
          <w:t>https://doi.org/10.1163/15730352-bja10085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Protsiuk, I,. Samoshchenko, V., Panova, A., &amp; Shaposhnyk A. (2023b). The Rights to access to Information and National Security in the Ukraine in the System of Human Rights. </w:t>
      </w:r>
      <w:r w:rsidRPr="002D2B29">
        <w:rPr>
          <w:rFonts w:ascii="Calibri Light" w:hAnsi="Calibri Light" w:cs="Calibri Light"/>
          <w:i/>
          <w:sz w:val="24"/>
          <w:szCs w:val="24"/>
          <w:lang w:val="en-GB"/>
        </w:rPr>
        <w:t>Revista Jurídica Portucalense</w:t>
      </w:r>
      <w:r w:rsidRPr="002D2B29">
        <w:rPr>
          <w:rFonts w:ascii="Calibri Light" w:hAnsi="Calibri Light" w:cs="Calibri Light"/>
          <w:sz w:val="24"/>
          <w:szCs w:val="24"/>
          <w:lang w:val="en-GB"/>
        </w:rPr>
        <w:t xml:space="preserve">, (34), 257–282. </w:t>
      </w:r>
      <w:hyperlink r:id="rId56">
        <w:r w:rsidRPr="002D2B29">
          <w:rPr>
            <w:rStyle w:val="Hyperlink"/>
            <w:rFonts w:ascii="Calibri Light" w:hAnsi="Calibri Light" w:cs="Calibri Light"/>
            <w:sz w:val="24"/>
            <w:szCs w:val="24"/>
            <w:lang w:val="en-GB"/>
          </w:rPr>
          <w:t>https://doi.org/10.34625/issn.2183-2705(34)2023.ic-13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Kelemen, R. D., &amp; Pavone, T. (2021). </w:t>
      </w:r>
      <w:r w:rsidRPr="002D2B29">
        <w:rPr>
          <w:rFonts w:ascii="Calibri Light" w:hAnsi="Calibri Light" w:cs="Calibri Light"/>
          <w:sz w:val="24"/>
          <w:szCs w:val="24"/>
          <w:lang w:val="en-GB"/>
        </w:rPr>
        <w:t xml:space="preserve">Where Have the Guardians Gone? Law Enforcement and the Politics of Supranational Forbearance in the European Union. </w:t>
      </w:r>
      <w:r w:rsidRPr="002D2B29">
        <w:rPr>
          <w:rFonts w:ascii="Calibri Light" w:hAnsi="Calibri Light" w:cs="Calibri Light"/>
          <w:i/>
          <w:iCs/>
          <w:sz w:val="24"/>
          <w:szCs w:val="24"/>
          <w:lang w:val="en-GB"/>
        </w:rPr>
        <w:t>SSRN Electronic Journal</w:t>
      </w:r>
      <w:r w:rsidRPr="002D2B29">
        <w:rPr>
          <w:rFonts w:ascii="Calibri Light" w:hAnsi="Calibri Light" w:cs="Calibri Light"/>
          <w:sz w:val="24"/>
          <w:szCs w:val="24"/>
          <w:lang w:val="en-GB"/>
        </w:rPr>
        <w:t xml:space="preserve">. </w:t>
      </w:r>
      <w:hyperlink r:id="rId57" w:history="1">
        <w:r w:rsidRPr="002D2B29">
          <w:rPr>
            <w:rStyle w:val="Hyperlink"/>
            <w:rFonts w:ascii="Calibri Light" w:hAnsi="Calibri Light" w:cs="Calibri Light"/>
            <w:sz w:val="24"/>
            <w:szCs w:val="24"/>
            <w:lang w:val="en-GB"/>
          </w:rPr>
          <w:t>https://doi.org/10.2139/ssrn.3994918</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lastRenderedPageBreak/>
        <w:t xml:space="preserve">Shelever, N., Rogach, O., Antalovtsi, O., Voron, D., &amp; Pylyp, V. (2024). Justice of judicial procedure: conceptual basis and national characteristics. </w:t>
      </w:r>
      <w:r w:rsidRPr="002D2B29">
        <w:rPr>
          <w:rFonts w:ascii="Calibri Light" w:hAnsi="Calibri Light" w:cs="Calibri Light"/>
          <w:i/>
          <w:sz w:val="24"/>
          <w:szCs w:val="24"/>
          <w:lang w:val="en-GB"/>
        </w:rPr>
        <w:t>Revista Brasileira de Direito</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20</w:t>
      </w:r>
      <w:r w:rsidRPr="002D2B29">
        <w:rPr>
          <w:rFonts w:ascii="Calibri Light" w:hAnsi="Calibri Light" w:cs="Calibri Light"/>
          <w:sz w:val="24"/>
          <w:szCs w:val="24"/>
          <w:lang w:val="en-GB"/>
        </w:rPr>
        <w:t xml:space="preserve">(1), 4987. </w:t>
      </w:r>
      <w:hyperlink r:id="rId58" w:history="1">
        <w:r w:rsidRPr="002D2B29">
          <w:rPr>
            <w:rStyle w:val="Hyperlink"/>
            <w:rFonts w:ascii="Calibri Light" w:hAnsi="Calibri Light" w:cs="Calibri Light"/>
            <w:sz w:val="24"/>
            <w:szCs w:val="24"/>
            <w:lang w:val="en-GB"/>
          </w:rPr>
          <w:t>https://doi.org/10.18256/2238-0604.2024.v20i1.4987</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US"/>
        </w:rPr>
      </w:pPr>
      <w:r w:rsidRPr="002D2B29">
        <w:rPr>
          <w:rFonts w:ascii="Calibri Light" w:hAnsi="Calibri Light" w:cs="Calibri Light"/>
          <w:sz w:val="24"/>
          <w:szCs w:val="24"/>
          <w:lang w:val="en-GB"/>
        </w:rPr>
        <w:t xml:space="preserve">Myroslavskyi, S. V., &amp; Leshchenko, A. V. (2022). Prevention of corruption in the system of state and public administration in Ukraine: History – retrospective analysis. </w:t>
      </w:r>
      <w:r w:rsidRPr="002D2B29">
        <w:rPr>
          <w:rFonts w:ascii="Calibri Light" w:hAnsi="Calibri Light" w:cs="Calibri Light"/>
          <w:i/>
          <w:iCs/>
          <w:sz w:val="24"/>
          <w:szCs w:val="24"/>
          <w:lang w:val="en-GB"/>
        </w:rPr>
        <w:t>“Scientific Notes of Taurida V.I. Vernadsky University”, Series “Public Administration,”</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33</w:t>
      </w:r>
      <w:r w:rsidRPr="002D2B29">
        <w:rPr>
          <w:rFonts w:ascii="Calibri Light" w:hAnsi="Calibri Light" w:cs="Calibri Light"/>
          <w:sz w:val="24"/>
          <w:szCs w:val="24"/>
          <w:lang w:val="en-GB"/>
        </w:rPr>
        <w:t>(</w:t>
      </w:r>
      <w:r w:rsidRPr="002D2B29">
        <w:rPr>
          <w:rFonts w:ascii="Calibri Light" w:hAnsi="Calibri Light" w:cs="Calibri Light"/>
          <w:iCs/>
          <w:sz w:val="24"/>
          <w:szCs w:val="24"/>
          <w:lang w:val="en-GB"/>
        </w:rPr>
        <w:t>6)</w:t>
      </w:r>
      <w:r w:rsidRPr="002D2B29">
        <w:rPr>
          <w:rFonts w:ascii="Calibri Light" w:hAnsi="Calibri Light" w:cs="Calibri Light"/>
          <w:sz w:val="24"/>
          <w:szCs w:val="24"/>
          <w:lang w:val="en-GB"/>
        </w:rPr>
        <w:t xml:space="preserve">, 25–30. </w:t>
      </w:r>
      <w:hyperlink r:id="rId59" w:history="1">
        <w:r w:rsidRPr="002D2B29">
          <w:rPr>
            <w:rStyle w:val="Hyperlink"/>
            <w:rFonts w:ascii="Calibri Light" w:hAnsi="Calibri Light" w:cs="Calibri Light"/>
            <w:sz w:val="24"/>
            <w:szCs w:val="24"/>
            <w:lang w:val="en-US"/>
          </w:rPr>
          <w:t>https://doi.org/10.32782/TNU-2663-6468/2022.6/04</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Kompaniiets, I., Volianska, O., Shovkoplias, O., &amp; Baranchuk, V. (2024). Electronic Administrative Judicial Procedure of Ukraine and the Right to Judicial Protection: Problems of Legal Regulation and Practical Issues. </w:t>
      </w:r>
      <w:r w:rsidRPr="002D2B29">
        <w:rPr>
          <w:rFonts w:ascii="Calibri Light" w:hAnsi="Calibri Light" w:cs="Calibri Light"/>
          <w:i/>
          <w:sz w:val="24"/>
          <w:szCs w:val="24"/>
          <w:lang w:val="en-GB"/>
        </w:rPr>
        <w:t>Juridical Tribune – Review of Comparative and International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14</w:t>
      </w:r>
      <w:r w:rsidRPr="002D2B29">
        <w:rPr>
          <w:rFonts w:ascii="Calibri Light" w:hAnsi="Calibri Light" w:cs="Calibri Light"/>
          <w:sz w:val="24"/>
          <w:szCs w:val="24"/>
          <w:lang w:val="en-GB"/>
        </w:rPr>
        <w:t xml:space="preserve">(1), 98–115. </w:t>
      </w:r>
      <w:hyperlink r:id="rId60" w:history="1">
        <w:r w:rsidRPr="002D2B29">
          <w:rPr>
            <w:rStyle w:val="Hyperlink"/>
            <w:rFonts w:ascii="Calibri Light" w:hAnsi="Calibri Light" w:cs="Calibri Light"/>
            <w:sz w:val="24"/>
            <w:szCs w:val="24"/>
            <w:lang w:val="en-GB"/>
          </w:rPr>
          <w:t>https://doi.org/10.62768/tbj/2024/14/1/06</w:t>
        </w:r>
      </w:hyperlink>
    </w:p>
    <w:sectPr w:rsidR="002D2B29" w:rsidRPr="002D2B29" w:rsidSect="007816FC">
      <w:headerReference w:type="even" r:id="rId61"/>
      <w:headerReference w:type="default" r:id="rId62"/>
      <w:footerReference w:type="even" r:id="rId63"/>
      <w:footerReference w:type="default" r:id="rId64"/>
      <w:headerReference w:type="first" r:id="rId65"/>
      <w:footerReference w:type="first" r:id="rId6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7EFB" w:rsidRDefault="00B57EFB">
      <w:r>
        <w:separator/>
      </w:r>
    </w:p>
  </w:endnote>
  <w:endnote w:type="continuationSeparator" w:id="0">
    <w:p w:rsidR="00B57EFB" w:rsidRDefault="00B5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6C85" w:rsidRPr="00540F02" w:rsidRDefault="00B757DB" w:rsidP="00122F5F">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177540478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53"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" strokecolor="white">
              <v:path arrowok="t"/>
              <v:textbox>
                <w:txbxContent>
                  <w:p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C36C85" w:rsidRPr="00540F02">
      <w:rPr>
        <w:rFonts w:ascii="Calibri Light" w:hAnsi="Calibri Light" w:cs="Calibri Light"/>
        <w:sz w:val="16"/>
        <w:szCs w:val="16"/>
      </w:rPr>
      <w:t>International Journal Law and Society</w:t>
    </w:r>
  </w:p>
  <w:p w:rsidR="00C36C85" w:rsidRPr="00540F02" w:rsidRDefault="00C36C85"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6C85" w:rsidRPr="00540F02" w:rsidRDefault="00B757DB" w:rsidP="0008220C">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207468047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54"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" strokecolor="white">
              <v:path arrowok="t"/>
              <v:textbox>
                <w:txbxContent>
                  <w:p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C36C85" w:rsidRPr="00540F02">
      <w:rPr>
        <w:rFonts w:ascii="Calibri Light" w:hAnsi="Calibri Light" w:cs="Calibri Light"/>
        <w:sz w:val="16"/>
        <w:szCs w:val="16"/>
      </w:rPr>
      <w:t>International Journal Law and Society</w:t>
    </w:r>
  </w:p>
  <w:p w:rsidR="00C36C85" w:rsidRPr="0008220C" w:rsidRDefault="00C36C85"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6C85" w:rsidRPr="0008220C" w:rsidRDefault="00B757DB" w:rsidP="00FF1D30">
    <w:pPr>
      <w:pStyle w:val="Footer"/>
      <w:ind w:right="357"/>
      <w:rPr>
        <w:rFonts w:ascii="Calibri Light" w:hAnsi="Calibri Light" w:cs="Calibri Light"/>
        <w:sz w:val="16"/>
        <w:szCs w:val="16"/>
      </w:rPr>
    </w:pPr>
    <w:r>
      <w:rPr>
        <w:noProof/>
        <w:lang w:eastAsia="en-US"/>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165216609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5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" strokecolor="white">
              <v:path arrowok="t"/>
              <v:textbox>
                <w:txbxContent>
                  <w:p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C36C85" w:rsidRPr="0008220C">
      <w:rPr>
        <w:rFonts w:ascii="Calibri Light" w:hAnsi="Calibri Light" w:cs="Calibri Light"/>
        <w:sz w:val="16"/>
        <w:szCs w:val="16"/>
      </w:rPr>
      <w:t>International Journal Law and Society</w:t>
    </w:r>
  </w:p>
  <w:p w:rsidR="00C36C85" w:rsidRPr="0008220C" w:rsidRDefault="00C36C85"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7EFB" w:rsidRDefault="00B57EFB">
      <w:r>
        <w:separator/>
      </w:r>
    </w:p>
  </w:footnote>
  <w:footnote w:type="continuationSeparator" w:id="0">
    <w:p w:rsidR="00B57EFB" w:rsidRDefault="00B57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6C85" w:rsidRDefault="00B757DB" w:rsidP="00122F5F">
    <w:pPr>
      <w:pStyle w:val="Header"/>
    </w:pPr>
    <w:r>
      <w:rPr>
        <w:noProof/>
        <w:lang w:eastAsia="en-US"/>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54602304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C85" w:rsidRPr="00FF1D30" w:rsidRDefault="00C36C8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4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" filled="f" stroked="f">
              <v:path arrowok="t"/>
              <v:textbox inset="0,0,0,0">
                <w:txbxContent>
                  <w:p w:rsidR="00C36C85" w:rsidRPr="00FF1D30" w:rsidRDefault="00C36C8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0" t="0" r="0" b="0"/>
              <wp:wrapNone/>
              <wp:docPr id="200341483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50"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" filled="f" stroked="f">
              <v:path arrowok="t"/>
              <v:textbox inset="0,0,0,0">
                <w:txbxContent>
                  <w:p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extent cx="1092200" cy="508000"/>
          <wp:effectExtent l="0" t="0" r="0" b="0"/>
          <wp:docPr id="5"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rsidR="00C36C85" w:rsidRDefault="00C36C85" w:rsidP="00122F5F">
    <w:pPr>
      <w:pStyle w:val="Header"/>
      <w:rPr>
        <w:sz w:val="16"/>
        <w:szCs w:val="16"/>
      </w:rPr>
    </w:pPr>
  </w:p>
  <w:p w:rsidR="00C36C85" w:rsidRDefault="00C36C85" w:rsidP="00122F5F">
    <w:pPr>
      <w:pStyle w:val="Header"/>
      <w:rPr>
        <w:sz w:val="16"/>
        <w:szCs w:val="16"/>
      </w:rPr>
    </w:pPr>
  </w:p>
  <w:p w:rsidR="00C36C85" w:rsidRPr="00122F5F" w:rsidRDefault="00C36C85"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6C85" w:rsidRDefault="00B757DB" w:rsidP="00540F02">
    <w:pPr>
      <w:pStyle w:val="Header"/>
    </w:pPr>
    <w:r>
      <w:rPr>
        <w:noProof/>
        <w:lang w:eastAsia="en-US"/>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10911027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C85" w:rsidRPr="00FF1D30" w:rsidRDefault="00C36C8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" filled="f" stroked="f">
              <v:path arrowok="t"/>
              <v:textbox inset="0,0,0,0">
                <w:txbxContent>
                  <w:p w:rsidR="00C36C85" w:rsidRPr="00FF1D30" w:rsidRDefault="00C36C8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0" r="0" b="0"/>
              <wp:wrapNone/>
              <wp:docPr id="49732740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C85" w:rsidRPr="00540F02" w:rsidRDefault="00C36C8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17</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" filled="f" stroked="f">
              <v:path arrowok="t"/>
              <v:textbox inset="0,0,0,0">
                <w:txbxContent>
                  <w:p w:rsidR="00C36C85" w:rsidRPr="00540F02" w:rsidRDefault="00C36C8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17</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extent cx="1092200" cy="508000"/>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rsidR="00C36C85" w:rsidRDefault="00C36C85" w:rsidP="00540F02">
    <w:pPr>
      <w:pStyle w:val="Header"/>
      <w:rPr>
        <w:sz w:val="16"/>
        <w:szCs w:val="16"/>
      </w:rPr>
    </w:pPr>
  </w:p>
  <w:p w:rsidR="00C36C85" w:rsidRDefault="00C36C85" w:rsidP="00540F02">
    <w:pPr>
      <w:pStyle w:val="Header"/>
      <w:rPr>
        <w:sz w:val="16"/>
        <w:szCs w:val="16"/>
      </w:rPr>
    </w:pPr>
  </w:p>
  <w:p w:rsidR="00C36C85" w:rsidRPr="00540F02" w:rsidRDefault="00C36C85"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6C85" w:rsidRDefault="00B757DB">
    <w:pPr>
      <w:pStyle w:val="Header"/>
    </w:pPr>
    <w:r>
      <w:rPr>
        <w:noProof/>
        <w:lang w:eastAsia="en-US"/>
      </w:rPr>
      <mc:AlternateContent>
        <mc:Choice Requires="wps">
          <w:drawing>
            <wp:anchor distT="0" distB="0" distL="114300" distR="114300" simplePos="0" relativeHeight="251654656" behindDoc="1" locked="0" layoutInCell="1" allowOverlap="1">
              <wp:simplePos x="0" y="0"/>
              <wp:positionH relativeFrom="page">
                <wp:posOffset>942975</wp:posOffset>
              </wp:positionH>
              <wp:positionV relativeFrom="page">
                <wp:posOffset>947420</wp:posOffset>
              </wp:positionV>
              <wp:extent cx="1998980" cy="229870"/>
              <wp:effectExtent l="0" t="0" r="0" b="0"/>
              <wp:wrapNone/>
              <wp:docPr id="131684086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C85" w:rsidRPr="00FF1D30" w:rsidRDefault="00C36C8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55" type="#_x0000_t202" style="position:absolute;margin-left:74.2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" filled="f" stroked="f">
              <v:path arrowok="t"/>
              <v:textbox inset="0,0,0,0">
                <w:txbxContent>
                  <w:p w:rsidR="00C36C85" w:rsidRPr="00FF1D30" w:rsidRDefault="00C36C8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en-US"/>
      </w:rPr>
      <mc:AlternateContent>
        <mc:Choice Requires="wps">
          <w:drawing>
            <wp:anchor distT="0" distB="0" distL="114300" distR="114300" simplePos="0" relativeHeight="251661824" behindDoc="1" locked="0" layoutInCell="1" allowOverlap="1">
              <wp:simplePos x="0" y="0"/>
              <wp:positionH relativeFrom="page">
                <wp:posOffset>6464300</wp:posOffset>
              </wp:positionH>
              <wp:positionV relativeFrom="page">
                <wp:posOffset>439420</wp:posOffset>
              </wp:positionV>
              <wp:extent cx="231775" cy="177800"/>
              <wp:effectExtent l="0" t="0" r="0" b="0"/>
              <wp:wrapNone/>
              <wp:docPr id="83253256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D2FF5">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56" type="#_x0000_t202" style="position:absolute;margin-left:509pt;margin-top:34.6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" filled="f" stroked="f">
              <v:path arrowok="t"/>
              <v:textbox inset="0,0,0,0">
                <w:txbxContent>
                  <w:p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D2FF5">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extent cx="1092200" cy="508000"/>
          <wp:effectExtent l="0" t="0" r="0" b="0"/>
          <wp:docPr id="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rsidR="00C36C85" w:rsidRDefault="00C36C85">
    <w:pPr>
      <w:pStyle w:val="Header"/>
      <w:rPr>
        <w:sz w:val="16"/>
        <w:szCs w:val="16"/>
      </w:rPr>
    </w:pPr>
  </w:p>
  <w:p w:rsidR="00C36C85" w:rsidRDefault="00C36C85">
    <w:pPr>
      <w:pStyle w:val="Header"/>
      <w:rPr>
        <w:sz w:val="16"/>
        <w:szCs w:val="16"/>
      </w:rPr>
    </w:pPr>
  </w:p>
  <w:p w:rsidR="00C36C85" w:rsidRPr="00FF1D30" w:rsidRDefault="00C36C85">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BA1038"/>
    <w:multiLevelType w:val="multilevel"/>
    <w:tmpl w:val="E8B64E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1967584"/>
    <w:multiLevelType w:val="multilevel"/>
    <w:tmpl w:val="215AFF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8"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9"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3E15026"/>
    <w:multiLevelType w:val="multilevel"/>
    <w:tmpl w:val="EBF603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1A320E1"/>
    <w:multiLevelType w:val="multilevel"/>
    <w:tmpl w:val="0D582B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67CE1"/>
    <w:multiLevelType w:val="multilevel"/>
    <w:tmpl w:val="2BDA8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73B1D85"/>
    <w:multiLevelType w:val="multilevel"/>
    <w:tmpl w:val="3F029C1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2A91EF3"/>
    <w:multiLevelType w:val="multilevel"/>
    <w:tmpl w:val="F250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72604B"/>
    <w:multiLevelType w:val="multilevel"/>
    <w:tmpl w:val="C5C2312E"/>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5"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7"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0"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6FB41F20"/>
    <w:multiLevelType w:val="multilevel"/>
    <w:tmpl w:val="73005A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4D4382D"/>
    <w:multiLevelType w:val="hybridMultilevel"/>
    <w:tmpl w:val="9C3C2FF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5783D45"/>
    <w:multiLevelType w:val="multilevel"/>
    <w:tmpl w:val="8E26C8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7" w15:restartNumberingAfterBreak="0">
    <w:nsid w:val="770D0F59"/>
    <w:multiLevelType w:val="hybridMultilevel"/>
    <w:tmpl w:val="D534B0B2"/>
    <w:lvl w:ilvl="0" w:tplc="AF44740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7B3BD8"/>
    <w:multiLevelType w:val="multilevel"/>
    <w:tmpl w:val="35D0DE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14333659">
    <w:abstractNumId w:val="19"/>
  </w:num>
  <w:num w:numId="2" w16cid:durableId="1090931169">
    <w:abstractNumId w:val="10"/>
  </w:num>
  <w:num w:numId="3" w16cid:durableId="213975786">
    <w:abstractNumId w:val="12"/>
  </w:num>
  <w:num w:numId="4" w16cid:durableId="522323881">
    <w:abstractNumId w:val="30"/>
  </w:num>
  <w:num w:numId="5" w16cid:durableId="334261840">
    <w:abstractNumId w:val="29"/>
  </w:num>
  <w:num w:numId="6" w16cid:durableId="22945477">
    <w:abstractNumId w:val="28"/>
  </w:num>
  <w:num w:numId="7" w16cid:durableId="1502088051">
    <w:abstractNumId w:val="39"/>
  </w:num>
  <w:num w:numId="8" w16cid:durableId="391581749">
    <w:abstractNumId w:val="20"/>
  </w:num>
  <w:num w:numId="9" w16cid:durableId="930355902">
    <w:abstractNumId w:val="31"/>
  </w:num>
  <w:num w:numId="10" w16cid:durableId="659424748">
    <w:abstractNumId w:val="33"/>
  </w:num>
  <w:num w:numId="11" w16cid:durableId="997805181">
    <w:abstractNumId w:val="14"/>
  </w:num>
  <w:num w:numId="12" w16cid:durableId="680355249">
    <w:abstractNumId w:val="26"/>
  </w:num>
  <w:num w:numId="13" w16cid:durableId="607784661">
    <w:abstractNumId w:val="9"/>
  </w:num>
  <w:num w:numId="14" w16cid:durableId="1580480982">
    <w:abstractNumId w:val="0"/>
  </w:num>
  <w:num w:numId="15" w16cid:durableId="2131894804">
    <w:abstractNumId w:val="41"/>
  </w:num>
  <w:num w:numId="16" w16cid:durableId="537010921">
    <w:abstractNumId w:val="27"/>
  </w:num>
  <w:num w:numId="17" w16cid:durableId="570503792">
    <w:abstractNumId w:val="38"/>
  </w:num>
  <w:num w:numId="18" w16cid:durableId="289475749">
    <w:abstractNumId w:val="36"/>
  </w:num>
  <w:num w:numId="19" w16cid:durableId="1241718323">
    <w:abstractNumId w:val="25"/>
  </w:num>
  <w:num w:numId="20" w16cid:durableId="974259314">
    <w:abstractNumId w:val="7"/>
  </w:num>
  <w:num w:numId="21" w16cid:durableId="53358674">
    <w:abstractNumId w:val="1"/>
  </w:num>
  <w:num w:numId="22" w16cid:durableId="1974673801">
    <w:abstractNumId w:val="15"/>
  </w:num>
  <w:num w:numId="23" w16cid:durableId="228082594">
    <w:abstractNumId w:val="2"/>
  </w:num>
  <w:num w:numId="24" w16cid:durableId="240725667">
    <w:abstractNumId w:val="3"/>
  </w:num>
  <w:num w:numId="25" w16cid:durableId="948002289">
    <w:abstractNumId w:val="4"/>
  </w:num>
  <w:num w:numId="26" w16cid:durableId="167713568">
    <w:abstractNumId w:val="13"/>
  </w:num>
  <w:num w:numId="27" w16cid:durableId="1660037807">
    <w:abstractNumId w:val="17"/>
  </w:num>
  <w:num w:numId="28" w16cid:durableId="1347749488">
    <w:abstractNumId w:val="8"/>
  </w:num>
  <w:num w:numId="29" w16cid:durableId="178550207">
    <w:abstractNumId w:val="22"/>
  </w:num>
  <w:num w:numId="30" w16cid:durableId="1724597183">
    <w:abstractNumId w:val="32"/>
  </w:num>
  <w:num w:numId="31" w16cid:durableId="961693857">
    <w:abstractNumId w:val="5"/>
  </w:num>
  <w:num w:numId="32" w16cid:durableId="1410345941">
    <w:abstractNumId w:val="18"/>
  </w:num>
  <w:num w:numId="33" w16cid:durableId="872305461">
    <w:abstractNumId w:val="23"/>
  </w:num>
  <w:num w:numId="34" w16cid:durableId="135416455">
    <w:abstractNumId w:val="35"/>
  </w:num>
  <w:num w:numId="35" w16cid:durableId="265580001">
    <w:abstractNumId w:val="11"/>
  </w:num>
  <w:num w:numId="36" w16cid:durableId="310869558">
    <w:abstractNumId w:val="6"/>
  </w:num>
  <w:num w:numId="37" w16cid:durableId="1193348885">
    <w:abstractNumId w:val="21"/>
  </w:num>
  <w:num w:numId="38" w16cid:durableId="1678771822">
    <w:abstractNumId w:val="40"/>
  </w:num>
  <w:num w:numId="39" w16cid:durableId="1188133423">
    <w:abstractNumId w:val="24"/>
  </w:num>
  <w:num w:numId="40" w16cid:durableId="1216624892">
    <w:abstractNumId w:val="16"/>
  </w:num>
  <w:num w:numId="41" w16cid:durableId="1295595151">
    <w:abstractNumId w:val="34"/>
  </w:num>
  <w:num w:numId="42" w16cid:durableId="514660204">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0F12"/>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909"/>
    <w:rsid w:val="00287EDB"/>
    <w:rsid w:val="00295FB9"/>
    <w:rsid w:val="002961FA"/>
    <w:rsid w:val="002A293E"/>
    <w:rsid w:val="002A4E05"/>
    <w:rsid w:val="002C2843"/>
    <w:rsid w:val="002C2FAC"/>
    <w:rsid w:val="002D0F54"/>
    <w:rsid w:val="002D1D04"/>
    <w:rsid w:val="002D2B29"/>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B4EE9"/>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5F333D"/>
    <w:rsid w:val="006035FA"/>
    <w:rsid w:val="006052AE"/>
    <w:rsid w:val="0061613E"/>
    <w:rsid w:val="0062129F"/>
    <w:rsid w:val="00622926"/>
    <w:rsid w:val="0062388D"/>
    <w:rsid w:val="006352D0"/>
    <w:rsid w:val="006419D1"/>
    <w:rsid w:val="006538D6"/>
    <w:rsid w:val="00654B07"/>
    <w:rsid w:val="00674CB5"/>
    <w:rsid w:val="00680536"/>
    <w:rsid w:val="006902BB"/>
    <w:rsid w:val="006A511E"/>
    <w:rsid w:val="006A7DFF"/>
    <w:rsid w:val="006B0510"/>
    <w:rsid w:val="006B2D02"/>
    <w:rsid w:val="006B6E0F"/>
    <w:rsid w:val="006C65C4"/>
    <w:rsid w:val="006C6EBD"/>
    <w:rsid w:val="006C7730"/>
    <w:rsid w:val="006D6149"/>
    <w:rsid w:val="006D782E"/>
    <w:rsid w:val="006E2F83"/>
    <w:rsid w:val="006E3364"/>
    <w:rsid w:val="006E7FC3"/>
    <w:rsid w:val="006F411A"/>
    <w:rsid w:val="00704378"/>
    <w:rsid w:val="00707398"/>
    <w:rsid w:val="007169EC"/>
    <w:rsid w:val="00727B9E"/>
    <w:rsid w:val="007315EF"/>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61DD"/>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373B"/>
    <w:rsid w:val="009F409C"/>
    <w:rsid w:val="009F6F7B"/>
    <w:rsid w:val="00A03126"/>
    <w:rsid w:val="00A13315"/>
    <w:rsid w:val="00A175E3"/>
    <w:rsid w:val="00A27B34"/>
    <w:rsid w:val="00A37C4B"/>
    <w:rsid w:val="00A4345E"/>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57EFB"/>
    <w:rsid w:val="00B70E6B"/>
    <w:rsid w:val="00B757D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6C85"/>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0192C"/>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1250"/>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D2FF5"/>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1D2638"/>
  <w14:defaultImageDpi w14:val="0"/>
  <w15:docId w15:val="{54D11317-DBD8-46CA-BFEE-0C76AE1C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D2DAC"/>
    <w:pPr>
      <w:jc w:val="center"/>
    </w:pPr>
    <w:rPr>
      <w:b/>
      <w:bCs/>
      <w:sz w:val="24"/>
      <w:szCs w:val="24"/>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PageNumber">
    <w:name w:val="page number"/>
    <w:basedOn w:val="DefaultParagraphFont"/>
    <w:uiPriority w:val="99"/>
    <w:rsid w:val="002D2DAC"/>
    <w:rPr>
      <w:rFonts w:cs="Times New Roman"/>
    </w:rPr>
  </w:style>
  <w:style w:type="paragraph" w:styleId="Footer">
    <w:name w:val="footer"/>
    <w:basedOn w:val="Normal"/>
    <w:link w:val="FooterChar"/>
    <w:uiPriority w:val="99"/>
    <w:rsid w:val="002D2DAC"/>
    <w:pPr>
      <w:tabs>
        <w:tab w:val="center" w:pos="4320"/>
        <w:tab w:val="right" w:pos="8640"/>
      </w:tabs>
    </w:pPr>
  </w:style>
  <w:style w:type="paragraph" w:styleId="BodyText">
    <w:name w:val="Body Text"/>
    <w:basedOn w:val="Normal"/>
    <w:link w:val="BodyTextChar"/>
    <w:uiPriority w:val="1"/>
    <w:qFormat/>
    <w:rsid w:val="00C26170"/>
    <w:pPr>
      <w:spacing w:after="120"/>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erChar">
    <w:name w:val="Footer Char"/>
    <w:basedOn w:val="DefaultParagraphFont"/>
    <w:link w:val="Footer"/>
    <w:uiPriority w:val="99"/>
    <w:locked/>
    <w:rPr>
      <w:rFonts w:cs="Times New Roman"/>
      <w:sz w:val="20"/>
      <w:lang w:val="x-none" w:eastAsia="en-GB"/>
    </w:rPr>
  </w:style>
  <w:style w:type="character" w:customStyle="1" w:styleId="go">
    <w:name w:val="go"/>
    <w:rsid w:val="008765A5"/>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paragraph" w:styleId="Header">
    <w:name w:val="header"/>
    <w:basedOn w:val="Normal"/>
    <w:link w:val="HeaderChar"/>
    <w:uiPriority w:val="99"/>
    <w:unhideWhenUsed/>
    <w:rsid w:val="007D5BA1"/>
    <w:pPr>
      <w:tabs>
        <w:tab w:val="center" w:pos="4680"/>
        <w:tab w:val="right" w:pos="9360"/>
      </w:tabs>
    </w:p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BodyText3Char">
    <w:name w:val="Body Text 3 Char"/>
    <w:basedOn w:val="DefaultParagraphFont"/>
    <w:link w:val="BodyText3"/>
    <w:uiPriority w:val="99"/>
    <w:locked/>
    <w:rsid w:val="008765A5"/>
    <w:rPr>
      <w:rFonts w:cs="Times New Roman"/>
      <w:sz w:val="16"/>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styleId="Hyperlink">
    <w:name w:val="Hyperlink"/>
    <w:basedOn w:val="DefaultParagraphFont"/>
    <w:uiPriority w:val="99"/>
    <w:rsid w:val="00D775DE"/>
    <w:rPr>
      <w:rFonts w:cs="Times New Roman"/>
      <w:color w:val="0000FF"/>
      <w:u w:val="single"/>
    </w:r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character" w:customStyle="1" w:styleId="hps">
    <w:name w:val="hps"/>
    <w:rsid w:val="00796A75"/>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BodyTextIndent3Char">
    <w:name w:val="Body Text Indent 3 Char"/>
    <w:basedOn w:val="DefaultParagraphFont"/>
    <w:link w:val="BodyTextIndent3"/>
    <w:uiPriority w:val="99"/>
    <w:locked/>
    <w:rsid w:val="00D67104"/>
    <w:rPr>
      <w:rFonts w:cs="Times New Roman"/>
      <w:sz w:val="16"/>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829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31578/.v8i2.165" TargetMode="External"/><Relationship Id="rId21" Type="http://schemas.openxmlformats.org/officeDocument/2006/relationships/hyperlink" Target="https://doi.org/10.1057/s41295-019-00154-9" TargetMode="External"/><Relationship Id="rId34" Type="http://schemas.openxmlformats.org/officeDocument/2006/relationships/hyperlink" Target="https://doi.org/10.18421/TEM94-30" TargetMode="External"/><Relationship Id="rId42" Type="http://schemas.openxmlformats.org/officeDocument/2006/relationships/hyperlink" Target="https://ideas.repec.org/a/asr/journl/v9y2019ispecialp117-126.html" TargetMode="External"/><Relationship Id="rId47" Type="http://schemas.openxmlformats.org/officeDocument/2006/relationships/hyperlink" Target="https://doi.org/10.18372/2307-9061.60.15953" TargetMode="External"/><Relationship Id="rId50" Type="http://schemas.openxmlformats.org/officeDocument/2006/relationships/hyperlink" Target="https://doi.org/10.15688/lc.jvolsu.2021.2.5" TargetMode="External"/><Relationship Id="rId55" Type="http://schemas.openxmlformats.org/officeDocument/2006/relationships/hyperlink" Target="https://doi.org/10.1163/15730352-bja10085" TargetMode="External"/><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1017/jlc.2022.3" TargetMode="External"/><Relationship Id="rId29" Type="http://schemas.openxmlformats.org/officeDocument/2006/relationships/hyperlink" Target="https://doi.org/10.1007/s10611-023-10090-1" TargetMode="External"/><Relationship Id="rId11" Type="http://schemas.openxmlformats.org/officeDocument/2006/relationships/image" Target="media/image3.png"/><Relationship Id="rId24" Type="http://schemas.openxmlformats.org/officeDocument/2006/relationships/hyperlink" Target="https://papers.ssrn.com/sol3/papers.cfm?abstract_id=2457360" TargetMode="External"/><Relationship Id="rId32" Type="http://schemas.openxmlformats.org/officeDocument/2006/relationships/hyperlink" Target="https://doi.org/10.32849/2663-5313/2022.5.14" TargetMode="External"/><Relationship Id="rId37" Type="http://schemas.openxmlformats.org/officeDocument/2006/relationships/hyperlink" Target="https://doi.org/10.57125/fel.2022.09.25.03" TargetMode="External"/><Relationship Id="rId40" Type="http://schemas.openxmlformats.org/officeDocument/2006/relationships/hyperlink" Target="https://doi.org/10.18060/18268" TargetMode="External"/><Relationship Id="rId45" Type="http://schemas.openxmlformats.org/officeDocument/2006/relationships/hyperlink" Target="https://doi.org/10.5604/01.3001.0054.4689" TargetMode="External"/><Relationship Id="rId53" Type="http://schemas.openxmlformats.org/officeDocument/2006/relationships/hyperlink" Target="https://doi.org/10.31893/multirev.2024spe026" TargetMode="External"/><Relationship Id="rId58" Type="http://schemas.openxmlformats.org/officeDocument/2006/relationships/hyperlink" Target="https://doi.org/10.18256/2238-0604.2024.v20i1.4987" TargetMode="External"/><Relationship Id="rId66" Type="http://schemas.openxmlformats.org/officeDocument/2006/relationships/footer" Target="footer3.xml"/><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hyperlink" Target="https://doi.org/10.57125/fs.2024.12.20.06" TargetMode="External"/><Relationship Id="rId14" Type="http://schemas.openxmlformats.org/officeDocument/2006/relationships/hyperlink" Target="https://doi.org/10.46398/cuestpol.4177.07" TargetMode="External"/><Relationship Id="rId22" Type="http://schemas.openxmlformats.org/officeDocument/2006/relationships/hyperlink" Target="https://doi.org/10.6000/1929-4409.2021.10.49" TargetMode="External"/><Relationship Id="rId27" Type="http://schemas.openxmlformats.org/officeDocument/2006/relationships/hyperlink" Target="https://justlictors.com.ua/en/statistics-of-enforcement-success/" TargetMode="External"/><Relationship Id="rId30" Type="http://schemas.openxmlformats.org/officeDocument/2006/relationships/hyperlink" Target="https://www.coe.int/en/web/execution/ukraine" TargetMode="External"/><Relationship Id="rId35" Type="http://schemas.openxmlformats.org/officeDocument/2006/relationships/hyperlink" Target="https://doi.org/10.30525/978-9934-26-453-5-45" TargetMode="External"/><Relationship Id="rId43" Type="http://schemas.openxmlformats.org/officeDocument/2006/relationships/hyperlink" Target="https://doi.org/10.62872/gtygez33" TargetMode="External"/><Relationship Id="rId48" Type="http://schemas.openxmlformats.org/officeDocument/2006/relationships/hyperlink" Target="https://lbsherald.org/index.php/journal/article/view/65" TargetMode="External"/><Relationship Id="rId56" Type="http://schemas.openxmlformats.org/officeDocument/2006/relationships/hyperlink" Target="https://doi.org/10.34625/issn.2183-2705(34)2023.ic-13" TargetMode="External"/><Relationship Id="rId64" Type="http://schemas.openxmlformats.org/officeDocument/2006/relationships/footer" Target="footer2.xml"/><Relationship Id="rId8" Type="http://schemas.openxmlformats.org/officeDocument/2006/relationships/hyperlink" Target="https://creativecommons.org/licenses/by/4.0/" TargetMode="External"/><Relationship Id="rId51" Type="http://schemas.openxmlformats.org/officeDocument/2006/relationships/hyperlink" Target="https://doi.org/10.62754/joe.v3i3.3349" TargetMode="External"/><Relationship Id="rId3" Type="http://schemas.openxmlformats.org/officeDocument/2006/relationships/settings" Target="settings.xml"/><Relationship Id="rId12" Type="http://schemas.openxmlformats.org/officeDocument/2006/relationships/oleObject" Target="embeddings/Microsoft_Excel_97-2004_Worksheet1.xls"/><Relationship Id="rId17" Type="http://schemas.openxmlformats.org/officeDocument/2006/relationships/hyperlink" Target="https://doi.org/10.62951/ijls.v1i2.37" TargetMode="External"/><Relationship Id="rId25" Type="http://schemas.openxmlformats.org/officeDocument/2006/relationships/hyperlink" Target="https://doi.org/10.33327/ajee-18-5.2-n000329" TargetMode="External"/><Relationship Id="rId33" Type="http://schemas.openxmlformats.org/officeDocument/2006/relationships/hyperlink" Target="https://pubmed.ncbi.nlm.nih.gov/29783262/" TargetMode="External"/><Relationship Id="rId38" Type="http://schemas.openxmlformats.org/officeDocument/2006/relationships/hyperlink" Target="https://doi.org/10.2139/ssrn.4554325" TargetMode="External"/><Relationship Id="rId46" Type="http://schemas.openxmlformats.org/officeDocument/2006/relationships/hyperlink" Target="https://doi.org/10.1163/15730352-bja10079" TargetMode="External"/><Relationship Id="rId59" Type="http://schemas.openxmlformats.org/officeDocument/2006/relationships/hyperlink" Target="https://doi.org/10.32782/TNU-2663-6468/2022.6/04" TargetMode="External"/><Relationship Id="rId67" Type="http://schemas.openxmlformats.org/officeDocument/2006/relationships/fontTable" Target="fontTable.xml"/><Relationship Id="rId20" Type="http://schemas.openxmlformats.org/officeDocument/2006/relationships/hyperlink" Target="https://doi.org/10.1177/00104140231152769" TargetMode="External"/><Relationship Id="rId41" Type="http://schemas.openxmlformats.org/officeDocument/2006/relationships/hyperlink" Target="https://doi.org/10.24818/tbj/2023/13/2.06" TargetMode="External"/><Relationship Id="rId54" Type="http://schemas.openxmlformats.org/officeDocument/2006/relationships/hyperlink" Target="https://doi.org/10.57125/elij.2024.03.25.03" TargetMode="External"/><Relationship Id="rId62"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53955/jsderi.v2i1.25" TargetMode="External"/><Relationship Id="rId23" Type="http://schemas.openxmlformats.org/officeDocument/2006/relationships/hyperlink" Target="https://doi.org/10.30525/978-9934-571-54-1-6" TargetMode="External"/><Relationship Id="rId28" Type="http://schemas.openxmlformats.org/officeDocument/2006/relationships/hyperlink" Target="https://data.gov.ua/dataset/ediniy-derzhavniy-reestr-sudovih-rishen-za-2022-rik_763" TargetMode="External"/><Relationship Id="rId36" Type="http://schemas.openxmlformats.org/officeDocument/2006/relationships/hyperlink" Target="https://zakon.rada.gov.ua/laws/show/1404" TargetMode="External"/><Relationship Id="rId49" Type="http://schemas.openxmlformats.org/officeDocument/2006/relationships/hyperlink" Target="https://doi.org/10.6000/1929-4409.2020.09.69" TargetMode="External"/><Relationship Id="rId57" Type="http://schemas.openxmlformats.org/officeDocument/2006/relationships/hyperlink" Target="https://doi.org/10.2139/ssrn.3994918" TargetMode="External"/><Relationship Id="rId10" Type="http://schemas.openxmlformats.org/officeDocument/2006/relationships/oleObject" Target="embeddings/Microsoft_Excel_97-2004_Worksheet.xls"/><Relationship Id="rId31" Type="http://schemas.openxmlformats.org/officeDocument/2006/relationships/hyperlink" Target="https://doi.org/10.29303/ius.v12i1.1316" TargetMode="External"/><Relationship Id="rId44" Type="http://schemas.openxmlformats.org/officeDocument/2006/relationships/hyperlink" Target="https://doi.org/10.5040/9781509946495.ch-001" TargetMode="External"/><Relationship Id="rId52" Type="http://schemas.openxmlformats.org/officeDocument/2006/relationships/hyperlink" Target="https://doi.org/10.57125/fp.2022.03.30.03" TargetMode="External"/><Relationship Id="rId60" Type="http://schemas.openxmlformats.org/officeDocument/2006/relationships/hyperlink" Target="https://doi.org/10.62768/tbj/2024/14/1/06" TargetMode="External"/><Relationship Id="rId65"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hyperlink" Target="https://doi.org/10.46398/cuestpol.4179.38" TargetMode="External"/><Relationship Id="rId18" Type="http://schemas.openxmlformats.org/officeDocument/2006/relationships/hyperlink" Target="https://doi.org/10.1017/elo.2022.48" TargetMode="External"/><Relationship Id="rId39" Type="http://schemas.openxmlformats.org/officeDocument/2006/relationships/hyperlink" Target="https://ideas.repec.org/a/asr/journl/v9y2019i2p436-454.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7782</Words>
  <Characters>44364</Characters>
  <Application>Microsoft Office Word</Application>
  <DocSecurity>0</DocSecurity>
  <Lines>369</Lines>
  <Paragraphs>104</Paragraphs>
  <ScaleCrop>false</ScaleCrop>
  <Company>UIN Malang</Company>
  <LinksUpToDate>false</LinksUpToDate>
  <CharactersWithSpaces>52042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user</cp:lastModifiedBy>
  <cp:revision>2</cp:revision>
  <cp:lastPrinted>2008-11-01T10:52:00Z</cp:lastPrinted>
  <dcterms:created xsi:type="dcterms:W3CDTF">2025-04-05T01:50:00Z</dcterms:created>
  <dcterms:modified xsi:type="dcterms:W3CDTF">2025-04-05T01:50:00Z</dcterms:modified>
</cp:coreProperties>
</file>