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xls" ContentType="application/vnd.ms-excel"/>
  <Override PartName="/word/embeddings/oleObject2.xls" ContentType="application/vnd.ms-exce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4.11.0 -->
  <w:body>
    <w:p w:rsidR="00DE1E48" w:rsidRPr="002C2843" w:rsidP="00122F5F" w14:paraId="6952C2AD" w14:textId="77777777">
      <w:pPr>
        <w:rPr>
          <w:rFonts w:ascii="Calibri Light" w:hAnsi="Calibri Light" w:cs="Calibri Light"/>
          <w:b/>
          <w:bCs/>
          <w:sz w:val="24"/>
          <w:szCs w:val="24"/>
          <w:lang w:val="uk-UA"/>
        </w:rPr>
      </w:pPr>
    </w:p>
    <w:p w:rsidR="00974627" w:rsidRPr="00974627" w:rsidP="00122F5F" w14:paraId="1A1EF18F" w14:textId="02189565">
      <w:pPr>
        <w:rPr>
          <w:rFonts w:ascii="Calibri Light" w:hAnsi="Calibri Light" w:cs="Calibri Light"/>
          <w:b/>
          <w:bCs/>
          <w:sz w:val="28"/>
          <w:szCs w:val="28"/>
          <w:lang w:val="uk-UA"/>
        </w:rPr>
      </w:pPr>
      <w:r w:rsidRPr="00974627">
        <w:rPr>
          <w:rFonts w:ascii="Calibri Light" w:hAnsi="Calibri Light" w:cs="Calibri Light"/>
          <w:b/>
          <w:bCs/>
          <w:sz w:val="28"/>
          <w:szCs w:val="28"/>
          <w:highlight w:val="yellow"/>
        </w:rPr>
        <w:t xml:space="preserve">Factors and Proposals for Improving the Efficiency of </w:t>
      </w:r>
      <w:r w:rsidR="00D762C2">
        <w:rPr>
          <w:rFonts w:ascii="Calibri Light" w:hAnsi="Calibri Light" w:cs="Calibri Light"/>
          <w:b/>
          <w:bCs/>
          <w:sz w:val="28"/>
          <w:szCs w:val="28"/>
          <w:highlight w:val="yellow"/>
        </w:rPr>
        <w:t xml:space="preserve">the </w:t>
      </w:r>
      <w:r w:rsidRPr="00974627">
        <w:rPr>
          <w:rFonts w:ascii="Calibri Light" w:hAnsi="Calibri Light" w:cs="Calibri Light"/>
          <w:b/>
          <w:bCs/>
          <w:sz w:val="28"/>
          <w:szCs w:val="28"/>
          <w:highlight w:val="yellow"/>
        </w:rPr>
        <w:t>Enforcement of Judicial Decisions in Ukraine</w:t>
      </w:r>
    </w:p>
    <w:p w:rsidR="00DE1E48" w:rsidRPr="00122F5F" w:rsidP="001D7DEE" w14:paraId="4708813E" w14:textId="77777777">
      <w:pPr>
        <w:jc w:val="center"/>
        <w:rPr>
          <w:rFonts w:ascii="Calibri Light" w:hAnsi="Calibri Light" w:cs="Calibri Light"/>
          <w:sz w:val="24"/>
          <w:szCs w:val="24"/>
        </w:rPr>
      </w:pPr>
    </w:p>
    <w:p w:rsidR="00DE1E48" w:rsidRPr="00122F5F" w:rsidP="001D7DEE" w14:paraId="2C52FA2C" w14:textId="77777777">
      <w:pPr>
        <w:jc w:val="center"/>
        <w:rPr>
          <w:rFonts w:ascii="Calibri Light" w:hAnsi="Calibri Light" w:cs="Calibri Light"/>
          <w:sz w:val="24"/>
          <w:szCs w:val="24"/>
        </w:rPr>
      </w:pPr>
    </w:p>
    <w:p w:rsidR="00863A78" w:rsidRPr="00863A78" w:rsidP="00863A78" w14:paraId="06542AE0" w14:textId="77777777">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P="00863A78" w14:paraId="65FD9263" w14:textId="68B2CA19">
      <w:pPr>
        <w:ind w:right="737"/>
        <w:rPr>
          <w:rFonts w:ascii="Calibri Light" w:hAnsi="Calibri Light" w:cs="Calibri Light"/>
          <w:spacing w:val="1"/>
        </w:rPr>
      </w:pPr>
      <w:r w:rsidRPr="00863A78">
        <w:rPr>
          <w:rFonts w:ascii="Calibri Light" w:hAnsi="Calibri Light" w:cs="Calibri Light"/>
        </w:rPr>
        <w:t>Rev.</w:t>
      </w:r>
      <w:r w:rsidR="00D762C2">
        <w:rPr>
          <w:rFonts w:ascii="Calibri Light" w:hAnsi="Calibri Light" w:cs="Calibri Light"/>
        </w:rPr>
        <w:t>.</w:t>
      </w:r>
      <w:r w:rsidRPr="00863A78">
        <w:rPr>
          <w:rFonts w:ascii="Calibri Light" w:hAnsi="Calibri Light" w:cs="Calibri Light"/>
        </w:rPr>
        <w:t xml:space="preserve"> </w:t>
      </w:r>
      <w:r w:rsidRPr="00863A78">
        <w:rPr>
          <w:rFonts w:ascii="Calibri Light" w:hAnsi="Calibri Light" w:cs="Calibri Light"/>
        </w:rPr>
        <w:t>Req</w:t>
      </w:r>
      <w:r w:rsidRPr="00863A78">
        <w:rPr>
          <w:rFonts w:ascii="Calibri Light" w:hAnsi="Calibri Light" w:cs="Calibri Light"/>
        </w:rPr>
        <w:t>:</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P="00863A78" w14:paraId="4BE5D6F3" w14:textId="77777777">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P="00863A78" w14:paraId="4B741333" w14:textId="77777777">
      <w:pPr>
        <w:ind w:right="737"/>
        <w:rPr>
          <w:rFonts w:ascii="Calibri Light" w:hAnsi="Calibri Light" w:cs="Calibri Light"/>
          <w:b/>
          <w:bCs/>
        </w:rPr>
      </w:pPr>
    </w:p>
    <w:p w:rsidR="00863A78" w:rsidRPr="00863A78" w:rsidP="00863A78" w14:paraId="3F116D16" w14:textId="77777777">
      <w:pPr>
        <w:ind w:right="737"/>
        <w:rPr>
          <w:rFonts w:ascii="Calibri Light" w:hAnsi="Calibri Light" w:cs="Calibri Light"/>
          <w:b/>
          <w:bCs/>
        </w:rPr>
      </w:pPr>
      <w:r>
        <w:rPr>
          <w:rFonts w:ascii="Calibri Light" w:hAnsi="Calibri Light" w:cs="Calibri Light"/>
          <w:noProof/>
          <w:position w:val="-13"/>
          <w:lang w:val="ru-RU" w:eastAsia="ru-RU"/>
        </w:rPr>
        <w:drawing>
          <wp:inline distT="0" distB="0" distL="0" distR="0">
            <wp:extent cx="254000" cy="254000"/>
            <wp:effectExtent l="0" t="0" r="0" b="0"/>
            <wp:docPr id="1" name="image2.jpeg"/>
            <wp:cNvGraphicFramePr/>
            <a:graphic xmlns:a="http://schemas.openxmlformats.org/drawingml/2006/main">
              <a:graphicData uri="http://schemas.openxmlformats.org/drawingml/2006/picture">
                <pic:pic xmlns:pic="http://schemas.openxmlformats.org/drawingml/2006/picture">
                  <pic:nvPicPr>
                    <pic:cNvPr id="1" name="image2.jpeg"/>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bwMode="auto">
                    <a:xfrm>
                      <a:off x="0" y="0"/>
                      <a:ext cx="254000" cy="254000"/>
                    </a:xfrm>
                    <a:prstGeom prst="rect">
                      <a:avLst/>
                    </a:prstGeom>
                    <a:noFill/>
                    <a:ln>
                      <a:noFill/>
                    </a:ln>
                  </pic:spPr>
                </pic:pic>
              </a:graphicData>
            </a:graphic>
          </wp:inline>
        </w:drawing>
      </w:r>
      <w:r w:rsidRPr="00863A78">
        <w:rPr>
          <w:rFonts w:ascii="Calibri Light" w:hAnsi="Calibri Light" w:cs="Calibri Light"/>
          <w:noProof/>
          <w:position w:val="-13"/>
        </w:rPr>
        <w:t xml:space="preserve"> </w:t>
      </w:r>
      <w:r w:rsidRPr="00863A78">
        <w:rPr>
          <w:rFonts w:ascii="Calibri Light" w:hAnsi="Calibri Light" w:cs="Calibri Light"/>
        </w:rPr>
        <w:t>10.5758/ijls.2022.1</w:t>
      </w:r>
      <w:r>
        <w:rPr>
          <w:rFonts w:ascii="Calibri Light" w:hAnsi="Calibri Light" w:cs="Calibri Light"/>
        </w:rPr>
        <w:t xml:space="preserve"> </w:t>
      </w:r>
    </w:p>
    <w:p w:rsidR="00863A78" w:rsidP="00863A78" w14:paraId="1A92AB81" w14:textId="77777777">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4"/>
      </w:tblGrid>
      <w:tr w14:paraId="3183C6ED" w14:textId="77777777" w:rsidTr="00540F02">
        <w:tblPrEx>
          <w:tblW w:w="0" w:type="auto"/>
          <w:tblLook w:val="04A0"/>
        </w:tblPrEx>
        <w:tc>
          <w:tcPr>
            <w:tcW w:w="9004" w:type="dxa"/>
            <w:tcBorders>
              <w:left w:val="nil"/>
              <w:right w:val="nil"/>
            </w:tcBorders>
          </w:tcPr>
          <w:p w:rsidR="00863A78" w:rsidRPr="00540F02" w:rsidP="00540F02" w14:paraId="07CA246C" w14:textId="77777777">
            <w:pPr>
              <w:ind w:right="2"/>
              <w:jc w:val="both"/>
              <w:rPr>
                <w:rFonts w:ascii="Calibri Light" w:hAnsi="Calibri Light" w:cs="Calibri Light"/>
                <w:sz w:val="12"/>
                <w:szCs w:val="12"/>
              </w:rPr>
            </w:pPr>
          </w:p>
          <w:p w:rsidR="00863A78" w:rsidRPr="00540F02" w:rsidP="00540F02" w14:paraId="70E3EB51" w14:textId="77777777">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
          <w:p w:rsidR="00863A78" w:rsidRPr="00540F02" w:rsidP="00540F02" w14:paraId="72C78972" w14:textId="77777777">
            <w:pPr>
              <w:ind w:right="2"/>
              <w:jc w:val="both"/>
              <w:rPr>
                <w:rFonts w:ascii="Calibri Light" w:hAnsi="Calibri Light" w:cs="Calibri Light"/>
                <w:color w:val="0462C1"/>
                <w:u w:val="single" w:color="0462C1"/>
              </w:rPr>
            </w:pPr>
          </w:p>
          <w:p w:rsidR="00863A78" w:rsidRPr="00540F02" w:rsidP="00540F02" w14:paraId="6BF0C08A" w14:textId="77777777">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8">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P="00540F02" w14:paraId="0E175E27" w14:textId="77777777">
            <w:pPr>
              <w:ind w:right="2"/>
              <w:jc w:val="both"/>
              <w:rPr>
                <w:rFonts w:ascii="Calibri Light" w:hAnsi="Calibri Light" w:cs="Calibri Light"/>
                <w:b/>
                <w:bCs/>
                <w:sz w:val="12"/>
                <w:szCs w:val="12"/>
              </w:rPr>
            </w:pPr>
          </w:p>
        </w:tc>
      </w:tr>
    </w:tbl>
    <w:p w:rsidR="00863A78" w:rsidP="00863A78" w14:paraId="277333E3" w14:textId="77777777">
      <w:pPr>
        <w:ind w:right="737"/>
        <w:rPr>
          <w:rFonts w:ascii="Calibri Light" w:hAnsi="Calibri Light" w:cs="Calibri Light"/>
          <w:b/>
          <w:bCs/>
          <w:sz w:val="24"/>
          <w:szCs w:val="24"/>
        </w:rPr>
      </w:pPr>
    </w:p>
    <w:p w:rsidR="00260D64" w:rsidRPr="00AF103E" w:rsidP="00540F02" w14:paraId="099A5160" w14:textId="0B761384">
      <w:pPr>
        <w:ind w:right="-1"/>
        <w:jc w:val="both"/>
        <w:rPr>
          <w:rFonts w:ascii="Calibri Light" w:hAnsi="Calibri Light" w:cs="Calibri Light"/>
          <w:i/>
          <w:iCs/>
          <w:noProof/>
          <w:color w:val="000000"/>
          <w:sz w:val="24"/>
          <w:szCs w:val="24"/>
          <w:lang w:val="uk-UA"/>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Pr="00362A23" w:rsidR="006E3364">
        <w:rPr>
          <w:rFonts w:ascii="Calibri Light" w:hAnsi="Calibri Light" w:cs="Calibri Light"/>
          <w:i/>
          <w:iCs/>
          <w:noProof/>
          <w:color w:val="000000"/>
          <w:sz w:val="24"/>
          <w:szCs w:val="24"/>
          <w:highlight w:val="yellow"/>
          <w:lang w:val="en-GB"/>
        </w:rPr>
        <w:t xml:space="preserve">This study aims to analyse the primary factors limiting the efficiency of judicial decision enforcement in Ukraine, identify the key determinants, and propose measures to enhance this process. The methodological foundation of the research </w:t>
      </w:r>
      <w:r w:rsidRPr="00362A23" w:rsidR="00505770">
        <w:rPr>
          <w:rFonts w:ascii="Calibri Light" w:hAnsi="Calibri Light" w:cs="Calibri Light"/>
          <w:i/>
          <w:iCs/>
          <w:noProof/>
          <w:color w:val="000000"/>
          <w:sz w:val="24"/>
          <w:szCs w:val="24"/>
          <w:highlight w:val="yellow"/>
          <w:lang w:val="en-GB"/>
        </w:rPr>
        <w:t>used</w:t>
      </w:r>
      <w:r w:rsidRPr="00362A23" w:rsidR="006E3364">
        <w:rPr>
          <w:rFonts w:ascii="Calibri Light" w:hAnsi="Calibri Light" w:cs="Calibri Light"/>
          <w:i/>
          <w:iCs/>
          <w:noProof/>
          <w:color w:val="000000"/>
          <w:sz w:val="24"/>
          <w:szCs w:val="24"/>
          <w:highlight w:val="yellow"/>
          <w:lang w:val="en-GB"/>
        </w:rPr>
        <w:t xml:space="preserve"> </w:t>
      </w:r>
      <w:r w:rsidR="00D762C2">
        <w:rPr>
          <w:rFonts w:ascii="Calibri Light" w:hAnsi="Calibri Light" w:cs="Calibri Light"/>
          <w:i/>
          <w:iCs/>
          <w:noProof/>
          <w:color w:val="000000"/>
          <w:sz w:val="24"/>
          <w:szCs w:val="24"/>
          <w:highlight w:val="yellow"/>
          <w:lang w:val="en-GB"/>
        </w:rPr>
        <w:t xml:space="preserve">an </w:t>
      </w:r>
      <w:r w:rsidRPr="00362A23" w:rsidR="006E3364">
        <w:rPr>
          <w:rFonts w:ascii="Calibri Light" w:hAnsi="Calibri Light" w:cs="Calibri Light"/>
          <w:i/>
          <w:iCs/>
          <w:noProof/>
          <w:color w:val="000000"/>
          <w:sz w:val="24"/>
          <w:szCs w:val="24"/>
          <w:highlight w:val="yellow"/>
          <w:lang w:val="en-GB"/>
        </w:rPr>
        <w:t xml:space="preserve">analysis of regulatory legal acts and scientific literature. </w:t>
      </w:r>
      <w:r w:rsidRPr="00362A23" w:rsidR="00362A23">
        <w:rPr>
          <w:rFonts w:ascii="Calibri Light" w:hAnsi="Calibri Light" w:cs="Calibri Light"/>
          <w:i/>
          <w:iCs/>
          <w:noProof/>
          <w:color w:val="000000"/>
          <w:sz w:val="24"/>
          <w:szCs w:val="24"/>
          <w:highlight w:val="yellow"/>
          <w:lang w:val="en-GB"/>
        </w:rPr>
        <w:t>A</w:t>
      </w:r>
      <w:r w:rsidRPr="00362A23" w:rsidR="006E3364">
        <w:rPr>
          <w:rFonts w:ascii="Calibri Light" w:hAnsi="Calibri Light" w:cs="Calibri Light"/>
          <w:i/>
          <w:iCs/>
          <w:noProof/>
          <w:color w:val="000000"/>
          <w:sz w:val="24"/>
          <w:szCs w:val="24"/>
          <w:highlight w:val="yellow"/>
          <w:lang w:val="en-GB"/>
        </w:rPr>
        <w:t xml:space="preserve">cademic sources were selected following the PRISMA </w:t>
      </w:r>
      <w:r w:rsidRPr="00362A23" w:rsidR="00362A23">
        <w:rPr>
          <w:rFonts w:ascii="Calibri Light" w:hAnsi="Calibri Light" w:cs="Calibri Light"/>
          <w:i/>
          <w:iCs/>
          <w:noProof/>
          <w:color w:val="000000"/>
          <w:sz w:val="24"/>
          <w:szCs w:val="24"/>
          <w:highlight w:val="yellow"/>
          <w:lang w:val="en-GB"/>
        </w:rPr>
        <w:t>method</w:t>
      </w:r>
      <w:r w:rsidRPr="00362A23" w:rsidR="006E3364">
        <w:rPr>
          <w:rFonts w:ascii="Calibri Light" w:hAnsi="Calibri Light" w:cs="Calibri Light"/>
          <w:i/>
          <w:iCs/>
          <w:noProof/>
          <w:color w:val="000000"/>
          <w:sz w:val="24"/>
          <w:szCs w:val="24"/>
          <w:highlight w:val="yellow"/>
          <w:lang w:val="en-GB"/>
        </w:rPr>
        <w:t>,</w:t>
      </w:r>
      <w:r w:rsidRPr="00362A23" w:rsidR="00505770">
        <w:rPr>
          <w:rFonts w:ascii="Calibri Light" w:hAnsi="Calibri Light" w:cs="Calibri Light"/>
          <w:i/>
          <w:iCs/>
          <w:noProof/>
          <w:color w:val="000000"/>
          <w:sz w:val="24"/>
          <w:szCs w:val="24"/>
          <w:highlight w:val="yellow"/>
          <w:lang w:val="en-GB"/>
        </w:rPr>
        <w:t xml:space="preserve"> </w:t>
      </w:r>
      <w:r w:rsidRPr="00362A23" w:rsidR="00505770">
        <w:rPr>
          <w:rFonts w:ascii="Calibri Light" w:hAnsi="Calibri Light" w:cs="Calibri Light"/>
          <w:i/>
          <w:iCs/>
          <w:noProof/>
          <w:color w:val="000000"/>
          <w:sz w:val="24"/>
          <w:szCs w:val="24"/>
          <w:highlight w:val="yellow"/>
          <w:lang w:val="uk-UA"/>
        </w:rPr>
        <w:t>which made it possible to attract the most relevant scientific literature (</w:t>
      </w:r>
      <w:r w:rsidRPr="00362A23" w:rsidR="006E3364">
        <w:rPr>
          <w:rFonts w:ascii="Calibri Light" w:hAnsi="Calibri Light" w:cs="Calibri Light"/>
          <w:i/>
          <w:iCs/>
          <w:noProof/>
          <w:color w:val="000000"/>
          <w:sz w:val="24"/>
          <w:szCs w:val="24"/>
          <w:highlight w:val="yellow"/>
          <w:lang w:val="en-GB"/>
        </w:rPr>
        <w:t>47 publications</w:t>
      </w:r>
      <w:r w:rsidRPr="00362A23" w:rsidR="00505770">
        <w:rPr>
          <w:rFonts w:ascii="Calibri Light" w:hAnsi="Calibri Light" w:cs="Calibri Light"/>
          <w:i/>
          <w:iCs/>
          <w:noProof/>
          <w:color w:val="000000"/>
          <w:sz w:val="24"/>
          <w:szCs w:val="24"/>
          <w:highlight w:val="yellow"/>
          <w:lang w:val="uk-UA"/>
        </w:rPr>
        <w:t>)</w:t>
      </w:r>
      <w:r w:rsidRPr="00362A23" w:rsidR="006E3364">
        <w:rPr>
          <w:rFonts w:ascii="Calibri Light" w:hAnsi="Calibri Light" w:cs="Calibri Light"/>
          <w:i/>
          <w:iCs/>
          <w:noProof/>
          <w:color w:val="000000"/>
          <w:sz w:val="24"/>
          <w:szCs w:val="24"/>
          <w:highlight w:val="yellow"/>
          <w:lang w:val="en-GB"/>
        </w:rPr>
        <w:t xml:space="preserve">. The findings highlight that the failure to enforce judicial decisions in Ukraine is a multifaceted issue requiring further resolution. Specific challenges include economic constraints, inconsistencies in accessing data from various databases and registers, corruption-related matters, and the disproportion between state and private executors. </w:t>
      </w:r>
      <w:r w:rsidRPr="00362A23" w:rsidR="00505770">
        <w:rPr>
          <w:rFonts w:ascii="Calibri Light" w:hAnsi="Calibri Light" w:cs="Calibri Light"/>
          <w:i/>
          <w:iCs/>
          <w:noProof/>
          <w:color w:val="000000"/>
          <w:sz w:val="24"/>
          <w:szCs w:val="24"/>
          <w:highlight w:val="yellow"/>
        </w:rPr>
        <w:t xml:space="preserve">Proposals for improvement include updating government programmes for the compensation of judicial debts and amending regulations on the sale of state property by lifting moratoriums on such sales. </w:t>
      </w:r>
      <w:r w:rsidR="00D762C2">
        <w:rPr>
          <w:rFonts w:ascii="Calibri Light" w:hAnsi="Calibri Light" w:cs="Calibri Light"/>
          <w:i/>
          <w:iCs/>
          <w:noProof/>
          <w:color w:val="000000"/>
          <w:sz w:val="24"/>
          <w:szCs w:val="24"/>
          <w:highlight w:val="yellow"/>
        </w:rPr>
        <w:t xml:space="preserve">It is also proposed to increase the state’s share to 75% and </w:t>
      </w:r>
      <w:r w:rsidRPr="00362A23" w:rsidR="00505770">
        <w:rPr>
          <w:rFonts w:ascii="Calibri Light" w:hAnsi="Calibri Light" w:cs="Calibri Light"/>
          <w:i/>
          <w:iCs/>
          <w:noProof/>
          <w:color w:val="000000"/>
          <w:sz w:val="24"/>
          <w:szCs w:val="24"/>
          <w:highlight w:val="yellow"/>
        </w:rPr>
        <w:t>restructure existing debts.</w:t>
      </w:r>
      <w:r w:rsidRPr="00362A23" w:rsidR="00505770">
        <w:rPr>
          <w:rFonts w:ascii="Calibri Light" w:hAnsi="Calibri Light" w:cs="Calibri Light"/>
          <w:i/>
          <w:iCs/>
          <w:noProof/>
          <w:color w:val="000000"/>
          <w:sz w:val="24"/>
          <w:szCs w:val="24"/>
          <w:highlight w:val="yellow"/>
          <w:lang w:val="uk-UA"/>
        </w:rPr>
        <w:t xml:space="preserve"> </w:t>
      </w:r>
      <w:r w:rsidRPr="00362A23" w:rsidR="006E3364">
        <w:rPr>
          <w:rFonts w:ascii="Calibri Light" w:hAnsi="Calibri Light" w:cs="Calibri Light"/>
          <w:i/>
          <w:iCs/>
          <w:noProof/>
          <w:color w:val="000000"/>
          <w:sz w:val="24"/>
          <w:szCs w:val="24"/>
          <w:highlight w:val="yellow"/>
          <w:lang w:val="en-GB"/>
        </w:rPr>
        <w:t>Another potential measure involves increasing the number of private</w:t>
      </w:r>
      <w:r w:rsidRPr="00362A23" w:rsidR="006E3364">
        <w:rPr>
          <w:rFonts w:ascii="Calibri Light" w:hAnsi="Calibri Light" w:cs="Calibri Light"/>
          <w:i/>
          <w:iCs/>
          <w:noProof/>
          <w:color w:val="000000"/>
          <w:sz w:val="24"/>
          <w:szCs w:val="24"/>
          <w:highlight w:val="yellow"/>
          <w:lang w:val="uk-UA"/>
        </w:rPr>
        <w:t xml:space="preserve"> </w:t>
      </w:r>
      <w:r w:rsidRPr="00362A23" w:rsidR="006E3364">
        <w:rPr>
          <w:rFonts w:ascii="Calibri Light" w:hAnsi="Calibri Light" w:cs="Calibri Light"/>
          <w:i/>
          <w:iCs/>
          <w:noProof/>
          <w:color w:val="000000"/>
          <w:sz w:val="24"/>
          <w:szCs w:val="24"/>
          <w:highlight w:val="yellow"/>
          <w:lang w:val="en-GB"/>
        </w:rPr>
        <w:t xml:space="preserve">executors, granting them broader powers, and improving their access to state information. </w:t>
      </w:r>
      <w:r w:rsidRPr="00362A23" w:rsidR="00A53EA3">
        <w:rPr>
          <w:rFonts w:ascii="Calibri Light" w:hAnsi="Calibri Light" w:cs="Calibri Light"/>
          <w:i/>
          <w:iCs/>
          <w:sz w:val="24"/>
          <w:szCs w:val="24"/>
          <w:highlight w:val="yellow"/>
          <w:lang w:val="en-GB"/>
        </w:rPr>
        <w:t>The methodology explicitly prioritised studies published in English to facilitate additional critique and analysis within the multinational research community, which tends to engage more actively with English-language publications.</w:t>
      </w:r>
      <w:r w:rsidRPr="00362A23" w:rsidR="00A53EA3">
        <w:rPr>
          <w:rFonts w:ascii="Calibri Light" w:hAnsi="Calibri Light" w:cs="Calibri Light"/>
          <w:i/>
          <w:iCs/>
          <w:noProof/>
          <w:color w:val="000000"/>
          <w:sz w:val="24"/>
          <w:szCs w:val="24"/>
          <w:highlight w:val="yellow"/>
          <w:lang w:val="uk-UA"/>
        </w:rPr>
        <w:t xml:space="preserve"> </w:t>
      </w:r>
      <w:r w:rsidRPr="00362A23" w:rsidR="006E3364">
        <w:rPr>
          <w:rFonts w:ascii="Calibri Light" w:hAnsi="Calibri Light" w:cs="Calibri Light"/>
          <w:i/>
          <w:iCs/>
          <w:noProof/>
          <w:color w:val="000000"/>
          <w:sz w:val="24"/>
          <w:szCs w:val="24"/>
          <w:highlight w:val="yellow"/>
          <w:lang w:val="en-GB"/>
        </w:rPr>
        <w:t>The conclusions emphasise that the current situation regarding the non-enforcement of judicial decisions requires further comprehensive reforms, particularly in the existing legislative framework.</w:t>
      </w:r>
      <w:r w:rsidRPr="00362A23" w:rsidR="00AF103E">
        <w:rPr>
          <w:rFonts w:ascii="Calibri Light" w:hAnsi="Calibri Light" w:cs="Calibri Light"/>
          <w:i/>
          <w:iCs/>
          <w:noProof/>
          <w:color w:val="000000"/>
          <w:sz w:val="24"/>
          <w:szCs w:val="24"/>
          <w:highlight w:val="yellow"/>
          <w:lang w:val="uk-UA"/>
        </w:rPr>
        <w:t xml:space="preserve"> A promising area for further research is the analysis of foreign practices that can be applied to Ukrainian realities.</w:t>
      </w:r>
    </w:p>
    <w:p w:rsidR="005F333D" w:rsidRPr="00122F5F" w:rsidP="00540F02" w14:paraId="0030956A" w14:textId="77777777">
      <w:pPr>
        <w:ind w:right="-1"/>
        <w:jc w:val="both"/>
        <w:rPr>
          <w:rFonts w:ascii="Calibri Light" w:hAnsi="Calibri Light" w:cs="Calibri Light"/>
          <w:noProof/>
          <w:color w:val="000000"/>
          <w:sz w:val="24"/>
          <w:szCs w:val="24"/>
          <w:lang w:val="id-ID"/>
        </w:rPr>
      </w:pPr>
    </w:p>
    <w:p w:rsidR="00DE1E48" w:rsidRPr="005F333D" w:rsidP="005F333D" w14:paraId="62E0A633" w14:textId="3F6FF133">
      <w:pPr>
        <w:ind w:right="-1"/>
        <w:jc w:val="both"/>
        <w:rPr>
          <w:rFonts w:ascii="Calibri Light" w:hAnsi="Calibri Light" w:cs="Calibri Light"/>
          <w:i/>
          <w:iCs/>
          <w:sz w:val="24"/>
          <w:szCs w:val="24"/>
          <w:lang w:val="id-ID"/>
        </w:rPr>
      </w:pPr>
      <w:r w:rsidRPr="00786986">
        <w:rPr>
          <w:rFonts w:ascii="Calibri Light" w:hAnsi="Calibri Light" w:cs="Calibri Light"/>
          <w:i/>
          <w:noProof/>
          <w:sz w:val="24"/>
          <w:szCs w:val="24"/>
          <w:highlight w:val="yellow"/>
          <w:lang w:val="id-ID"/>
        </w:rPr>
        <w:t>Penelitian ini bertujuan untuk menganalisis faktor-faktor utama yang membatasi efisiensi penegakan putusan pengadilan di Ukraina, mengidentifikasi faktor-faktor penentu utama, dan mengusulkan langkah-langkah untuk meningkatkan proses ini. Landasan metodologis penelitian ini menggunakan analisis peraturan perundang-undangan dan literatur ilmiah. Sumber-sumber akademis dipilih dengan mengikuti metode PRISMA, yang memungkinkan untuk menarik literatur ilmiah yang paling relevan (47 publikasi). Temuan penelitian ini menyoroti bahwa kegagalan dalam menegakkan putusan pengadilan di Ukraina merupakan masalah yang memiliki banyak sisi yang membutuhkan penyelesaian lebih lanjut. Tantangan-</w:t>
      </w:r>
      <w:r w:rsidRPr="00786986">
        <w:rPr>
          <w:rFonts w:ascii="Calibri Light" w:hAnsi="Calibri Light" w:cs="Calibri Light"/>
          <w:i/>
          <w:noProof/>
          <w:sz w:val="24"/>
          <w:szCs w:val="24"/>
          <w:highlight w:val="yellow"/>
          <w:lang w:val="id-ID"/>
        </w:rPr>
        <w:t>tantangan khusus termasuk kendala ekonomi, ketidakkonsistenan dalam mengakses data dari berbagai basis data dan register, masalah-masalah yang berkaitan dengan korupsi, dan ketidakseimbangan antara eksekutor negara dan swasta. Usulan untuk perbaikan termasuk memperbarui program pemerintah untuk kompensasi utang peradilan dan mengubah peraturan tentang penjualan properti negara dengan mencabut moratorium penjualan tersebut. Selain itu, diusulkan untuk meningkatkan bagian negara menjadi 75% dan merestrukturisasi utang yang ada. Langkah potensial lainnya adalah dengan meningkatkan jumlah pelaksana swasta, memberikan mereka kekuasaan yang lebih luas, dan meningkatkan akses mereka ke informasi negara. Metodologi ini secara eksplisit memprioritaskan studi yang diterbitkan dalam bahasa Inggris untuk memfasilitasi kritik dan analisis tambahan dalam komunitas penelitian multinasional, yang cenderung lebih aktif terlibat dengan publikasi berbahasa Inggris. Kesimpulan dari penelitian ini menekankan bahwa situasi saat ini terkait dengan tidak dilaksanakannya putusan pengadilan membutuhkan reformasi yang lebih komprehensif, terutama dalam kerangka kerja legislatif yang ada. Bidang yang menjanjikan untuk penelitian lebih lanjut adalah analisis praktik-praktik asing yang dapat diterapkan pada realitas Ukraina.</w:t>
      </w:r>
    </w:p>
    <w:p w:rsidR="00486707" w:rsidRPr="00122F5F" w:rsidP="001D7DEE" w14:paraId="5F54D030" w14:textId="77777777">
      <w:pPr>
        <w:ind w:left="709" w:right="737"/>
        <w:jc w:val="both"/>
        <w:rPr>
          <w:rFonts w:ascii="Calibri Light" w:hAnsi="Calibri Light" w:cs="Calibri Light"/>
          <w:i/>
          <w:iCs/>
          <w:sz w:val="24"/>
          <w:szCs w:val="24"/>
          <w:lang w:val="id-ID"/>
        </w:rPr>
      </w:pPr>
    </w:p>
    <w:p w:rsidR="00DE1E48" w:rsidRPr="00122F5F" w:rsidP="00540F02" w14:paraId="53C3AB9C" w14:textId="77777777">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Pr="00122F5F" w:rsidR="008C45DE">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6E3364">
        <w:rPr>
          <w:rStyle w:val="shorttext"/>
          <w:rFonts w:ascii="Calibri Light" w:hAnsi="Calibri Light" w:cs="Calibri Light"/>
          <w:i/>
          <w:iCs/>
          <w:sz w:val="24"/>
          <w:szCs w:val="24"/>
        </w:rPr>
        <w:t>E</w:t>
      </w:r>
      <w:r w:rsidRPr="006E3364" w:rsidR="006E3364">
        <w:rPr>
          <w:rStyle w:val="shorttext"/>
          <w:rFonts w:ascii="Calibri Light" w:hAnsi="Calibri Light" w:cs="Calibri Light"/>
          <w:i/>
          <w:iCs/>
          <w:sz w:val="24"/>
          <w:szCs w:val="24"/>
          <w:lang w:val="en"/>
        </w:rPr>
        <w:t>nforcement</w:t>
      </w:r>
      <w:r w:rsidRPr="006E3364" w:rsidR="006E3364">
        <w:rPr>
          <w:rStyle w:val="shorttext"/>
          <w:rFonts w:ascii="Calibri Light" w:hAnsi="Calibri Light" w:cs="Calibri Light"/>
          <w:i/>
          <w:iCs/>
          <w:sz w:val="24"/>
          <w:szCs w:val="24"/>
          <w:lang w:val="en"/>
        </w:rPr>
        <w:t xml:space="preserve"> officers, </w:t>
      </w:r>
      <w:r w:rsidR="006E3364">
        <w:rPr>
          <w:rStyle w:val="shorttext"/>
          <w:rFonts w:ascii="Calibri Light" w:hAnsi="Calibri Light" w:cs="Calibri Light"/>
          <w:i/>
          <w:iCs/>
          <w:sz w:val="24"/>
          <w:szCs w:val="24"/>
          <w:lang w:val="en"/>
        </w:rPr>
        <w:t>J</w:t>
      </w:r>
      <w:r w:rsidRPr="006E3364" w:rsidR="006E3364">
        <w:rPr>
          <w:rStyle w:val="shorttext"/>
          <w:rFonts w:ascii="Calibri Light" w:hAnsi="Calibri Light" w:cs="Calibri Light"/>
          <w:i/>
          <w:iCs/>
          <w:sz w:val="24"/>
          <w:szCs w:val="24"/>
          <w:lang w:val="en"/>
        </w:rPr>
        <w:t xml:space="preserve">udicial decisions, </w:t>
      </w:r>
      <w:r w:rsidR="006E3364">
        <w:rPr>
          <w:rStyle w:val="shorttext"/>
          <w:rFonts w:ascii="Calibri Light" w:hAnsi="Calibri Light" w:cs="Calibri Light"/>
          <w:i/>
          <w:iCs/>
          <w:sz w:val="24"/>
          <w:szCs w:val="24"/>
          <w:lang w:val="en"/>
        </w:rPr>
        <w:t>D</w:t>
      </w:r>
      <w:r w:rsidRPr="006E3364" w:rsidR="006E3364">
        <w:rPr>
          <w:rStyle w:val="shorttext"/>
          <w:rFonts w:ascii="Calibri Light" w:hAnsi="Calibri Light" w:cs="Calibri Light"/>
          <w:i/>
          <w:iCs/>
          <w:sz w:val="24"/>
          <w:szCs w:val="24"/>
          <w:lang w:val="en"/>
        </w:rPr>
        <w:t xml:space="preserve">ecision enforcement, </w:t>
      </w:r>
      <w:r w:rsidR="006E3364">
        <w:rPr>
          <w:rStyle w:val="shorttext"/>
          <w:rFonts w:ascii="Calibri Light" w:hAnsi="Calibri Light" w:cs="Calibri Light"/>
          <w:i/>
          <w:iCs/>
          <w:sz w:val="24"/>
          <w:szCs w:val="24"/>
          <w:lang w:val="en"/>
        </w:rPr>
        <w:t>A</w:t>
      </w:r>
      <w:r w:rsidRPr="006E3364" w:rsidR="006E3364">
        <w:rPr>
          <w:rStyle w:val="shorttext"/>
          <w:rFonts w:ascii="Calibri Light" w:hAnsi="Calibri Light" w:cs="Calibri Light"/>
          <w:i/>
          <w:iCs/>
          <w:sz w:val="24"/>
          <w:szCs w:val="24"/>
          <w:lang w:val="en"/>
        </w:rPr>
        <w:t xml:space="preserve">buse, </w:t>
      </w:r>
      <w:r w:rsidR="006E3364">
        <w:rPr>
          <w:rStyle w:val="shorttext"/>
          <w:rFonts w:ascii="Calibri Light" w:hAnsi="Calibri Light" w:cs="Calibri Light"/>
          <w:i/>
          <w:iCs/>
          <w:sz w:val="24"/>
          <w:szCs w:val="24"/>
          <w:lang w:val="en"/>
        </w:rPr>
        <w:t>C</w:t>
      </w:r>
      <w:r w:rsidRPr="006E3364" w:rsidR="006E3364">
        <w:rPr>
          <w:rStyle w:val="shorttext"/>
          <w:rFonts w:ascii="Calibri Light" w:hAnsi="Calibri Light" w:cs="Calibri Light"/>
          <w:i/>
          <w:iCs/>
          <w:sz w:val="24"/>
          <w:szCs w:val="24"/>
          <w:lang w:val="en"/>
        </w:rPr>
        <w:t xml:space="preserve">hallenges, </w:t>
      </w:r>
      <w:r w:rsidR="006E3364">
        <w:rPr>
          <w:rStyle w:val="shorttext"/>
          <w:rFonts w:ascii="Calibri Light" w:hAnsi="Calibri Light" w:cs="Calibri Light"/>
          <w:i/>
          <w:iCs/>
          <w:sz w:val="24"/>
          <w:szCs w:val="24"/>
          <w:lang w:val="en"/>
        </w:rPr>
        <w:t>M</w:t>
      </w:r>
      <w:r w:rsidRPr="006E3364" w:rsidR="006E3364">
        <w:rPr>
          <w:rStyle w:val="shorttext"/>
          <w:rFonts w:ascii="Calibri Light" w:hAnsi="Calibri Light" w:cs="Calibri Light"/>
          <w:i/>
          <w:iCs/>
          <w:sz w:val="24"/>
          <w:szCs w:val="24"/>
          <w:lang w:val="en"/>
        </w:rPr>
        <w:t>oratorium</w:t>
      </w:r>
      <w:r w:rsidRPr="00122F5F" w:rsidR="001D7DEE">
        <w:rPr>
          <w:rStyle w:val="shorttext"/>
          <w:rFonts w:ascii="Calibri Light" w:hAnsi="Calibri Light" w:cs="Calibri Light"/>
          <w:i/>
          <w:iCs/>
          <w:sz w:val="24"/>
          <w:szCs w:val="24"/>
          <w:lang w:val="id-ID"/>
        </w:rPr>
        <w:t>.</w:t>
      </w:r>
      <w:r w:rsidRPr="00540F02" w:rsidR="00B905EC">
        <w:rPr>
          <w:rFonts w:ascii="Calibri Light" w:hAnsi="Calibri Light" w:cs="Calibri Light"/>
          <w:color w:val="A6A6A6"/>
          <w:sz w:val="24"/>
          <w:szCs w:val="24"/>
        </w:rPr>
        <w:t xml:space="preserve"> </w:t>
      </w:r>
    </w:p>
    <w:p w:rsidR="00F1027C" w:rsidRPr="00122F5F" w:rsidP="00F1027C" w14:paraId="149B6846" w14:textId="77777777">
      <w:pPr>
        <w:jc w:val="center"/>
        <w:rPr>
          <w:rFonts w:ascii="Calibri Light" w:hAnsi="Calibri Light" w:cs="Calibri Light"/>
          <w:i/>
          <w:iCs/>
          <w:lang w:val="id-ID"/>
        </w:rPr>
      </w:pPr>
    </w:p>
    <w:p w:rsidR="00F1027C" w:rsidRPr="00122F5F" w:rsidP="0095288D" w14:paraId="28FC0EC9" w14:textId="77777777">
      <w:pPr>
        <w:rPr>
          <w:rFonts w:ascii="Calibri Light" w:hAnsi="Calibri Light" w:cs="Calibri Light"/>
          <w:b/>
          <w:bCs/>
          <w:sz w:val="24"/>
          <w:szCs w:val="24"/>
          <w:lang w:val="id-ID"/>
        </w:rPr>
      </w:pPr>
    </w:p>
    <w:p w:rsidR="0095288D" w:rsidRPr="00122F5F" w:rsidP="00540F02" w14:paraId="68D00830" w14:textId="77777777">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B96AE8" w:rsidP="00A4345E" w14:paraId="4EC4FDDD" w14:textId="4A7EC3E8">
      <w:pPr>
        <w:spacing w:before="120" w:after="120"/>
        <w:ind w:left="426"/>
        <w:jc w:val="both"/>
        <w:rPr>
          <w:rFonts w:ascii="Calibri Light" w:hAnsi="Calibri Light" w:cs="Calibri Light"/>
          <w:sz w:val="24"/>
          <w:szCs w:val="24"/>
          <w:lang w:val="uk-UA"/>
        </w:rPr>
      </w:pPr>
      <w:r w:rsidRPr="00B25AD1">
        <w:rPr>
          <w:rFonts w:ascii="Calibri Light" w:hAnsi="Calibri Light" w:cs="Calibri Light"/>
          <w:sz w:val="24"/>
          <w:szCs w:val="24"/>
          <w:highlight w:val="yellow"/>
          <w:lang w:val="en-GB"/>
        </w:rPr>
        <w:t>In the contemporary democratic world, enforcing judicial decisions is a crucial element of an effective legal system, as it directly impacts the realisation of justice</w:t>
      </w:r>
      <w:r w:rsidRPr="00B25AD1" w:rsidR="00B25AD1">
        <w:rPr>
          <w:rFonts w:ascii="Calibri Light" w:hAnsi="Calibri Light" w:cs="Calibri Light"/>
          <w:sz w:val="24"/>
          <w:szCs w:val="24"/>
          <w:highlight w:val="yellow"/>
          <w:lang w:val="en-GB"/>
        </w:rPr>
        <w:t xml:space="preserve"> (based on the </w:t>
      </w:r>
      <w:r w:rsidR="00D762C2">
        <w:rPr>
          <w:rFonts w:ascii="Calibri Light" w:hAnsi="Calibri Light" w:cs="Calibri Light"/>
          <w:sz w:val="24"/>
          <w:szCs w:val="24"/>
          <w:highlight w:val="yellow"/>
          <w:lang w:val="en-GB"/>
        </w:rPr>
        <w:t>rule of law theory</w:t>
      </w:r>
      <w:r w:rsidRPr="00F631E5" w:rsidR="00B25AD1">
        <w:rPr>
          <w:rFonts w:ascii="Calibri Light" w:hAnsi="Calibri Light" w:cs="Calibri Light"/>
          <w:sz w:val="24"/>
          <w:szCs w:val="24"/>
          <w:highlight w:val="yellow"/>
          <w:lang w:val="en-GB"/>
        </w:rPr>
        <w:t>)</w:t>
      </w:r>
      <w:r w:rsidRPr="00F631E5">
        <w:rPr>
          <w:rFonts w:ascii="Calibri Light" w:hAnsi="Calibri Light" w:cs="Calibri Light"/>
          <w:sz w:val="24"/>
          <w:szCs w:val="24"/>
          <w:highlight w:val="yellow"/>
          <w:lang w:val="en-GB"/>
        </w:rPr>
        <w:t>.</w:t>
      </w:r>
      <w:r w:rsidRPr="00A4345E">
        <w:rPr>
          <w:rFonts w:ascii="Calibri Light" w:hAnsi="Calibri Light" w:cs="Calibri Light"/>
          <w:sz w:val="24"/>
          <w:szCs w:val="24"/>
          <w:lang w:val="en-GB"/>
        </w:rPr>
        <w:t xml:space="preserve"> </w:t>
      </w:r>
      <w:r w:rsidR="00D762C2">
        <w:rPr>
          <w:rFonts w:ascii="Calibri Light" w:hAnsi="Calibri Light" w:cs="Calibri Light"/>
          <w:sz w:val="24"/>
          <w:szCs w:val="24"/>
          <w:highlight w:val="yellow"/>
          <w:lang w:val="en-GB"/>
        </w:rPr>
        <w:t xml:space="preserve">This study's theory of the rule of law </w:t>
      </w:r>
      <w:r w:rsidRPr="00095892" w:rsidR="00095892">
        <w:rPr>
          <w:rFonts w:ascii="Calibri Light" w:hAnsi="Calibri Light" w:cs="Calibri Light"/>
          <w:sz w:val="24"/>
          <w:szCs w:val="24"/>
          <w:highlight w:val="yellow"/>
          <w:lang w:val="en-GB"/>
        </w:rPr>
        <w:t>emphasizes that the effective enforcement of court decisions is not just a technical procedure</w:t>
      </w:r>
      <w:r w:rsidR="00D762C2">
        <w:rPr>
          <w:rFonts w:ascii="Calibri Light" w:hAnsi="Calibri Light" w:cs="Calibri Light"/>
          <w:sz w:val="24"/>
          <w:szCs w:val="24"/>
          <w:highlight w:val="yellow"/>
          <w:lang w:val="en-GB"/>
        </w:rPr>
        <w:t>. Still, it is an</w:t>
      </w:r>
      <w:r w:rsidRPr="00095892" w:rsidR="00095892">
        <w:rPr>
          <w:rFonts w:ascii="Calibri Light" w:hAnsi="Calibri Light" w:cs="Calibri Light"/>
          <w:sz w:val="24"/>
          <w:szCs w:val="24"/>
          <w:highlight w:val="yellow"/>
          <w:lang w:val="en-GB"/>
        </w:rPr>
        <w:t xml:space="preserve"> integral part of the rule of law, where the government is controlled by law and the rights of citizens are guaranteed and enforced.</w:t>
      </w:r>
      <w:r w:rsidR="00095892">
        <w:rPr>
          <w:rFonts w:ascii="Calibri Light" w:hAnsi="Calibri Light" w:cs="Calibri Light"/>
          <w:sz w:val="24"/>
          <w:szCs w:val="24"/>
          <w:lang w:val="en-GB"/>
        </w:rPr>
        <w:t xml:space="preserve"> </w:t>
      </w:r>
      <w:r w:rsidRPr="00B96AE8">
        <w:rPr>
          <w:rFonts w:ascii="Calibri Light" w:hAnsi="Calibri Light" w:cs="Calibri Light"/>
          <w:sz w:val="24"/>
          <w:szCs w:val="24"/>
          <w:highlight w:val="yellow"/>
          <w:lang w:val="en-GB"/>
        </w:rPr>
        <w:t>Given this, it is critical to stress the pressing nature of the Ukrainian issue, which is supported by reliable sources.</w:t>
      </w:r>
      <w:r w:rsidRPr="00B96AE8">
        <w:rPr>
          <w:rFonts w:ascii="Calibri Light" w:hAnsi="Calibri Light" w:cs="Calibri Light"/>
          <w:sz w:val="24"/>
          <w:szCs w:val="24"/>
          <w:highlight w:val="yellow"/>
          <w:lang w:val="uk-UA"/>
        </w:rPr>
        <w:t xml:space="preserve"> </w:t>
      </w:r>
      <w:r w:rsidRPr="00B96AE8">
        <w:rPr>
          <w:rFonts w:ascii="Calibri Light" w:hAnsi="Calibri Light" w:cs="Calibri Light"/>
          <w:sz w:val="24"/>
          <w:szCs w:val="24"/>
          <w:highlight w:val="yellow"/>
          <w:lang w:val="en-GB"/>
        </w:rPr>
        <w:t>Specifically, the European Commission for Democracy through Law (Venice Commission) report has often highlighted the systematic issue of court rulings in Ukraine not being enforced, which erodes trust in the legal system and impedes legal change.</w:t>
      </w:r>
    </w:p>
    <w:p w:rsidR="00E020BB" w:rsidP="00A4345E" w14:paraId="64608302" w14:textId="1EE409C3">
      <w:pPr>
        <w:spacing w:before="120" w:after="120"/>
        <w:ind w:left="426"/>
        <w:jc w:val="both"/>
        <w:rPr>
          <w:rFonts w:ascii="Calibri Light" w:hAnsi="Calibri Light" w:cs="Calibri Light"/>
          <w:sz w:val="24"/>
          <w:szCs w:val="24"/>
          <w:lang w:val="uk-UA"/>
        </w:rPr>
      </w:pPr>
      <w:r w:rsidRPr="00A4345E">
        <w:rPr>
          <w:rFonts w:ascii="Calibri Light" w:hAnsi="Calibri Light" w:cs="Calibri Light"/>
          <w:sz w:val="24"/>
          <w:szCs w:val="24"/>
          <w:lang w:val="en-GB"/>
        </w:rPr>
        <w:t>However, the issue of low efficiency in enforcing judicial decisions undermines any positive transformations within the existing judicial system. Without addressing this issue, further changes and reforms in the judiciary lose their practical significance. Additionally, a court system aligned with modern international practices will hold little practical value for society if its decisions</w:t>
      </w:r>
      <w:r w:rsidR="00D762C2">
        <w:rPr>
          <w:rFonts w:ascii="Calibri Light" w:hAnsi="Calibri Light" w:cs="Calibri Light"/>
          <w:sz w:val="24"/>
          <w:szCs w:val="24"/>
          <w:lang w:val="en-GB"/>
        </w:rPr>
        <w:t xml:space="preserve">, especially those against state authorities or entities, </w:t>
      </w:r>
      <w:r w:rsidRPr="00A4345E">
        <w:rPr>
          <w:rFonts w:ascii="Calibri Light" w:hAnsi="Calibri Light" w:cs="Calibri Light"/>
          <w:sz w:val="24"/>
          <w:szCs w:val="24"/>
          <w:lang w:val="en-GB"/>
        </w:rPr>
        <w:t>cannot be enforced.</w:t>
      </w:r>
    </w:p>
    <w:p w:rsidR="00277909" w:rsidRPr="00E020BB" w:rsidP="00E020BB" w14:paraId="47D1D357" w14:textId="0DCF85A0">
      <w:pPr>
        <w:spacing w:before="120" w:after="120"/>
        <w:ind w:left="426"/>
        <w:jc w:val="both"/>
        <w:rPr>
          <w:rFonts w:ascii="Calibri Light" w:hAnsi="Calibri Light" w:cs="Calibri Light"/>
          <w:b/>
          <w:bCs/>
          <w:sz w:val="24"/>
          <w:szCs w:val="24"/>
          <w:lang w:val="uk-UA"/>
        </w:rPr>
      </w:pPr>
      <w:r w:rsidRPr="00E020BB">
        <w:rPr>
          <w:rFonts w:ascii="Calibri Light" w:hAnsi="Calibri Light" w:cs="Calibri Light"/>
          <w:sz w:val="24"/>
          <w:szCs w:val="24"/>
          <w:highlight w:val="yellow"/>
        </w:rPr>
        <w:t xml:space="preserve">The researchers reviewed the scientific approaches to enforcement proceedings in Ukraine, emphasizing the role of enforcement of court decisions in ensuring constitutional rights and enforcement of court decisions. </w:t>
      </w:r>
      <w:r w:rsidRPr="00E020BB">
        <w:rPr>
          <w:rFonts w:ascii="Calibri Light" w:hAnsi="Calibri Light" w:cs="Calibri Light"/>
          <w:sz w:val="24"/>
          <w:szCs w:val="24"/>
          <w:highlight w:val="yellow"/>
          <w:lang w:val="en-GB"/>
        </w:rPr>
        <w:t>First</w:t>
      </w:r>
      <w:r w:rsidRPr="00E020BB">
        <w:rPr>
          <w:rFonts w:ascii="Calibri Light" w:hAnsi="Calibri Light" w:cs="Calibri Light"/>
          <w:sz w:val="24"/>
          <w:szCs w:val="24"/>
          <w:lang w:val="en-GB"/>
        </w:rPr>
        <w:t>,</w:t>
      </w:r>
      <w:r>
        <w:rPr>
          <w:rFonts w:ascii="Calibri Light" w:hAnsi="Calibri Light" w:cs="Calibri Light"/>
          <w:b/>
          <w:bCs/>
          <w:sz w:val="24"/>
          <w:szCs w:val="24"/>
          <w:lang w:val="en-GB"/>
        </w:rPr>
        <w:t xml:space="preserve"> </w:t>
      </w:r>
      <w:r>
        <w:rPr>
          <w:rFonts w:ascii="Calibri Light" w:hAnsi="Calibri Light" w:cs="Calibri Light"/>
          <w:sz w:val="24"/>
          <w:szCs w:val="24"/>
          <w:lang w:val="en-GB"/>
        </w:rPr>
        <w:t>c</w:t>
      </w:r>
      <w:r w:rsidRPr="00277909">
        <w:rPr>
          <w:rFonts w:ascii="Calibri Light" w:hAnsi="Calibri Light" w:cs="Calibri Light"/>
          <w:sz w:val="24"/>
          <w:szCs w:val="24"/>
          <w:lang w:val="en-GB"/>
        </w:rPr>
        <w:t>ontemporary</w:t>
      </w:r>
      <w:r w:rsidRPr="00E020BB">
        <w:rPr>
          <w:rFonts w:ascii="Calibri Light" w:hAnsi="Calibri Light" w:cs="Calibri Light"/>
          <w:sz w:val="24"/>
          <w:szCs w:val="24"/>
          <w:lang w:val="uk-UA"/>
        </w:rPr>
        <w:t xml:space="preserve"> </w:t>
      </w:r>
      <w:r w:rsidRPr="00277909">
        <w:rPr>
          <w:rFonts w:ascii="Calibri Light" w:hAnsi="Calibri Light" w:cs="Calibri Light"/>
          <w:sz w:val="24"/>
          <w:szCs w:val="24"/>
          <w:lang w:val="en-GB"/>
        </w:rPr>
        <w:t>authors</w:t>
      </w:r>
      <w:r w:rsidRPr="00E020BB">
        <w:rPr>
          <w:rFonts w:ascii="Calibri Light" w:hAnsi="Calibri Light" w:cs="Calibri Light"/>
          <w:sz w:val="24"/>
          <w:szCs w:val="24"/>
          <w:lang w:val="uk-UA"/>
        </w:rPr>
        <w:t xml:space="preserve"> </w:t>
      </w:r>
      <w:r w:rsidRPr="00277909">
        <w:rPr>
          <w:rFonts w:ascii="Calibri Light" w:hAnsi="Calibri Light" w:cs="Calibri Light"/>
          <w:sz w:val="24"/>
          <w:szCs w:val="24"/>
          <w:lang w:val="en-GB"/>
        </w:rPr>
        <w:t>have</w:t>
      </w:r>
      <w:r w:rsidRPr="00E020BB">
        <w:rPr>
          <w:rFonts w:ascii="Calibri Light" w:hAnsi="Calibri Light" w:cs="Calibri Light"/>
          <w:sz w:val="24"/>
          <w:szCs w:val="24"/>
          <w:lang w:val="uk-UA"/>
        </w:rPr>
        <w:t xml:space="preserve"> </w:t>
      </w:r>
      <w:r w:rsidRPr="00277909">
        <w:rPr>
          <w:rFonts w:ascii="Calibri Light" w:hAnsi="Calibri Light" w:cs="Calibri Light"/>
          <w:sz w:val="24"/>
          <w:szCs w:val="24"/>
          <w:lang w:val="en-GB"/>
        </w:rPr>
        <w:t>characterised</w:t>
      </w:r>
      <w:r w:rsidRPr="00E020BB">
        <w:rPr>
          <w:rFonts w:ascii="Calibri Light" w:hAnsi="Calibri Light" w:cs="Calibri Light"/>
          <w:sz w:val="24"/>
          <w:szCs w:val="24"/>
          <w:lang w:val="uk-UA"/>
        </w:rPr>
        <w:t xml:space="preserve"> </w:t>
      </w:r>
      <w:r w:rsidRPr="00277909">
        <w:rPr>
          <w:rFonts w:ascii="Calibri Light" w:hAnsi="Calibri Light" w:cs="Calibri Light"/>
          <w:sz w:val="24"/>
          <w:szCs w:val="24"/>
          <w:lang w:val="en-GB"/>
        </w:rPr>
        <w:t>various</w:t>
      </w:r>
      <w:r w:rsidRPr="00E020BB">
        <w:rPr>
          <w:rFonts w:ascii="Calibri Light" w:hAnsi="Calibri Light" w:cs="Calibri Light"/>
          <w:sz w:val="24"/>
          <w:szCs w:val="24"/>
          <w:lang w:val="uk-UA"/>
        </w:rPr>
        <w:t xml:space="preserve"> </w:t>
      </w:r>
      <w:r w:rsidRPr="00277909">
        <w:rPr>
          <w:rFonts w:ascii="Calibri Light" w:hAnsi="Calibri Light" w:cs="Calibri Light"/>
          <w:sz w:val="24"/>
          <w:szCs w:val="24"/>
          <w:lang w:val="en-GB"/>
        </w:rPr>
        <w:t>aspects</w:t>
      </w:r>
      <w:r w:rsidRPr="00E020BB">
        <w:rPr>
          <w:rFonts w:ascii="Calibri Light" w:hAnsi="Calibri Light" w:cs="Calibri Light"/>
          <w:sz w:val="24"/>
          <w:szCs w:val="24"/>
          <w:lang w:val="uk-UA"/>
        </w:rPr>
        <w:t xml:space="preserve"> </w:t>
      </w:r>
      <w:r w:rsidRPr="00277909">
        <w:rPr>
          <w:rFonts w:ascii="Calibri Light" w:hAnsi="Calibri Light" w:cs="Calibri Light"/>
          <w:sz w:val="24"/>
          <w:szCs w:val="24"/>
          <w:lang w:val="en-GB"/>
        </w:rPr>
        <w:t>of</w:t>
      </w:r>
      <w:r w:rsidRPr="00E020BB">
        <w:rPr>
          <w:rFonts w:ascii="Calibri Light" w:hAnsi="Calibri Light" w:cs="Calibri Light"/>
          <w:sz w:val="24"/>
          <w:szCs w:val="24"/>
          <w:lang w:val="uk-UA"/>
        </w:rPr>
        <w:t xml:space="preserve"> </w:t>
      </w:r>
      <w:r w:rsidRPr="00277909">
        <w:rPr>
          <w:rFonts w:ascii="Calibri Light" w:hAnsi="Calibri Light" w:cs="Calibri Light"/>
          <w:sz w:val="24"/>
          <w:szCs w:val="24"/>
          <w:lang w:val="en-GB"/>
        </w:rPr>
        <w:t>enforcement</w:t>
      </w:r>
      <w:r w:rsidRPr="00E020BB">
        <w:rPr>
          <w:rFonts w:ascii="Calibri Light" w:hAnsi="Calibri Light" w:cs="Calibri Light"/>
          <w:sz w:val="24"/>
          <w:szCs w:val="24"/>
          <w:lang w:val="uk-UA"/>
        </w:rPr>
        <w:t xml:space="preserve"> </w:t>
      </w:r>
      <w:r w:rsidRPr="00277909">
        <w:rPr>
          <w:rFonts w:ascii="Calibri Light" w:hAnsi="Calibri Light" w:cs="Calibri Light"/>
          <w:sz w:val="24"/>
          <w:szCs w:val="24"/>
          <w:lang w:val="en-GB"/>
        </w:rPr>
        <w:t>proceedings</w:t>
      </w:r>
      <w:r w:rsidRPr="00E020BB">
        <w:rPr>
          <w:rFonts w:ascii="Calibri Light" w:hAnsi="Calibri Light" w:cs="Calibri Light"/>
          <w:sz w:val="24"/>
          <w:szCs w:val="24"/>
          <w:lang w:val="uk-UA"/>
        </w:rPr>
        <w:t xml:space="preserve"> </w:t>
      </w:r>
      <w:r w:rsidRPr="00277909">
        <w:rPr>
          <w:rFonts w:ascii="Calibri Light" w:hAnsi="Calibri Light" w:cs="Calibri Light"/>
          <w:sz w:val="24"/>
          <w:szCs w:val="24"/>
          <w:lang w:val="en-GB"/>
        </w:rPr>
        <w:t>in</w:t>
      </w:r>
      <w:r w:rsidRPr="00E020BB">
        <w:rPr>
          <w:rFonts w:ascii="Calibri Light" w:hAnsi="Calibri Light" w:cs="Calibri Light"/>
          <w:sz w:val="24"/>
          <w:szCs w:val="24"/>
          <w:lang w:val="uk-UA"/>
        </w:rPr>
        <w:t xml:space="preserve"> </w:t>
      </w:r>
      <w:r w:rsidRPr="00277909">
        <w:rPr>
          <w:rFonts w:ascii="Calibri Light" w:hAnsi="Calibri Light" w:cs="Calibri Light"/>
          <w:sz w:val="24"/>
          <w:szCs w:val="24"/>
          <w:lang w:val="en-GB"/>
        </w:rPr>
        <w:t>Ukraine</w:t>
      </w:r>
      <w:r w:rsidRPr="00E020BB">
        <w:rPr>
          <w:rFonts w:ascii="Calibri Light" w:hAnsi="Calibri Light" w:cs="Calibri Light"/>
          <w:sz w:val="24"/>
          <w:szCs w:val="24"/>
          <w:lang w:val="uk-UA"/>
        </w:rPr>
        <w:t xml:space="preserve">. </w:t>
      </w:r>
      <w:r w:rsidRPr="00277909">
        <w:rPr>
          <w:rFonts w:ascii="Calibri Light" w:hAnsi="Calibri Light" w:cs="Calibri Light"/>
          <w:sz w:val="24"/>
          <w:szCs w:val="24"/>
          <w:lang w:val="en-GB"/>
        </w:rPr>
        <w:t xml:space="preserve">According to recent studies, the </w:t>
      </w:r>
      <w:r w:rsidRPr="00277909" w:rsidR="00786986">
        <w:rPr>
          <w:rFonts w:ascii="Calibri Light" w:hAnsi="Calibri Light" w:cs="Calibri Light"/>
          <w:sz w:val="24"/>
          <w:szCs w:val="24"/>
          <w:lang w:val="en-GB"/>
        </w:rPr>
        <w:t>socially oriented</w:t>
      </w:r>
      <w:r w:rsidRPr="00277909">
        <w:rPr>
          <w:rFonts w:ascii="Calibri Light" w:hAnsi="Calibri Light" w:cs="Calibri Light"/>
          <w:sz w:val="24"/>
          <w:szCs w:val="24"/>
          <w:lang w:val="en-GB"/>
        </w:rPr>
        <w:t xml:space="preserve"> nature of transformative changes in Ukraine's development necessitates </w:t>
      </w:r>
      <w:r w:rsidRPr="00277909">
        <w:rPr>
          <w:rFonts w:ascii="Calibri Light" w:hAnsi="Calibri Light" w:cs="Calibri Light"/>
          <w:sz w:val="24"/>
          <w:szCs w:val="24"/>
          <w:lang w:val="en-GB"/>
        </w:rPr>
        <w:t>the introduction of effective mechanisms for ensuring constitutionally guaranteed citizens' rights, including the right to judicial protection</w:t>
      </w:r>
      <w:r w:rsidRPr="00277909">
        <w:rPr>
          <w:rFonts w:ascii="Calibri Light" w:hAnsi="Calibri Light" w:cs="Calibri Light"/>
          <w:sz w:val="24"/>
          <w:szCs w:val="24"/>
          <w:lang w:val="uk-UA"/>
        </w:rPr>
        <w:t xml:space="preserve"> </w:t>
      </w:r>
      <w:r w:rsidRPr="00277909">
        <w:rPr>
          <w:rFonts w:ascii="Calibri Light" w:hAnsi="Calibri Light" w:cs="Calibri Light"/>
          <w:sz w:val="24"/>
          <w:szCs w:val="24"/>
        </w:rPr>
        <w:t>[1; 2].</w:t>
      </w:r>
      <w:r w:rsidRPr="00277909">
        <w:rPr>
          <w:rFonts w:ascii="Calibri Light" w:hAnsi="Calibri Light" w:cs="Calibri Light"/>
          <w:sz w:val="24"/>
          <w:szCs w:val="24"/>
          <w:lang w:val="en-GB"/>
        </w:rPr>
        <w:t xml:space="preserve"> Furthermore, </w:t>
      </w:r>
      <w:r w:rsidR="00D762C2">
        <w:rPr>
          <w:rFonts w:ascii="Calibri Light" w:hAnsi="Calibri Light" w:cs="Calibri Light"/>
          <w:sz w:val="24"/>
          <w:szCs w:val="24"/>
          <w:lang w:val="en-GB"/>
        </w:rPr>
        <w:t>properly enforcing</w:t>
      </w:r>
      <w:r w:rsidRPr="00277909">
        <w:rPr>
          <w:rFonts w:ascii="Calibri Light" w:hAnsi="Calibri Light" w:cs="Calibri Light"/>
          <w:sz w:val="24"/>
          <w:szCs w:val="24"/>
          <w:lang w:val="en-GB"/>
        </w:rPr>
        <w:t xml:space="preserve"> court decisions is a pivotal factor in the effective functioning of the judiciary and the state </w:t>
      </w:r>
      <w:r w:rsidRPr="00277909" w:rsidR="00786986">
        <w:rPr>
          <w:rFonts w:ascii="Calibri Light" w:hAnsi="Calibri Light" w:cs="Calibri Light"/>
          <w:sz w:val="24"/>
          <w:szCs w:val="24"/>
          <w:lang w:val="en-GB"/>
        </w:rPr>
        <w:t>apparatus</w:t>
      </w:r>
      <w:r w:rsidRPr="00277909">
        <w:rPr>
          <w:rFonts w:ascii="Calibri Light" w:hAnsi="Calibri Light" w:cs="Calibri Light"/>
          <w:sz w:val="24"/>
          <w:szCs w:val="24"/>
          <w:lang w:val="en-GB"/>
        </w:rPr>
        <w:t>. Scholars highlight that implementing judicial decisions represents a core component of modern adjudication; without the actual enforcement of court rulings, the essence of justice is rendered meaningless [3].</w:t>
      </w:r>
    </w:p>
    <w:p w:rsidR="000E6D14" w:rsidP="00277909" w14:paraId="3A9FF314" w14:textId="10F60E87">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In the works of </w:t>
      </w:r>
      <w:r w:rsidRPr="00277909">
        <w:rPr>
          <w:rFonts w:ascii="Calibri Light" w:hAnsi="Calibri Light" w:cs="Calibri Light"/>
          <w:sz w:val="24"/>
          <w:szCs w:val="24"/>
          <w:lang w:val="en-GB"/>
        </w:rPr>
        <w:t>Brekke</w:t>
      </w:r>
      <w:r w:rsidRPr="00277909">
        <w:rPr>
          <w:rFonts w:ascii="Calibri Light" w:hAnsi="Calibri Light" w:cs="Calibri Light"/>
          <w:sz w:val="24"/>
          <w:szCs w:val="24"/>
          <w:lang w:val="en-GB"/>
        </w:rPr>
        <w:t xml:space="preserve"> et al. [4] and </w:t>
      </w:r>
      <w:r w:rsidRPr="00277909">
        <w:rPr>
          <w:rFonts w:ascii="Calibri Light" w:hAnsi="Calibri Light" w:cs="Calibri Light"/>
          <w:sz w:val="24"/>
          <w:szCs w:val="24"/>
          <w:lang w:val="en-GB"/>
        </w:rPr>
        <w:t>Lubis</w:t>
      </w:r>
      <w:r w:rsidRPr="00277909">
        <w:rPr>
          <w:rFonts w:ascii="Calibri Light" w:hAnsi="Calibri Light" w:cs="Calibri Light"/>
          <w:sz w:val="24"/>
          <w:szCs w:val="24"/>
          <w:lang w:val="en-GB"/>
        </w:rPr>
        <w:t xml:space="preserve"> [5], it is noted that the right to a fair trial encompasses access to the court system and the crucial right to enforce judicial decisions. Consequently, enforcement proceedings are </w:t>
      </w:r>
      <w:r w:rsidR="00D762C2">
        <w:rPr>
          <w:rFonts w:ascii="Calibri Light" w:hAnsi="Calibri Light" w:cs="Calibri Light"/>
          <w:sz w:val="24"/>
          <w:szCs w:val="24"/>
          <w:lang w:val="en-GB"/>
        </w:rPr>
        <w:t xml:space="preserve">key </w:t>
      </w:r>
      <w:r w:rsidRPr="00277909">
        <w:rPr>
          <w:rFonts w:ascii="Calibri Light" w:hAnsi="Calibri Light" w:cs="Calibri Light"/>
          <w:sz w:val="24"/>
          <w:szCs w:val="24"/>
          <w:lang w:val="en-GB"/>
        </w:rPr>
        <w:t xml:space="preserve">in safeguarding individuals' and legal entities' rights and freedoms [6]. </w:t>
      </w:r>
    </w:p>
    <w:p w:rsidR="00277909" w:rsidRPr="00277909" w:rsidP="00277909" w14:paraId="57A583DA" w14:textId="7BC0C7FD">
      <w:pPr>
        <w:spacing w:before="120" w:after="120"/>
        <w:ind w:left="426"/>
        <w:jc w:val="both"/>
        <w:rPr>
          <w:rFonts w:ascii="Calibri Light" w:hAnsi="Calibri Light" w:cs="Calibri Light"/>
          <w:sz w:val="24"/>
          <w:szCs w:val="24"/>
          <w:lang w:val="en-GB"/>
        </w:rPr>
      </w:pPr>
      <w:r w:rsidRPr="000E6D14">
        <w:rPr>
          <w:rFonts w:ascii="Calibri Light" w:hAnsi="Calibri Light" w:cs="Calibri Light"/>
          <w:sz w:val="24"/>
          <w:szCs w:val="24"/>
          <w:highlight w:val="yellow"/>
        </w:rPr>
        <w:t xml:space="preserve">Other researchers have focused on </w:t>
      </w:r>
      <w:r w:rsidR="007C7AE9">
        <w:rPr>
          <w:rFonts w:ascii="Calibri Light" w:hAnsi="Calibri Light" w:cs="Calibri Light"/>
          <w:sz w:val="24"/>
          <w:szCs w:val="24"/>
          <w:highlight w:val="yellow"/>
        </w:rPr>
        <w:t>implementing executive mechanisms and developing</w:t>
      </w:r>
      <w:r w:rsidRPr="000E6D14">
        <w:rPr>
          <w:rFonts w:ascii="Calibri Light" w:hAnsi="Calibri Light" w:cs="Calibri Light"/>
          <w:sz w:val="24"/>
          <w:szCs w:val="24"/>
          <w:highlight w:val="yellow"/>
        </w:rPr>
        <w:t xml:space="preserve"> the rule of law, </w:t>
      </w:r>
      <w:r w:rsidR="00D762C2">
        <w:rPr>
          <w:rFonts w:ascii="Calibri Light" w:hAnsi="Calibri Light" w:cs="Calibri Light"/>
          <w:sz w:val="24"/>
          <w:szCs w:val="24"/>
          <w:highlight w:val="yellow"/>
        </w:rPr>
        <w:t>as well as</w:t>
      </w:r>
      <w:r w:rsidRPr="000E6D14">
        <w:rPr>
          <w:rFonts w:ascii="Calibri Light" w:hAnsi="Calibri Light" w:cs="Calibri Light"/>
          <w:sz w:val="24"/>
          <w:szCs w:val="24"/>
          <w:highlight w:val="yellow"/>
        </w:rPr>
        <w:t xml:space="preserve"> some empirical </w:t>
      </w:r>
      <w:r w:rsidR="007C7AE9">
        <w:rPr>
          <w:rFonts w:ascii="Calibri Light" w:hAnsi="Calibri Light" w:cs="Calibri Light"/>
          <w:sz w:val="24"/>
          <w:szCs w:val="24"/>
          <w:highlight w:val="yellow"/>
        </w:rPr>
        <w:t>public opinion studies</w:t>
      </w:r>
      <w:r w:rsidRPr="000E6D14">
        <w:rPr>
          <w:rFonts w:ascii="Calibri Light" w:hAnsi="Calibri Light" w:cs="Calibri Light"/>
          <w:sz w:val="24"/>
          <w:szCs w:val="24"/>
          <w:highlight w:val="yellow"/>
        </w:rPr>
        <w:t xml:space="preserve"> on these issues.</w:t>
      </w:r>
      <w:r w:rsidRPr="000E6D14">
        <w:rPr>
          <w:rFonts w:ascii="Calibri Light" w:hAnsi="Calibri Light" w:cs="Calibri Light"/>
          <w:sz w:val="24"/>
          <w:szCs w:val="24"/>
          <w:highlight w:val="yellow"/>
          <w:lang w:val="uk-UA"/>
        </w:rPr>
        <w:t xml:space="preserve"> </w:t>
      </w:r>
      <w:r w:rsidRPr="000E6D14">
        <w:rPr>
          <w:rFonts w:ascii="Calibri Light" w:hAnsi="Calibri Light" w:cs="Calibri Light"/>
          <w:sz w:val="24"/>
          <w:szCs w:val="24"/>
          <w:highlight w:val="yellow"/>
          <w:lang w:val="en-GB"/>
        </w:rPr>
        <w:t>For example</w:t>
      </w:r>
      <w:r w:rsidRPr="00277909">
        <w:rPr>
          <w:rFonts w:ascii="Calibri Light" w:hAnsi="Calibri Light" w:cs="Calibri Light"/>
          <w:sz w:val="24"/>
          <w:szCs w:val="24"/>
          <w:lang w:val="en-GB"/>
        </w:rPr>
        <w:t>, contemporary scholarship underscores that enforcement mechanisms are fundamental to a state that fosters the development of a legal and civil society [7; 8]. An empirical study conducted by Navarrete and Castillo-Ortiz examines public perceptions of judicial systems [9]. The authors conclude that constitutional courts may adversely affect public attitudes towards the judiciary, particularly regarding perceptions of judicial independence and fairness [9].</w:t>
      </w:r>
    </w:p>
    <w:p w:rsidR="00277909" w:rsidRPr="00277909" w:rsidP="00277909" w14:paraId="03C01478" w14:textId="0ED5A421">
      <w:pPr>
        <w:spacing w:before="120" w:after="120"/>
        <w:ind w:left="426"/>
        <w:jc w:val="both"/>
        <w:rPr>
          <w:rFonts w:ascii="Calibri Light" w:hAnsi="Calibri Light" w:cs="Calibri Light"/>
          <w:sz w:val="24"/>
          <w:szCs w:val="24"/>
          <w:lang w:val="en-GB"/>
        </w:rPr>
      </w:pPr>
      <w:r w:rsidRPr="000E6D14">
        <w:rPr>
          <w:rFonts w:ascii="Calibri Light" w:hAnsi="Calibri Light" w:cs="Calibri Light"/>
          <w:sz w:val="24"/>
          <w:szCs w:val="24"/>
          <w:highlight w:val="yellow"/>
        </w:rPr>
        <w:t xml:space="preserve">The issues of </w:t>
      </w:r>
      <w:r w:rsidR="00D762C2">
        <w:rPr>
          <w:rFonts w:ascii="Calibri Light" w:hAnsi="Calibri Light" w:cs="Calibri Light"/>
          <w:sz w:val="24"/>
          <w:szCs w:val="24"/>
          <w:highlight w:val="yellow"/>
        </w:rPr>
        <w:t>Ukraine's reforms and certain administrative justice elements</w:t>
      </w:r>
      <w:r w:rsidRPr="000E6D14">
        <w:rPr>
          <w:rFonts w:ascii="Calibri Light" w:hAnsi="Calibri Light" w:cs="Calibri Light"/>
          <w:sz w:val="24"/>
          <w:szCs w:val="24"/>
          <w:highlight w:val="yellow"/>
        </w:rPr>
        <w:t xml:space="preserve"> have been identified in separate studies.</w:t>
      </w:r>
      <w:r w:rsidRPr="000E6D14">
        <w:rPr>
          <w:rFonts w:ascii="Calibri Light" w:hAnsi="Calibri Light" w:cs="Calibri Light"/>
          <w:sz w:val="24"/>
          <w:szCs w:val="24"/>
          <w:lang w:val="uk-UA"/>
        </w:rPr>
        <w:t xml:space="preserve"> </w:t>
      </w:r>
      <w:r w:rsidRPr="00277909">
        <w:rPr>
          <w:rFonts w:ascii="Calibri Light" w:hAnsi="Calibri Light" w:cs="Calibri Light"/>
          <w:sz w:val="24"/>
          <w:szCs w:val="24"/>
          <w:lang w:val="en-GB"/>
        </w:rPr>
        <w:t xml:space="preserve">Several studies have pointed out the low efficiency of Ukraine's enforcement proceedings in executing judicial acts. Specifically, reforms that enforce court decisions and those of other authorities, as outlined in Ukraine's laws "On Enforcement Proceedings," have fallen short of expected outcomes [10]. </w:t>
      </w:r>
      <w:r w:rsidRPr="00277909">
        <w:rPr>
          <w:rFonts w:ascii="Calibri Light" w:hAnsi="Calibri Light" w:cs="Calibri Light"/>
          <w:sz w:val="24"/>
          <w:szCs w:val="24"/>
          <w:lang w:val="en-GB"/>
        </w:rPr>
        <w:t>Kravtsova</w:t>
      </w:r>
      <w:r w:rsidRPr="00277909">
        <w:rPr>
          <w:rFonts w:ascii="Calibri Light" w:hAnsi="Calibri Light" w:cs="Calibri Light"/>
          <w:sz w:val="24"/>
          <w:szCs w:val="24"/>
          <w:lang w:val="en-GB"/>
        </w:rPr>
        <w:t xml:space="preserve"> and </w:t>
      </w:r>
      <w:r w:rsidRPr="00277909">
        <w:rPr>
          <w:rFonts w:ascii="Calibri Light" w:hAnsi="Calibri Light" w:cs="Calibri Light"/>
          <w:sz w:val="24"/>
          <w:szCs w:val="24"/>
          <w:lang w:val="en-GB"/>
        </w:rPr>
        <w:t>Petrova</w:t>
      </w:r>
      <w:r w:rsidRPr="00277909">
        <w:rPr>
          <w:rFonts w:ascii="Calibri Light" w:hAnsi="Calibri Light" w:cs="Calibri Light"/>
          <w:sz w:val="24"/>
          <w:szCs w:val="24"/>
          <w:lang w:val="en-GB"/>
        </w:rPr>
        <w:t xml:space="preserve"> explored the scientific and practical evaluation of administrative jurisdiction in the context of Ukraine's new administrative procedural norms [11]. Following the adoption of the new Code of Administrative Procedure, their study clarified issues of jurisdiction and territorial competence of Ukrainian administrative courts [11]. In a separate survey, </w:t>
      </w:r>
      <w:r w:rsidRPr="00277909">
        <w:rPr>
          <w:rFonts w:ascii="Calibri Light" w:hAnsi="Calibri Light" w:cs="Calibri Light"/>
          <w:sz w:val="24"/>
          <w:szCs w:val="24"/>
          <w:lang w:val="en-GB"/>
        </w:rPr>
        <w:t>Kyselova</w:t>
      </w:r>
      <w:r w:rsidRPr="00277909">
        <w:rPr>
          <w:rFonts w:ascii="Calibri Light" w:hAnsi="Calibri Light" w:cs="Calibri Light"/>
          <w:sz w:val="24"/>
          <w:szCs w:val="24"/>
          <w:lang w:val="en-GB"/>
        </w:rPr>
        <w:t xml:space="preserve"> [12] conducted a five-year analysis of the judicial experiences of selected Ukrainian enterprises. Her findings revealed critical aspects of the dual commercial judicial system in Ukraine. While most parties in routine cases reported generally favourable experiences, a minority of instances encountered "black tracks," significantly hindering the restoration of justice [12]. </w:t>
      </w:r>
      <w:r w:rsidRPr="00277909">
        <w:rPr>
          <w:rFonts w:ascii="Calibri Light" w:hAnsi="Calibri Light" w:cs="Calibri Light"/>
          <w:sz w:val="24"/>
          <w:szCs w:val="24"/>
          <w:lang w:val="en-GB"/>
        </w:rPr>
        <w:t>Prytyka</w:t>
      </w:r>
      <w:r w:rsidRPr="00277909">
        <w:rPr>
          <w:rFonts w:ascii="Calibri Light" w:hAnsi="Calibri Light" w:cs="Calibri Light"/>
          <w:sz w:val="24"/>
          <w:szCs w:val="24"/>
          <w:lang w:val="en-GB"/>
        </w:rPr>
        <w:t xml:space="preserve"> et al. identified key legal challenges in Ukrainian legislation [13].</w:t>
      </w:r>
    </w:p>
    <w:p w:rsidR="00277909" w:rsidRPr="00277909" w:rsidP="00277909" w14:paraId="7ADE0400" w14:textId="03AC1217">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Similarly, </w:t>
      </w:r>
      <w:r w:rsidRPr="00277909">
        <w:rPr>
          <w:rFonts w:ascii="Calibri Light" w:hAnsi="Calibri Light" w:cs="Calibri Light"/>
          <w:sz w:val="24"/>
          <w:szCs w:val="24"/>
          <w:lang w:val="en-GB"/>
        </w:rPr>
        <w:t>Potapenko</w:t>
      </w:r>
      <w:r w:rsidRPr="00277909">
        <w:rPr>
          <w:rFonts w:ascii="Calibri Light" w:hAnsi="Calibri Light" w:cs="Calibri Light"/>
          <w:sz w:val="24"/>
          <w:szCs w:val="24"/>
          <w:lang w:val="en-GB"/>
        </w:rPr>
        <w:t xml:space="preserve"> et al. examined the incorporation of specific international standards into the reform of the national judicial system [10]. </w:t>
      </w:r>
      <w:r w:rsidRPr="00277909">
        <w:rPr>
          <w:rFonts w:ascii="Calibri Light" w:hAnsi="Calibri Light" w:cs="Calibri Light"/>
          <w:sz w:val="24"/>
          <w:szCs w:val="24"/>
          <w:lang w:val="en-GB"/>
        </w:rPr>
        <w:t>Petriv</w:t>
      </w:r>
      <w:r w:rsidRPr="00277909">
        <w:rPr>
          <w:rFonts w:ascii="Calibri Light" w:hAnsi="Calibri Light" w:cs="Calibri Light"/>
          <w:sz w:val="24"/>
          <w:szCs w:val="24"/>
          <w:lang w:val="en-GB"/>
        </w:rPr>
        <w:t xml:space="preserve"> [14] analysed the functionality of Ukraine's Constitutional Court, identifying key characteristics of constitutional justice and its role in sustaining state institutions. His research emphasised the importance of constitutional justice in fostering a legal and democratic state supported by innovative and effective institutions. Additionally, he addressed </w:t>
      </w:r>
      <w:r w:rsidRPr="00277909" w:rsidR="00786986">
        <w:rPr>
          <w:rFonts w:ascii="Calibri Light" w:hAnsi="Calibri Light" w:cs="Calibri Light"/>
          <w:sz w:val="24"/>
          <w:szCs w:val="24"/>
          <w:lang w:val="en-GB"/>
        </w:rPr>
        <w:t>challenges</w:t>
      </w:r>
      <w:r w:rsidRPr="00277909">
        <w:rPr>
          <w:rFonts w:ascii="Calibri Light" w:hAnsi="Calibri Light" w:cs="Calibri Light"/>
          <w:sz w:val="24"/>
          <w:szCs w:val="24"/>
          <w:lang w:val="en-GB"/>
        </w:rPr>
        <w:t xml:space="preserve"> within enforcement processes [14].</w:t>
      </w:r>
    </w:p>
    <w:p w:rsidR="00277909" w:rsidRPr="00A4345E" w:rsidP="00277909" w14:paraId="324C6DFC" w14:textId="2D8ABFF6">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Considering</w:t>
      </w:r>
      <w:r w:rsidRPr="00277909">
        <w:rPr>
          <w:rFonts w:ascii="Calibri Light" w:hAnsi="Calibri Light" w:cs="Calibri Light"/>
          <w:sz w:val="24"/>
          <w:szCs w:val="24"/>
          <w:lang w:val="en-GB"/>
        </w:rPr>
        <w:t xml:space="preserve"> these findings, numerous issues related to enforcing judicial decisions in Ukraine remain unresolved. This problem continues to be of significant academic and practical relevance. Notably, insufficient attention has been paid to identifying potential </w:t>
      </w:r>
      <w:r w:rsidRPr="00277909">
        <w:rPr>
          <w:rFonts w:ascii="Calibri Light" w:hAnsi="Calibri Light" w:cs="Calibri Light"/>
          <w:sz w:val="24"/>
          <w:szCs w:val="24"/>
          <w:lang w:val="en-GB"/>
        </w:rPr>
        <w:t>opportunities for improving the efficiency of judicial enforcement in Ukraine. This study seeks to address these gaps by identifying the key obstacles and factors limiting the effectiveness of judicial enforcement. Furthermore, it will propose targeted mechanisms and recommendations to mitigate the identified challenges.</w:t>
      </w:r>
    </w:p>
    <w:p w:rsidR="00A4345E" w:rsidRPr="00A4345E" w:rsidP="00A4345E" w14:paraId="39242B4C" w14:textId="77777777">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In Ukraine, the enforcement process faces several serious challenges, including delays in execution procedures and a lack of transparency. These issues erode public trust in the judicial system and hinder the development of a rule-of-law state. Thus, the problem of efficient judicial decision enforcement remains highly relevant for Ukraine.</w:t>
      </w:r>
    </w:p>
    <w:p w:rsidR="00A4345E" w:rsidRPr="00A4345E" w:rsidP="00A4345E" w14:paraId="3B9DD8C7" w14:textId="0AAC69B2">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 xml:space="preserve">Despite ongoing efforts to reform and optimise legislative processes, </w:t>
      </w:r>
      <w:r w:rsidRPr="00A4345E" w:rsidR="00786986">
        <w:rPr>
          <w:rFonts w:ascii="Calibri Light" w:hAnsi="Calibri Light" w:cs="Calibri Light"/>
          <w:sz w:val="24"/>
          <w:szCs w:val="24"/>
          <w:lang w:val="en-GB"/>
        </w:rPr>
        <w:t>most</w:t>
      </w:r>
      <w:r w:rsidRPr="00A4345E">
        <w:rPr>
          <w:rFonts w:ascii="Calibri Light" w:hAnsi="Calibri Light" w:cs="Calibri Light"/>
          <w:sz w:val="24"/>
          <w:szCs w:val="24"/>
          <w:lang w:val="en-GB"/>
        </w:rPr>
        <w:t xml:space="preserve"> enforcement orders are not implemented effectively, leading to significant social and economic repercussions. Identifying the factors that influence the efficiency of judicial decision enforcement and formulating concrete proposals for improving it represent critical areas of focus for enhancing the state legal system.</w:t>
      </w:r>
    </w:p>
    <w:p w:rsidR="00A4345E" w:rsidRPr="00A4345E" w:rsidP="00A4345E" w14:paraId="31921FCA" w14:textId="27E656E7">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 xml:space="preserve">The central research problem is that, despite numerous legislative initiatives and legal reforms in Ukraine, the enforcement of judicial decisions remains weak. This issue affects civil and criminal cases, where specific difficulties in enforcement arise from poor coordination between judicial and </w:t>
      </w:r>
      <w:r w:rsidRPr="00A4345E">
        <w:rPr>
          <w:rFonts w:ascii="Calibri Light" w:hAnsi="Calibri Light" w:cs="Calibri Light"/>
          <w:sz w:val="24"/>
          <w:szCs w:val="24"/>
        </w:rPr>
        <w:t>executive authorities</w:t>
      </w:r>
      <w:r w:rsidRPr="00A4345E">
        <w:rPr>
          <w:rFonts w:ascii="Calibri Light" w:hAnsi="Calibri Light" w:cs="Calibri Light"/>
          <w:sz w:val="24"/>
          <w:szCs w:val="24"/>
          <w:lang w:val="en-GB"/>
        </w:rPr>
        <w:t>. Moreover, corruption and inefficiencies in leveraging innovative technologies are also prominent factors. The urgency of addressing this research problem is heightened by growing demands for transparency and fairness in legal enforcement, as observed in EU countries and as part of Ukraine’s broader judicial reform process.</w:t>
      </w:r>
    </w:p>
    <w:p w:rsidR="00A4345E" w:rsidRPr="00A4345E" w:rsidP="00A4345E" w14:paraId="4DDA4586" w14:textId="0C13978A">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 xml:space="preserve">This study focuses on identifying the key factors for optimising the efficiency of judicial decision enforcement in Ukraine and developing proposals for improving enforcement processes. </w:t>
      </w:r>
      <w:r w:rsidRPr="00B96AE8" w:rsidR="00B96AE8">
        <w:rPr>
          <w:rFonts w:ascii="Calibri Light" w:hAnsi="Calibri Light" w:cs="Calibri Light"/>
          <w:sz w:val="24"/>
          <w:szCs w:val="24"/>
          <w:highlight w:val="yellow"/>
          <w:lang w:val="en-GB"/>
        </w:rPr>
        <w:t>A comprehensive analysis that combines legal, administrative</w:t>
      </w:r>
      <w:r w:rsidR="00D762C2">
        <w:rPr>
          <w:rFonts w:ascii="Calibri Light" w:hAnsi="Calibri Light" w:cs="Calibri Light"/>
          <w:sz w:val="24"/>
          <w:szCs w:val="24"/>
          <w:highlight w:val="yellow"/>
          <w:lang w:val="en-GB"/>
        </w:rPr>
        <w:t>, and technological challenges in enforcement, especially regarding public authorities,</w:t>
      </w:r>
      <w:r w:rsidRPr="00B96AE8" w:rsidR="00B96AE8">
        <w:rPr>
          <w:rFonts w:ascii="Calibri Light" w:hAnsi="Calibri Light" w:cs="Calibri Light"/>
          <w:sz w:val="24"/>
          <w:szCs w:val="24"/>
          <w:highlight w:val="yellow"/>
          <w:lang w:val="en-GB"/>
        </w:rPr>
        <w:t xml:space="preserve"> is still lacking</w:t>
      </w:r>
      <w:r w:rsidR="00B96AE8">
        <w:rPr>
          <w:rFonts w:ascii="Calibri Light" w:hAnsi="Calibri Light" w:cs="Calibri Light"/>
          <w:sz w:val="24"/>
          <w:szCs w:val="24"/>
          <w:lang w:val="en-GB"/>
        </w:rPr>
        <w:t xml:space="preserve">. </w:t>
      </w:r>
      <w:r w:rsidRPr="00A4345E">
        <w:rPr>
          <w:rFonts w:ascii="Calibri Light" w:hAnsi="Calibri Light" w:cs="Calibri Light"/>
          <w:sz w:val="24"/>
          <w:szCs w:val="24"/>
          <w:lang w:val="en-GB"/>
        </w:rPr>
        <w:t>The study includes an examination of both internal and external factors affecting judicial enforcement. It seeks to understand common forms of non-compliance with mandatory judicial decisions, particularly those involving state authorities in Ukraine.</w:t>
      </w:r>
    </w:p>
    <w:p w:rsidR="00A4345E" w:rsidRPr="00A4345E" w:rsidP="00A4345E" w14:paraId="49AA07E9" w14:textId="77777777">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This research aims to critically analyse the main factors limiting the effectiveness of judicial decision enforcement in Ukraine, identify the key determinants, and propose strategies for improvement. Accordingly, the primary research questions are as follows:</w:t>
      </w:r>
    </w:p>
    <w:p w:rsidR="00A4345E" w:rsidRPr="00A4345E" w:rsidP="00A4345E" w14:paraId="1AFE5482" w14:textId="77777777">
      <w:pPr>
        <w:numPr>
          <w:ilvl w:val="0"/>
          <w:numId w:val="30"/>
        </w:numPr>
        <w:spacing w:before="120" w:after="120"/>
        <w:jc w:val="both"/>
        <w:rPr>
          <w:rFonts w:ascii="Calibri Light" w:hAnsi="Calibri Light" w:cs="Calibri Light"/>
          <w:sz w:val="24"/>
          <w:szCs w:val="24"/>
          <w:lang w:val="en-GB"/>
        </w:rPr>
      </w:pPr>
      <w:r w:rsidRPr="00A4345E">
        <w:rPr>
          <w:rFonts w:ascii="Calibri Light" w:hAnsi="Calibri Light" w:cs="Calibri Light"/>
          <w:sz w:val="24"/>
          <w:szCs w:val="24"/>
          <w:lang w:val="en-GB"/>
        </w:rPr>
        <w:t>To analyse academic materials on the key factors affecting the enforcement of judicial decisions.</w:t>
      </w:r>
    </w:p>
    <w:p w:rsidR="00A4345E" w:rsidRPr="00A4345E" w:rsidP="00A4345E" w14:paraId="29FCB10E" w14:textId="77777777">
      <w:pPr>
        <w:numPr>
          <w:ilvl w:val="0"/>
          <w:numId w:val="30"/>
        </w:numPr>
        <w:spacing w:before="120" w:after="120"/>
        <w:jc w:val="both"/>
        <w:rPr>
          <w:rFonts w:ascii="Calibri Light" w:hAnsi="Calibri Light" w:cs="Calibri Light"/>
          <w:sz w:val="24"/>
          <w:szCs w:val="24"/>
          <w:lang w:val="en-GB"/>
        </w:rPr>
      </w:pPr>
      <w:r w:rsidRPr="00A4345E">
        <w:rPr>
          <w:rFonts w:ascii="Calibri Light" w:hAnsi="Calibri Light" w:cs="Calibri Light"/>
          <w:sz w:val="24"/>
          <w:szCs w:val="24"/>
          <w:lang w:val="en-GB"/>
        </w:rPr>
        <w:t>To identify the problems in the enforcement process that directly influence the effectiveness of justice.</w:t>
      </w:r>
    </w:p>
    <w:p w:rsidR="00A4345E" w:rsidRPr="00A4345E" w:rsidP="00A4345E" w14:paraId="5E2137E8" w14:textId="77777777">
      <w:pPr>
        <w:numPr>
          <w:ilvl w:val="0"/>
          <w:numId w:val="30"/>
        </w:numPr>
        <w:spacing w:before="120" w:after="120"/>
        <w:jc w:val="both"/>
        <w:rPr>
          <w:rFonts w:ascii="Calibri Light" w:hAnsi="Calibri Light" w:cs="Calibri Light"/>
          <w:sz w:val="24"/>
          <w:szCs w:val="24"/>
          <w:lang w:val="en-GB"/>
        </w:rPr>
      </w:pPr>
      <w:r w:rsidRPr="00A4345E">
        <w:rPr>
          <w:rFonts w:ascii="Calibri Light" w:hAnsi="Calibri Light" w:cs="Calibri Light"/>
          <w:sz w:val="24"/>
          <w:szCs w:val="24"/>
          <w:lang w:val="en-GB"/>
        </w:rPr>
        <w:t>To examine potential solutions discussed in the scientific literature to address these challenges.</w:t>
      </w:r>
    </w:p>
    <w:p w:rsidR="00A4345E" w:rsidRPr="00A4345E" w:rsidP="00A4345E" w14:paraId="3B6AA69C" w14:textId="0BC6B777">
      <w:pPr>
        <w:spacing w:before="120" w:after="120"/>
        <w:ind w:left="426"/>
        <w:jc w:val="both"/>
        <w:rPr>
          <w:rFonts w:ascii="Calibri Light" w:hAnsi="Calibri Light" w:cs="Calibri Light"/>
          <w:sz w:val="24"/>
          <w:szCs w:val="24"/>
          <w:lang w:val="en-GB"/>
        </w:rPr>
      </w:pPr>
      <w:r w:rsidRPr="000E6D14">
        <w:rPr>
          <w:rFonts w:ascii="Calibri Light" w:hAnsi="Calibri Light" w:cs="Calibri Light"/>
          <w:sz w:val="24"/>
          <w:szCs w:val="24"/>
          <w:highlight w:val="yellow"/>
          <w:lang w:val="en-GB"/>
        </w:rPr>
        <w:t xml:space="preserve">Based on the theoretical review and literature analysis, the study proposes the following hypothesis to be tested using </w:t>
      </w:r>
      <w:r w:rsidR="00D762C2">
        <w:rPr>
          <w:rFonts w:ascii="Calibri Light" w:hAnsi="Calibri Light" w:cs="Calibri Light"/>
          <w:sz w:val="24"/>
          <w:szCs w:val="24"/>
          <w:highlight w:val="yellow"/>
          <w:lang w:val="en-GB"/>
        </w:rPr>
        <w:t xml:space="preserve">the </w:t>
      </w:r>
      <w:r w:rsidRPr="000E6D14">
        <w:rPr>
          <w:rFonts w:ascii="Calibri Light" w:hAnsi="Calibri Light" w:cs="Calibri Light"/>
          <w:sz w:val="24"/>
          <w:szCs w:val="24"/>
          <w:highlight w:val="yellow"/>
          <w:lang w:val="en-GB"/>
        </w:rPr>
        <w:t>theoretical basis of the rule of law:</w:t>
      </w:r>
      <w:r>
        <w:rPr>
          <w:rFonts w:ascii="Calibri Light" w:hAnsi="Calibri Light" w:cs="Calibri Light"/>
          <w:sz w:val="24"/>
          <w:szCs w:val="24"/>
          <w:lang w:val="en-GB"/>
        </w:rPr>
        <w:t xml:space="preserve"> </w:t>
      </w:r>
    </w:p>
    <w:p w:rsidR="00A4345E" w:rsidRPr="00A4345E" w:rsidP="00A4345E" w14:paraId="058674A9" w14:textId="77777777">
      <w:pPr>
        <w:numPr>
          <w:ilvl w:val="0"/>
          <w:numId w:val="31"/>
        </w:numPr>
        <w:spacing w:before="120" w:after="120"/>
        <w:jc w:val="both"/>
        <w:rPr>
          <w:rFonts w:ascii="Calibri Light" w:hAnsi="Calibri Light" w:cs="Calibri Light"/>
          <w:sz w:val="24"/>
          <w:szCs w:val="24"/>
          <w:lang w:val="en-GB"/>
        </w:rPr>
      </w:pPr>
      <w:r w:rsidRPr="00A4345E">
        <w:rPr>
          <w:rFonts w:ascii="Calibri Light" w:hAnsi="Calibri Light" w:cs="Calibri Light"/>
          <w:sz w:val="24"/>
          <w:szCs w:val="24"/>
          <w:lang w:val="en-GB"/>
        </w:rPr>
        <w:t>An inefficient organisational structure within executive authorities significantly complicates the judicial decision enforcement process.</w:t>
      </w:r>
    </w:p>
    <w:p w:rsidR="00A4345E" w:rsidP="00A4345E" w14:paraId="12361D89" w14:textId="77777777">
      <w:pPr>
        <w:spacing w:before="120" w:after="120"/>
        <w:ind w:left="426"/>
        <w:jc w:val="both"/>
        <w:rPr>
          <w:rFonts w:ascii="Calibri Light" w:hAnsi="Calibri Light" w:cs="Calibri Light"/>
          <w:sz w:val="24"/>
          <w:szCs w:val="24"/>
          <w:lang w:val="en"/>
        </w:rPr>
      </w:pPr>
      <w:r w:rsidRPr="00A4345E">
        <w:rPr>
          <w:rFonts w:ascii="Calibri Light" w:hAnsi="Calibri Light" w:cs="Calibri Light"/>
          <w:sz w:val="24"/>
          <w:szCs w:val="24"/>
          <w:lang w:val="en-GB"/>
        </w:rPr>
        <w:t>The absence of innovative tools for automation in enforcement proceedings delays the implementation of judicial decisions and increases the likelihood of errors.</w:t>
      </w:r>
    </w:p>
    <w:p w:rsidR="005F333D" w:rsidP="00003189" w14:paraId="017785DE" w14:textId="77777777">
      <w:pPr>
        <w:spacing w:before="120" w:after="120"/>
        <w:ind w:left="426"/>
        <w:jc w:val="both"/>
        <w:rPr>
          <w:rFonts w:ascii="Calibri Light" w:hAnsi="Calibri Light" w:cs="Calibri Light"/>
          <w:sz w:val="24"/>
          <w:szCs w:val="24"/>
          <w:lang w:val="en"/>
        </w:rPr>
      </w:pPr>
    </w:p>
    <w:p w:rsidR="00D26ADD" w:rsidRPr="00122F5F" w:rsidP="00540F02" w14:paraId="61574813" w14:textId="77777777">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A4345E" w:rsidP="008C3DC2" w14:paraId="6C74E41B" w14:textId="77777777">
      <w:pPr>
        <w:spacing w:before="120" w:after="120"/>
        <w:ind w:left="426"/>
        <w:jc w:val="both"/>
        <w:rPr>
          <w:rFonts w:ascii="Calibri Light" w:hAnsi="Calibri Light" w:cs="Calibri Light"/>
          <w:sz w:val="24"/>
          <w:szCs w:val="24"/>
        </w:rPr>
      </w:pPr>
    </w:p>
    <w:p w:rsidR="00277909" w:rsidRPr="009D7552" w:rsidP="00277909" w14:paraId="5B5FD7FE" w14:textId="461E35A2">
      <w:pPr>
        <w:spacing w:before="120" w:after="120"/>
        <w:ind w:left="426"/>
        <w:jc w:val="both"/>
        <w:rPr>
          <w:rFonts w:ascii="Calibri Light" w:hAnsi="Calibri Light" w:cs="Calibri Light"/>
          <w:sz w:val="24"/>
          <w:szCs w:val="24"/>
          <w:lang w:val="uk-UA"/>
        </w:rPr>
      </w:pPr>
      <w:r w:rsidRPr="001F4F1D">
        <w:rPr>
          <w:rFonts w:ascii="Calibri Light" w:hAnsi="Calibri Light" w:cs="Calibri Light"/>
          <w:sz w:val="24"/>
          <w:szCs w:val="24"/>
          <w:highlight w:val="yellow"/>
          <w:lang w:val="en-GB"/>
        </w:rPr>
        <w:t xml:space="preserve">The study proposes a qualitative </w:t>
      </w:r>
      <w:r w:rsidR="00D762C2">
        <w:rPr>
          <w:rFonts w:ascii="Calibri Light" w:hAnsi="Calibri Light" w:cs="Calibri Light"/>
          <w:sz w:val="24"/>
          <w:szCs w:val="24"/>
          <w:highlight w:val="yellow"/>
          <w:lang w:val="en-GB"/>
        </w:rPr>
        <w:t>analysis method focusing</w:t>
      </w:r>
      <w:r w:rsidRPr="001F4F1D">
        <w:rPr>
          <w:rFonts w:ascii="Calibri Light" w:hAnsi="Calibri Light" w:cs="Calibri Light"/>
          <w:sz w:val="24"/>
          <w:szCs w:val="24"/>
          <w:highlight w:val="yellow"/>
          <w:lang w:val="en-GB"/>
        </w:rPr>
        <w:t xml:space="preserve"> on legal documentation, including legislative acts, court decisions, conclusions of international organizations, and scientific literature. This approach allows us to identify key problems in </w:t>
      </w:r>
      <w:r w:rsidR="00D762C2">
        <w:rPr>
          <w:rFonts w:ascii="Calibri Light" w:hAnsi="Calibri Light" w:cs="Calibri Light"/>
          <w:sz w:val="24"/>
          <w:szCs w:val="24"/>
          <w:highlight w:val="yellow"/>
          <w:lang w:val="en-GB"/>
        </w:rPr>
        <w:t>implementing</w:t>
      </w:r>
      <w:r w:rsidRPr="001F4F1D">
        <w:rPr>
          <w:rFonts w:ascii="Calibri Light" w:hAnsi="Calibri Light" w:cs="Calibri Light"/>
          <w:sz w:val="24"/>
          <w:szCs w:val="24"/>
          <w:highlight w:val="yellow"/>
          <w:lang w:val="en-GB"/>
        </w:rPr>
        <w:t xml:space="preserve"> court decisions in Ukraine and assess their compliance with the principles of the rule of law.</w:t>
      </w:r>
    </w:p>
    <w:p w:rsidR="00277909" w:rsidRPr="00277909" w:rsidP="00277909" w14:paraId="06EE129A" w14:textId="77777777">
      <w:pPr>
        <w:spacing w:before="120" w:after="120"/>
        <w:ind w:left="426"/>
        <w:jc w:val="both"/>
        <w:rPr>
          <w:rFonts w:ascii="Calibri Light" w:hAnsi="Calibri Light" w:cs="Calibri Light"/>
          <w:b/>
          <w:sz w:val="24"/>
          <w:szCs w:val="24"/>
          <w:lang w:val="en-GB"/>
        </w:rPr>
      </w:pPr>
      <w:r w:rsidRPr="00277909">
        <w:rPr>
          <w:rFonts w:ascii="Calibri Light" w:hAnsi="Calibri Light" w:cs="Calibri Light"/>
          <w:b/>
          <w:sz w:val="24"/>
          <w:szCs w:val="24"/>
          <w:lang w:val="en-GB"/>
        </w:rPr>
        <w:t>Data Collection</w:t>
      </w:r>
    </w:p>
    <w:p w:rsidR="00277909" w:rsidRPr="00277909" w:rsidP="00277909" w14:paraId="764C63ED" w14:textId="77777777">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study employs various types of materials, including:</w:t>
      </w:r>
    </w:p>
    <w:p w:rsidR="00277909" w:rsidRPr="00277909" w:rsidP="00277909" w14:paraId="6BA26DF6" w14:textId="77777777">
      <w:pPr>
        <w:numPr>
          <w:ilvl w:val="0"/>
          <w:numId w:val="32"/>
        </w:numPr>
        <w:spacing w:before="120" w:after="120"/>
        <w:jc w:val="both"/>
        <w:rPr>
          <w:rFonts w:ascii="Calibri Light" w:hAnsi="Calibri Light" w:cs="Calibri Light"/>
          <w:sz w:val="24"/>
          <w:szCs w:val="24"/>
          <w:lang w:val="en-GB"/>
        </w:rPr>
      </w:pPr>
      <w:r w:rsidRPr="00277909">
        <w:rPr>
          <w:rFonts w:ascii="Calibri Light" w:hAnsi="Calibri Light" w:cs="Calibri Light"/>
          <w:bCs/>
          <w:sz w:val="24"/>
          <w:szCs w:val="24"/>
          <w:lang w:val="en-GB"/>
        </w:rPr>
        <w:t>Legislative and regulatory acts</w:t>
      </w:r>
      <w:r w:rsidRPr="00277909">
        <w:rPr>
          <w:rFonts w:ascii="Calibri Light" w:hAnsi="Calibri Light" w:cs="Calibri Light"/>
          <w:sz w:val="24"/>
          <w:szCs w:val="24"/>
          <w:lang w:val="en-GB"/>
        </w:rPr>
        <w:t xml:space="preserve"> governing enforcement proceedings in Ukraine.</w:t>
      </w:r>
    </w:p>
    <w:p w:rsidR="00277909" w:rsidRPr="00277909" w:rsidP="00277909" w14:paraId="516161BD" w14:textId="77777777">
      <w:pPr>
        <w:numPr>
          <w:ilvl w:val="0"/>
          <w:numId w:val="32"/>
        </w:numPr>
        <w:spacing w:before="120" w:after="120"/>
        <w:jc w:val="both"/>
        <w:rPr>
          <w:rFonts w:ascii="Calibri Light" w:hAnsi="Calibri Light" w:cs="Calibri Light"/>
          <w:sz w:val="24"/>
          <w:szCs w:val="24"/>
          <w:lang w:val="en-GB"/>
        </w:rPr>
      </w:pPr>
      <w:r w:rsidRPr="00277909">
        <w:rPr>
          <w:rFonts w:ascii="Calibri Light" w:hAnsi="Calibri Light" w:cs="Calibri Light"/>
          <w:bCs/>
          <w:sz w:val="24"/>
          <w:szCs w:val="24"/>
          <w:lang w:val="en-GB"/>
        </w:rPr>
        <w:t>Data from the Ministry of Justice of Ukraine</w:t>
      </w:r>
      <w:r w:rsidRPr="00277909">
        <w:rPr>
          <w:rFonts w:ascii="Calibri Light" w:hAnsi="Calibri Light" w:cs="Calibri Light"/>
          <w:sz w:val="24"/>
          <w:szCs w:val="24"/>
          <w:lang w:val="en-GB"/>
        </w:rPr>
        <w:t xml:space="preserve"> and other statistical services.</w:t>
      </w:r>
    </w:p>
    <w:p w:rsidR="00277909" w:rsidRPr="00277909" w:rsidP="00277909" w14:paraId="1FEF74BE" w14:textId="77777777">
      <w:pPr>
        <w:numPr>
          <w:ilvl w:val="0"/>
          <w:numId w:val="32"/>
        </w:numPr>
        <w:spacing w:before="120" w:after="120"/>
        <w:jc w:val="both"/>
        <w:rPr>
          <w:rFonts w:ascii="Calibri Light" w:hAnsi="Calibri Light" w:cs="Calibri Light"/>
          <w:sz w:val="24"/>
          <w:szCs w:val="24"/>
          <w:lang w:val="en-GB"/>
        </w:rPr>
      </w:pPr>
      <w:r w:rsidRPr="00277909">
        <w:rPr>
          <w:rFonts w:ascii="Calibri Light" w:hAnsi="Calibri Light" w:cs="Calibri Light"/>
          <w:bCs/>
          <w:sz w:val="24"/>
          <w:szCs w:val="24"/>
          <w:lang w:val="en-GB"/>
        </w:rPr>
        <w:t>Analytical reports and reviews</w:t>
      </w:r>
      <w:r w:rsidRPr="00277909">
        <w:rPr>
          <w:rFonts w:ascii="Calibri Light" w:hAnsi="Calibri Light" w:cs="Calibri Light"/>
          <w:sz w:val="24"/>
          <w:szCs w:val="24"/>
          <w:lang w:val="en-GB"/>
        </w:rPr>
        <w:t xml:space="preserve"> produced by international organisations.</w:t>
      </w:r>
    </w:p>
    <w:p w:rsidR="00277909" w:rsidRPr="00277909" w:rsidP="00277909" w14:paraId="405E51C6" w14:textId="77777777">
      <w:pPr>
        <w:numPr>
          <w:ilvl w:val="0"/>
          <w:numId w:val="32"/>
        </w:numPr>
        <w:spacing w:before="120" w:after="120"/>
        <w:jc w:val="both"/>
        <w:rPr>
          <w:rFonts w:ascii="Calibri Light" w:hAnsi="Calibri Light" w:cs="Calibri Light"/>
          <w:sz w:val="24"/>
          <w:szCs w:val="24"/>
          <w:lang w:val="en-GB"/>
        </w:rPr>
      </w:pPr>
      <w:r w:rsidRPr="00277909">
        <w:rPr>
          <w:rFonts w:ascii="Calibri Light" w:hAnsi="Calibri Light" w:cs="Calibri Light"/>
          <w:bCs/>
          <w:sz w:val="24"/>
          <w:szCs w:val="24"/>
          <w:lang w:val="en-GB"/>
        </w:rPr>
        <w:t>Scientific literature</w:t>
      </w:r>
      <w:r w:rsidRPr="00277909">
        <w:rPr>
          <w:rFonts w:ascii="Calibri Light" w:hAnsi="Calibri Light" w:cs="Calibri Light"/>
          <w:sz w:val="24"/>
          <w:szCs w:val="24"/>
          <w:lang w:val="en-GB"/>
        </w:rPr>
        <w:t>, including monographs, scholarly articles, and conference proceedings.</w:t>
      </w:r>
    </w:p>
    <w:p w:rsidR="00277909" w:rsidRPr="00277909" w:rsidP="00277909" w14:paraId="7D73EDF8" w14:textId="77777777">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reviewed academic literature primarily spans publications from 2018 to 2024. All sources meet predefined criteria, such as a substantive connection to judicial practices in Ukraine and the EU and relevance to the research topic. Only peer-reviewed sources were considered, ensuring a rigorous verification and editorial process.</w:t>
      </w:r>
    </w:p>
    <w:p w:rsidR="00277909" w:rsidRPr="00277909" w:rsidP="00277909" w14:paraId="637D4983" w14:textId="77777777">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literature review's geographical focus includes Ukraine and EU countries, with additional studies on judicial practices in other nations incorporated for comparative analysis. These broader studies were included to draw meaningful parallels with Ukraine's practices.</w:t>
      </w:r>
    </w:p>
    <w:p w:rsidR="00277909" w:rsidRPr="00277909" w:rsidP="00277909" w14:paraId="587A21B2" w14:textId="1820715A">
      <w:pPr>
        <w:spacing w:before="120" w:after="120"/>
        <w:ind w:left="426"/>
        <w:jc w:val="both"/>
        <w:rPr>
          <w:rFonts w:ascii="Calibri Light" w:hAnsi="Calibri Light" w:cs="Calibri Light"/>
          <w:b/>
          <w:bCs/>
          <w:sz w:val="24"/>
          <w:szCs w:val="24"/>
          <w:lang w:val="en-GB"/>
        </w:rPr>
      </w:pPr>
      <w:r w:rsidRPr="00277909">
        <w:rPr>
          <w:rFonts w:ascii="Calibri Light" w:hAnsi="Calibri Light" w:cs="Calibri Light"/>
          <w:b/>
          <w:bCs/>
          <w:sz w:val="24"/>
          <w:szCs w:val="24"/>
          <w:lang w:val="en-GB"/>
        </w:rPr>
        <w:t xml:space="preserve">Instruments and </w:t>
      </w:r>
      <w:r w:rsidR="00D762C2">
        <w:rPr>
          <w:rFonts w:ascii="Calibri Light" w:hAnsi="Calibri Light" w:cs="Calibri Light"/>
          <w:b/>
          <w:bCs/>
          <w:sz w:val="24"/>
          <w:szCs w:val="24"/>
          <w:lang w:val="en-GB"/>
        </w:rPr>
        <w:t>Procedures</w:t>
      </w:r>
    </w:p>
    <w:p w:rsidR="00277909" w:rsidRPr="00277909" w:rsidP="00277909" w14:paraId="606B9436" w14:textId="77777777">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material collection stage played a critical role in the research process. A targeted selection process identified seven legislative acts, analytical reviews, and statistical materials relevant to the study.</w:t>
      </w:r>
    </w:p>
    <w:p w:rsidR="00277909" w:rsidRPr="00277909" w:rsidP="00277909" w14:paraId="1A21C0B3" w14:textId="77777777">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The PRISMA approach was utilised to identify key academic sources. This method facilitated the systematic collection and inclusion of the most pertinent materials. The following academic databases were searched: Scopus and Google Scholar. Search queries included keywords such as </w:t>
      </w:r>
      <w:r w:rsidRPr="00277909">
        <w:rPr>
          <w:rFonts w:ascii="Calibri Light" w:hAnsi="Calibri Light" w:cs="Calibri Light"/>
          <w:i/>
          <w:iCs/>
          <w:sz w:val="24"/>
          <w:szCs w:val="24"/>
          <w:lang w:val="en-GB"/>
        </w:rPr>
        <w:t>judicial system</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enforcement proceedings</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enforcement process</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court decision execution</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Ukraine</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factors</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prospects</w:t>
      </w:r>
      <w:r w:rsidRPr="00277909">
        <w:rPr>
          <w:rFonts w:ascii="Calibri Light" w:hAnsi="Calibri Light" w:cs="Calibri Light"/>
          <w:sz w:val="24"/>
          <w:szCs w:val="24"/>
          <w:lang w:val="en-GB"/>
        </w:rPr>
        <w:t xml:space="preserve">, and </w:t>
      </w:r>
      <w:r w:rsidRPr="00277909">
        <w:rPr>
          <w:rFonts w:ascii="Calibri Light" w:hAnsi="Calibri Light" w:cs="Calibri Light"/>
          <w:i/>
          <w:iCs/>
          <w:sz w:val="24"/>
          <w:szCs w:val="24"/>
          <w:lang w:val="en-GB"/>
        </w:rPr>
        <w:t>optimisation</w:t>
      </w:r>
      <w:r w:rsidRPr="00277909">
        <w:rPr>
          <w:rFonts w:ascii="Calibri Light" w:hAnsi="Calibri Light" w:cs="Calibri Light"/>
          <w:sz w:val="24"/>
          <w:szCs w:val="24"/>
          <w:lang w:val="en-GB"/>
        </w:rPr>
        <w:t>. A total of 3,455 results were initially retrieved.</w:t>
      </w:r>
    </w:p>
    <w:p w:rsidR="00277909" w:rsidRPr="00277909" w:rsidP="00277909" w14:paraId="1BEA47C8" w14:textId="77777777">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selection process involved:</w:t>
      </w:r>
    </w:p>
    <w:p w:rsidR="00277909" w:rsidRPr="00277909" w:rsidP="00277909" w14:paraId="05D07257" w14:textId="77777777">
      <w:pPr>
        <w:numPr>
          <w:ilvl w:val="0"/>
          <w:numId w:val="33"/>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Eliminating duplicate entries.</w:t>
      </w:r>
    </w:p>
    <w:p w:rsidR="00277909" w:rsidRPr="00277909" w:rsidP="00277909" w14:paraId="28BF2D4D" w14:textId="77777777">
      <w:pPr>
        <w:numPr>
          <w:ilvl w:val="0"/>
          <w:numId w:val="33"/>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Excluding articles unrelated to the research topic.</w:t>
      </w:r>
    </w:p>
    <w:p w:rsidR="00277909" w:rsidRPr="00277909" w:rsidP="00277909" w14:paraId="4939B791" w14:textId="77777777">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inclusion criteria were strictly defined as follows:</w:t>
      </w:r>
    </w:p>
    <w:p w:rsidR="00277909" w:rsidRPr="00277909" w:rsidP="00277909" w14:paraId="46441249" w14:textId="77777777">
      <w:pPr>
        <w:numPr>
          <w:ilvl w:val="0"/>
          <w:numId w:val="34"/>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study addresses the realities of Ukraine's judicial system.</w:t>
      </w:r>
    </w:p>
    <w:p w:rsidR="00277909" w:rsidRPr="00277909" w:rsidP="00277909" w14:paraId="3C7E67D7" w14:textId="77777777">
      <w:pPr>
        <w:numPr>
          <w:ilvl w:val="0"/>
          <w:numId w:val="34"/>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work provides a detailed examination of court decision enforcement procedures in Ukraine.</w:t>
      </w:r>
    </w:p>
    <w:p w:rsidR="00277909" w:rsidRPr="00277909" w:rsidP="00277909" w14:paraId="58627D78" w14:textId="77777777">
      <w:pPr>
        <w:numPr>
          <w:ilvl w:val="0"/>
          <w:numId w:val="34"/>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study establishes a substantive connection between the judicial systems of EU countries and the enforcement of court decisions.</w:t>
      </w:r>
    </w:p>
    <w:p w:rsidR="00277909" w:rsidRPr="00277909" w:rsidP="00277909" w14:paraId="557440AE" w14:textId="77777777">
      <w:pPr>
        <w:numPr>
          <w:ilvl w:val="0"/>
          <w:numId w:val="34"/>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primary language is English. In exceptional cases, Ukrainian-language sources were included if accompanied by an English abstract (see Figure 1).</w:t>
      </w:r>
    </w:p>
    <w:p w:rsidR="00277909" w:rsidRPr="00277909" w:rsidP="00277909" w14:paraId="67E2361D" w14:textId="77777777">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This rigorous approach ensured the selection of high-quality sources directly relevant to the research objectives.</w:t>
      </w:r>
    </w:p>
    <w:p w:rsidR="00277909" w:rsidRPr="00277909" w:rsidP="00277909" w14:paraId="6C42EDBE" w14:textId="77777777">
      <w:pPr>
        <w:spacing w:before="120" w:after="120"/>
        <w:ind w:left="426"/>
        <w:jc w:val="both"/>
        <w:rPr>
          <w:rFonts w:ascii="Calibri Light" w:hAnsi="Calibri Light" w:cs="Calibri Light"/>
          <w:sz w:val="24"/>
          <w:szCs w:val="24"/>
          <w:lang w:val="en-GB"/>
        </w:rPr>
      </w:pPr>
      <w:r>
        <w:rPr>
          <w:rFonts w:ascii="Calibri Light" w:hAnsi="Calibri Light" w:cs="Calibri Light"/>
          <w:noProof/>
          <w:sz w:val="24"/>
          <w:szCs w:val="24"/>
          <w:lang w:val="ru-RU" w:eastAsia="ru-RU"/>
        </w:rPr>
        <mc:AlternateContent>
          <mc:Choice Requires="wpc">
            <w:drawing>
              <wp:inline distT="0" distB="0" distL="0" distR="0">
                <wp:extent cx="5760085" cy="5113020"/>
                <wp:effectExtent l="0" t="0" r="0" b="5080"/>
                <wp:docPr id="14" name="Canvas 1"/>
                <wp:cNvGraphicFramePr/>
                <a:graphic xmlns:a="http://schemas.openxmlformats.org/drawingml/2006/main">
                  <a:graphicData uri="http://schemas.microsoft.com/office/word/2010/wordprocessingCanvas">
                    <wpc:wpc>
                      <wpc:bg>
                        <a:noFill/>
                      </wpc:bg>
                      <wps:wsp xmlns:wps="http://schemas.microsoft.com/office/word/2010/wordprocessingShape">
                        <wps:cNvPr id="376743079" name="Блок-схема: альтернативный процесс 770533322"/>
                        <wps:cNvSpPr/>
                        <wps:spPr bwMode="auto">
                          <a:xfrm>
                            <a:off x="709295" y="34925"/>
                            <a:ext cx="4358640" cy="275590"/>
                          </a:xfrm>
                          <a:prstGeom prst="flowChartAlternateProcess">
                            <a:avLst/>
                          </a:prstGeom>
                          <a:solidFill>
                            <a:srgbClr val="8064A2"/>
                          </a:solidFill>
                          <a:ln w="12700">
                            <a:solidFill>
                              <a:srgbClr val="BA8C00"/>
                            </a:solidFill>
                            <a:miter lim="800000"/>
                            <a:headEnd w="sm" len="sm"/>
                            <a:tailEnd w="sm" len="sm"/>
                          </a:ln>
                        </wps:spPr>
                        <wps:txbx>
                          <w:txbxContent>
                            <w:p w:rsidR="00C36C85" w:rsidRPr="00D0192C" w:rsidP="00277909" w14:textId="77777777">
                              <w:pPr>
                                <w:jc w:val="center"/>
                                <w:rPr>
                                  <w:lang w:val="en-GB"/>
                                </w:rPr>
                              </w:pPr>
                              <w:r w:rsidRPr="00D0192C">
                                <w:rPr>
                                  <w:b/>
                                  <w:color w:val="000000"/>
                                  <w:lang w:val="en-GB"/>
                                </w:rPr>
                                <w:t>Identification of studies via databases and registers</w:t>
                              </w:r>
                            </w:p>
                          </w:txbxContent>
                        </wps:txbx>
                        <wps:bodyPr rot="0" vert="horz" wrap="square" lIns="91425" tIns="0" rIns="91425" bIns="0" anchor="ctr" anchorCtr="0" upright="1"/>
                      </wps:wsp>
                      <wps:wsp xmlns:wps="http://schemas.microsoft.com/office/word/2010/wordprocessingShape">
                        <wps:cNvPr id="1104005173" name="Прямоугольник 770533311"/>
                        <wps:cNvSpPr/>
                        <wps:spPr bwMode="auto">
                          <a:xfrm>
                            <a:off x="682625" y="567055"/>
                            <a:ext cx="1898650" cy="758825"/>
                          </a:xfrm>
                          <a:prstGeom prst="rect">
                            <a:avLst/>
                          </a:prstGeom>
                          <a:noFill/>
                          <a:ln w="12700">
                            <a:solidFill>
                              <a:srgbClr val="000000"/>
                            </a:solidFill>
                            <a:miter lim="800000"/>
                            <a:headEnd w="sm" len="sm"/>
                            <a:tailEnd w="sm" len="sm"/>
                          </a:ln>
                          <a:extLst>
                            <a:ext xmlns:a="http://schemas.openxmlformats.org/drawingml/2006/main" uri="{909E8E84-426E-40DD-AFC4-6F175D3DCCD1}">
                              <a14:hiddenFill xmlns:a14="http://schemas.microsoft.com/office/drawing/2010/main">
                                <a:solidFill>
                                  <a:srgbClr val="FFFFFF"/>
                                </a:solidFill>
                              </a14:hiddenFill>
                            </a:ext>
                          </a:extLst>
                        </wps:spPr>
                        <wps:txbx>
                          <w:txbxContent>
                            <w:p w:rsidR="00C36C85" w:rsidRPr="00D0192C" w:rsidP="00277909" w14:textId="77777777">
                              <w:pPr>
                                <w:jc w:val="center"/>
                                <w:rPr>
                                  <w:lang w:val="en-GB"/>
                                </w:rPr>
                              </w:pPr>
                              <w:r w:rsidRPr="00D0192C">
                                <w:rPr>
                                  <w:color w:val="000000"/>
                                  <w:lang w:val="en-GB"/>
                                </w:rPr>
                                <w:t>Records identified from:</w:t>
                              </w:r>
                            </w:p>
                            <w:p w:rsidR="00C36C85" w:rsidRPr="00D0192C" w:rsidP="00277909" w14:textId="77777777">
                              <w:pPr>
                                <w:jc w:val="center"/>
                                <w:rPr>
                                  <w:lang w:val="en-GB"/>
                                </w:rPr>
                              </w:pPr>
                              <w:r w:rsidRPr="00D0192C">
                                <w:rPr>
                                  <w:color w:val="000000"/>
                                  <w:lang w:val="en-GB"/>
                                </w:rPr>
                                <w:t>Databases (n = 3455 )</w:t>
                              </w:r>
                            </w:p>
                          </w:txbxContent>
                        </wps:txbx>
                        <wps:bodyPr rot="0" vert="horz" wrap="square" lIns="91425" tIns="45698" rIns="91425" bIns="45698" anchor="ctr" anchorCtr="0" upright="1"/>
                      </wps:wsp>
                      <wps:wsp xmlns:wps="http://schemas.microsoft.com/office/word/2010/wordprocessingShape">
                        <wps:cNvPr id="399497270" name="Прямоугольник 770533328"/>
                        <wps:cNvSpPr/>
                        <wps:spPr bwMode="auto">
                          <a:xfrm>
                            <a:off x="3173095" y="559435"/>
                            <a:ext cx="1900555" cy="766445"/>
                          </a:xfrm>
                          <a:prstGeom prst="rect">
                            <a:avLst/>
                          </a:prstGeom>
                          <a:noFill/>
                          <a:ln w="12700">
                            <a:solidFill>
                              <a:srgbClr val="000000"/>
                            </a:solidFill>
                            <a:miter lim="800000"/>
                            <a:headEnd w="sm" len="sm"/>
                            <a:tailEnd w="sm" len="sm"/>
                          </a:ln>
                          <a:extLst>
                            <a:ext xmlns:a="http://schemas.openxmlformats.org/drawingml/2006/main" uri="{909E8E84-426E-40DD-AFC4-6F175D3DCCD1}">
                              <a14:hiddenFill xmlns:a14="http://schemas.microsoft.com/office/drawing/2010/main">
                                <a:solidFill>
                                  <a:srgbClr val="FFFFFF"/>
                                </a:solidFill>
                              </a14:hiddenFill>
                            </a:ext>
                          </a:extLst>
                        </wps:spPr>
                        <wps:txbx>
                          <w:txbxContent>
                            <w:p w:rsidR="00C36C85" w:rsidRPr="00D0192C" w:rsidP="00277909" w14:textId="77777777">
                              <w:pPr>
                                <w:jc w:val="center"/>
                                <w:rPr>
                                  <w:lang w:val="en-GB"/>
                                </w:rPr>
                              </w:pPr>
                              <w:r w:rsidRPr="00D0192C">
                                <w:rPr>
                                  <w:color w:val="000000"/>
                                  <w:lang w:val="en-GB"/>
                                </w:rPr>
                                <w:t>Duplicate removed</w:t>
                              </w:r>
                            </w:p>
                            <w:p w:rsidR="00C36C85" w:rsidRPr="00D0192C" w:rsidP="00277909" w14:textId="77777777">
                              <w:pPr>
                                <w:jc w:val="center"/>
                                <w:rPr>
                                  <w:lang w:val="en-GB"/>
                                </w:rPr>
                              </w:pPr>
                              <w:r w:rsidRPr="00D0192C">
                                <w:rPr>
                                  <w:color w:val="000000"/>
                                  <w:lang w:val="en-GB"/>
                                </w:rPr>
                                <w:t>(n = 651)</w:t>
                              </w:r>
                            </w:p>
                          </w:txbxContent>
                        </wps:txbx>
                        <wps:bodyPr rot="0" vert="horz" wrap="square" lIns="91425" tIns="45698" rIns="91425" bIns="45698" anchor="ctr" anchorCtr="0" upright="1"/>
                      </wps:wsp>
                      <wps:wsp xmlns:wps="http://schemas.microsoft.com/office/word/2010/wordprocessingShape">
                        <wps:cNvPr id="1186454348" name="Блок-схема: альтернативный процесс 770533323"/>
                        <wps:cNvSpPr/>
                        <wps:spPr bwMode="auto">
                          <a:xfrm>
                            <a:off x="258445" y="488315"/>
                            <a:ext cx="274320" cy="906145"/>
                          </a:xfrm>
                          <a:prstGeom prst="flowChartAlternateProcess">
                            <a:avLst/>
                          </a:prstGeom>
                          <a:solidFill>
                            <a:srgbClr val="9CC2E5"/>
                          </a:solidFill>
                          <a:ln w="12700">
                            <a:solidFill>
                              <a:srgbClr val="000000"/>
                            </a:solidFill>
                            <a:miter lim="800000"/>
                            <a:headEnd w="sm" len="sm"/>
                            <a:tailEnd w="sm" len="sm"/>
                          </a:ln>
                        </wps:spPr>
                        <wps:txbx>
                          <w:txbxContent>
                            <w:p w:rsidR="00C36C85" w:rsidRPr="00D0192C" w:rsidP="00277909" w14:textId="77777777">
                              <w:pPr>
                                <w:jc w:val="center"/>
                                <w:rPr>
                                  <w:lang w:val="en-GB"/>
                                </w:rPr>
                              </w:pPr>
                              <w:r w:rsidRPr="00D0192C">
                                <w:rPr>
                                  <w:b/>
                                  <w:color w:val="000000"/>
                                  <w:lang w:val="en-GB"/>
                                </w:rPr>
                                <w:t>Identification</w:t>
                              </w:r>
                            </w:p>
                          </w:txbxContent>
                        </wps:txbx>
                        <wps:bodyPr rot="0" vert="vert270" wrap="square" lIns="0" tIns="45698" rIns="0" bIns="45698" anchor="ctr" anchorCtr="0" upright="1"/>
                      </wps:wsp>
                      <wps:wsp xmlns:wps="http://schemas.microsoft.com/office/word/2010/wordprocessingShape">
                        <wps:cNvPr id="188616927" name="Прямая со стрелкой 770533327"/>
                        <wps:cNvCnPr/>
                        <wps:spPr bwMode="auto">
                          <a:xfrm>
                            <a:off x="1640840" y="1325880"/>
                            <a:ext cx="635" cy="281305"/>
                          </a:xfrm>
                          <a:prstGeom prst="straightConnector1">
                            <a:avLst/>
                          </a:prstGeom>
                          <a:noFill/>
                          <a:ln w="9525">
                            <a:solidFill>
                              <a:srgbClr val="000000"/>
                            </a:solidFill>
                            <a:miter lim="800000"/>
                            <a:headEnd w="sm" len="sm"/>
                            <a:tailEnd type="triangle"/>
                          </a:ln>
                          <a:extLst>
                            <a:ext xmlns:a="http://schemas.openxmlformats.org/drawingml/2006/main" uri="{909E8E84-426E-40DD-AFC4-6F175D3DCCD1}">
                              <a14:hiddenFill xmlns:a14="http://schemas.microsoft.com/office/drawing/2010/main">
                                <a:noFill/>
                              </a14:hiddenFill>
                            </a:ext>
                          </a:extLst>
                        </wps:spPr>
                        <wps:bodyPr/>
                      </wps:wsp>
                      <wps:wsp xmlns:wps="http://schemas.microsoft.com/office/word/2010/wordprocessingShape">
                        <wps:cNvPr id="628984975" name="Прямоугольник 770533329"/>
                        <wps:cNvSpPr/>
                        <wps:spPr bwMode="auto">
                          <a:xfrm>
                            <a:off x="682625" y="1607185"/>
                            <a:ext cx="1898650" cy="539750"/>
                          </a:xfrm>
                          <a:prstGeom prst="rect">
                            <a:avLst/>
                          </a:prstGeom>
                          <a:noFill/>
                          <a:ln w="12700">
                            <a:solidFill>
                              <a:srgbClr val="000000"/>
                            </a:solidFill>
                            <a:miter lim="800000"/>
                            <a:headEnd w="sm" len="sm"/>
                            <a:tailEnd w="sm" len="sm"/>
                          </a:ln>
                          <a:extLst>
                            <a:ext xmlns:a="http://schemas.openxmlformats.org/drawingml/2006/main" uri="{909E8E84-426E-40DD-AFC4-6F175D3DCCD1}">
                              <a14:hiddenFill xmlns:a14="http://schemas.microsoft.com/office/drawing/2010/main">
                                <a:solidFill>
                                  <a:srgbClr val="FFFFFF"/>
                                </a:solidFill>
                              </a14:hiddenFill>
                            </a:ext>
                          </a:extLst>
                        </wps:spPr>
                        <wps:txbx>
                          <w:txbxContent>
                            <w:p w:rsidR="00C36C85" w:rsidRPr="00D0192C" w:rsidP="00277909" w14:textId="77777777">
                              <w:pPr>
                                <w:jc w:val="center"/>
                                <w:rPr>
                                  <w:lang w:val="en-GB"/>
                                </w:rPr>
                              </w:pPr>
                              <w:r w:rsidRPr="00D0192C">
                                <w:rPr>
                                  <w:color w:val="000000"/>
                                  <w:lang w:val="en-GB"/>
                                </w:rPr>
                                <w:t>Records screened</w:t>
                              </w:r>
                            </w:p>
                            <w:p w:rsidR="00C36C85" w:rsidRPr="00D0192C" w:rsidP="00277909" w14:textId="77777777">
                              <w:pPr>
                                <w:jc w:val="center"/>
                                <w:rPr>
                                  <w:lang w:val="en-GB"/>
                                </w:rPr>
                              </w:pPr>
                              <w:r w:rsidRPr="00D0192C">
                                <w:rPr>
                                  <w:color w:val="000000"/>
                                  <w:lang w:val="en-GB"/>
                                </w:rPr>
                                <w:t>(n = 2801)</w:t>
                              </w:r>
                            </w:p>
                          </w:txbxContent>
                        </wps:txbx>
                        <wps:bodyPr rot="0" vert="horz" wrap="square" lIns="91425" tIns="45698" rIns="91425" bIns="45698" anchor="ctr" anchorCtr="0" upright="1"/>
                      </wps:wsp>
                      <wps:wsp xmlns:wps="http://schemas.microsoft.com/office/word/2010/wordprocessingShape">
                        <wps:cNvPr id="1376316430" name="Прямоугольник 770533317"/>
                        <wps:cNvSpPr/>
                        <wps:spPr bwMode="auto">
                          <a:xfrm>
                            <a:off x="3169285" y="1607185"/>
                            <a:ext cx="1898650" cy="539750"/>
                          </a:xfrm>
                          <a:prstGeom prst="rect">
                            <a:avLst/>
                          </a:prstGeom>
                          <a:noFill/>
                          <a:ln w="12700">
                            <a:solidFill>
                              <a:srgbClr val="000000"/>
                            </a:solidFill>
                            <a:miter lim="800000"/>
                            <a:headEnd w="sm" len="sm"/>
                            <a:tailEnd w="sm" len="sm"/>
                          </a:ln>
                          <a:extLst>
                            <a:ext xmlns:a="http://schemas.openxmlformats.org/drawingml/2006/main" uri="{909E8E84-426E-40DD-AFC4-6F175D3DCCD1}">
                              <a14:hiddenFill xmlns:a14="http://schemas.microsoft.com/office/drawing/2010/main">
                                <a:solidFill>
                                  <a:srgbClr val="FFFFFF"/>
                                </a:solidFill>
                              </a14:hiddenFill>
                            </a:ext>
                          </a:extLst>
                        </wps:spPr>
                        <wps:txbx>
                          <w:txbxContent>
                            <w:p w:rsidR="00C36C85" w:rsidRPr="00D0192C" w:rsidP="00277909" w14:textId="77777777">
                              <w:pPr>
                                <w:jc w:val="center"/>
                                <w:rPr>
                                  <w:lang w:val="en-GB"/>
                                </w:rPr>
                              </w:pPr>
                              <w:r w:rsidRPr="00D0192C">
                                <w:rPr>
                                  <w:color w:val="000000"/>
                                  <w:lang w:val="en-GB"/>
                                </w:rPr>
                                <w:t>Records excluded by analysis abstracts (n = 897)</w:t>
                              </w:r>
                            </w:p>
                          </w:txbxContent>
                        </wps:txbx>
                        <wps:bodyPr rot="0" vert="horz" wrap="square" lIns="91425" tIns="45698" rIns="91425" bIns="45698" anchor="ctr" anchorCtr="0" upright="1"/>
                      </wps:wsp>
                      <wps:wsp xmlns:wps="http://schemas.microsoft.com/office/word/2010/wordprocessingShape">
                        <wps:cNvPr id="1680063318" name="Прямая со стрелкой 770533320"/>
                        <wps:cNvCnPr/>
                        <wps:spPr bwMode="auto">
                          <a:xfrm>
                            <a:off x="1641475" y="2146935"/>
                            <a:ext cx="635" cy="282575"/>
                          </a:xfrm>
                          <a:prstGeom prst="straightConnector1">
                            <a:avLst/>
                          </a:prstGeom>
                          <a:noFill/>
                          <a:ln w="9525">
                            <a:solidFill>
                              <a:srgbClr val="000000"/>
                            </a:solidFill>
                            <a:miter lim="800000"/>
                            <a:headEnd w="sm" len="sm"/>
                            <a:tailEnd type="triangle"/>
                          </a:ln>
                          <a:extLst>
                            <a:ext xmlns:a="http://schemas.openxmlformats.org/drawingml/2006/main" uri="{909E8E84-426E-40DD-AFC4-6F175D3DCCD1}">
                              <a14:hiddenFill xmlns:a14="http://schemas.microsoft.com/office/drawing/2010/main">
                                <a:noFill/>
                              </a14:hiddenFill>
                            </a:ext>
                          </a:extLst>
                        </wps:spPr>
                        <wps:bodyPr/>
                      </wps:wsp>
                      <wps:wsp xmlns:wps="http://schemas.microsoft.com/office/word/2010/wordprocessingShape">
                        <wps:cNvPr id="1591692654" name="Прямоугольник 770533326"/>
                        <wps:cNvSpPr/>
                        <wps:spPr bwMode="auto">
                          <a:xfrm>
                            <a:off x="675640" y="2429510"/>
                            <a:ext cx="1898650" cy="538480"/>
                          </a:xfrm>
                          <a:prstGeom prst="rect">
                            <a:avLst/>
                          </a:prstGeom>
                          <a:noFill/>
                          <a:ln w="12700">
                            <a:solidFill>
                              <a:srgbClr val="000000"/>
                            </a:solidFill>
                            <a:miter lim="800000"/>
                            <a:headEnd w="sm" len="sm"/>
                            <a:tailEnd w="sm" len="sm"/>
                          </a:ln>
                          <a:extLst>
                            <a:ext xmlns:a="http://schemas.openxmlformats.org/drawingml/2006/main" uri="{909E8E84-426E-40DD-AFC4-6F175D3DCCD1}">
                              <a14:hiddenFill xmlns:a14="http://schemas.microsoft.com/office/drawing/2010/main">
                                <a:solidFill>
                                  <a:srgbClr val="FFFFFF"/>
                                </a:solidFill>
                              </a14:hiddenFill>
                            </a:ext>
                          </a:extLst>
                        </wps:spPr>
                        <wps:txbx>
                          <w:txbxContent>
                            <w:p w:rsidR="00C36C85" w:rsidRPr="00D0192C" w:rsidP="00277909" w14:textId="77777777">
                              <w:pPr>
                                <w:jc w:val="center"/>
                                <w:rPr>
                                  <w:lang w:val="en-GB"/>
                                </w:rPr>
                              </w:pPr>
                              <w:r w:rsidRPr="00D0192C">
                                <w:rPr>
                                  <w:color w:val="000000"/>
                                  <w:lang w:val="en-GB"/>
                                </w:rPr>
                                <w:t>Reports sought for retrieval</w:t>
                              </w:r>
                            </w:p>
                            <w:p w:rsidR="00C36C85" w:rsidRPr="00D0192C" w:rsidP="00277909" w14:textId="77777777">
                              <w:pPr>
                                <w:jc w:val="center"/>
                                <w:rPr>
                                  <w:lang w:val="en-GB"/>
                                </w:rPr>
                              </w:pPr>
                              <w:r w:rsidRPr="00D0192C">
                                <w:rPr>
                                  <w:color w:val="000000"/>
                                  <w:lang w:val="en-GB"/>
                                </w:rPr>
                                <w:t>(n =1904 )</w:t>
                              </w:r>
                            </w:p>
                          </w:txbxContent>
                        </wps:txbx>
                        <wps:bodyPr rot="0" vert="horz" wrap="square" lIns="91425" tIns="45698" rIns="91425" bIns="45698" anchor="ctr" anchorCtr="0" upright="1"/>
                      </wps:wsp>
                      <wps:wsp xmlns:wps="http://schemas.microsoft.com/office/word/2010/wordprocessingShape">
                        <wps:cNvPr id="2131393032" name="Прямоугольник 770533315"/>
                        <wps:cNvSpPr/>
                        <wps:spPr bwMode="auto">
                          <a:xfrm>
                            <a:off x="3169285" y="2428240"/>
                            <a:ext cx="1898650" cy="539750"/>
                          </a:xfrm>
                          <a:prstGeom prst="rect">
                            <a:avLst/>
                          </a:prstGeom>
                          <a:noFill/>
                          <a:ln w="12700">
                            <a:solidFill>
                              <a:srgbClr val="000000"/>
                            </a:solidFill>
                            <a:miter lim="800000"/>
                            <a:headEnd w="sm" len="sm"/>
                            <a:tailEnd w="sm" len="sm"/>
                          </a:ln>
                          <a:extLst>
                            <a:ext xmlns:a="http://schemas.openxmlformats.org/drawingml/2006/main" uri="{909E8E84-426E-40DD-AFC4-6F175D3DCCD1}">
                              <a14:hiddenFill xmlns:a14="http://schemas.microsoft.com/office/drawing/2010/main">
                                <a:solidFill>
                                  <a:srgbClr val="FFFFFF"/>
                                </a:solidFill>
                              </a14:hiddenFill>
                            </a:ext>
                          </a:extLst>
                        </wps:spPr>
                        <wps:txbx>
                          <w:txbxContent>
                            <w:p w:rsidR="00C36C85" w:rsidRPr="00D0192C" w:rsidP="00277909" w14:textId="77777777">
                              <w:pPr>
                                <w:jc w:val="center"/>
                                <w:rPr>
                                  <w:lang w:val="en-GB"/>
                                </w:rPr>
                              </w:pPr>
                              <w:r w:rsidRPr="00D0192C">
                                <w:rPr>
                                  <w:color w:val="000000"/>
                                  <w:lang w:val="en-GB"/>
                                </w:rPr>
                                <w:t>Reports not retrieved</w:t>
                              </w:r>
                            </w:p>
                            <w:p w:rsidR="00C36C85" w:rsidRPr="00D0192C" w:rsidP="00277909" w14:textId="77777777">
                              <w:pPr>
                                <w:jc w:val="center"/>
                                <w:rPr>
                                  <w:lang w:val="en-GB"/>
                                </w:rPr>
                              </w:pPr>
                              <w:r w:rsidRPr="00D0192C">
                                <w:rPr>
                                  <w:color w:val="000000"/>
                                  <w:lang w:val="en-GB"/>
                                </w:rPr>
                                <w:t>(n = 112)</w:t>
                              </w:r>
                            </w:p>
                          </w:txbxContent>
                        </wps:txbx>
                        <wps:bodyPr rot="0" vert="horz" wrap="square" lIns="91425" tIns="45698" rIns="91425" bIns="45698" anchor="ctr" anchorCtr="0" upright="1"/>
                      </wps:wsp>
                      <wps:wsp xmlns:wps="http://schemas.microsoft.com/office/word/2010/wordprocessingShape">
                        <wps:cNvPr id="1271381363" name="Блок-схема: альтернативный процесс 770533321"/>
                        <wps:cNvSpPr/>
                        <wps:spPr bwMode="auto">
                          <a:xfrm>
                            <a:off x="257810" y="1607185"/>
                            <a:ext cx="274955" cy="2237740"/>
                          </a:xfrm>
                          <a:prstGeom prst="flowChartAlternateProcess">
                            <a:avLst/>
                          </a:prstGeom>
                          <a:solidFill>
                            <a:srgbClr val="9CC2E5"/>
                          </a:solidFill>
                          <a:ln w="12700">
                            <a:solidFill>
                              <a:srgbClr val="000000"/>
                            </a:solidFill>
                            <a:miter lim="800000"/>
                            <a:headEnd w="sm" len="sm"/>
                            <a:tailEnd w="sm" len="sm"/>
                          </a:ln>
                        </wps:spPr>
                        <wps:txbx>
                          <w:txbxContent>
                            <w:p w:rsidR="00C36C85" w:rsidRPr="00D0192C" w:rsidP="00277909" w14:textId="77777777">
                              <w:pPr>
                                <w:jc w:val="center"/>
                                <w:rPr>
                                  <w:lang w:val="en-GB"/>
                                </w:rPr>
                              </w:pPr>
                              <w:r w:rsidRPr="00D0192C">
                                <w:rPr>
                                  <w:b/>
                                  <w:color w:val="000000"/>
                                  <w:lang w:val="en-GB"/>
                                </w:rPr>
                                <w:t>Screening</w:t>
                              </w:r>
                            </w:p>
                          </w:txbxContent>
                        </wps:txbx>
                        <wps:bodyPr rot="0" vert="vert270" wrap="square" lIns="0" tIns="0" rIns="0" bIns="0" anchor="ctr" anchorCtr="0" upright="1"/>
                      </wps:wsp>
                      <wps:wsp xmlns:wps="http://schemas.microsoft.com/office/word/2010/wordprocessingShape">
                        <wps:cNvPr id="2034686102" name="Прямая со стрелкой 1"/>
                        <wps:cNvCnPr/>
                        <wps:spPr bwMode="auto">
                          <a:xfrm>
                            <a:off x="2585085" y="960120"/>
                            <a:ext cx="591820" cy="635"/>
                          </a:xfrm>
                          <a:prstGeom prst="straightConnector1">
                            <a:avLst/>
                          </a:prstGeom>
                          <a:noFill/>
                          <a:ln w="9525">
                            <a:solidFill>
                              <a:srgbClr val="000000"/>
                            </a:solidFill>
                            <a:round/>
                            <a:headEnd/>
                            <a:tailEnd type="triangle"/>
                          </a:ln>
                          <a:extLst>
                            <a:ext xmlns:a="http://schemas.openxmlformats.org/drawingml/2006/main" uri="{909E8E84-426E-40DD-AFC4-6F175D3DCCD1}">
                              <a14:hiddenFill xmlns:a14="http://schemas.microsoft.com/office/drawing/2010/main">
                                <a:noFill/>
                              </a14:hiddenFill>
                            </a:ext>
                          </a:extLst>
                        </wps:spPr>
                        <wps:bodyPr/>
                      </wps:wsp>
                      <wps:wsp xmlns:wps="http://schemas.microsoft.com/office/word/2010/wordprocessingShape">
                        <wps:cNvPr id="1977866887" name="Прямая со стрелкой 2"/>
                        <wps:cNvCnPr/>
                        <wps:spPr bwMode="auto">
                          <a:xfrm>
                            <a:off x="2574290" y="1866265"/>
                            <a:ext cx="609600" cy="635"/>
                          </a:xfrm>
                          <a:prstGeom prst="straightConnector1">
                            <a:avLst/>
                          </a:prstGeom>
                          <a:noFill/>
                          <a:ln w="9525">
                            <a:solidFill>
                              <a:srgbClr val="000000"/>
                            </a:solidFill>
                            <a:round/>
                            <a:headEnd/>
                            <a:tailEnd type="triangle"/>
                          </a:ln>
                          <a:extLst>
                            <a:ext xmlns:a="http://schemas.openxmlformats.org/drawingml/2006/main" uri="{909E8E84-426E-40DD-AFC4-6F175D3DCCD1}">
                              <a14:hiddenFill xmlns:a14="http://schemas.microsoft.com/office/drawing/2010/main">
                                <a:noFill/>
                              </a14:hiddenFill>
                            </a:ext>
                          </a:extLst>
                        </wps:spPr>
                        <wps:bodyPr/>
                      </wps:wsp>
                      <wps:wsp xmlns:wps="http://schemas.microsoft.com/office/word/2010/wordprocessingShape">
                        <wps:cNvPr id="953623744" name="Прямая со стрелкой 3"/>
                        <wps:cNvCnPr/>
                        <wps:spPr bwMode="auto">
                          <a:xfrm>
                            <a:off x="2570480" y="2681605"/>
                            <a:ext cx="598805" cy="635"/>
                          </a:xfrm>
                          <a:prstGeom prst="straightConnector1">
                            <a:avLst/>
                          </a:prstGeom>
                          <a:noFill/>
                          <a:ln w="9525">
                            <a:solidFill>
                              <a:srgbClr val="000000"/>
                            </a:solidFill>
                            <a:round/>
                            <a:headEnd/>
                            <a:tailEnd type="triangle"/>
                          </a:ln>
                          <a:extLst>
                            <a:ext xmlns:a="http://schemas.openxmlformats.org/drawingml/2006/main" uri="{909E8E84-426E-40DD-AFC4-6F175D3DCCD1}">
                              <a14:hiddenFill xmlns:a14="http://schemas.microsoft.com/office/drawing/2010/main">
                                <a:noFill/>
                              </a14:hiddenFill>
                            </a:ext>
                          </a:extLst>
                        </wps:spPr>
                        <wps:bodyPr/>
                      </wps:wsp>
                      <wps:wsp xmlns:wps="http://schemas.microsoft.com/office/word/2010/wordprocessingShape">
                        <wps:cNvPr id="488125350" name="Прямая со стрелкой 770533316"/>
                        <wps:cNvCnPr/>
                        <wps:spPr bwMode="auto">
                          <a:xfrm>
                            <a:off x="1642110" y="2967990"/>
                            <a:ext cx="635" cy="281305"/>
                          </a:xfrm>
                          <a:prstGeom prst="straightConnector1">
                            <a:avLst/>
                          </a:prstGeom>
                          <a:noFill/>
                          <a:ln w="9525">
                            <a:solidFill>
                              <a:srgbClr val="000000"/>
                            </a:solidFill>
                            <a:miter lim="800000"/>
                            <a:headEnd w="sm" len="sm"/>
                            <a:tailEnd type="triangle"/>
                          </a:ln>
                          <a:extLst>
                            <a:ext xmlns:a="http://schemas.openxmlformats.org/drawingml/2006/main" uri="{909E8E84-426E-40DD-AFC4-6F175D3DCCD1}">
                              <a14:hiddenFill xmlns:a14="http://schemas.microsoft.com/office/drawing/2010/main">
                                <a:noFill/>
                              </a14:hiddenFill>
                            </a:ext>
                          </a:extLst>
                        </wps:spPr>
                        <wps:bodyPr/>
                      </wps:wsp>
                      <wps:wsp xmlns:wps="http://schemas.microsoft.com/office/word/2010/wordprocessingShape">
                        <wps:cNvPr id="673121542" name="Прямоугольник 770533313"/>
                        <wps:cNvSpPr/>
                        <wps:spPr bwMode="auto">
                          <a:xfrm>
                            <a:off x="670560" y="3249295"/>
                            <a:ext cx="1899920" cy="539115"/>
                          </a:xfrm>
                          <a:prstGeom prst="rect">
                            <a:avLst/>
                          </a:prstGeom>
                          <a:noFill/>
                          <a:ln w="12700">
                            <a:solidFill>
                              <a:srgbClr val="000000"/>
                            </a:solidFill>
                            <a:miter lim="800000"/>
                            <a:headEnd w="sm" len="sm"/>
                            <a:tailEnd w="sm" len="sm"/>
                          </a:ln>
                          <a:extLst>
                            <a:ext xmlns:a="http://schemas.openxmlformats.org/drawingml/2006/main" uri="{909E8E84-426E-40DD-AFC4-6F175D3DCCD1}">
                              <a14:hiddenFill xmlns:a14="http://schemas.microsoft.com/office/drawing/2010/main">
                                <a:solidFill>
                                  <a:srgbClr val="FFFFFF"/>
                                </a:solidFill>
                              </a14:hiddenFill>
                            </a:ext>
                          </a:extLst>
                        </wps:spPr>
                        <wps:txbx>
                          <w:txbxContent>
                            <w:p w:rsidR="00C36C85" w:rsidRPr="00D0192C" w:rsidP="00277909" w14:textId="77777777">
                              <w:pPr>
                                <w:jc w:val="center"/>
                              </w:pPr>
                              <w:r w:rsidRPr="00D0192C">
                                <w:rPr>
                                  <w:color w:val="000000"/>
                                </w:rPr>
                                <w:t>Reports assessed for eligibility (n = 1792 )</w:t>
                              </w:r>
                            </w:p>
                          </w:txbxContent>
                        </wps:txbx>
                        <wps:bodyPr rot="0" vert="horz" wrap="square" lIns="91425" tIns="45698" rIns="91425" bIns="45698" anchor="ctr" anchorCtr="0" upright="1"/>
                      </wps:wsp>
                      <wps:wsp xmlns:wps="http://schemas.microsoft.com/office/word/2010/wordprocessingShape">
                        <wps:cNvPr id="510274783" name="Прямоугольник 770533330"/>
                        <wps:cNvSpPr/>
                        <wps:spPr bwMode="auto">
                          <a:xfrm>
                            <a:off x="3176905" y="3249295"/>
                            <a:ext cx="1899920" cy="833755"/>
                          </a:xfrm>
                          <a:prstGeom prst="rect">
                            <a:avLst/>
                          </a:prstGeom>
                          <a:noFill/>
                          <a:ln w="12700">
                            <a:solidFill>
                              <a:srgbClr val="000000"/>
                            </a:solidFill>
                            <a:miter lim="800000"/>
                            <a:headEnd w="sm" len="sm"/>
                            <a:tailEnd w="sm" len="sm"/>
                          </a:ln>
                          <a:extLst>
                            <a:ext xmlns:a="http://schemas.openxmlformats.org/drawingml/2006/main" uri="{909E8E84-426E-40DD-AFC4-6F175D3DCCD1}">
                              <a14:hiddenFill xmlns:a14="http://schemas.microsoft.com/office/drawing/2010/main">
                                <a:solidFill>
                                  <a:srgbClr val="FFFFFF"/>
                                </a:solidFill>
                              </a14:hiddenFill>
                            </a:ext>
                          </a:extLst>
                        </wps:spPr>
                        <wps:txbx>
                          <w:txbxContent>
                            <w:p w:rsidR="00C36C85" w:rsidRPr="008B61DD" w:rsidP="00277909" w14:textId="77777777">
                              <w:pPr>
                                <w:jc w:val="center"/>
                                <w:rPr>
                                  <w:lang w:val="pt-PT"/>
                                </w:rPr>
                              </w:pPr>
                              <w:r w:rsidRPr="008B61DD">
                                <w:rPr>
                                  <w:color w:val="000000"/>
                                  <w:lang w:val="pt-PT"/>
                                </w:rPr>
                                <w:t>Reports excluded:</w:t>
                              </w:r>
                            </w:p>
                            <w:p w:rsidR="00C36C85" w:rsidRPr="008B61DD" w:rsidP="00277909" w14:textId="77777777">
                              <w:pPr>
                                <w:jc w:val="center"/>
                                <w:rPr>
                                  <w:lang w:val="pt-PT"/>
                                </w:rPr>
                              </w:pPr>
                              <w:r w:rsidRPr="00D0192C">
                                <w:rPr>
                                  <w:color w:val="000000"/>
                                  <w:lang w:val="en-GB"/>
                                </w:rPr>
                                <w:t>С</w:t>
                              </w:r>
                              <w:r w:rsidRPr="008B61DD">
                                <w:rPr>
                                  <w:color w:val="000000"/>
                                  <w:lang w:val="pt-PT"/>
                                </w:rPr>
                                <w:t>. 1 (n = 431 )</w:t>
                              </w:r>
                            </w:p>
                            <w:p w:rsidR="00C36C85" w:rsidRPr="008B61DD" w:rsidP="00277909" w14:textId="77777777">
                              <w:pPr>
                                <w:jc w:val="center"/>
                                <w:rPr>
                                  <w:lang w:val="pt-PT"/>
                                </w:rPr>
                              </w:pPr>
                              <w:r w:rsidRPr="00D0192C">
                                <w:rPr>
                                  <w:color w:val="000000"/>
                                  <w:lang w:val="en-GB"/>
                                </w:rPr>
                                <w:t>С</w:t>
                              </w:r>
                              <w:r w:rsidRPr="008B61DD">
                                <w:rPr>
                                  <w:color w:val="000000"/>
                                  <w:lang w:val="pt-PT"/>
                                </w:rPr>
                                <w:t>. 2 (n = 264)</w:t>
                              </w:r>
                            </w:p>
                            <w:p w:rsidR="00C36C85" w:rsidRPr="008B61DD" w:rsidP="00277909" w14:textId="77777777">
                              <w:pPr>
                                <w:jc w:val="center"/>
                                <w:rPr>
                                  <w:lang w:val="pt-PT"/>
                                </w:rPr>
                              </w:pPr>
                              <w:r w:rsidRPr="00D0192C">
                                <w:rPr>
                                  <w:color w:val="000000"/>
                                  <w:lang w:val="en-GB"/>
                                </w:rPr>
                                <w:t>С</w:t>
                              </w:r>
                              <w:r w:rsidRPr="008B61DD">
                                <w:rPr>
                                  <w:color w:val="000000"/>
                                  <w:lang w:val="pt-PT"/>
                                </w:rPr>
                                <w:t>. 3 (n =  354)</w:t>
                              </w:r>
                            </w:p>
                            <w:p w:rsidR="00C36C85" w:rsidRPr="00D0192C" w:rsidP="00277909" w14:textId="77777777">
                              <w:pPr>
                                <w:jc w:val="center"/>
                                <w:rPr>
                                  <w:lang w:val="en-GB"/>
                                </w:rPr>
                              </w:pPr>
                              <w:r w:rsidRPr="00D0192C">
                                <w:rPr>
                                  <w:color w:val="000000"/>
                                  <w:lang w:val="en-GB"/>
                                </w:rPr>
                                <w:t>С. 4.( n =  70)</w:t>
                              </w:r>
                            </w:p>
                          </w:txbxContent>
                        </wps:txbx>
                        <wps:bodyPr rot="0" vert="horz" wrap="square" lIns="91425" tIns="45698" rIns="91425" bIns="45698" anchor="ctr" anchorCtr="0" upright="1"/>
                      </wps:wsp>
                      <wps:wsp xmlns:wps="http://schemas.microsoft.com/office/word/2010/wordprocessingShape">
                        <wps:cNvPr id="2051438349" name="Прямоугольник 770533319"/>
                        <wps:cNvSpPr/>
                        <wps:spPr bwMode="auto">
                          <a:xfrm>
                            <a:off x="681355" y="4354195"/>
                            <a:ext cx="1899920" cy="758825"/>
                          </a:xfrm>
                          <a:prstGeom prst="rect">
                            <a:avLst/>
                          </a:prstGeom>
                          <a:noFill/>
                          <a:ln w="12700">
                            <a:solidFill>
                              <a:srgbClr val="000000"/>
                            </a:solidFill>
                            <a:miter lim="800000"/>
                            <a:headEnd w="sm" len="sm"/>
                            <a:tailEnd w="sm" len="sm"/>
                          </a:ln>
                          <a:extLst>
                            <a:ext xmlns:a="http://schemas.openxmlformats.org/drawingml/2006/main" uri="{909E8E84-426E-40DD-AFC4-6F175D3DCCD1}">
                              <a14:hiddenFill xmlns:a14="http://schemas.microsoft.com/office/drawing/2010/main">
                                <a:solidFill>
                                  <a:srgbClr val="FFFFFF"/>
                                </a:solidFill>
                              </a14:hiddenFill>
                            </a:ext>
                          </a:extLst>
                        </wps:spPr>
                        <wps:txbx>
                          <w:txbxContent>
                            <w:p w:rsidR="00C36C85" w:rsidRPr="00D0192C" w:rsidP="00277909" w14:textId="77777777">
                              <w:pPr>
                                <w:jc w:val="center"/>
                                <w:rPr>
                                  <w:lang w:val="en-GB"/>
                                </w:rPr>
                              </w:pPr>
                              <w:r w:rsidRPr="00D0192C">
                                <w:rPr>
                                  <w:color w:val="000000"/>
                                  <w:lang w:val="en-GB"/>
                                </w:rPr>
                                <w:t>Studies included</w:t>
                              </w:r>
                            </w:p>
                            <w:p w:rsidR="00C36C85" w:rsidRPr="00D0192C" w:rsidP="00277909" w14:textId="77777777">
                              <w:pPr>
                                <w:jc w:val="center"/>
                                <w:rPr>
                                  <w:lang w:val="en-GB"/>
                                </w:rPr>
                              </w:pPr>
                              <w:r w:rsidRPr="00D0192C">
                                <w:rPr>
                                  <w:color w:val="000000"/>
                                  <w:lang w:val="en-GB"/>
                                </w:rPr>
                                <w:t>(n = 40 )</w:t>
                              </w:r>
                            </w:p>
                          </w:txbxContent>
                        </wps:txbx>
                        <wps:bodyPr rot="0" vert="horz" wrap="square" lIns="91425" tIns="45698" rIns="91425" bIns="45698" anchor="ctr" anchorCtr="0" upright="1"/>
                      </wps:wsp>
                      <wps:wsp xmlns:wps="http://schemas.microsoft.com/office/word/2010/wordprocessingShape">
                        <wps:cNvPr id="2061685254" name="Блок-схема: альтернативный процесс 770533325"/>
                        <wps:cNvSpPr/>
                        <wps:spPr bwMode="auto">
                          <a:xfrm>
                            <a:off x="205740" y="4343400"/>
                            <a:ext cx="275590" cy="758190"/>
                          </a:xfrm>
                          <a:prstGeom prst="flowChartAlternateProcess">
                            <a:avLst/>
                          </a:prstGeom>
                          <a:solidFill>
                            <a:srgbClr val="9CC2E5"/>
                          </a:solidFill>
                          <a:ln w="12700">
                            <a:solidFill>
                              <a:srgbClr val="000000"/>
                            </a:solidFill>
                            <a:miter lim="800000"/>
                            <a:headEnd w="sm" len="sm"/>
                            <a:tailEnd w="sm" len="sm"/>
                          </a:ln>
                        </wps:spPr>
                        <wps:txbx>
                          <w:txbxContent>
                            <w:p w:rsidR="00C36C85" w:rsidRPr="00D0192C" w:rsidP="00277909" w14:textId="77777777">
                              <w:pPr>
                                <w:jc w:val="center"/>
                                <w:rPr>
                                  <w:lang w:val="en-GB"/>
                                </w:rPr>
                              </w:pPr>
                              <w:r w:rsidRPr="00D0192C">
                                <w:rPr>
                                  <w:b/>
                                  <w:color w:val="000000"/>
                                  <w:lang w:val="en-GB"/>
                                </w:rPr>
                                <w:t>Included</w:t>
                              </w:r>
                            </w:p>
                          </w:txbxContent>
                        </wps:txbx>
                        <wps:bodyPr rot="0" vert="vert270" wrap="square" lIns="0" tIns="45698" rIns="0" bIns="45698" anchor="ctr" anchorCtr="0" upright="1"/>
                      </wps:wsp>
                      <wps:wsp xmlns:wps="http://schemas.microsoft.com/office/word/2010/wordprocessingShape">
                        <wps:cNvPr id="1056550447" name="Прямая со стрелкой 4"/>
                        <wps:cNvCnPr/>
                        <wps:spPr bwMode="auto">
                          <a:xfrm flipV="1">
                            <a:off x="2567305" y="3520440"/>
                            <a:ext cx="609600" cy="635"/>
                          </a:xfrm>
                          <a:prstGeom prst="straightConnector1">
                            <a:avLst/>
                          </a:prstGeom>
                          <a:noFill/>
                          <a:ln w="9525">
                            <a:solidFill>
                              <a:srgbClr val="000000"/>
                            </a:solidFill>
                            <a:round/>
                            <a:headEnd/>
                            <a:tailEnd type="triangle"/>
                          </a:ln>
                          <a:extLst>
                            <a:ext xmlns:a="http://schemas.openxmlformats.org/drawingml/2006/main" uri="{909E8E84-426E-40DD-AFC4-6F175D3DCCD1}">
                              <a14:hiddenFill xmlns:a14="http://schemas.microsoft.com/office/drawing/2010/main">
                                <a:noFill/>
                              </a14:hiddenFill>
                            </a:ext>
                          </a:extLst>
                        </wps:spPr>
                        <wps:bodyPr/>
                      </wps:wsp>
                      <wps:wsp xmlns:wps="http://schemas.microsoft.com/office/word/2010/wordprocessingShape">
                        <wps:cNvPr id="1015414105" name="Прямая со стрелкой 770533331"/>
                        <wps:cNvCnPr/>
                        <wps:spPr bwMode="auto">
                          <a:xfrm flipH="1">
                            <a:off x="1642745" y="3788410"/>
                            <a:ext cx="635" cy="565785"/>
                          </a:xfrm>
                          <a:prstGeom prst="straightConnector1">
                            <a:avLst/>
                          </a:prstGeom>
                          <a:noFill/>
                          <a:ln w="9525">
                            <a:solidFill>
                              <a:srgbClr val="000000"/>
                            </a:solidFill>
                            <a:miter lim="800000"/>
                            <a:headEnd w="sm" len="sm"/>
                            <a:tailEnd type="triangle"/>
                          </a:ln>
                          <a:extLst>
                            <a:ext xmlns:a="http://schemas.openxmlformats.org/drawingml/2006/main" uri="{909E8E84-426E-40DD-AFC4-6F175D3DCCD1}">
                              <a14:hiddenFill xmlns:a14="http://schemas.microsoft.com/office/drawing/2010/main">
                                <a:noFill/>
                              </a14:hiddenFill>
                            </a:ext>
                          </a:extLst>
                        </wps:spPr>
                        <wps:bodyPr/>
                      </wps:wsp>
                    </wpc:wpc>
                  </a:graphicData>
                </a:graphic>
              </wp:inline>
            </w:drawing>
          </mc:Choice>
          <mc:Fallback>
            <w:pict>
              <v:group id="Canvas 1" o:spid="_x0000_i1025" editas="canvas" style="width:453.55pt;height:402.6pt;mso-position-horizontal-relative:char;mso-position-vertical-relative:line" coordsize="57600,511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57600;height:51130;mso-wrap-style:square;position:absolute;visibility:visible">
                  <v:fill o:detectmouseclick="t"/>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770533322" o:spid="_x0000_s1027" type="#_x0000_t176" style="width:43587;height:2756;left:7092;mso-wrap-style:square;position:absolute;top:349;visibility:visible;v-text-anchor:middle" fillcolor="#8064a2" strokecolor="#ba8c00" strokeweight="1pt">
                  <v:stroke startarrowwidth="narrow" startarrowlength="short" endarrowwidth="narrow" endarrowlength="short"/>
                  <v:path arrowok="t"/>
                  <v:textbox inset="7.2pt,0,7.2pt,0">
                    <w:txbxContent>
                      <w:p w:rsidR="00C36C85" w:rsidRPr="00D0192C" w:rsidP="00277909" w14:paraId="4BBA43AA" w14:textId="77777777">
                        <w:pPr>
                          <w:jc w:val="center"/>
                          <w:rPr>
                            <w:lang w:val="en-GB"/>
                          </w:rPr>
                        </w:pPr>
                        <w:r w:rsidRPr="00D0192C">
                          <w:rPr>
                            <w:b/>
                            <w:color w:val="000000"/>
                            <w:lang w:val="en-GB"/>
                          </w:rPr>
                          <w:t>Identification of studies via databases and registers</w:t>
                        </w:r>
                      </w:p>
                    </w:txbxContent>
                  </v:textbox>
                </v:shape>
                <v:rect id="Прямоугольник 770533311" o:spid="_x0000_s1028" style="width:18986;height:7588;left:6826;mso-wrap-style:square;position:absolute;top:5670;visibility:visible;v-text-anchor:middle" filled="f" strokeweight="1pt">
                  <v:stroke startarrowwidth="narrow" startarrowlength="short" endarrowwidth="narrow" endarrowlength="short"/>
                  <v:path arrowok="t"/>
                  <v:textbox inset="7.2pt,3.6pt,7.2pt,3.6pt">
                    <w:txbxContent>
                      <w:p w:rsidR="00C36C85" w:rsidRPr="00D0192C" w:rsidP="00277909" w14:paraId="1C03B92F" w14:textId="77777777">
                        <w:pPr>
                          <w:jc w:val="center"/>
                          <w:rPr>
                            <w:lang w:val="en-GB"/>
                          </w:rPr>
                        </w:pPr>
                        <w:r w:rsidRPr="00D0192C">
                          <w:rPr>
                            <w:color w:val="000000"/>
                            <w:lang w:val="en-GB"/>
                          </w:rPr>
                          <w:t>Records identified from:</w:t>
                        </w:r>
                      </w:p>
                      <w:p w:rsidR="00C36C85" w:rsidRPr="00D0192C" w:rsidP="00277909" w14:paraId="55E3EE3B" w14:textId="77777777">
                        <w:pPr>
                          <w:jc w:val="center"/>
                          <w:rPr>
                            <w:lang w:val="en-GB"/>
                          </w:rPr>
                        </w:pPr>
                        <w:r w:rsidRPr="00D0192C">
                          <w:rPr>
                            <w:color w:val="000000"/>
                            <w:lang w:val="en-GB"/>
                          </w:rPr>
                          <w:t>Databases (n = 3455 )</w:t>
                        </w:r>
                      </w:p>
                    </w:txbxContent>
                  </v:textbox>
                </v:rect>
                <v:rect id="Прямоугольник 770533328" o:spid="_x0000_s1029" style="width:19006;height:7664;left:31730;mso-wrap-style:square;position:absolute;top:5594;visibility:visible;v-text-anchor:middle" filled="f" strokeweight="1pt">
                  <v:stroke startarrowwidth="narrow" startarrowlength="short" endarrowwidth="narrow" endarrowlength="short"/>
                  <v:path arrowok="t"/>
                  <v:textbox inset="7.2pt,3.6pt,7.2pt,3.6pt">
                    <w:txbxContent>
                      <w:p w:rsidR="00C36C85" w:rsidRPr="00D0192C" w:rsidP="00277909" w14:paraId="72498157" w14:textId="77777777">
                        <w:pPr>
                          <w:jc w:val="center"/>
                          <w:rPr>
                            <w:lang w:val="en-GB"/>
                          </w:rPr>
                        </w:pPr>
                        <w:r w:rsidRPr="00D0192C">
                          <w:rPr>
                            <w:color w:val="000000"/>
                            <w:lang w:val="en-GB"/>
                          </w:rPr>
                          <w:t>Duplicate removed</w:t>
                        </w:r>
                      </w:p>
                      <w:p w:rsidR="00C36C85" w:rsidRPr="00D0192C" w:rsidP="00277909" w14:paraId="08F3E6F6" w14:textId="77777777">
                        <w:pPr>
                          <w:jc w:val="center"/>
                          <w:rPr>
                            <w:lang w:val="en-GB"/>
                          </w:rPr>
                        </w:pPr>
                        <w:r w:rsidRPr="00D0192C">
                          <w:rPr>
                            <w:color w:val="000000"/>
                            <w:lang w:val="en-GB"/>
                          </w:rPr>
                          <w:t>(n = 651)</w:t>
                        </w:r>
                      </w:p>
                    </w:txbxContent>
                  </v:textbox>
                </v:rect>
                <v:shape id="Блок-схема: альтернативный процесс 770533323" o:spid="_x0000_s1030" type="#_x0000_t176" style="width:2743;height:9061;left:2584;mso-wrap-style:square;position:absolute;top:4883;visibility:visible;v-text-anchor:middle" fillcolor="#9cc2e5" strokeweight="1pt">
                  <v:stroke startarrowwidth="narrow" startarrowlength="short" endarrowwidth="narrow" endarrowlength="short"/>
                  <v:path arrowok="t"/>
                  <v:textbox style="layout-flow:vertical;mso-layout-flow-alt:bottom-to-top" inset="0,3.6pt,0,3.6pt">
                    <w:txbxContent>
                      <w:p w:rsidR="00C36C85" w:rsidRPr="00D0192C" w:rsidP="00277909" w14:paraId="0ABC4C0F" w14:textId="77777777">
                        <w:pPr>
                          <w:jc w:val="center"/>
                          <w:rPr>
                            <w:lang w:val="en-GB"/>
                          </w:rPr>
                        </w:pPr>
                        <w:r w:rsidRPr="00D0192C">
                          <w:rPr>
                            <w:b/>
                            <w:color w:val="000000"/>
                            <w:lang w:val="en-GB"/>
                          </w:rPr>
                          <w:t>Identification</w:t>
                        </w:r>
                      </w:p>
                    </w:txbxContent>
                  </v:textbox>
                </v:shape>
                <v:shapetype id="_x0000_t32" coordsize="21600,21600" o:spt="32" o:oned="t" path="m,l21600,21600e" filled="f">
                  <v:path arrowok="t" fillok="f" o:connecttype="none"/>
                  <o:lock v:ext="edit" shapetype="t"/>
                </v:shapetype>
                <v:shape id="Прямая со стрелкой 770533327" o:spid="_x0000_s1031" type="#_x0000_t32" style="width:6;height:2813;left:16408;mso-wrap-style:square;position:absolute;top:13258;visibility:visible" o:connectortype="straight">
                  <v:stroke joinstyle="miter" startarrowwidth="narrow" startarrowlength="short" endarrow="block"/>
                </v:shape>
                <v:rect id="Прямоугольник 770533329" o:spid="_x0000_s1032" style="width:18986;height:5398;left:6826;mso-wrap-style:square;position:absolute;top:16071;visibility:visible;v-text-anchor:middle" filled="f" strokeweight="1pt">
                  <v:stroke startarrowwidth="narrow" startarrowlength="short" endarrowwidth="narrow" endarrowlength="short"/>
                  <v:path arrowok="t"/>
                  <v:textbox inset="7.2pt,3.6pt,7.2pt,3.6pt">
                    <w:txbxContent>
                      <w:p w:rsidR="00C36C85" w:rsidRPr="00D0192C" w:rsidP="00277909" w14:paraId="4B3F05A2" w14:textId="77777777">
                        <w:pPr>
                          <w:jc w:val="center"/>
                          <w:rPr>
                            <w:lang w:val="en-GB"/>
                          </w:rPr>
                        </w:pPr>
                        <w:r w:rsidRPr="00D0192C">
                          <w:rPr>
                            <w:color w:val="000000"/>
                            <w:lang w:val="en-GB"/>
                          </w:rPr>
                          <w:t>Records screened</w:t>
                        </w:r>
                      </w:p>
                      <w:p w:rsidR="00C36C85" w:rsidRPr="00D0192C" w:rsidP="00277909" w14:paraId="4BC803F9" w14:textId="77777777">
                        <w:pPr>
                          <w:jc w:val="center"/>
                          <w:rPr>
                            <w:lang w:val="en-GB"/>
                          </w:rPr>
                        </w:pPr>
                        <w:r w:rsidRPr="00D0192C">
                          <w:rPr>
                            <w:color w:val="000000"/>
                            <w:lang w:val="en-GB"/>
                          </w:rPr>
                          <w:t>(n = 2801)</w:t>
                        </w:r>
                      </w:p>
                    </w:txbxContent>
                  </v:textbox>
                </v:rect>
                <v:rect id="Прямоугольник 770533317" o:spid="_x0000_s1033" style="width:18987;height:5398;left:31692;mso-wrap-style:square;position:absolute;top:16071;visibility:visible;v-text-anchor:middle" filled="f" strokeweight="1pt">
                  <v:stroke startarrowwidth="narrow" startarrowlength="short" endarrowwidth="narrow" endarrowlength="short"/>
                  <v:path arrowok="t"/>
                  <v:textbox inset="7.2pt,3.6pt,7.2pt,3.6pt">
                    <w:txbxContent>
                      <w:p w:rsidR="00C36C85" w:rsidRPr="00D0192C" w:rsidP="00277909" w14:paraId="566CEB2B" w14:textId="77777777">
                        <w:pPr>
                          <w:jc w:val="center"/>
                          <w:rPr>
                            <w:lang w:val="en-GB"/>
                          </w:rPr>
                        </w:pPr>
                        <w:r w:rsidRPr="00D0192C">
                          <w:rPr>
                            <w:color w:val="000000"/>
                            <w:lang w:val="en-GB"/>
                          </w:rPr>
                          <w:t>Records excluded by analysis abstracts (n = 897)</w:t>
                        </w:r>
                      </w:p>
                    </w:txbxContent>
                  </v:textbox>
                </v:rect>
                <v:shape id="Прямая со стрелкой 770533320" o:spid="_x0000_s1034" type="#_x0000_t32" style="width:7;height:2826;left:16414;mso-wrap-style:square;position:absolute;top:21469;visibility:visible" o:connectortype="straight">
                  <v:stroke joinstyle="miter" startarrowwidth="narrow" startarrowlength="short" endarrow="block"/>
                </v:shape>
                <v:rect id="Прямоугольник 770533326" o:spid="_x0000_s1035" style="width:18986;height:5384;left:6756;mso-wrap-style:square;position:absolute;top:24295;visibility:visible;v-text-anchor:middle" filled="f" strokeweight="1pt">
                  <v:stroke startarrowwidth="narrow" startarrowlength="short" endarrowwidth="narrow" endarrowlength="short"/>
                  <v:path arrowok="t"/>
                  <v:textbox inset="7.2pt,3.6pt,7.2pt,3.6pt">
                    <w:txbxContent>
                      <w:p w:rsidR="00C36C85" w:rsidRPr="00D0192C" w:rsidP="00277909" w14:paraId="68BC1D3C" w14:textId="77777777">
                        <w:pPr>
                          <w:jc w:val="center"/>
                          <w:rPr>
                            <w:lang w:val="en-GB"/>
                          </w:rPr>
                        </w:pPr>
                        <w:r w:rsidRPr="00D0192C">
                          <w:rPr>
                            <w:color w:val="000000"/>
                            <w:lang w:val="en-GB"/>
                          </w:rPr>
                          <w:t>Reports sought for retrieval</w:t>
                        </w:r>
                      </w:p>
                      <w:p w:rsidR="00C36C85" w:rsidRPr="00D0192C" w:rsidP="00277909" w14:paraId="13BA770B" w14:textId="77777777">
                        <w:pPr>
                          <w:jc w:val="center"/>
                          <w:rPr>
                            <w:lang w:val="en-GB"/>
                          </w:rPr>
                        </w:pPr>
                        <w:r w:rsidRPr="00D0192C">
                          <w:rPr>
                            <w:color w:val="000000"/>
                            <w:lang w:val="en-GB"/>
                          </w:rPr>
                          <w:t>(n =1904 )</w:t>
                        </w:r>
                      </w:p>
                    </w:txbxContent>
                  </v:textbox>
                </v:rect>
                <v:rect id="Прямоугольник 770533315" o:spid="_x0000_s1036" style="width:18987;height:5397;left:31692;mso-wrap-style:square;position:absolute;top:24282;visibility:visible;v-text-anchor:middle" filled="f" strokeweight="1pt">
                  <v:stroke startarrowwidth="narrow" startarrowlength="short" endarrowwidth="narrow" endarrowlength="short"/>
                  <v:path arrowok="t"/>
                  <v:textbox inset="7.2pt,3.6pt,7.2pt,3.6pt">
                    <w:txbxContent>
                      <w:p w:rsidR="00C36C85" w:rsidRPr="00D0192C" w:rsidP="00277909" w14:paraId="015D712B" w14:textId="77777777">
                        <w:pPr>
                          <w:jc w:val="center"/>
                          <w:rPr>
                            <w:lang w:val="en-GB"/>
                          </w:rPr>
                        </w:pPr>
                        <w:r w:rsidRPr="00D0192C">
                          <w:rPr>
                            <w:color w:val="000000"/>
                            <w:lang w:val="en-GB"/>
                          </w:rPr>
                          <w:t>Reports not retrieved</w:t>
                        </w:r>
                      </w:p>
                      <w:p w:rsidR="00C36C85" w:rsidRPr="00D0192C" w:rsidP="00277909" w14:paraId="78CB2368" w14:textId="77777777">
                        <w:pPr>
                          <w:jc w:val="center"/>
                          <w:rPr>
                            <w:lang w:val="en-GB"/>
                          </w:rPr>
                        </w:pPr>
                        <w:r w:rsidRPr="00D0192C">
                          <w:rPr>
                            <w:color w:val="000000"/>
                            <w:lang w:val="en-GB"/>
                          </w:rPr>
                          <w:t>(n = 112)</w:t>
                        </w:r>
                      </w:p>
                    </w:txbxContent>
                  </v:textbox>
                </v:rect>
                <v:shape id="Блок-схема: альтернативный процесс 770533321" o:spid="_x0000_s1037" type="#_x0000_t176" style="width:2749;height:22378;left:2578;mso-wrap-style:square;position:absolute;top:16071;visibility:visible;v-text-anchor:middle" fillcolor="#9cc2e5" strokeweight="1pt">
                  <v:stroke startarrowwidth="narrow" startarrowlength="short" endarrowwidth="narrow" endarrowlength="short"/>
                  <v:path arrowok="t"/>
                  <v:textbox style="layout-flow:vertical;mso-layout-flow-alt:bottom-to-top" inset="0,0,0,0">
                    <w:txbxContent>
                      <w:p w:rsidR="00C36C85" w:rsidRPr="00D0192C" w:rsidP="00277909" w14:paraId="21195079" w14:textId="77777777">
                        <w:pPr>
                          <w:jc w:val="center"/>
                          <w:rPr>
                            <w:lang w:val="en-GB"/>
                          </w:rPr>
                        </w:pPr>
                        <w:r w:rsidRPr="00D0192C">
                          <w:rPr>
                            <w:b/>
                            <w:color w:val="000000"/>
                            <w:lang w:val="en-GB"/>
                          </w:rPr>
                          <w:t>Screening</w:t>
                        </w:r>
                      </w:p>
                    </w:txbxContent>
                  </v:textbox>
                </v:shape>
                <v:shape id="Прямая со стрелкой 1" o:spid="_x0000_s1038" type="#_x0000_t32" style="width:5919;height:6;left:25850;mso-wrap-style:square;position:absolute;top:9601;visibility:visible" o:connectortype="straight">
                  <v:stroke endarrow="block"/>
                </v:shape>
                <v:shape id="Прямая со стрелкой 2" o:spid="_x0000_s1039" type="#_x0000_t32" style="width:6096;height:7;left:25742;mso-wrap-style:square;position:absolute;top:18662;visibility:visible" o:connectortype="straight">
                  <v:stroke endarrow="block"/>
                </v:shape>
                <v:shape id="Прямая со стрелкой 3" o:spid="_x0000_s1040" type="#_x0000_t32" style="width:5988;height:6;left:25704;mso-wrap-style:square;position:absolute;top:26816;visibility:visible" o:connectortype="straight">
                  <v:stroke endarrow="block"/>
                </v:shape>
                <v:shape id="Прямая со стрелкой 770533316" o:spid="_x0000_s1041" type="#_x0000_t32" style="width:6;height:2813;left:16421;mso-wrap-style:square;position:absolute;top:29679;visibility:visible" o:connectortype="straight">
                  <v:stroke joinstyle="miter" startarrowwidth="narrow" startarrowlength="short" endarrow="block"/>
                </v:shape>
                <v:rect id="Прямоугольник 770533313" o:spid="_x0000_s1042" style="width:18999;height:5392;left:6705;mso-wrap-style:square;position:absolute;top:32492;visibility:visible;v-text-anchor:middle" filled="f" strokeweight="1pt">
                  <v:stroke startarrowwidth="narrow" startarrowlength="short" endarrowwidth="narrow" endarrowlength="short"/>
                  <v:path arrowok="t"/>
                  <v:textbox inset="7.2pt,3.6pt,7.2pt,3.6pt">
                    <w:txbxContent>
                      <w:p w:rsidR="00C36C85" w:rsidRPr="00D0192C" w:rsidP="00277909" w14:paraId="6A3712F2" w14:textId="77777777">
                        <w:pPr>
                          <w:jc w:val="center"/>
                        </w:pPr>
                        <w:r w:rsidRPr="00D0192C">
                          <w:rPr>
                            <w:color w:val="000000"/>
                          </w:rPr>
                          <w:t>Reports assessed for eligibility (n = 1792 )</w:t>
                        </w:r>
                      </w:p>
                    </w:txbxContent>
                  </v:textbox>
                </v:rect>
                <v:rect id="Прямоугольник 770533330" o:spid="_x0000_s1043" style="width:18999;height:8338;left:31769;mso-wrap-style:square;position:absolute;top:32492;visibility:visible;v-text-anchor:middle" filled="f" strokeweight="1pt">
                  <v:stroke startarrowwidth="narrow" startarrowlength="short" endarrowwidth="narrow" endarrowlength="short"/>
                  <v:path arrowok="t"/>
                  <v:textbox inset="7.2pt,3.6pt,7.2pt,3.6pt">
                    <w:txbxContent>
                      <w:p w:rsidR="00C36C85" w:rsidRPr="008B61DD" w:rsidP="00277909" w14:paraId="443AAD3D" w14:textId="77777777">
                        <w:pPr>
                          <w:jc w:val="center"/>
                          <w:rPr>
                            <w:lang w:val="pt-PT"/>
                          </w:rPr>
                        </w:pPr>
                        <w:r w:rsidRPr="008B61DD">
                          <w:rPr>
                            <w:color w:val="000000"/>
                            <w:lang w:val="pt-PT"/>
                          </w:rPr>
                          <w:t>Reports excluded:</w:t>
                        </w:r>
                      </w:p>
                      <w:p w:rsidR="00C36C85" w:rsidRPr="008B61DD" w:rsidP="00277909" w14:paraId="1A14DB1F" w14:textId="77777777">
                        <w:pPr>
                          <w:jc w:val="center"/>
                          <w:rPr>
                            <w:lang w:val="pt-PT"/>
                          </w:rPr>
                        </w:pPr>
                        <w:r w:rsidRPr="00D0192C">
                          <w:rPr>
                            <w:color w:val="000000"/>
                            <w:lang w:val="en-GB"/>
                          </w:rPr>
                          <w:t>С</w:t>
                        </w:r>
                        <w:r w:rsidRPr="008B61DD">
                          <w:rPr>
                            <w:color w:val="000000"/>
                            <w:lang w:val="pt-PT"/>
                          </w:rPr>
                          <w:t>. 1 (n = 431 )</w:t>
                        </w:r>
                      </w:p>
                      <w:p w:rsidR="00C36C85" w:rsidRPr="008B61DD" w:rsidP="00277909" w14:paraId="2D27058F" w14:textId="77777777">
                        <w:pPr>
                          <w:jc w:val="center"/>
                          <w:rPr>
                            <w:lang w:val="pt-PT"/>
                          </w:rPr>
                        </w:pPr>
                        <w:r w:rsidRPr="00D0192C">
                          <w:rPr>
                            <w:color w:val="000000"/>
                            <w:lang w:val="en-GB"/>
                          </w:rPr>
                          <w:t>С</w:t>
                        </w:r>
                        <w:r w:rsidRPr="008B61DD">
                          <w:rPr>
                            <w:color w:val="000000"/>
                            <w:lang w:val="pt-PT"/>
                          </w:rPr>
                          <w:t>. 2 (n = 264)</w:t>
                        </w:r>
                      </w:p>
                      <w:p w:rsidR="00C36C85" w:rsidRPr="008B61DD" w:rsidP="00277909" w14:paraId="4D0D1BDC" w14:textId="77777777">
                        <w:pPr>
                          <w:jc w:val="center"/>
                          <w:rPr>
                            <w:lang w:val="pt-PT"/>
                          </w:rPr>
                        </w:pPr>
                        <w:r w:rsidRPr="00D0192C">
                          <w:rPr>
                            <w:color w:val="000000"/>
                            <w:lang w:val="en-GB"/>
                          </w:rPr>
                          <w:t>С</w:t>
                        </w:r>
                        <w:r w:rsidRPr="008B61DD">
                          <w:rPr>
                            <w:color w:val="000000"/>
                            <w:lang w:val="pt-PT"/>
                          </w:rPr>
                          <w:t>. 3 (n =  354)</w:t>
                        </w:r>
                      </w:p>
                      <w:p w:rsidR="00C36C85" w:rsidRPr="00D0192C" w:rsidP="00277909" w14:paraId="0AF2A9C1" w14:textId="77777777">
                        <w:pPr>
                          <w:jc w:val="center"/>
                          <w:rPr>
                            <w:lang w:val="en-GB"/>
                          </w:rPr>
                        </w:pPr>
                        <w:r w:rsidRPr="00D0192C">
                          <w:rPr>
                            <w:color w:val="000000"/>
                            <w:lang w:val="en-GB"/>
                          </w:rPr>
                          <w:t>С. 4.( n =  70)</w:t>
                        </w:r>
                      </w:p>
                    </w:txbxContent>
                  </v:textbox>
                </v:rect>
                <v:rect id="Прямоугольник 770533319" o:spid="_x0000_s1044" style="width:18999;height:7589;left:6813;mso-wrap-style:square;position:absolute;top:43541;visibility:visible;v-text-anchor:middle" filled="f" strokeweight="1pt">
                  <v:stroke startarrowwidth="narrow" startarrowlength="short" endarrowwidth="narrow" endarrowlength="short"/>
                  <v:path arrowok="t"/>
                  <v:textbox inset="7.2pt,3.6pt,7.2pt,3.6pt">
                    <w:txbxContent>
                      <w:p w:rsidR="00C36C85" w:rsidRPr="00D0192C" w:rsidP="00277909" w14:paraId="00835FDD" w14:textId="77777777">
                        <w:pPr>
                          <w:jc w:val="center"/>
                          <w:rPr>
                            <w:lang w:val="en-GB"/>
                          </w:rPr>
                        </w:pPr>
                        <w:r w:rsidRPr="00D0192C">
                          <w:rPr>
                            <w:color w:val="000000"/>
                            <w:lang w:val="en-GB"/>
                          </w:rPr>
                          <w:t>Studies included</w:t>
                        </w:r>
                      </w:p>
                      <w:p w:rsidR="00C36C85" w:rsidRPr="00D0192C" w:rsidP="00277909" w14:paraId="4B014FBE" w14:textId="77777777">
                        <w:pPr>
                          <w:jc w:val="center"/>
                          <w:rPr>
                            <w:lang w:val="en-GB"/>
                          </w:rPr>
                        </w:pPr>
                        <w:r w:rsidRPr="00D0192C">
                          <w:rPr>
                            <w:color w:val="000000"/>
                            <w:lang w:val="en-GB"/>
                          </w:rPr>
                          <w:t>(n = 40 )</w:t>
                        </w:r>
                      </w:p>
                    </w:txbxContent>
                  </v:textbox>
                </v:rect>
                <v:shape id="Блок-схема: альтернативный процесс 770533325" o:spid="_x0000_s1045" type="#_x0000_t176" style="width:2756;height:7581;left:2057;mso-wrap-style:square;position:absolute;top:43434;visibility:visible;v-text-anchor:middle" fillcolor="#9cc2e5" strokeweight="1pt">
                  <v:stroke startarrowwidth="narrow" startarrowlength="short" endarrowwidth="narrow" endarrowlength="short"/>
                  <v:path arrowok="t"/>
                  <v:textbox style="layout-flow:vertical;mso-layout-flow-alt:bottom-to-top" inset="0,3.6pt,0,3.6pt">
                    <w:txbxContent>
                      <w:p w:rsidR="00C36C85" w:rsidRPr="00D0192C" w:rsidP="00277909" w14:paraId="658365C4" w14:textId="77777777">
                        <w:pPr>
                          <w:jc w:val="center"/>
                          <w:rPr>
                            <w:lang w:val="en-GB"/>
                          </w:rPr>
                        </w:pPr>
                        <w:r w:rsidRPr="00D0192C">
                          <w:rPr>
                            <w:b/>
                            <w:color w:val="000000"/>
                            <w:lang w:val="en-GB"/>
                          </w:rPr>
                          <w:t>Included</w:t>
                        </w:r>
                      </w:p>
                    </w:txbxContent>
                  </v:textbox>
                </v:shape>
                <v:shape id="Прямая со стрелкой 4" o:spid="_x0000_s1046" type="#_x0000_t32" style="width:6096;height:6;flip:y;left:25673;mso-wrap-style:square;position:absolute;top:35204;visibility:visible" o:connectortype="straight">
                  <v:stroke endarrow="block"/>
                </v:shape>
                <v:shape id="Прямая со стрелкой 770533331" o:spid="_x0000_s1047" type="#_x0000_t32" style="width:6;height:5657;flip:x;left:16427;mso-wrap-style:square;position:absolute;top:37884;visibility:visible" o:connectortype="straight">
                  <v:stroke joinstyle="miter" startarrowwidth="narrow" startarrowlength="short" endarrow="block"/>
                </v:shape>
                <w10:anchorlock/>
              </v:group>
            </w:pict>
          </mc:Fallback>
        </mc:AlternateContent>
      </w:r>
    </w:p>
    <w:p w:rsidR="00277909" w:rsidRPr="00277909" w:rsidP="00277909" w14:paraId="5EA791D9" w14:textId="77777777">
      <w:pPr>
        <w:spacing w:before="120" w:after="120"/>
        <w:ind w:left="426"/>
        <w:jc w:val="center"/>
        <w:rPr>
          <w:rFonts w:ascii="Calibri Light" w:hAnsi="Calibri Light" w:cs="Calibri Light"/>
          <w:i/>
          <w:sz w:val="24"/>
          <w:szCs w:val="24"/>
          <w:lang w:val="en-GB"/>
        </w:rPr>
      </w:pPr>
      <w:r w:rsidRPr="00277909">
        <w:rPr>
          <w:rFonts w:ascii="Calibri Light" w:hAnsi="Calibri Light" w:cs="Calibri Light"/>
          <w:b/>
          <w:i/>
          <w:sz w:val="24"/>
          <w:szCs w:val="24"/>
          <w:lang w:val="en-GB"/>
        </w:rPr>
        <w:t xml:space="preserve">Figure 1. </w:t>
      </w:r>
      <w:r w:rsidRPr="00277909">
        <w:rPr>
          <w:rFonts w:ascii="Calibri Light" w:hAnsi="Calibri Light" w:cs="Calibri Light"/>
          <w:i/>
          <w:sz w:val="24"/>
          <w:szCs w:val="24"/>
          <w:lang w:val="en-GB"/>
        </w:rPr>
        <w:t>PRISMA Flowchart</w:t>
      </w:r>
    </w:p>
    <w:p w:rsidR="00277909" w:rsidRPr="00277909" w:rsidP="00277909" w14:paraId="5D932D8A" w14:textId="77777777">
      <w:pPr>
        <w:spacing w:before="120" w:after="120"/>
        <w:ind w:left="426"/>
        <w:jc w:val="center"/>
        <w:rPr>
          <w:rFonts w:ascii="Calibri Light" w:hAnsi="Calibri Light" w:cs="Calibri Light"/>
          <w:i/>
          <w:sz w:val="24"/>
          <w:szCs w:val="24"/>
          <w:lang w:val="en-GB"/>
        </w:rPr>
      </w:pPr>
      <w:r w:rsidRPr="00277909">
        <w:rPr>
          <w:rFonts w:ascii="Calibri Light" w:hAnsi="Calibri Light" w:cs="Calibri Light"/>
          <w:i/>
          <w:sz w:val="24"/>
          <w:szCs w:val="24"/>
          <w:lang w:val="en-GB"/>
        </w:rPr>
        <w:t>Source: Authors’ development.</w:t>
      </w:r>
    </w:p>
    <w:p w:rsidR="00277909" w:rsidRPr="00277909" w:rsidP="00277909" w14:paraId="7246DCB3" w14:textId="77777777">
      <w:pPr>
        <w:spacing w:before="120" w:after="120"/>
        <w:ind w:left="426"/>
        <w:jc w:val="both"/>
        <w:rPr>
          <w:rFonts w:ascii="Calibri Light" w:hAnsi="Calibri Light" w:cs="Calibri Light"/>
          <w:b/>
          <w:sz w:val="24"/>
          <w:szCs w:val="24"/>
          <w:lang w:val="en-GB"/>
        </w:rPr>
      </w:pPr>
      <w:r w:rsidRPr="00277909">
        <w:rPr>
          <w:rFonts w:ascii="Calibri Light" w:hAnsi="Calibri Light" w:cs="Calibri Light"/>
          <w:b/>
          <w:sz w:val="24"/>
          <w:szCs w:val="24"/>
          <w:lang w:val="en-GB"/>
        </w:rPr>
        <w:t>Data Analysis</w:t>
      </w:r>
    </w:p>
    <w:p w:rsidR="00277909" w:rsidRPr="00277909" w:rsidP="00C427CC" w14:paraId="4E922CC7" w14:textId="1926CD43">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Within the case study approach, the data analysis was rigorously focused on identifying key factors influencing the effectiveness of court decision enforcement in Ukraine. The analysis was conducted using </w:t>
      </w:r>
      <w:r w:rsidRPr="00C427CC">
        <w:rPr>
          <w:rFonts w:ascii="Calibri Light" w:hAnsi="Calibri Light" w:cs="Calibri Light"/>
          <w:sz w:val="24"/>
          <w:szCs w:val="24"/>
          <w:highlight w:val="yellow"/>
          <w:lang w:val="en-GB"/>
        </w:rPr>
        <w:t>Google Sheets, where primary tables were created to categorise the research themes.</w:t>
      </w:r>
      <w:r w:rsidRPr="00C427CC" w:rsidR="00C427CC">
        <w:rPr>
          <w:rFonts w:ascii="Calibri Light" w:hAnsi="Calibri Light" w:cs="Calibri Light"/>
          <w:sz w:val="24"/>
          <w:szCs w:val="24"/>
          <w:highlight w:val="yellow"/>
          <w:lang w:val="uk-UA"/>
        </w:rPr>
        <w:t xml:space="preserve"> </w:t>
      </w:r>
      <w:r w:rsidRPr="00C427CC" w:rsidR="00C427CC">
        <w:rPr>
          <w:rFonts w:ascii="Calibri Light" w:hAnsi="Calibri Light" w:cs="Calibri Light"/>
          <w:sz w:val="24"/>
          <w:szCs w:val="24"/>
          <w:highlight w:val="yellow"/>
          <w:lang w:val="en-GB"/>
        </w:rPr>
        <w:t>T</w:t>
      </w:r>
      <w:r w:rsidRPr="00C427CC">
        <w:rPr>
          <w:rFonts w:ascii="Calibri Light" w:hAnsi="Calibri Light" w:cs="Calibri Light"/>
          <w:sz w:val="24"/>
          <w:szCs w:val="24"/>
          <w:highlight w:val="yellow"/>
          <w:lang w:val="en-GB"/>
        </w:rPr>
        <w:t>he first table addressed the areas of legislation, analytical reports, and key provisions.</w:t>
      </w:r>
      <w:r w:rsidRPr="00C427CC" w:rsidR="00C427CC">
        <w:rPr>
          <w:rFonts w:ascii="Calibri Light" w:hAnsi="Calibri Light" w:cs="Calibri Light"/>
          <w:sz w:val="24"/>
          <w:szCs w:val="24"/>
          <w:highlight w:val="yellow"/>
          <w:lang w:val="en-GB"/>
        </w:rPr>
        <w:t xml:space="preserve"> T</w:t>
      </w:r>
      <w:r w:rsidRPr="00C427CC">
        <w:rPr>
          <w:rFonts w:ascii="Calibri Light" w:hAnsi="Calibri Light" w:cs="Calibri Light"/>
          <w:sz w:val="24"/>
          <w:szCs w:val="24"/>
          <w:highlight w:val="yellow"/>
          <w:lang w:val="en-GB"/>
        </w:rPr>
        <w:t>he second table was based on literature analysis, encompassing details such as the author, year of publication, factors affecting the enforcement of court decisions, and identified issues.</w:t>
      </w:r>
    </w:p>
    <w:p w:rsidR="00277909" w:rsidRPr="00277909" w:rsidP="00277909" w14:paraId="58CC9ED7" w14:textId="77777777">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All collected data were subsequently categorised into the following key themes:</w:t>
      </w:r>
    </w:p>
    <w:p w:rsidR="00277909" w:rsidRPr="00277909" w:rsidP="00277909" w14:paraId="3CF6820F" w14:textId="77777777">
      <w:pPr>
        <w:numPr>
          <w:ilvl w:val="0"/>
          <w:numId w:val="36"/>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Factors influencing decision enforcement.</w:t>
      </w:r>
    </w:p>
    <w:p w:rsidR="00277909" w:rsidRPr="00277909" w:rsidP="00277909" w14:paraId="57E85F20" w14:textId="77777777">
      <w:pPr>
        <w:numPr>
          <w:ilvl w:val="0"/>
          <w:numId w:val="36"/>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Responsibilities of the involved parties and enforcement authorities.</w:t>
      </w:r>
    </w:p>
    <w:p w:rsidR="00277909" w:rsidRPr="00277909" w:rsidP="00277909" w14:paraId="08963B20" w14:textId="77777777">
      <w:pPr>
        <w:numPr>
          <w:ilvl w:val="0"/>
          <w:numId w:val="36"/>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Challenges at the enforcement stage.</w:t>
      </w:r>
    </w:p>
    <w:p w:rsidR="00277909" w:rsidP="00277909" w14:paraId="0666EEB4" w14:textId="77777777">
      <w:pPr>
        <w:spacing w:before="120" w:after="120"/>
        <w:ind w:left="426"/>
        <w:jc w:val="both"/>
        <w:rPr>
          <w:rFonts w:ascii="Calibri Light" w:hAnsi="Calibri Light" w:cs="Calibri Light"/>
          <w:sz w:val="24"/>
          <w:szCs w:val="24"/>
          <w:lang w:val="uk-UA"/>
        </w:rPr>
      </w:pPr>
      <w:r w:rsidRPr="00277909">
        <w:rPr>
          <w:rFonts w:ascii="Calibri Light" w:hAnsi="Calibri Light" w:cs="Calibri Light"/>
          <w:sz w:val="24"/>
          <w:szCs w:val="24"/>
          <w:lang w:val="en-GB"/>
        </w:rPr>
        <w:t>These themes were synthesised and subjected to comparative analysis with practices of court decision enforcement in other countries.</w:t>
      </w:r>
    </w:p>
    <w:p w:rsidR="009D7552" w:rsidRPr="009D7552" w:rsidP="00277909" w14:paraId="60D8A6EB" w14:textId="2448C50C">
      <w:pPr>
        <w:spacing w:before="120" w:after="120"/>
        <w:ind w:left="426"/>
        <w:jc w:val="both"/>
        <w:rPr>
          <w:rFonts w:ascii="Calibri Light" w:hAnsi="Calibri Light" w:cs="Calibri Light"/>
          <w:sz w:val="24"/>
          <w:szCs w:val="24"/>
          <w:lang w:val="uk-UA"/>
        </w:rPr>
      </w:pPr>
      <w:r w:rsidRPr="009D7552">
        <w:rPr>
          <w:rFonts w:ascii="Calibri Light" w:hAnsi="Calibri Light" w:cs="Calibri Light"/>
          <w:sz w:val="24"/>
          <w:szCs w:val="24"/>
          <w:highlight w:val="yellow"/>
          <w:lang w:val="en-GB"/>
        </w:rPr>
        <w:t xml:space="preserve">As an additional tool for information organization, Google Sheets was utilized to organize and arrange the data gathered. At the same time, the study's focus moved from using software technically to </w:t>
      </w:r>
      <w:r w:rsidR="00D762C2">
        <w:rPr>
          <w:rFonts w:ascii="Calibri Light" w:hAnsi="Calibri Light" w:cs="Calibri Light"/>
          <w:sz w:val="24"/>
          <w:szCs w:val="24"/>
          <w:highlight w:val="yellow"/>
          <w:lang w:val="en-GB"/>
        </w:rPr>
        <w:t>ensuring</w:t>
      </w:r>
      <w:r w:rsidRPr="009D7552">
        <w:rPr>
          <w:rFonts w:ascii="Calibri Light" w:hAnsi="Calibri Light" w:cs="Calibri Light"/>
          <w:sz w:val="24"/>
          <w:szCs w:val="24"/>
          <w:highlight w:val="yellow"/>
          <w:lang w:val="en-GB"/>
        </w:rPr>
        <w:t xml:space="preserve"> the results were reliable. Methodological triangulation was employed for this aim, comparing the findings of the expert survey with information gathered from the content analysis of official documents and observations of how the pertinent legal systems operated. Double coding was employed to improve the data categorization's dependability: the materials were coded by two separate researchers, and disagreements over the classification were discussed until an agreement was reached.</w:t>
      </w:r>
    </w:p>
    <w:p w:rsidR="00A4345E" w:rsidP="00277909" w14:paraId="35E02C15" w14:textId="7AC52FF3">
      <w:pPr>
        <w:spacing w:before="120" w:after="120"/>
        <w:ind w:left="426"/>
        <w:jc w:val="both"/>
        <w:rPr>
          <w:rFonts w:ascii="Calibri Light" w:hAnsi="Calibri Light" w:cs="Calibri Light"/>
          <w:sz w:val="24"/>
          <w:szCs w:val="24"/>
        </w:rPr>
      </w:pPr>
      <w:r w:rsidRPr="00277909">
        <w:rPr>
          <w:rFonts w:ascii="Calibri Light" w:hAnsi="Calibri Light" w:cs="Calibri Light"/>
          <w:sz w:val="24"/>
          <w:szCs w:val="24"/>
          <w:lang w:val="en-GB"/>
        </w:rPr>
        <w:t xml:space="preserve">Analysing the selected case (Ukrainian realities) enabled the identification of fundamental systemic problems impacting the effectiveness of court decision enforcement in Ukraine. The synthesis and generalisation of the findings allowed for </w:t>
      </w:r>
      <w:r w:rsidR="00D762C2">
        <w:rPr>
          <w:rFonts w:ascii="Calibri Light" w:hAnsi="Calibri Light" w:cs="Calibri Light"/>
          <w:sz w:val="24"/>
          <w:szCs w:val="24"/>
          <w:lang w:val="en-GB"/>
        </w:rPr>
        <w:t>the develop</w:t>
      </w:r>
      <w:r w:rsidRPr="00277909">
        <w:rPr>
          <w:rFonts w:ascii="Calibri Light" w:hAnsi="Calibri Light" w:cs="Calibri Light"/>
          <w:sz w:val="24"/>
          <w:szCs w:val="24"/>
          <w:lang w:val="en-GB"/>
        </w:rPr>
        <w:t>ment of valuable practical recommendations to optimise the enforcement process at the national level.</w:t>
      </w:r>
    </w:p>
    <w:p w:rsidR="00D26ADD" w:rsidRPr="00122F5F" w:rsidP="00334792" w14:paraId="74080069" w14:textId="77777777">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Pr="00122F5F" w:rsidR="00781D8B">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Pr="00122F5F" w:rsidR="00F369EC">
        <w:rPr>
          <w:rFonts w:ascii="Calibri Light" w:hAnsi="Calibri Light" w:cs="Calibri Light"/>
          <w:b/>
          <w:sz w:val="24"/>
          <w:szCs w:val="24"/>
          <w:lang w:val="id-ID"/>
        </w:rPr>
        <w:t xml:space="preserve"> </w:t>
      </w:r>
      <w:r w:rsidRPr="00122F5F" w:rsidR="00334792">
        <w:rPr>
          <w:rFonts w:ascii="Calibri Light" w:hAnsi="Calibri Light" w:cs="Calibri Light"/>
          <w:b/>
          <w:sz w:val="24"/>
          <w:szCs w:val="24"/>
          <w:lang w:val="id-ID"/>
        </w:rPr>
        <w:t>RESULT AND DISCUSSION</w:t>
      </w:r>
    </w:p>
    <w:p w:rsidR="002F3E59" w:rsidP="00277909" w14:paraId="1D242AC1" w14:textId="1E829BCF">
      <w:pPr>
        <w:spacing w:before="120" w:after="120"/>
        <w:ind w:left="440" w:right="-1" w:hanging="14"/>
        <w:jc w:val="both"/>
        <w:rPr>
          <w:rFonts w:ascii="Calibri Light" w:hAnsi="Calibri Light" w:cs="Calibri Light"/>
          <w:sz w:val="24"/>
          <w:szCs w:val="24"/>
          <w:lang w:val="uk-UA"/>
        </w:rPr>
      </w:pPr>
      <w:r w:rsidRPr="002F3E59">
        <w:rPr>
          <w:rFonts w:ascii="Calibri Light" w:hAnsi="Calibri Light" w:cs="Calibri Light"/>
          <w:i/>
          <w:sz w:val="24"/>
          <w:szCs w:val="24"/>
          <w:highlight w:val="yellow"/>
          <w:lang w:val="en-GB"/>
        </w:rPr>
        <w:t>The Enforcement of Judicial Decisions by the State Enforcement Service of Ukraine</w:t>
      </w:r>
    </w:p>
    <w:p w:rsidR="00277909" w:rsidRPr="00277909" w:rsidP="00277909" w14:paraId="7204B3BA" w14:textId="1D523398">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The effective enforcement of judicial decisions is recognised as a cornerstone for upholding the rule of law, safeguarding the rights and freedoms of citizens, and maintaining a sufficient level of trust in the judicial system in Ukraine. </w:t>
      </w:r>
      <w:r w:rsidRPr="0091106A" w:rsidR="0091106A">
        <w:rPr>
          <w:rFonts w:ascii="Calibri Light" w:hAnsi="Calibri Light" w:cs="Calibri Light"/>
          <w:sz w:val="24"/>
          <w:szCs w:val="24"/>
          <w:highlight w:val="yellow"/>
          <w:lang w:val="en-GB"/>
        </w:rPr>
        <w:t xml:space="preserve">The specifics of the Ukrainian context link the importance of law enforcement activities with the </w:t>
      </w:r>
      <w:r w:rsidR="00D762C2">
        <w:rPr>
          <w:rFonts w:ascii="Calibri Light" w:hAnsi="Calibri Light" w:cs="Calibri Light"/>
          <w:sz w:val="24"/>
          <w:szCs w:val="24"/>
          <w:highlight w:val="yellow"/>
          <w:lang w:val="en-GB"/>
        </w:rPr>
        <w:t>country's socio-political realities</w:t>
      </w:r>
      <w:r w:rsidRPr="0091106A" w:rsidR="0091106A">
        <w:rPr>
          <w:rFonts w:ascii="Calibri Light" w:hAnsi="Calibri Light" w:cs="Calibri Light"/>
          <w:sz w:val="24"/>
          <w:szCs w:val="24"/>
          <w:highlight w:val="yellow"/>
          <w:lang w:val="en-GB"/>
        </w:rPr>
        <w:t>, including the post-conflict situation and the need for legal reforms.</w:t>
      </w:r>
      <w:r w:rsidR="0091106A">
        <w:rPr>
          <w:rFonts w:ascii="Calibri Light" w:hAnsi="Calibri Light" w:cs="Calibri Light"/>
          <w:sz w:val="24"/>
          <w:szCs w:val="24"/>
          <w:lang w:val="uk-UA"/>
        </w:rPr>
        <w:t xml:space="preserve"> </w:t>
      </w:r>
      <w:r w:rsidRPr="00277909">
        <w:rPr>
          <w:rFonts w:ascii="Calibri Light" w:hAnsi="Calibri Light" w:cs="Calibri Light"/>
          <w:sz w:val="24"/>
          <w:szCs w:val="24"/>
          <w:lang w:val="en-GB"/>
        </w:rPr>
        <w:t>However, the current practices for implementing such decisions face numerous challenges, which, to some extent, undermine their enforceability (see Figure 2).</w:t>
      </w:r>
    </w:p>
    <w:p w:rsidR="00277909" w:rsidRPr="00E41250" w:rsidP="00E41250" w14:paraId="396FE2E1" w14:textId="77777777">
      <w:pPr>
        <w:spacing w:before="120" w:after="120"/>
        <w:ind w:left="440" w:right="-1" w:hanging="14"/>
        <w:jc w:val="center"/>
        <w:rPr>
          <w:rFonts w:ascii="Calibri Light" w:hAnsi="Calibri Light" w:cs="Calibri Light"/>
          <w:i/>
          <w:sz w:val="24"/>
          <w:szCs w:val="24"/>
          <w:lang w:val="en-GB"/>
        </w:rPr>
      </w:pPr>
      <w:r>
        <w:rPr>
          <w:rFonts w:ascii="Calibri Light" w:hAnsi="Calibri Light" w:cs="Calibri Light"/>
          <w:noProof/>
          <w:lang w:val="ru-RU"/>
        </w:rPr>
        <w:object>
          <v:shape id="Диаграмма 770533309" o:spid="_x0000_i1048" type="#_x0000_t75" style="width:433pt;height:171pt;mso-height-percent:0;mso-width-percent:0;visibility:visible" o:ole="">
            <v:imagedata r:id="rId9" o:title="" cropbottom="-38f" cropright="-8f"/>
            <o:lock v:ext="edit" aspectratio="f"/>
          </v:shape>
          <o:OLEObject Type="Embed" ProgID="Excel.Sheet.8" ShapeID="Диаграмма 770533309" DrawAspect="Content" ObjectID="_1807692028" r:id="rId10"/>
        </w:object>
      </w:r>
      <w:r w:rsidRPr="00E41250">
        <w:rPr>
          <w:rFonts w:ascii="Calibri Light" w:hAnsi="Calibri Light" w:cs="Calibri Light"/>
          <w:b/>
          <w:bCs/>
          <w:i/>
          <w:sz w:val="24"/>
          <w:szCs w:val="24"/>
          <w:lang w:val="en-GB"/>
        </w:rPr>
        <w:t xml:space="preserve">Figure 2. </w:t>
      </w:r>
      <w:r w:rsidRPr="00E41250">
        <w:rPr>
          <w:rFonts w:ascii="Calibri Light" w:hAnsi="Calibri Light" w:cs="Calibri Light"/>
          <w:i/>
          <w:sz w:val="24"/>
          <w:szCs w:val="24"/>
          <w:lang w:val="en-GB"/>
        </w:rPr>
        <w:t xml:space="preserve">Statistics on the </w:t>
      </w:r>
      <w:r w:rsidR="00E41250">
        <w:rPr>
          <w:rFonts w:ascii="Calibri Light" w:hAnsi="Calibri Light" w:cs="Calibri Light"/>
          <w:i/>
          <w:sz w:val="24"/>
          <w:szCs w:val="24"/>
          <w:lang w:val="en-GB"/>
        </w:rPr>
        <w:t>E</w:t>
      </w:r>
      <w:r w:rsidRPr="00E41250">
        <w:rPr>
          <w:rFonts w:ascii="Calibri Light" w:hAnsi="Calibri Light" w:cs="Calibri Light"/>
          <w:i/>
          <w:sz w:val="24"/>
          <w:szCs w:val="24"/>
          <w:lang w:val="en-GB"/>
        </w:rPr>
        <w:t xml:space="preserve">nforcement of </w:t>
      </w:r>
      <w:r w:rsidR="00E41250">
        <w:rPr>
          <w:rFonts w:ascii="Calibri Light" w:hAnsi="Calibri Light" w:cs="Calibri Light"/>
          <w:i/>
          <w:sz w:val="24"/>
          <w:szCs w:val="24"/>
          <w:lang w:val="en-GB"/>
        </w:rPr>
        <w:t>J</w:t>
      </w:r>
      <w:r w:rsidRPr="00E41250">
        <w:rPr>
          <w:rFonts w:ascii="Calibri Light" w:hAnsi="Calibri Light" w:cs="Calibri Light"/>
          <w:i/>
          <w:sz w:val="24"/>
          <w:szCs w:val="24"/>
          <w:lang w:val="en-GB"/>
        </w:rPr>
        <w:t xml:space="preserve">udicial </w:t>
      </w:r>
      <w:r w:rsidR="00E41250">
        <w:rPr>
          <w:rFonts w:ascii="Calibri Light" w:hAnsi="Calibri Light" w:cs="Calibri Light"/>
          <w:i/>
          <w:sz w:val="24"/>
          <w:szCs w:val="24"/>
          <w:lang w:val="en-GB"/>
        </w:rPr>
        <w:t>D</w:t>
      </w:r>
      <w:r w:rsidRPr="00E41250">
        <w:rPr>
          <w:rFonts w:ascii="Calibri Light" w:hAnsi="Calibri Light" w:cs="Calibri Light"/>
          <w:i/>
          <w:sz w:val="24"/>
          <w:szCs w:val="24"/>
          <w:lang w:val="en-GB"/>
        </w:rPr>
        <w:t xml:space="preserve">ecisions by the State Enforcement Service of Ukraine, 2018–2020 (in </w:t>
      </w:r>
      <w:r w:rsidR="00E41250">
        <w:rPr>
          <w:rFonts w:ascii="Calibri Light" w:hAnsi="Calibri Light" w:cs="Calibri Light"/>
          <w:i/>
          <w:sz w:val="24"/>
          <w:szCs w:val="24"/>
          <w:lang w:val="en-GB"/>
        </w:rPr>
        <w:t>T</w:t>
      </w:r>
      <w:r w:rsidRPr="00E41250">
        <w:rPr>
          <w:rFonts w:ascii="Calibri Light" w:hAnsi="Calibri Light" w:cs="Calibri Light"/>
          <w:i/>
          <w:sz w:val="24"/>
          <w:szCs w:val="24"/>
          <w:lang w:val="en-GB"/>
        </w:rPr>
        <w:t>housands)</w:t>
      </w:r>
    </w:p>
    <w:p w:rsidR="00277909" w:rsidRPr="00E41250" w:rsidP="00E41250" w14:paraId="145F9268" w14:textId="77777777">
      <w:pPr>
        <w:spacing w:before="120" w:after="120"/>
        <w:ind w:left="440" w:right="-1" w:hanging="14"/>
        <w:jc w:val="center"/>
        <w:rPr>
          <w:rFonts w:ascii="Calibri Light" w:hAnsi="Calibri Light" w:cs="Calibri Light"/>
          <w:i/>
          <w:sz w:val="24"/>
          <w:szCs w:val="24"/>
          <w:lang w:val="en-GB"/>
        </w:rPr>
      </w:pPr>
      <w:r w:rsidRPr="00E41250">
        <w:rPr>
          <w:rFonts w:ascii="Calibri Light" w:hAnsi="Calibri Light" w:cs="Calibri Light"/>
          <w:i/>
          <w:sz w:val="24"/>
          <w:szCs w:val="24"/>
          <w:lang w:val="en-GB"/>
        </w:rPr>
        <w:t xml:space="preserve">Source: </w:t>
      </w:r>
      <w:r w:rsidR="00E41250">
        <w:rPr>
          <w:rFonts w:ascii="Calibri Light" w:hAnsi="Calibri Light" w:cs="Calibri Light"/>
          <w:i/>
          <w:sz w:val="24"/>
          <w:szCs w:val="24"/>
          <w:lang w:val="en-GB"/>
        </w:rPr>
        <w:t>C</w:t>
      </w:r>
      <w:r w:rsidRPr="00E41250">
        <w:rPr>
          <w:rFonts w:ascii="Calibri Light" w:hAnsi="Calibri Light" w:cs="Calibri Light"/>
          <w:i/>
          <w:sz w:val="24"/>
          <w:szCs w:val="24"/>
          <w:lang w:val="en-GB"/>
        </w:rPr>
        <w:t xml:space="preserve">ompiled by the </w:t>
      </w:r>
      <w:r w:rsidR="00E41250">
        <w:rPr>
          <w:rFonts w:ascii="Calibri Light" w:hAnsi="Calibri Light" w:cs="Calibri Light"/>
          <w:i/>
          <w:sz w:val="24"/>
          <w:szCs w:val="24"/>
          <w:lang w:val="en-GB"/>
        </w:rPr>
        <w:t>A</w:t>
      </w:r>
      <w:r w:rsidRPr="00E41250">
        <w:rPr>
          <w:rFonts w:ascii="Calibri Light" w:hAnsi="Calibri Light" w:cs="Calibri Light"/>
          <w:i/>
          <w:sz w:val="24"/>
          <w:szCs w:val="24"/>
          <w:lang w:val="en-GB"/>
        </w:rPr>
        <w:t xml:space="preserve">uthors </w:t>
      </w:r>
      <w:r w:rsidR="00E41250">
        <w:rPr>
          <w:rFonts w:ascii="Calibri Light" w:hAnsi="Calibri Light" w:cs="Calibri Light"/>
          <w:i/>
          <w:sz w:val="24"/>
          <w:szCs w:val="24"/>
          <w:lang w:val="en-GB"/>
        </w:rPr>
        <w:t>B</w:t>
      </w:r>
      <w:r w:rsidRPr="00E41250">
        <w:rPr>
          <w:rFonts w:ascii="Calibri Light" w:hAnsi="Calibri Light" w:cs="Calibri Light"/>
          <w:i/>
          <w:sz w:val="24"/>
          <w:szCs w:val="24"/>
          <w:lang w:val="en-GB"/>
        </w:rPr>
        <w:t>ased on [15].</w:t>
      </w:r>
    </w:p>
    <w:p w:rsidR="00277909" w:rsidRPr="00277909" w:rsidP="00277909" w14:paraId="318049E4" w14:textId="0C46814E">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The low rate of judicial decision enforcement has specific economic implications</w:t>
      </w:r>
      <w:r w:rsidRPr="001D17BF" w:rsidR="001D17BF">
        <w:rPr>
          <w:rFonts w:ascii="Calibri Light" w:hAnsi="Calibri Light" w:cs="Calibri Light"/>
          <w:sz w:val="24"/>
          <w:szCs w:val="24"/>
          <w:highlight w:val="yellow"/>
        </w:rPr>
        <w:t xml:space="preserve">. However, some technical solutions have been proposed, </w:t>
      </w:r>
      <w:r w:rsidR="007C7AE9">
        <w:rPr>
          <w:rFonts w:ascii="Calibri Light" w:hAnsi="Calibri Light" w:cs="Calibri Light"/>
          <w:sz w:val="24"/>
          <w:szCs w:val="24"/>
          <w:highlight w:val="yellow"/>
        </w:rPr>
        <w:t>such as</w:t>
      </w:r>
      <w:r w:rsidRPr="001D17BF" w:rsidR="001D17BF">
        <w:rPr>
          <w:rFonts w:ascii="Calibri Light" w:hAnsi="Calibri Light" w:cs="Calibri Light"/>
          <w:sz w:val="24"/>
          <w:szCs w:val="24"/>
          <w:highlight w:val="yellow"/>
        </w:rPr>
        <w:t xml:space="preserve"> the use of the “</w:t>
      </w:r>
      <w:r w:rsidRPr="001D17BF" w:rsidR="001D17BF">
        <w:rPr>
          <w:rFonts w:ascii="Calibri Light" w:hAnsi="Calibri Light" w:cs="Calibri Light"/>
          <w:sz w:val="24"/>
          <w:szCs w:val="24"/>
          <w:highlight w:val="yellow"/>
        </w:rPr>
        <w:t>Diia</w:t>
      </w:r>
      <w:r w:rsidRPr="001D17BF" w:rsidR="001D17BF">
        <w:rPr>
          <w:rFonts w:ascii="Calibri Light" w:hAnsi="Calibri Light" w:cs="Calibri Light"/>
          <w:sz w:val="24"/>
          <w:szCs w:val="24"/>
          <w:highlight w:val="yellow"/>
        </w:rPr>
        <w:t>” system [16], the effectiveness of which has also been noted by researchers</w:t>
      </w:r>
      <w:r w:rsidRPr="001D17BF" w:rsidR="001D17BF">
        <w:rPr>
          <w:rFonts w:ascii="Calibri Light" w:hAnsi="Calibri Light" w:cs="Calibri Light"/>
          <w:sz w:val="24"/>
          <w:szCs w:val="24"/>
          <w:lang w:val="uk-UA"/>
        </w:rPr>
        <w:t xml:space="preserve"> [2]</w:t>
      </w:r>
      <w:r w:rsidRPr="001D17BF">
        <w:rPr>
          <w:rFonts w:ascii="Calibri Light" w:hAnsi="Calibri Light" w:cs="Calibri Light"/>
          <w:sz w:val="24"/>
          <w:szCs w:val="24"/>
          <w:lang w:val="uk-UA"/>
        </w:rPr>
        <w:t xml:space="preserve">. </w:t>
      </w:r>
      <w:r w:rsidRPr="00277909">
        <w:rPr>
          <w:rFonts w:ascii="Calibri Light" w:hAnsi="Calibri Light" w:cs="Calibri Light"/>
          <w:sz w:val="24"/>
          <w:szCs w:val="24"/>
          <w:lang w:val="en-GB"/>
        </w:rPr>
        <w:t xml:space="preserve">For instance, researchers examining several Latin American countries have identified a correlation between the enforcement of judicial decisions and the macroeconomic consequences of non-compliance. Given that Ukraine faces challenges similar to those observed in Latin American states in its justice sector, these findings are also relevant to the Ukrainian context. Specifically, the low effectiveness in enforcing judicial decisions can lead to </w:t>
      </w:r>
      <w:r w:rsidR="007C7AE9">
        <w:rPr>
          <w:rFonts w:ascii="Calibri Light" w:hAnsi="Calibri Light" w:cs="Calibri Light"/>
          <w:sz w:val="24"/>
          <w:szCs w:val="24"/>
          <w:lang w:val="en-GB"/>
        </w:rPr>
        <w:t>reduced economic transactions, decreased</w:t>
      </w:r>
      <w:r w:rsidRPr="00277909">
        <w:rPr>
          <w:rFonts w:ascii="Calibri Light" w:hAnsi="Calibri Light" w:cs="Calibri Light"/>
          <w:sz w:val="24"/>
          <w:szCs w:val="24"/>
          <w:lang w:val="en-GB"/>
        </w:rPr>
        <w:t xml:space="preserve"> investment inflows, geographic constraints on establishing business relationships, limited mechanisms for conducting digital payments, increased credit rates, inflation, and more [17].</w:t>
      </w:r>
    </w:p>
    <w:p w:rsidR="00277909" w:rsidRPr="00277909" w:rsidP="00277909" w14:paraId="219F8CD1" w14:textId="7360AF7A">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In 2019–2020, Ukraine ranked seventh from the bottom in compliance with the European Court of Human Rights decisions. </w:t>
      </w:r>
      <w:r w:rsidRPr="002F3E59" w:rsidR="002F3E59">
        <w:rPr>
          <w:rFonts w:ascii="Calibri Light" w:hAnsi="Calibri Light" w:cs="Calibri Light"/>
          <w:sz w:val="24"/>
          <w:szCs w:val="24"/>
          <w:highlight w:val="yellow"/>
          <w:lang w:val="en-GB"/>
        </w:rPr>
        <w:t>The persistent underfunding of the system for implementing court decisions, particularly the absence of efficient budget planning mechanisms for the repayment of the state's obligations under court decisions, is one of the structural causes of the low level of implementation of the European Court of Human Rights rulings in Ukraine in 2019–2020.</w:t>
      </w:r>
      <w:r w:rsidR="002F3E59">
        <w:rPr>
          <w:rFonts w:ascii="Calibri Light" w:hAnsi="Calibri Light" w:cs="Calibri Light"/>
          <w:sz w:val="24"/>
          <w:szCs w:val="24"/>
          <w:lang w:val="uk-UA"/>
        </w:rPr>
        <w:t xml:space="preserve"> </w:t>
      </w:r>
      <w:r w:rsidRPr="00277909">
        <w:rPr>
          <w:rFonts w:ascii="Calibri Light" w:hAnsi="Calibri Light" w:cs="Calibri Light"/>
          <w:sz w:val="24"/>
          <w:szCs w:val="24"/>
          <w:lang w:val="en-GB"/>
        </w:rPr>
        <w:t>As of late 2019, Ukraine had implemented 63.5% of such decisions, while 36.52% remained pending. States performing worse than Ukraine included Moldova (62.3% of cases implemented), Malta (61.6%), Armenia (58%), Albania (58.1%), and Russia (39.01%, with 60.99% pending enforcement). Azerbaijan ranked last, with only 17% of decisions implemented. As of 2024, Ukraine's performance has slightly improved, with 63% of cases resolved and 37% still pending enforcement (see Figure 3).</w:t>
      </w:r>
    </w:p>
    <w:p w:rsidR="006A511E" w:rsidP="00277909" w14:paraId="00E9F15E" w14:textId="77777777">
      <w:pPr>
        <w:spacing w:before="120" w:after="120"/>
        <w:ind w:left="440" w:right="-1" w:hanging="14"/>
        <w:jc w:val="both"/>
        <w:rPr>
          <w:rFonts w:ascii="Calibri Light" w:hAnsi="Calibri Light" w:cs="Calibri Light"/>
          <w:sz w:val="24"/>
          <w:szCs w:val="24"/>
        </w:rPr>
      </w:pPr>
      <w:r>
        <w:rPr>
          <w:rFonts w:ascii="Calibri Light" w:hAnsi="Calibri Light" w:cs="Calibri Light"/>
          <w:noProof/>
          <w:sz w:val="24"/>
          <w:szCs w:val="24"/>
          <w:lang w:val="ru-RU"/>
        </w:rPr>
        <w:object>
          <v:shape id="Диаграмма 770533310" o:spid="_x0000_i1049" type="#_x0000_t75" style="width:415.67pt;height:211.8pt;mso-height-percent:0;mso-width-percent:0;visibility:visible" o:ole="">
            <v:imagedata r:id="rId11" o:title=""/>
            <o:lock v:ext="edit" aspectratio="f"/>
          </v:shape>
          <o:OLEObject Type="Embed" ProgID="Excel.Sheet.8" ShapeID="Диаграмма 770533310" DrawAspect="Content" ObjectID="_1807692029" r:id="rId12"/>
        </w:object>
      </w:r>
    </w:p>
    <w:p w:rsidR="00277909" w:rsidRPr="006A511E" w:rsidP="006A511E" w14:paraId="29DD428C" w14:textId="77777777">
      <w:pPr>
        <w:spacing w:before="120" w:after="120"/>
        <w:ind w:left="440" w:right="-1" w:hanging="14"/>
        <w:jc w:val="center"/>
        <w:rPr>
          <w:rFonts w:ascii="Calibri Light" w:hAnsi="Calibri Light" w:cs="Calibri Light"/>
          <w:i/>
          <w:sz w:val="24"/>
          <w:szCs w:val="24"/>
          <w:lang w:val="en-GB"/>
        </w:rPr>
      </w:pPr>
      <w:r w:rsidRPr="006A511E">
        <w:rPr>
          <w:rFonts w:ascii="Calibri Light" w:hAnsi="Calibri Light" w:cs="Calibri Light"/>
          <w:b/>
          <w:bCs/>
          <w:i/>
          <w:sz w:val="24"/>
          <w:szCs w:val="24"/>
          <w:lang w:val="en-GB"/>
        </w:rPr>
        <w:t xml:space="preserve">Figure 3. </w:t>
      </w:r>
      <w:r w:rsidRPr="006A511E">
        <w:rPr>
          <w:rFonts w:ascii="Calibri Light" w:hAnsi="Calibri Light" w:cs="Calibri Light"/>
          <w:i/>
          <w:sz w:val="24"/>
          <w:szCs w:val="24"/>
          <w:lang w:val="en-GB"/>
        </w:rPr>
        <w:t xml:space="preserve">Statistics on </w:t>
      </w:r>
      <w:r w:rsidR="006A511E">
        <w:rPr>
          <w:rFonts w:ascii="Calibri Light" w:hAnsi="Calibri Light" w:cs="Calibri Light"/>
          <w:i/>
          <w:sz w:val="24"/>
          <w:szCs w:val="24"/>
          <w:lang w:val="en-GB"/>
        </w:rPr>
        <w:t>N</w:t>
      </w:r>
      <w:r w:rsidRPr="006A511E">
        <w:rPr>
          <w:rFonts w:ascii="Calibri Light" w:hAnsi="Calibri Light" w:cs="Calibri Light"/>
          <w:i/>
          <w:sz w:val="24"/>
          <w:szCs w:val="24"/>
          <w:lang w:val="en-GB"/>
        </w:rPr>
        <w:t>on-</w:t>
      </w:r>
      <w:r w:rsidR="006A511E">
        <w:rPr>
          <w:rFonts w:ascii="Calibri Light" w:hAnsi="Calibri Light" w:cs="Calibri Light"/>
          <w:i/>
          <w:sz w:val="24"/>
          <w:szCs w:val="24"/>
          <w:lang w:val="en-GB"/>
        </w:rPr>
        <w:t>E</w:t>
      </w:r>
      <w:r w:rsidRPr="006A511E">
        <w:rPr>
          <w:rFonts w:ascii="Calibri Light" w:hAnsi="Calibri Light" w:cs="Calibri Light"/>
          <w:i/>
          <w:sz w:val="24"/>
          <w:szCs w:val="24"/>
          <w:lang w:val="en-GB"/>
        </w:rPr>
        <w:t xml:space="preserve">nforcement of European Court of Human Rights </w:t>
      </w:r>
      <w:r w:rsidR="006A511E">
        <w:rPr>
          <w:rFonts w:ascii="Calibri Light" w:hAnsi="Calibri Light" w:cs="Calibri Light"/>
          <w:i/>
          <w:sz w:val="24"/>
          <w:szCs w:val="24"/>
          <w:lang w:val="en-GB"/>
        </w:rPr>
        <w:t>D</w:t>
      </w:r>
      <w:r w:rsidRPr="006A511E">
        <w:rPr>
          <w:rFonts w:ascii="Calibri Light" w:hAnsi="Calibri Light" w:cs="Calibri Light"/>
          <w:i/>
          <w:sz w:val="24"/>
          <w:szCs w:val="24"/>
          <w:lang w:val="en-GB"/>
        </w:rPr>
        <w:t>ecisions</w:t>
      </w:r>
    </w:p>
    <w:p w:rsidR="00277909" w:rsidRPr="006A511E" w:rsidP="006A511E" w14:paraId="284EAC76" w14:textId="77777777">
      <w:pPr>
        <w:spacing w:before="120" w:after="120"/>
        <w:ind w:left="440" w:right="-1" w:hanging="14"/>
        <w:jc w:val="center"/>
        <w:rPr>
          <w:rFonts w:ascii="Calibri Light" w:hAnsi="Calibri Light" w:cs="Calibri Light"/>
          <w:i/>
          <w:sz w:val="24"/>
          <w:szCs w:val="24"/>
          <w:lang w:val="en-GB"/>
        </w:rPr>
      </w:pPr>
      <w:r w:rsidRPr="006A511E">
        <w:rPr>
          <w:rFonts w:ascii="Calibri Light" w:hAnsi="Calibri Light" w:cs="Calibri Light"/>
          <w:i/>
          <w:sz w:val="24"/>
          <w:szCs w:val="24"/>
          <w:lang w:val="en-GB"/>
        </w:rPr>
        <w:t>Source: [18].</w:t>
      </w:r>
    </w:p>
    <w:p w:rsidR="002F3E59" w:rsidRPr="002F3E59" w:rsidP="00277909" w14:paraId="77E3D0CB" w14:textId="6C14045F">
      <w:pPr>
        <w:spacing w:before="120" w:after="120"/>
        <w:ind w:left="440" w:right="-1" w:hanging="14"/>
        <w:jc w:val="both"/>
        <w:rPr>
          <w:rFonts w:ascii="Calibri Light" w:hAnsi="Calibri Light" w:cs="Calibri Light"/>
          <w:i/>
          <w:iCs/>
          <w:sz w:val="24"/>
          <w:szCs w:val="24"/>
          <w:lang w:val="uk-UA"/>
        </w:rPr>
      </w:pPr>
      <w:r w:rsidRPr="002F3E59">
        <w:rPr>
          <w:rFonts w:ascii="Calibri Light" w:hAnsi="Calibri Light" w:cs="Calibri Light"/>
          <w:i/>
          <w:iCs/>
          <w:sz w:val="24"/>
          <w:szCs w:val="24"/>
          <w:highlight w:val="yellow"/>
          <w:lang w:val="uk-UA"/>
        </w:rPr>
        <w:t>Institutional</w:t>
      </w:r>
      <w:r w:rsidRPr="002F3E59">
        <w:rPr>
          <w:rFonts w:ascii="Calibri Light" w:hAnsi="Calibri Light" w:cs="Calibri Light"/>
          <w:i/>
          <w:iCs/>
          <w:sz w:val="24"/>
          <w:szCs w:val="24"/>
          <w:highlight w:val="yellow"/>
          <w:lang w:val="uk-UA"/>
        </w:rPr>
        <w:t xml:space="preserve"> </w:t>
      </w:r>
      <w:r w:rsidRPr="002F3E59">
        <w:rPr>
          <w:rFonts w:ascii="Calibri Light" w:hAnsi="Calibri Light" w:cs="Calibri Light"/>
          <w:i/>
          <w:iCs/>
          <w:sz w:val="24"/>
          <w:szCs w:val="24"/>
          <w:highlight w:val="yellow"/>
          <w:lang w:val="uk-UA"/>
        </w:rPr>
        <w:t>barriers</w:t>
      </w:r>
      <w:r w:rsidRPr="002F3E59">
        <w:rPr>
          <w:rFonts w:ascii="Calibri Light" w:hAnsi="Calibri Light" w:cs="Calibri Light"/>
          <w:i/>
          <w:iCs/>
          <w:sz w:val="24"/>
          <w:szCs w:val="24"/>
          <w:highlight w:val="yellow"/>
          <w:lang w:val="uk-UA"/>
        </w:rPr>
        <w:t xml:space="preserve"> </w:t>
      </w:r>
      <w:r w:rsidRPr="002F3E59">
        <w:rPr>
          <w:rFonts w:ascii="Calibri Light" w:hAnsi="Calibri Light" w:cs="Calibri Light"/>
          <w:i/>
          <w:iCs/>
          <w:sz w:val="24"/>
          <w:szCs w:val="24"/>
          <w:highlight w:val="yellow"/>
          <w:lang w:val="uk-UA"/>
        </w:rPr>
        <w:t>and</w:t>
      </w:r>
      <w:r w:rsidRPr="002F3E59">
        <w:rPr>
          <w:rFonts w:ascii="Calibri Light" w:hAnsi="Calibri Light" w:cs="Calibri Light"/>
          <w:i/>
          <w:iCs/>
          <w:sz w:val="24"/>
          <w:szCs w:val="24"/>
          <w:highlight w:val="yellow"/>
          <w:lang w:val="uk-UA"/>
        </w:rPr>
        <w:t xml:space="preserve"> </w:t>
      </w:r>
      <w:r w:rsidRPr="002F3E59">
        <w:rPr>
          <w:rFonts w:ascii="Calibri Light" w:hAnsi="Calibri Light" w:cs="Calibri Light"/>
          <w:i/>
          <w:iCs/>
          <w:sz w:val="24"/>
          <w:szCs w:val="24"/>
          <w:highlight w:val="yellow"/>
          <w:lang w:val="uk-UA"/>
        </w:rPr>
        <w:t>digital</w:t>
      </w:r>
      <w:r w:rsidRPr="002F3E59">
        <w:rPr>
          <w:rFonts w:ascii="Calibri Light" w:hAnsi="Calibri Light" w:cs="Calibri Light"/>
          <w:i/>
          <w:iCs/>
          <w:sz w:val="24"/>
          <w:szCs w:val="24"/>
          <w:highlight w:val="yellow"/>
          <w:lang w:val="uk-UA"/>
        </w:rPr>
        <w:t xml:space="preserve"> </w:t>
      </w:r>
      <w:r w:rsidRPr="002F3E59">
        <w:rPr>
          <w:rFonts w:ascii="Calibri Light" w:hAnsi="Calibri Light" w:cs="Calibri Light"/>
          <w:i/>
          <w:iCs/>
          <w:sz w:val="24"/>
          <w:szCs w:val="24"/>
          <w:highlight w:val="yellow"/>
          <w:lang w:val="uk-UA"/>
        </w:rPr>
        <w:t>challenges</w:t>
      </w:r>
      <w:r w:rsidRPr="002F3E59">
        <w:rPr>
          <w:rFonts w:ascii="Calibri Light" w:hAnsi="Calibri Light" w:cs="Calibri Light"/>
          <w:i/>
          <w:iCs/>
          <w:sz w:val="24"/>
          <w:szCs w:val="24"/>
          <w:highlight w:val="yellow"/>
          <w:lang w:val="uk-UA"/>
        </w:rPr>
        <w:t xml:space="preserve"> </w:t>
      </w:r>
      <w:r w:rsidRPr="002F3E59">
        <w:rPr>
          <w:rFonts w:ascii="Calibri Light" w:hAnsi="Calibri Light" w:cs="Calibri Light"/>
          <w:i/>
          <w:iCs/>
          <w:sz w:val="24"/>
          <w:szCs w:val="24"/>
          <w:highlight w:val="yellow"/>
          <w:lang w:val="uk-UA"/>
        </w:rPr>
        <w:t>in</w:t>
      </w:r>
      <w:r w:rsidRPr="002F3E59">
        <w:rPr>
          <w:rFonts w:ascii="Calibri Light" w:hAnsi="Calibri Light" w:cs="Calibri Light"/>
          <w:i/>
          <w:iCs/>
          <w:sz w:val="24"/>
          <w:szCs w:val="24"/>
          <w:highlight w:val="yellow"/>
          <w:lang w:val="uk-UA"/>
        </w:rPr>
        <w:t xml:space="preserve"> </w:t>
      </w:r>
      <w:r w:rsidRPr="002F3E59">
        <w:rPr>
          <w:rFonts w:ascii="Calibri Light" w:hAnsi="Calibri Light" w:cs="Calibri Light"/>
          <w:i/>
          <w:iCs/>
          <w:sz w:val="24"/>
          <w:szCs w:val="24"/>
          <w:highlight w:val="yellow"/>
          <w:lang w:val="uk-UA"/>
        </w:rPr>
        <w:t>the</w:t>
      </w:r>
      <w:r w:rsidRPr="002F3E59">
        <w:rPr>
          <w:rFonts w:ascii="Calibri Light" w:hAnsi="Calibri Light" w:cs="Calibri Light"/>
          <w:i/>
          <w:iCs/>
          <w:sz w:val="24"/>
          <w:szCs w:val="24"/>
          <w:highlight w:val="yellow"/>
          <w:lang w:val="uk-UA"/>
        </w:rPr>
        <w:t xml:space="preserve"> </w:t>
      </w:r>
      <w:r w:rsidRPr="002F3E59">
        <w:rPr>
          <w:rFonts w:ascii="Calibri Light" w:hAnsi="Calibri Light" w:cs="Calibri Light"/>
          <w:i/>
          <w:iCs/>
          <w:sz w:val="24"/>
          <w:szCs w:val="24"/>
          <w:highlight w:val="yellow"/>
          <w:lang w:val="uk-UA"/>
        </w:rPr>
        <w:t>implementation</w:t>
      </w:r>
      <w:r w:rsidRPr="002F3E59">
        <w:rPr>
          <w:rFonts w:ascii="Calibri Light" w:hAnsi="Calibri Light" w:cs="Calibri Light"/>
          <w:i/>
          <w:iCs/>
          <w:sz w:val="24"/>
          <w:szCs w:val="24"/>
          <w:highlight w:val="yellow"/>
          <w:lang w:val="uk-UA"/>
        </w:rPr>
        <w:t xml:space="preserve"> </w:t>
      </w:r>
      <w:r w:rsidRPr="002F3E59">
        <w:rPr>
          <w:rFonts w:ascii="Calibri Light" w:hAnsi="Calibri Light" w:cs="Calibri Light"/>
          <w:i/>
          <w:iCs/>
          <w:sz w:val="24"/>
          <w:szCs w:val="24"/>
          <w:highlight w:val="yellow"/>
          <w:lang w:val="uk-UA"/>
        </w:rPr>
        <w:t>of</w:t>
      </w:r>
      <w:r w:rsidRPr="002F3E59">
        <w:rPr>
          <w:rFonts w:ascii="Calibri Light" w:hAnsi="Calibri Light" w:cs="Calibri Light"/>
          <w:i/>
          <w:iCs/>
          <w:sz w:val="24"/>
          <w:szCs w:val="24"/>
          <w:highlight w:val="yellow"/>
          <w:lang w:val="uk-UA"/>
        </w:rPr>
        <w:t xml:space="preserve"> </w:t>
      </w:r>
      <w:r w:rsidRPr="002F3E59">
        <w:rPr>
          <w:rFonts w:ascii="Calibri Light" w:hAnsi="Calibri Light" w:cs="Calibri Light"/>
          <w:i/>
          <w:iCs/>
          <w:sz w:val="24"/>
          <w:szCs w:val="24"/>
          <w:highlight w:val="yellow"/>
          <w:lang w:val="uk-UA"/>
        </w:rPr>
        <w:t>court</w:t>
      </w:r>
      <w:r w:rsidRPr="002F3E59">
        <w:rPr>
          <w:rFonts w:ascii="Calibri Light" w:hAnsi="Calibri Light" w:cs="Calibri Light"/>
          <w:i/>
          <w:iCs/>
          <w:sz w:val="24"/>
          <w:szCs w:val="24"/>
          <w:highlight w:val="yellow"/>
          <w:lang w:val="uk-UA"/>
        </w:rPr>
        <w:t xml:space="preserve"> </w:t>
      </w:r>
      <w:r w:rsidRPr="002F3E59">
        <w:rPr>
          <w:rFonts w:ascii="Calibri Light" w:hAnsi="Calibri Light" w:cs="Calibri Light"/>
          <w:i/>
          <w:iCs/>
          <w:sz w:val="24"/>
          <w:szCs w:val="24"/>
          <w:highlight w:val="yellow"/>
          <w:lang w:val="uk-UA"/>
        </w:rPr>
        <w:t>decisions</w:t>
      </w:r>
      <w:r w:rsidRPr="002F3E59">
        <w:rPr>
          <w:rFonts w:ascii="Calibri Light" w:hAnsi="Calibri Light" w:cs="Calibri Light"/>
          <w:i/>
          <w:iCs/>
          <w:sz w:val="24"/>
          <w:szCs w:val="24"/>
          <w:highlight w:val="yellow"/>
          <w:lang w:val="uk-UA"/>
        </w:rPr>
        <w:t xml:space="preserve"> </w:t>
      </w:r>
      <w:r w:rsidRPr="002F3E59">
        <w:rPr>
          <w:rFonts w:ascii="Calibri Light" w:hAnsi="Calibri Light" w:cs="Calibri Light"/>
          <w:i/>
          <w:iCs/>
          <w:sz w:val="24"/>
          <w:szCs w:val="24"/>
          <w:highlight w:val="yellow"/>
          <w:lang w:val="uk-UA"/>
        </w:rPr>
        <w:t>in</w:t>
      </w:r>
      <w:r w:rsidRPr="002F3E59">
        <w:rPr>
          <w:rFonts w:ascii="Calibri Light" w:hAnsi="Calibri Light" w:cs="Calibri Light"/>
          <w:i/>
          <w:iCs/>
          <w:sz w:val="24"/>
          <w:szCs w:val="24"/>
          <w:highlight w:val="yellow"/>
          <w:lang w:val="uk-UA"/>
        </w:rPr>
        <w:t xml:space="preserve"> </w:t>
      </w:r>
      <w:r w:rsidRPr="002F3E59">
        <w:rPr>
          <w:rFonts w:ascii="Calibri Light" w:hAnsi="Calibri Light" w:cs="Calibri Light"/>
          <w:i/>
          <w:iCs/>
          <w:sz w:val="24"/>
          <w:szCs w:val="24"/>
          <w:highlight w:val="yellow"/>
          <w:lang w:val="uk-UA"/>
        </w:rPr>
        <w:t>Ukraine</w:t>
      </w:r>
    </w:p>
    <w:p w:rsidR="00277909" w:rsidRPr="00277909" w:rsidP="00BB5A3B" w14:paraId="6D3AE14D" w14:textId="6395EB44">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According to the observations of international legal institutions (European Court of Human Rights, Venice Commission, Council of Europe), there are significant barriers to the implementation of judicial decisions, as frequent changes in the legislative framework introduce a certain level of chaos into the work of the executive service, creating opportunities for abuse or the emergence of legal conflicts. </w:t>
      </w:r>
      <w:r w:rsidRPr="00BB5A3B" w:rsidR="00BB5A3B">
        <w:rPr>
          <w:rFonts w:ascii="Calibri Light" w:hAnsi="Calibri Light" w:cs="Calibri Light"/>
          <w:sz w:val="24"/>
          <w:szCs w:val="24"/>
          <w:highlight w:val="yellow"/>
          <w:lang w:val="en-GB"/>
        </w:rPr>
        <w:t xml:space="preserve">For instance, the process for enforcing decisions has become unstable due to </w:t>
      </w:r>
      <w:r w:rsidR="00D762C2">
        <w:rPr>
          <w:rFonts w:ascii="Calibri Light" w:hAnsi="Calibri Light" w:cs="Calibri Light"/>
          <w:sz w:val="24"/>
          <w:szCs w:val="24"/>
          <w:highlight w:val="yellow"/>
          <w:lang w:val="en-GB"/>
        </w:rPr>
        <w:t>specific</w:t>
      </w:r>
      <w:r w:rsidRPr="00BB5A3B" w:rsidR="00BB5A3B">
        <w:rPr>
          <w:rFonts w:ascii="Calibri Light" w:hAnsi="Calibri Light" w:cs="Calibri Light"/>
          <w:sz w:val="24"/>
          <w:szCs w:val="24"/>
          <w:highlight w:val="yellow"/>
          <w:lang w:val="en-GB"/>
        </w:rPr>
        <w:t xml:space="preserve"> revisions to the Law of Ukraine "On Enforcement Proceedings" (the most recent major reform was dated December 15, 2021), particularly about the extent of the authority of state and private enforcement officers.</w:t>
      </w:r>
      <w:r w:rsidR="00BB5A3B">
        <w:rPr>
          <w:rFonts w:ascii="Calibri Light" w:hAnsi="Calibri Light" w:cs="Calibri Light"/>
          <w:sz w:val="24"/>
          <w:szCs w:val="24"/>
          <w:lang w:val="uk-UA"/>
        </w:rPr>
        <w:t xml:space="preserve"> </w:t>
      </w:r>
      <w:r w:rsidRPr="00277909">
        <w:rPr>
          <w:rFonts w:ascii="Calibri Light" w:hAnsi="Calibri Light" w:cs="Calibri Light"/>
          <w:sz w:val="24"/>
          <w:szCs w:val="24"/>
          <w:lang w:val="en-GB"/>
        </w:rPr>
        <w:t>This situation, in general, does not contribute to fostering trust in the judicial system in Ukraine. Issues also arise from the process of adhering to budgetary discipline, under which the reimbursement of court-ordered expenses is carried out. A fundamental problem is the lack of funds to execute court decisions (for instance, the inability of a debtor to fulfil their obligations) [19]. Experts have suggested adopting a restructuring plan for payments (primarily concerning ECHR decisions)</w:t>
      </w:r>
      <w:r w:rsidR="00D762C2">
        <w:rPr>
          <w:rFonts w:ascii="Calibri Light" w:hAnsi="Calibri Light" w:cs="Calibri Light"/>
          <w:sz w:val="24"/>
          <w:szCs w:val="24"/>
          <w:lang w:val="en-GB"/>
        </w:rPr>
        <w:t>,</w:t>
      </w:r>
      <w:r w:rsidRPr="00277909">
        <w:rPr>
          <w:rFonts w:ascii="Calibri Light" w:hAnsi="Calibri Light" w:cs="Calibri Light"/>
          <w:sz w:val="24"/>
          <w:szCs w:val="24"/>
          <w:lang w:val="en-GB"/>
        </w:rPr>
        <w:t xml:space="preserve"> and transitioning to gradual debt repayment is an appropriate solution. This may require adopting government programmes that guarantee a certain percentage of reimbursement, including through the issuance of treasury bills. A significant step towards simplifying the enforcement of judicial decisions could be </w:t>
      </w:r>
      <w:r w:rsidR="007C7AE9">
        <w:rPr>
          <w:rFonts w:ascii="Calibri Light" w:hAnsi="Calibri Light" w:cs="Calibri Light"/>
          <w:sz w:val="24"/>
          <w:szCs w:val="24"/>
          <w:lang w:val="en-GB"/>
        </w:rPr>
        <w:t>creating</w:t>
      </w:r>
      <w:r w:rsidRPr="00277909">
        <w:rPr>
          <w:rFonts w:ascii="Calibri Light" w:hAnsi="Calibri Light" w:cs="Calibri Light"/>
          <w:sz w:val="24"/>
          <w:szCs w:val="24"/>
          <w:lang w:val="en-GB"/>
        </w:rPr>
        <w:t xml:space="preserve"> a unified database for judicial decision enforcement, which would greatly ease access for bailiffs in implementing the material components of court rulings [20; 21]. Among potential mechanisms is a simplified, automated decision enforcement system. However, there are some reservations regarding this. The automated enforcement system is currently operational and is used to register relevant actions between bailiffs, divide cases among various state executors, and monitor deadlines and account statuses involved in executing decisions. Its minimal interaction with other state registers is a weak point in its operation. For example, the State Register of Civil Status Acts of Ukrainian citizens, the </w:t>
      </w:r>
      <w:r w:rsidRPr="00277909">
        <w:rPr>
          <w:rFonts w:ascii="Calibri Light" w:hAnsi="Calibri Light" w:cs="Calibri Light"/>
          <w:sz w:val="24"/>
          <w:szCs w:val="24"/>
          <w:lang w:val="en-GB"/>
        </w:rPr>
        <w:t>Unified State Register of Legal Entities and Individual Entrepreneurs, and other essential registers do not interact with this system. First and foremost, it would be beneficial to establish functional links between the Automated Enforcement System and the Unified State Register of Court Decisions [22; 23]. The next step should be connecting data from various databases regarding the accounts of individuals and legal entities, though this remains a distant prospect.</w:t>
      </w:r>
    </w:p>
    <w:p w:rsidR="00277909" w:rsidP="00277909" w14:paraId="06E23289" w14:textId="31A9EBF4">
      <w:pPr>
        <w:spacing w:before="120" w:after="120"/>
        <w:ind w:left="440" w:right="-1" w:hanging="14"/>
        <w:jc w:val="both"/>
        <w:rPr>
          <w:rFonts w:ascii="Calibri Light" w:hAnsi="Calibri Light" w:cs="Calibri Light"/>
          <w:sz w:val="24"/>
          <w:szCs w:val="24"/>
          <w:lang w:val="uk-UA"/>
        </w:rPr>
      </w:pPr>
      <w:r w:rsidRPr="00277909">
        <w:rPr>
          <w:rFonts w:ascii="Calibri Light" w:hAnsi="Calibri Light" w:cs="Calibri Light"/>
          <w:sz w:val="24"/>
          <w:szCs w:val="24"/>
          <w:lang w:val="en-GB"/>
        </w:rPr>
        <w:t>The practical implementation of automated management systems also directly depends on a well-established cybersecurity environment. This process is especially relevant in wartime since the vulnerability of such systems poses a threat not only to the functioning of enterprises but also to national security. Recent practice shows that hacker attacks on APCS have already led to their hacking. This made it difficult for executors to work and access important information</w:t>
      </w:r>
      <w:r w:rsidR="007C7AE9">
        <w:rPr>
          <w:rFonts w:ascii="Calibri Light" w:hAnsi="Calibri Light" w:cs="Calibri Light"/>
          <w:sz w:val="24"/>
          <w:szCs w:val="24"/>
          <w:lang w:val="en-GB"/>
        </w:rPr>
        <w:t>, documents, and the scope of enforcement proceedings</w:t>
      </w:r>
      <w:r w:rsidRPr="00277909">
        <w:rPr>
          <w:rFonts w:ascii="Calibri Light" w:hAnsi="Calibri Light" w:cs="Calibri Light"/>
          <w:sz w:val="24"/>
          <w:szCs w:val="24"/>
          <w:lang w:val="en-GB"/>
        </w:rPr>
        <w:t>. This situation emphasises the need for such actions as strengthening data protection (ensuring secure storage and transmission of information to prevent attackers from accessing enforcement documents), creating backup copies (to restore systems after a hack quickly), forming clear protocols for responding to cyber incidents (will help minimise the consequences of attacks), introducing modern cyber protection technologies and training personnel. Thus, protecting automated management systems in wartime is not just a technical task but also a strategic mechanism that requires attention from the state.</w:t>
      </w:r>
    </w:p>
    <w:p w:rsidR="00277909" w:rsidP="00277909" w14:paraId="2EB96EB0" w14:textId="11AB69FF">
      <w:pPr>
        <w:spacing w:before="120" w:after="120"/>
        <w:ind w:left="440" w:right="-1" w:hanging="14"/>
        <w:jc w:val="both"/>
        <w:rPr>
          <w:rFonts w:ascii="Calibri Light" w:hAnsi="Calibri Light" w:cs="Calibri Light"/>
          <w:sz w:val="24"/>
          <w:szCs w:val="24"/>
          <w:lang w:val="uk-UA"/>
        </w:rPr>
      </w:pPr>
      <w:r w:rsidRPr="00277909">
        <w:rPr>
          <w:rFonts w:ascii="Calibri Light" w:hAnsi="Calibri Light" w:cs="Calibri Light"/>
          <w:sz w:val="24"/>
          <w:szCs w:val="24"/>
          <w:lang w:val="en-GB"/>
        </w:rPr>
        <w:t>Russian aggression against Ukraine has exacerbated the accumulation of economic issues. The inability to enforce court decisions due to a lack of financial resources often leads to unresolved court rulings [18]. This includes the operation of moratoriums on disposing of state-owned enterprises' assets with debts from court decisions (including those where the state holds more than 25% ownership). The continued operation of such moratoriums has led to situations where, although the state did not hold a controlling stake in an enterprise, the state's share exceeded 25%, making the enforcement of court decisions within the framework of executive proceedings impossible. As a result, a backlog of cases developed, and it was impossible to implement claimants' rights, even if a court ruling supported them. The struggle against such moratoriums has not been sufficiently compelling. Some proposed mechanisms involved the engagement of the State Treasury Service of Ukraine (in cases concerning the enforcement of decisions regarding state-owned enterprises' debts or obligations). When insufficient funds were in the enterprise's accounts, financial resources were drawn from specific expenditure articles in the state budget for those years [24]. These withdrawals were accounted for as expenditures in the State Budget. As a result of the withdrawals, an inspection of the enterprise's operations was conducted, and the findings were forwarded to fiscal or law enforcement agencies (if serious violations were detected). However, chronic shortages of funds in the State Budget made it impossible to carry out the planned payments. Corruption and the ineffective use of resources prevented an effective response to abuses by state enterprise managers. Possible solutions to this situation could include the gradual privatisation of state enterprises, reducing state ownership, and abandoning the policy of moratoriums.</w:t>
      </w:r>
    </w:p>
    <w:p w:rsidR="00277909" w:rsidP="00277909" w14:textId="11AB69FF">
      <w:pPr>
        <w:spacing w:before="120" w:after="120"/>
        <w:ind w:left="440" w:right="-1" w:hanging="14"/>
        <w:jc w:val="both"/>
        <w:rPr>
          <w:rFonts w:ascii="Calibri Light" w:hAnsi="Calibri Light" w:cs="Calibri Light"/>
          <w:sz w:val="24"/>
          <w:szCs w:val="24"/>
          <w:lang w:val="uk-UA"/>
        </w:rPr>
      </w:pPr>
      <w:r w:rsidRPr="00277909">
        <w:rPr>
          <w:rFonts w:ascii="Calibri Light" w:hAnsi="Calibri Light" w:cs="Calibri Light"/>
          <w:sz w:val="24"/>
          <w:szCs w:val="24"/>
          <w:lang w:val="en-GB"/>
        </w:rPr>
        <w:t xml:space="preserve">A significant challenge </w:t>
      </w:r>
      <w:r w:rsidR="00D762C2">
        <w:rPr>
          <w:rFonts w:ascii="Calibri Light" w:hAnsi="Calibri Light" w:cs="Calibri Light"/>
          <w:sz w:val="24"/>
          <w:szCs w:val="24"/>
          <w:lang w:val="en-GB"/>
        </w:rPr>
        <w:t>to</w:t>
      </w:r>
      <w:r w:rsidRPr="00277909">
        <w:rPr>
          <w:rFonts w:ascii="Calibri Light" w:hAnsi="Calibri Light" w:cs="Calibri Light"/>
          <w:sz w:val="24"/>
          <w:szCs w:val="24"/>
          <w:lang w:val="en-GB"/>
        </w:rPr>
        <w:t xml:space="preserve"> enforcing judicial decisions in Ukraine is the disproportionate number of state and private bailiffs. Ukraine operates a mixed system of decision enforcement. This system could be effective if there were approximately equal numbers </w:t>
      </w:r>
      <w:r w:rsidRPr="00277909">
        <w:rPr>
          <w:rFonts w:ascii="Calibri Light" w:hAnsi="Calibri Light" w:cs="Calibri Light"/>
          <w:sz w:val="24"/>
          <w:szCs w:val="24"/>
          <w:lang w:val="en-GB"/>
        </w:rPr>
        <w:t>of private and state bailiffs</w:t>
      </w:r>
      <w:r w:rsidR="006D7856">
        <w:rPr>
          <w:rFonts w:ascii="Calibri Light" w:hAnsi="Calibri Light" w:cs="Calibri Light"/>
          <w:sz w:val="24"/>
          <w:szCs w:val="24"/>
          <w:lang w:val="uk-UA"/>
        </w:rPr>
        <w:t xml:space="preserve"> </w:t>
      </w:r>
      <w:r w:rsidRPr="006D7856" w:rsidR="006D7856">
        <w:rPr>
          <w:rFonts w:ascii="Calibri Light" w:hAnsi="Calibri Light" w:cs="Calibri Light"/>
          <w:sz w:val="24"/>
          <w:szCs w:val="24"/>
          <w:highlight w:val="yellow"/>
          <w:lang w:val="uk-UA"/>
        </w:rPr>
        <w:t>(</w:t>
      </w:r>
      <w:r w:rsidRPr="006D7856" w:rsidR="006D7856">
        <w:rPr>
          <w:rFonts w:ascii="Calibri Light" w:hAnsi="Calibri Light" w:cs="Calibri Light"/>
          <w:sz w:val="24"/>
          <w:szCs w:val="24"/>
          <w:highlight w:val="yellow"/>
          <w:lang w:val="en-GB"/>
        </w:rPr>
        <w:t>a</w:t>
      </w:r>
      <w:r w:rsidRPr="006D7856" w:rsidR="006D7856">
        <w:rPr>
          <w:rFonts w:ascii="Calibri Light" w:hAnsi="Calibri Light" w:cs="Calibri Light"/>
          <w:sz w:val="24"/>
          <w:szCs w:val="24"/>
          <w:highlight w:val="yellow"/>
          <w:lang w:val="uk-UA"/>
        </w:rPr>
        <w:t xml:space="preserve">s </w:t>
      </w:r>
      <w:r w:rsidRPr="006D7856" w:rsidR="006D7856">
        <w:rPr>
          <w:rFonts w:ascii="Calibri Light" w:hAnsi="Calibri Light" w:cs="Calibri Light"/>
          <w:sz w:val="24"/>
          <w:szCs w:val="24"/>
          <w:highlight w:val="yellow"/>
          <w:lang w:val="uk-UA"/>
        </w:rPr>
        <w:t>of</w:t>
      </w:r>
      <w:r w:rsidRPr="006D7856" w:rsidR="006D7856">
        <w:rPr>
          <w:rFonts w:ascii="Calibri Light" w:hAnsi="Calibri Light" w:cs="Calibri Light"/>
          <w:sz w:val="24"/>
          <w:szCs w:val="24"/>
          <w:highlight w:val="yellow"/>
          <w:lang w:val="uk-UA"/>
        </w:rPr>
        <w:t xml:space="preserve"> 2020, </w:t>
      </w:r>
      <w:r w:rsidRPr="006D7856" w:rsidR="006D7856">
        <w:rPr>
          <w:rFonts w:ascii="Calibri Light" w:hAnsi="Calibri Light" w:cs="Calibri Light"/>
          <w:sz w:val="24"/>
          <w:szCs w:val="24"/>
          <w:highlight w:val="yellow"/>
          <w:lang w:val="uk-UA"/>
        </w:rPr>
        <w:t>the</w:t>
      </w:r>
      <w:r w:rsidRPr="006D7856" w:rsidR="006D7856">
        <w:rPr>
          <w:rFonts w:ascii="Calibri Light" w:hAnsi="Calibri Light" w:cs="Calibri Light"/>
          <w:sz w:val="24"/>
          <w:szCs w:val="24"/>
          <w:highlight w:val="yellow"/>
          <w:lang w:val="uk-UA"/>
        </w:rPr>
        <w:t xml:space="preserve"> </w:t>
      </w:r>
      <w:r w:rsidRPr="006D7856" w:rsidR="006D7856">
        <w:rPr>
          <w:rFonts w:ascii="Calibri Light" w:hAnsi="Calibri Light" w:cs="Calibri Light"/>
          <w:sz w:val="24"/>
          <w:szCs w:val="24"/>
          <w:highlight w:val="yellow"/>
          <w:lang w:val="uk-UA"/>
        </w:rPr>
        <w:t>actual</w:t>
      </w:r>
      <w:r w:rsidRPr="006D7856" w:rsidR="006D7856">
        <w:rPr>
          <w:rFonts w:ascii="Calibri Light" w:hAnsi="Calibri Light" w:cs="Calibri Light"/>
          <w:sz w:val="24"/>
          <w:szCs w:val="24"/>
          <w:highlight w:val="yellow"/>
          <w:lang w:val="uk-UA"/>
        </w:rPr>
        <w:t xml:space="preserve"> </w:t>
      </w:r>
      <w:r w:rsidRPr="006D7856" w:rsidR="006D7856">
        <w:rPr>
          <w:rFonts w:ascii="Calibri Light" w:hAnsi="Calibri Light" w:cs="Calibri Light"/>
          <w:sz w:val="24"/>
          <w:szCs w:val="24"/>
          <w:highlight w:val="yellow"/>
          <w:lang w:val="uk-UA"/>
        </w:rPr>
        <w:t>number</w:t>
      </w:r>
      <w:r w:rsidRPr="006D7856" w:rsidR="006D7856">
        <w:rPr>
          <w:rFonts w:ascii="Calibri Light" w:hAnsi="Calibri Light" w:cs="Calibri Light"/>
          <w:sz w:val="24"/>
          <w:szCs w:val="24"/>
          <w:highlight w:val="yellow"/>
          <w:lang w:val="uk-UA"/>
        </w:rPr>
        <w:t xml:space="preserve"> </w:t>
      </w:r>
      <w:r w:rsidRPr="006D7856" w:rsidR="006D7856">
        <w:rPr>
          <w:rFonts w:ascii="Calibri Light" w:hAnsi="Calibri Light" w:cs="Calibri Light"/>
          <w:sz w:val="24"/>
          <w:szCs w:val="24"/>
          <w:highlight w:val="yellow"/>
          <w:lang w:val="uk-UA"/>
        </w:rPr>
        <w:t>of</w:t>
      </w:r>
      <w:r w:rsidRPr="006D7856" w:rsidR="006D7856">
        <w:rPr>
          <w:rFonts w:ascii="Calibri Light" w:hAnsi="Calibri Light" w:cs="Calibri Light"/>
          <w:sz w:val="24"/>
          <w:szCs w:val="24"/>
          <w:highlight w:val="yellow"/>
          <w:lang w:val="uk-UA"/>
        </w:rPr>
        <w:t xml:space="preserve"> </w:t>
      </w:r>
      <w:r w:rsidRPr="006D7856" w:rsidR="006D7856">
        <w:rPr>
          <w:rFonts w:ascii="Calibri Light" w:hAnsi="Calibri Light" w:cs="Calibri Light"/>
          <w:sz w:val="24"/>
          <w:szCs w:val="24"/>
          <w:highlight w:val="yellow"/>
          <w:lang w:val="uk-UA"/>
        </w:rPr>
        <w:t>state</w:t>
      </w:r>
      <w:r w:rsidRPr="006D7856" w:rsidR="006D7856">
        <w:rPr>
          <w:rFonts w:ascii="Calibri Light" w:hAnsi="Calibri Light" w:cs="Calibri Light"/>
          <w:sz w:val="24"/>
          <w:szCs w:val="24"/>
          <w:highlight w:val="yellow"/>
          <w:lang w:val="uk-UA"/>
        </w:rPr>
        <w:t xml:space="preserve"> </w:t>
      </w:r>
      <w:r w:rsidRPr="006D7856" w:rsidR="006D7856">
        <w:rPr>
          <w:rFonts w:ascii="Calibri Light" w:hAnsi="Calibri Light" w:cs="Calibri Light"/>
          <w:sz w:val="24"/>
          <w:szCs w:val="24"/>
          <w:highlight w:val="yellow"/>
          <w:lang w:val="en-GB"/>
        </w:rPr>
        <w:t xml:space="preserve">bailiffs </w:t>
      </w:r>
      <w:r w:rsidRPr="006D7856" w:rsidR="006D7856">
        <w:rPr>
          <w:rFonts w:ascii="Calibri Light" w:hAnsi="Calibri Light" w:cs="Calibri Light"/>
          <w:sz w:val="24"/>
          <w:szCs w:val="24"/>
          <w:highlight w:val="yellow"/>
          <w:lang w:val="uk-UA"/>
        </w:rPr>
        <w:t>was</w:t>
      </w:r>
      <w:r w:rsidRPr="006D7856" w:rsidR="006D7856">
        <w:rPr>
          <w:rFonts w:ascii="Calibri Light" w:hAnsi="Calibri Light" w:cs="Calibri Light"/>
          <w:sz w:val="24"/>
          <w:szCs w:val="24"/>
          <w:highlight w:val="yellow"/>
          <w:lang w:val="uk-UA"/>
        </w:rPr>
        <w:t xml:space="preserve"> 4,411, </w:t>
      </w:r>
      <w:r w:rsidRPr="006D7856" w:rsidR="006D7856">
        <w:rPr>
          <w:rFonts w:ascii="Calibri Light" w:hAnsi="Calibri Light" w:cs="Calibri Light"/>
          <w:sz w:val="24"/>
          <w:szCs w:val="24"/>
          <w:highlight w:val="yellow"/>
          <w:lang w:val="uk-UA"/>
        </w:rPr>
        <w:t>and</w:t>
      </w:r>
      <w:r w:rsidRPr="006D7856" w:rsidR="006D7856">
        <w:rPr>
          <w:rFonts w:ascii="Calibri Light" w:hAnsi="Calibri Light" w:cs="Calibri Light"/>
          <w:sz w:val="24"/>
          <w:szCs w:val="24"/>
          <w:highlight w:val="yellow"/>
          <w:lang w:val="uk-UA"/>
        </w:rPr>
        <w:t xml:space="preserve"> </w:t>
      </w:r>
      <w:r w:rsidRPr="006D7856" w:rsidR="006D7856">
        <w:rPr>
          <w:rFonts w:ascii="Calibri Light" w:hAnsi="Calibri Light" w:cs="Calibri Light"/>
          <w:sz w:val="24"/>
          <w:szCs w:val="24"/>
          <w:highlight w:val="yellow"/>
          <w:lang w:val="uk-UA"/>
        </w:rPr>
        <w:t>private</w:t>
      </w:r>
      <w:r w:rsidRPr="006D7856" w:rsidR="006D7856">
        <w:rPr>
          <w:rFonts w:ascii="Calibri Light" w:hAnsi="Calibri Light" w:cs="Calibri Light"/>
          <w:sz w:val="24"/>
          <w:szCs w:val="24"/>
          <w:highlight w:val="yellow"/>
          <w:lang w:val="uk-UA"/>
        </w:rPr>
        <w:t xml:space="preserve"> </w:t>
      </w:r>
      <w:r w:rsidR="00D762C2">
        <w:rPr>
          <w:rFonts w:ascii="Calibri Light" w:hAnsi="Calibri Light" w:cs="Calibri Light"/>
          <w:sz w:val="24"/>
          <w:szCs w:val="24"/>
          <w:highlight w:val="yellow"/>
          <w:lang w:val="en-GB"/>
        </w:rPr>
        <w:t>bailiffs</w:t>
      </w:r>
      <w:r w:rsidRPr="006D7856" w:rsidR="006D7856">
        <w:rPr>
          <w:rFonts w:ascii="Calibri Light" w:hAnsi="Calibri Light" w:cs="Calibri Light"/>
          <w:sz w:val="24"/>
          <w:szCs w:val="24"/>
          <w:highlight w:val="yellow"/>
          <w:lang w:val="uk-UA"/>
        </w:rPr>
        <w:t xml:space="preserve"> </w:t>
      </w:r>
      <w:r w:rsidRPr="006D7856" w:rsidR="006D7856">
        <w:rPr>
          <w:rFonts w:ascii="Calibri Light" w:hAnsi="Calibri Light" w:cs="Calibri Light"/>
          <w:sz w:val="24"/>
          <w:szCs w:val="24"/>
          <w:highlight w:val="yellow"/>
          <w:lang w:val="uk-UA"/>
        </w:rPr>
        <w:t>were</w:t>
      </w:r>
      <w:r w:rsidRPr="006D7856" w:rsidR="006D7856">
        <w:rPr>
          <w:rFonts w:ascii="Calibri Light" w:hAnsi="Calibri Light" w:cs="Calibri Light"/>
          <w:sz w:val="24"/>
          <w:szCs w:val="24"/>
          <w:highlight w:val="yellow"/>
          <w:lang w:val="uk-UA"/>
        </w:rPr>
        <w:t xml:space="preserve"> 259)</w:t>
      </w:r>
      <w:r w:rsidRPr="00277909">
        <w:rPr>
          <w:rFonts w:ascii="Calibri Light" w:hAnsi="Calibri Light" w:cs="Calibri Light"/>
          <w:sz w:val="24"/>
          <w:szCs w:val="24"/>
          <w:lang w:val="en-GB"/>
        </w:rPr>
        <w:t xml:space="preserve">. At least, in some states (Bulgaria, Georgia, Greece), similar systems have already proven effective under these conditions. However, in the Ukrainian context, such parity does not exist, meaning that state bailiffs, nearly twenty times more numerous, bear the greater responsibility and workload. Excessive bureaucracy in the execution process, difficulties accessing relevant registers and databases, and corruption challenges create conditions for </w:t>
      </w:r>
      <w:r w:rsidR="00D762C2">
        <w:rPr>
          <w:rFonts w:ascii="Calibri Light" w:hAnsi="Calibri Light" w:cs="Calibri Light"/>
          <w:sz w:val="24"/>
          <w:szCs w:val="24"/>
          <w:lang w:val="en-GB"/>
        </w:rPr>
        <w:t>delaying</w:t>
      </w:r>
      <w:r w:rsidRPr="00277909">
        <w:rPr>
          <w:rFonts w:ascii="Calibri Light" w:hAnsi="Calibri Light" w:cs="Calibri Light"/>
          <w:sz w:val="24"/>
          <w:szCs w:val="24"/>
          <w:lang w:val="en-GB"/>
        </w:rPr>
        <w:t xml:space="preserve"> judicial decision enforcement by state bailiffs [25; 26]. Based on the statistics provided and practices in other countries, increasing the effectiveness of the executive service would require the involvement of a </w:t>
      </w:r>
      <w:r w:rsidR="007C7AE9">
        <w:rPr>
          <w:rFonts w:ascii="Calibri Light" w:hAnsi="Calibri Light" w:cs="Calibri Light"/>
          <w:sz w:val="24"/>
          <w:szCs w:val="24"/>
          <w:lang w:val="en-GB"/>
        </w:rPr>
        <w:t>larger</w:t>
      </w:r>
      <w:r w:rsidRPr="00277909">
        <w:rPr>
          <w:rFonts w:ascii="Calibri Light" w:hAnsi="Calibri Light" w:cs="Calibri Light"/>
          <w:sz w:val="24"/>
          <w:szCs w:val="24"/>
          <w:lang w:val="en-GB"/>
        </w:rPr>
        <w:t xml:space="preserve"> number of private bailiffs.</w:t>
      </w:r>
    </w:p>
    <w:p w:rsidR="002F3E59" w:rsidRPr="002F3E59" w:rsidP="00277909" w14:paraId="7D227681" w14:textId="7EA15905">
      <w:pPr>
        <w:spacing w:before="120" w:after="120"/>
        <w:ind w:left="440" w:right="-1" w:hanging="14"/>
        <w:jc w:val="both"/>
        <w:rPr>
          <w:rFonts w:ascii="Calibri Light" w:hAnsi="Calibri Light" w:cs="Calibri Light"/>
          <w:i/>
          <w:iCs/>
          <w:sz w:val="24"/>
          <w:szCs w:val="24"/>
          <w:lang w:val="uk-UA"/>
        </w:rPr>
      </w:pPr>
      <w:r w:rsidRPr="002F3E59">
        <w:rPr>
          <w:rFonts w:ascii="Calibri Light" w:hAnsi="Calibri Light" w:cs="Calibri Light"/>
          <w:i/>
          <w:iCs/>
          <w:sz w:val="24"/>
          <w:szCs w:val="24"/>
          <w:lang w:val="uk-UA"/>
        </w:rPr>
        <w:t>The</w:t>
      </w:r>
      <w:r w:rsidRPr="002F3E59">
        <w:rPr>
          <w:rFonts w:ascii="Calibri Light" w:hAnsi="Calibri Light" w:cs="Calibri Light"/>
          <w:i/>
          <w:iCs/>
          <w:sz w:val="24"/>
          <w:szCs w:val="24"/>
          <w:lang w:val="uk-UA"/>
        </w:rPr>
        <w:t xml:space="preserve"> </w:t>
      </w:r>
      <w:r w:rsidRPr="002F3E59">
        <w:rPr>
          <w:rFonts w:ascii="Calibri Light" w:hAnsi="Calibri Light" w:cs="Calibri Light"/>
          <w:i/>
          <w:iCs/>
          <w:sz w:val="24"/>
          <w:szCs w:val="24"/>
          <w:lang w:val="uk-UA"/>
        </w:rPr>
        <w:t>balance</w:t>
      </w:r>
      <w:r w:rsidRPr="002F3E59">
        <w:rPr>
          <w:rFonts w:ascii="Calibri Light" w:hAnsi="Calibri Light" w:cs="Calibri Light"/>
          <w:i/>
          <w:iCs/>
          <w:sz w:val="24"/>
          <w:szCs w:val="24"/>
          <w:lang w:val="uk-UA"/>
        </w:rPr>
        <w:t xml:space="preserve"> </w:t>
      </w:r>
      <w:r w:rsidRPr="002F3E59">
        <w:rPr>
          <w:rFonts w:ascii="Calibri Light" w:hAnsi="Calibri Light" w:cs="Calibri Light"/>
          <w:i/>
          <w:iCs/>
          <w:sz w:val="24"/>
          <w:szCs w:val="24"/>
          <w:lang w:val="uk-UA"/>
        </w:rPr>
        <w:t>of</w:t>
      </w:r>
      <w:r w:rsidRPr="002F3E59">
        <w:rPr>
          <w:rFonts w:ascii="Calibri Light" w:hAnsi="Calibri Light" w:cs="Calibri Light"/>
          <w:i/>
          <w:iCs/>
          <w:sz w:val="24"/>
          <w:szCs w:val="24"/>
          <w:lang w:val="uk-UA"/>
        </w:rPr>
        <w:t xml:space="preserve"> </w:t>
      </w:r>
      <w:r w:rsidRPr="002F3E59">
        <w:rPr>
          <w:rFonts w:ascii="Calibri Light" w:hAnsi="Calibri Light" w:cs="Calibri Light"/>
          <w:i/>
          <w:iCs/>
          <w:sz w:val="24"/>
          <w:szCs w:val="24"/>
          <w:lang w:val="uk-UA"/>
        </w:rPr>
        <w:t>public</w:t>
      </w:r>
      <w:r w:rsidRPr="002F3E59">
        <w:rPr>
          <w:rFonts w:ascii="Calibri Light" w:hAnsi="Calibri Light" w:cs="Calibri Light"/>
          <w:i/>
          <w:iCs/>
          <w:sz w:val="24"/>
          <w:szCs w:val="24"/>
          <w:lang w:val="uk-UA"/>
        </w:rPr>
        <w:t xml:space="preserve"> </w:t>
      </w:r>
      <w:r w:rsidRPr="002F3E59">
        <w:rPr>
          <w:rFonts w:ascii="Calibri Light" w:hAnsi="Calibri Light" w:cs="Calibri Light"/>
          <w:i/>
          <w:iCs/>
          <w:sz w:val="24"/>
          <w:szCs w:val="24"/>
          <w:lang w:val="uk-UA"/>
        </w:rPr>
        <w:t>and</w:t>
      </w:r>
      <w:r w:rsidRPr="002F3E59">
        <w:rPr>
          <w:rFonts w:ascii="Calibri Light" w:hAnsi="Calibri Light" w:cs="Calibri Light"/>
          <w:i/>
          <w:iCs/>
          <w:sz w:val="24"/>
          <w:szCs w:val="24"/>
          <w:lang w:val="uk-UA"/>
        </w:rPr>
        <w:t xml:space="preserve"> </w:t>
      </w:r>
      <w:r w:rsidRPr="002F3E59">
        <w:rPr>
          <w:rFonts w:ascii="Calibri Light" w:hAnsi="Calibri Light" w:cs="Calibri Light"/>
          <w:i/>
          <w:iCs/>
          <w:sz w:val="24"/>
          <w:szCs w:val="24"/>
          <w:lang w:val="uk-UA"/>
        </w:rPr>
        <w:t>private</w:t>
      </w:r>
      <w:r w:rsidRPr="002F3E59">
        <w:rPr>
          <w:rFonts w:ascii="Calibri Light" w:hAnsi="Calibri Light" w:cs="Calibri Light"/>
          <w:i/>
          <w:iCs/>
          <w:sz w:val="24"/>
          <w:szCs w:val="24"/>
          <w:lang w:val="uk-UA"/>
        </w:rPr>
        <w:t xml:space="preserve"> </w:t>
      </w:r>
      <w:r w:rsidRPr="002F3E59">
        <w:rPr>
          <w:rFonts w:ascii="Calibri Light" w:hAnsi="Calibri Light" w:cs="Calibri Light"/>
          <w:i/>
          <w:iCs/>
          <w:sz w:val="24"/>
          <w:szCs w:val="24"/>
          <w:lang w:val="uk-UA"/>
        </w:rPr>
        <w:t>enforcement</w:t>
      </w:r>
      <w:r w:rsidRPr="002F3E59">
        <w:rPr>
          <w:rFonts w:ascii="Calibri Light" w:hAnsi="Calibri Light" w:cs="Calibri Light"/>
          <w:i/>
          <w:iCs/>
          <w:sz w:val="24"/>
          <w:szCs w:val="24"/>
          <w:lang w:val="uk-UA"/>
        </w:rPr>
        <w:t xml:space="preserve"> </w:t>
      </w:r>
      <w:r w:rsidRPr="002F3E59">
        <w:rPr>
          <w:rFonts w:ascii="Calibri Light" w:hAnsi="Calibri Light" w:cs="Calibri Light"/>
          <w:i/>
          <w:iCs/>
          <w:sz w:val="24"/>
          <w:szCs w:val="24"/>
          <w:lang w:val="uk-UA"/>
        </w:rPr>
        <w:t>of</w:t>
      </w:r>
      <w:r w:rsidRPr="002F3E59">
        <w:rPr>
          <w:rFonts w:ascii="Calibri Light" w:hAnsi="Calibri Light" w:cs="Calibri Light"/>
          <w:i/>
          <w:iCs/>
          <w:sz w:val="24"/>
          <w:szCs w:val="24"/>
          <w:lang w:val="uk-UA"/>
        </w:rPr>
        <w:t xml:space="preserve"> </w:t>
      </w:r>
      <w:r w:rsidRPr="002F3E59">
        <w:rPr>
          <w:rFonts w:ascii="Calibri Light" w:hAnsi="Calibri Light" w:cs="Calibri Light"/>
          <w:i/>
          <w:iCs/>
          <w:sz w:val="24"/>
          <w:szCs w:val="24"/>
          <w:lang w:val="uk-UA"/>
        </w:rPr>
        <w:t>court</w:t>
      </w:r>
      <w:r w:rsidRPr="002F3E59">
        <w:rPr>
          <w:rFonts w:ascii="Calibri Light" w:hAnsi="Calibri Light" w:cs="Calibri Light"/>
          <w:i/>
          <w:iCs/>
          <w:sz w:val="24"/>
          <w:szCs w:val="24"/>
          <w:lang w:val="uk-UA"/>
        </w:rPr>
        <w:t xml:space="preserve"> </w:t>
      </w:r>
      <w:r w:rsidRPr="002F3E59">
        <w:rPr>
          <w:rFonts w:ascii="Calibri Light" w:hAnsi="Calibri Light" w:cs="Calibri Light"/>
          <w:i/>
          <w:iCs/>
          <w:sz w:val="24"/>
          <w:szCs w:val="24"/>
          <w:lang w:val="uk-UA"/>
        </w:rPr>
        <w:t>decisions</w:t>
      </w:r>
      <w:r w:rsidRPr="002F3E59">
        <w:rPr>
          <w:rFonts w:ascii="Calibri Light" w:hAnsi="Calibri Light" w:cs="Calibri Light"/>
          <w:i/>
          <w:iCs/>
          <w:sz w:val="24"/>
          <w:szCs w:val="24"/>
          <w:lang w:val="uk-UA"/>
        </w:rPr>
        <w:t xml:space="preserve">: </w:t>
      </w:r>
      <w:r w:rsidRPr="002F3E59">
        <w:rPr>
          <w:rFonts w:ascii="Calibri Light" w:hAnsi="Calibri Light" w:cs="Calibri Light"/>
          <w:i/>
          <w:iCs/>
          <w:sz w:val="24"/>
          <w:szCs w:val="24"/>
          <w:lang w:val="uk-UA"/>
        </w:rPr>
        <w:t>challenges</w:t>
      </w:r>
      <w:r w:rsidRPr="002F3E59">
        <w:rPr>
          <w:rFonts w:ascii="Calibri Light" w:hAnsi="Calibri Light" w:cs="Calibri Light"/>
          <w:i/>
          <w:iCs/>
          <w:sz w:val="24"/>
          <w:szCs w:val="24"/>
          <w:lang w:val="uk-UA"/>
        </w:rPr>
        <w:t xml:space="preserve"> </w:t>
      </w:r>
      <w:r w:rsidRPr="002F3E59">
        <w:rPr>
          <w:rFonts w:ascii="Calibri Light" w:hAnsi="Calibri Light" w:cs="Calibri Light"/>
          <w:i/>
          <w:iCs/>
          <w:sz w:val="24"/>
          <w:szCs w:val="24"/>
          <w:lang w:val="uk-UA"/>
        </w:rPr>
        <w:t>and</w:t>
      </w:r>
      <w:r w:rsidRPr="002F3E59">
        <w:rPr>
          <w:rFonts w:ascii="Calibri Light" w:hAnsi="Calibri Light" w:cs="Calibri Light"/>
          <w:i/>
          <w:iCs/>
          <w:sz w:val="24"/>
          <w:szCs w:val="24"/>
          <w:lang w:val="uk-UA"/>
        </w:rPr>
        <w:t xml:space="preserve"> </w:t>
      </w:r>
      <w:r w:rsidRPr="002F3E59">
        <w:rPr>
          <w:rFonts w:ascii="Calibri Light" w:hAnsi="Calibri Light" w:cs="Calibri Light"/>
          <w:i/>
          <w:iCs/>
          <w:sz w:val="24"/>
          <w:szCs w:val="24"/>
          <w:lang w:val="uk-UA"/>
        </w:rPr>
        <w:t>prospects</w:t>
      </w:r>
    </w:p>
    <w:p w:rsidR="00277909" w:rsidRPr="00277909" w:rsidP="00277909" w14:paraId="1AD82344" w14:textId="030FEAF7">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At the same time, Ukraine must continue using the mixed system of enforcement proceedings. The presence of state bailiffs should be maintained at a level sufficient to enforce court decisions that, from a commercial perspective, are less attractive for financial compensation for bailiffs, such as decisions in cases involving economically disadvantaged citizens or resolving minor property disputes [27]</w:t>
      </w:r>
      <w:r w:rsidR="004837DE">
        <w:rPr>
          <w:rFonts w:ascii="Calibri Light" w:hAnsi="Calibri Light" w:cs="Calibri Light"/>
          <w:sz w:val="24"/>
          <w:szCs w:val="24"/>
          <w:lang w:val="en-GB"/>
        </w:rPr>
        <w:t>, [28], [29]</w:t>
      </w:r>
      <w:r w:rsidRPr="00277909">
        <w:rPr>
          <w:rFonts w:ascii="Calibri Light" w:hAnsi="Calibri Light" w:cs="Calibri Light"/>
          <w:sz w:val="24"/>
          <w:szCs w:val="24"/>
          <w:lang w:val="en-GB"/>
        </w:rPr>
        <w:t>. There are legislative restrictions concerning the work of private bailiffs. For example, the jurisdiction of state bailiffs includes the enforcement of decisions from the European Court of Human Rights, court decisions against the state (or enterprises and institutions where the state owns at least 25%), as well as court decisions in favour of the state, and so on [30</w:t>
      </w:r>
      <w:r w:rsidR="004837DE">
        <w:rPr>
          <w:rFonts w:ascii="Calibri Light" w:hAnsi="Calibri Light" w:cs="Calibri Light"/>
          <w:sz w:val="24"/>
          <w:szCs w:val="24"/>
          <w:lang w:val="en-GB"/>
        </w:rPr>
        <w:t>-33</w:t>
      </w:r>
      <w:r w:rsidRPr="00277909">
        <w:rPr>
          <w:rFonts w:ascii="Calibri Light" w:hAnsi="Calibri Light" w:cs="Calibri Light"/>
          <w:sz w:val="24"/>
          <w:szCs w:val="24"/>
          <w:lang w:val="en-GB"/>
        </w:rPr>
        <w:t xml:space="preserve">]. These restrictions are unnecessary, as the professionalism of private bailiffs is on par with </w:t>
      </w:r>
      <w:r w:rsidR="007C7AE9">
        <w:rPr>
          <w:rFonts w:ascii="Calibri Light" w:hAnsi="Calibri Light" w:cs="Calibri Light"/>
          <w:sz w:val="24"/>
          <w:szCs w:val="24"/>
          <w:lang w:val="en-GB"/>
        </w:rPr>
        <w:t xml:space="preserve">that of </w:t>
      </w:r>
      <w:r w:rsidRPr="00277909">
        <w:rPr>
          <w:rFonts w:ascii="Calibri Light" w:hAnsi="Calibri Light" w:cs="Calibri Light"/>
          <w:sz w:val="24"/>
          <w:szCs w:val="24"/>
          <w:lang w:val="en-GB"/>
        </w:rPr>
        <w:t>state bailiffs. There are well-founded reasons to believe that if a specialist has completed all the necessary accreditation and training levels, they are sufficiently professional to provide such services. For this reason, there are current and relevant demands to expand the powers of private bailiffs. This approach would help streamline the enforcement of court decisions, facilitating the implementation of rulings in civil proceedings, which would significantly improve the efficiency of the judiciary as a means of protecting human rights.</w:t>
      </w:r>
    </w:p>
    <w:p w:rsidR="00CE2073" w:rsidP="00277909" w14:paraId="753175DF" w14:textId="5A431DCC">
      <w:pPr>
        <w:spacing w:before="120" w:after="120"/>
        <w:ind w:left="440" w:right="-1" w:hanging="14"/>
        <w:jc w:val="both"/>
        <w:rPr>
          <w:rFonts w:ascii="Calibri Light" w:hAnsi="Calibri Light" w:cs="Calibri Light"/>
          <w:sz w:val="24"/>
          <w:szCs w:val="24"/>
          <w:lang w:val="uk-UA"/>
        </w:rPr>
      </w:pPr>
      <w:r w:rsidRPr="00277909">
        <w:rPr>
          <w:rFonts w:ascii="Calibri Light" w:hAnsi="Calibri Light" w:cs="Calibri Light"/>
          <w:sz w:val="24"/>
          <w:szCs w:val="24"/>
          <w:lang w:val="en-GB"/>
        </w:rPr>
        <w:t>An additional issue for the Ukrainian enforcement system is the consideration of court complaints regarding the actions of private or state bailiffs. The defendant's party submits complaints about almost every action the bailiffs take, even disputing basic actions such as directing requests to obtain necessary information about the debtor or their property. As a result, enforcing a court ruling transforms into an additional judicial process, focusing on examining complaints against the bailiff's actions. While filing such complaints does not provide a legal basis for cancelling an effective court ruling, the complaints affect the enforcement process, causing delays. At a minimum, bailiffs must attend additional court hearings, prepare necessary materials, and incur financial costs. In practice, both private and state bailiffs may make occasional errors that need to be addressed in court, but these instances do not constitute a systemic issue and are exceptions to the rule. From this perspective, such complaints against the actions of bailiffs by the party subject to enforcement of the court's decision can be seen as a form of legal abuse. T</w:t>
      </w:r>
      <w:r w:rsidRPr="00CE2073">
        <w:rPr>
          <w:rFonts w:ascii="Calibri Light" w:hAnsi="Calibri Light" w:cs="Calibri Light"/>
          <w:sz w:val="24"/>
          <w:szCs w:val="24"/>
          <w:highlight w:val="yellow"/>
        </w:rPr>
        <w:t xml:space="preserve">his legal issue is not unique to Ukraine. Similar challenges are widely observed in some Asian </w:t>
      </w:r>
      <w:r w:rsidRPr="00CE2073" w:rsidR="0038324A">
        <w:rPr>
          <w:rFonts w:ascii="Calibri Light" w:hAnsi="Calibri Light" w:cs="Calibri Light"/>
          <w:sz w:val="24"/>
          <w:szCs w:val="24"/>
          <w:highlight w:val="yellow"/>
        </w:rPr>
        <w:t xml:space="preserve">and European </w:t>
      </w:r>
      <w:r w:rsidRPr="00CE2073">
        <w:rPr>
          <w:rFonts w:ascii="Calibri Light" w:hAnsi="Calibri Light" w:cs="Calibri Light"/>
          <w:sz w:val="24"/>
          <w:szCs w:val="24"/>
          <w:highlight w:val="yellow"/>
        </w:rPr>
        <w:t>countries</w:t>
      </w:r>
      <w:r w:rsidRPr="00CE2073" w:rsidR="0038324A">
        <w:rPr>
          <w:rFonts w:ascii="Calibri Light" w:hAnsi="Calibri Light" w:cs="Calibri Light"/>
          <w:sz w:val="24"/>
          <w:szCs w:val="24"/>
          <w:highlight w:val="yellow"/>
        </w:rPr>
        <w:t xml:space="preserve">. </w:t>
      </w:r>
      <w:r w:rsidRPr="00CE2073">
        <w:rPr>
          <w:rFonts w:ascii="Calibri Light" w:hAnsi="Calibri Light" w:cs="Calibri Light"/>
          <w:sz w:val="24"/>
          <w:szCs w:val="24"/>
          <w:highlight w:val="yellow"/>
        </w:rPr>
        <w:t xml:space="preserve">The experiences of the European justice system were briefly assessed </w:t>
      </w:r>
      <w:r w:rsidRPr="00CE2073">
        <w:rPr>
          <w:rFonts w:ascii="Calibri Light" w:hAnsi="Calibri Light" w:cs="Calibri Light"/>
          <w:sz w:val="24"/>
          <w:szCs w:val="24"/>
          <w:highlight w:val="yellow"/>
        </w:rPr>
        <w:t xml:space="preserve">by </w:t>
      </w:r>
      <w:r w:rsidRPr="00CE2073">
        <w:rPr>
          <w:rFonts w:ascii="Calibri Light" w:hAnsi="Calibri Light" w:cs="Calibri Light"/>
          <w:sz w:val="24"/>
          <w:szCs w:val="24"/>
          <w:highlight w:val="yellow"/>
        </w:rPr>
        <w:t>Magalhães</w:t>
      </w:r>
      <w:r w:rsidRPr="00CE2073">
        <w:rPr>
          <w:rFonts w:ascii="Calibri Light" w:hAnsi="Calibri Light" w:cs="Calibri Light"/>
          <w:sz w:val="24"/>
          <w:szCs w:val="24"/>
          <w:highlight w:val="yellow"/>
        </w:rPr>
        <w:t xml:space="preserve"> et al. [8], while </w:t>
      </w:r>
      <w:r w:rsidRPr="00CE2073">
        <w:rPr>
          <w:rFonts w:ascii="Calibri Light" w:hAnsi="Calibri Light" w:cs="Calibri Light"/>
          <w:sz w:val="24"/>
          <w:szCs w:val="24"/>
          <w:highlight w:val="yellow"/>
        </w:rPr>
        <w:t>Mappasessu</w:t>
      </w:r>
      <w:r w:rsidRPr="00CE2073">
        <w:rPr>
          <w:rFonts w:ascii="Calibri Light" w:hAnsi="Calibri Light" w:cs="Calibri Light"/>
          <w:sz w:val="24"/>
          <w:szCs w:val="24"/>
          <w:highlight w:val="yellow"/>
        </w:rPr>
        <w:t xml:space="preserve"> (2024) analyzed the role of judicial institutions in ensuring Sharia economic law in Indonesia [3</w:t>
      </w:r>
      <w:r w:rsidR="004837DE">
        <w:rPr>
          <w:rFonts w:ascii="Calibri Light" w:hAnsi="Calibri Light" w:cs="Calibri Light"/>
          <w:sz w:val="24"/>
          <w:szCs w:val="24"/>
          <w:highlight w:val="yellow"/>
        </w:rPr>
        <w:t>4</w:t>
      </w:r>
      <w:r w:rsidRPr="00CE2073">
        <w:rPr>
          <w:rFonts w:ascii="Calibri Light" w:hAnsi="Calibri Light" w:cs="Calibri Light"/>
          <w:sz w:val="24"/>
          <w:szCs w:val="24"/>
          <w:highlight w:val="yellow"/>
        </w:rPr>
        <w:t>].</w:t>
      </w:r>
    </w:p>
    <w:p w:rsidR="002F3E59" w:rsidRPr="002F3E59" w:rsidP="00277909" w14:paraId="0D555F2F" w14:textId="66EF27B9">
      <w:pPr>
        <w:spacing w:before="120" w:after="120"/>
        <w:ind w:left="440" w:right="-1" w:hanging="14"/>
        <w:jc w:val="both"/>
        <w:rPr>
          <w:rFonts w:ascii="Calibri Light" w:hAnsi="Calibri Light" w:cs="Calibri Light"/>
          <w:i/>
          <w:iCs/>
          <w:sz w:val="24"/>
          <w:szCs w:val="24"/>
          <w:lang w:val="en-GB"/>
        </w:rPr>
      </w:pPr>
      <w:r w:rsidRPr="002F3E59">
        <w:rPr>
          <w:rFonts w:ascii="Calibri Light" w:hAnsi="Calibri Light" w:cs="Calibri Light"/>
          <w:i/>
          <w:iCs/>
          <w:sz w:val="24"/>
          <w:szCs w:val="24"/>
          <w:lang w:val="en-GB"/>
        </w:rPr>
        <w:t>Proposals</w:t>
      </w:r>
    </w:p>
    <w:p w:rsidR="00277909" w:rsidRPr="00277909" w:rsidP="00277909" w14:paraId="1D61E762" w14:textId="29CC020D">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We believe the optimal solution </w:t>
      </w:r>
      <w:r w:rsidR="00D762C2">
        <w:rPr>
          <w:rFonts w:ascii="Calibri Light" w:hAnsi="Calibri Light" w:cs="Calibri Light"/>
          <w:sz w:val="24"/>
          <w:szCs w:val="24"/>
          <w:lang w:val="en-GB"/>
        </w:rPr>
        <w:t>is</w:t>
      </w:r>
      <w:r w:rsidRPr="00277909">
        <w:rPr>
          <w:rFonts w:ascii="Calibri Light" w:hAnsi="Calibri Light" w:cs="Calibri Light"/>
          <w:sz w:val="24"/>
          <w:szCs w:val="24"/>
          <w:lang w:val="en-GB"/>
        </w:rPr>
        <w:t xml:space="preserve"> </w:t>
      </w:r>
      <w:r w:rsidR="00D762C2">
        <w:rPr>
          <w:rFonts w:ascii="Calibri Light" w:hAnsi="Calibri Light" w:cs="Calibri Light"/>
          <w:sz w:val="24"/>
          <w:szCs w:val="24"/>
          <w:lang w:val="en-GB"/>
        </w:rPr>
        <w:t>to apply</w:t>
      </w:r>
      <w:r w:rsidRPr="00277909">
        <w:rPr>
          <w:rFonts w:ascii="Calibri Light" w:hAnsi="Calibri Light" w:cs="Calibri Light"/>
          <w:sz w:val="24"/>
          <w:szCs w:val="24"/>
          <w:lang w:val="en-GB"/>
        </w:rPr>
        <w:t xml:space="preserve"> mechanisms such as strengthening court fees as a compensatory tool. This approach could indirectly discourage claimants from submitting groundless claims and motions to the court. Compared to claims, using court fees for complaints about the actions of bailiffs is a viable alternative. This approach should not </w:t>
      </w:r>
      <w:r w:rsidR="00D762C2">
        <w:rPr>
          <w:rFonts w:ascii="Calibri Light" w:hAnsi="Calibri Light" w:cs="Calibri Light"/>
          <w:sz w:val="24"/>
          <w:szCs w:val="24"/>
          <w:lang w:val="en-GB"/>
        </w:rPr>
        <w:t>infringe</w:t>
      </w:r>
      <w:r w:rsidRPr="00277909">
        <w:rPr>
          <w:rFonts w:ascii="Calibri Light" w:hAnsi="Calibri Light" w:cs="Calibri Light"/>
          <w:sz w:val="24"/>
          <w:szCs w:val="24"/>
          <w:lang w:val="en-GB"/>
        </w:rPr>
        <w:t xml:space="preserve"> on an individual's or citizen's right to access justice [32]. Currently, the standards of the European Court of Human Rights, national decisions from courts in European Union member states, and other existing practices do not allow the collection of court fees to be considered a tool for restricting access to justice. We are referring to the use of proportional or differentiated rates, which are economically justified, with exceptions for their application, as well as provisions for deferrals, instalments, or even reductions in the amount owed.</w:t>
      </w:r>
    </w:p>
    <w:p w:rsidR="00277909" w:rsidRPr="00277909" w:rsidP="00277909" w14:paraId="4FF650C6" w14:textId="77777777">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The outlined problems and proposals for improving the effectiveness of enforcement in Ukraine can be summarised (see Table 1) for further academic discussion.</w:t>
      </w:r>
    </w:p>
    <w:p w:rsidR="00277909" w:rsidRPr="00277909" w:rsidP="00277909" w14:paraId="3785A248" w14:textId="77777777">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b/>
          <w:sz w:val="24"/>
          <w:szCs w:val="24"/>
          <w:lang w:val="en-GB"/>
        </w:rPr>
        <w:t>Table 1.</w:t>
      </w:r>
      <w:r w:rsidRPr="00277909">
        <w:rPr>
          <w:rFonts w:ascii="Calibri Light" w:hAnsi="Calibri Light" w:cs="Calibri Light"/>
          <w:sz w:val="24"/>
          <w:szCs w:val="24"/>
          <w:lang w:val="en-GB"/>
        </w:rPr>
        <w:t xml:space="preserve"> Existing Issues and Proposals for Improving the Enforcement of Court Decisions</w:t>
      </w:r>
    </w:p>
    <w:tbl>
      <w:tblPr>
        <w:tblW w:w="8646" w:type="dxa"/>
        <w:tblInd w:w="534" w:type="dxa"/>
        <w:tblBorders>
          <w:top w:val="single" w:sz="4" w:space="0" w:color="auto"/>
          <w:bottom w:val="single" w:sz="4" w:space="0" w:color="auto"/>
          <w:insideH w:val="single" w:sz="4" w:space="0" w:color="auto"/>
        </w:tblBorders>
        <w:tblLayout w:type="fixed"/>
        <w:tblLook w:val="0400"/>
      </w:tblPr>
      <w:tblGrid>
        <w:gridCol w:w="2960"/>
        <w:gridCol w:w="5686"/>
      </w:tblGrid>
      <w:tr w14:paraId="1CF26250" w14:textId="77777777" w:rsidTr="006A511E">
        <w:tblPrEx>
          <w:tblW w:w="8646" w:type="dxa"/>
          <w:tblInd w:w="534" w:type="dxa"/>
          <w:tblLayout w:type="fixed"/>
          <w:tblLook w:val="0400"/>
        </w:tblPrEx>
        <w:tc>
          <w:tcPr>
            <w:tcW w:w="2960" w:type="dxa"/>
            <w:shd w:val="clear" w:color="auto" w:fill="BFBFBF" w:themeFill="background1" w:themeFillShade="BF"/>
          </w:tcPr>
          <w:p w:rsidR="00277909" w:rsidRPr="00277909" w:rsidP="006A511E" w14:paraId="1CAF82A5" w14:textId="77777777">
            <w:pPr>
              <w:jc w:val="both"/>
              <w:rPr>
                <w:rFonts w:ascii="Calibri Light" w:hAnsi="Calibri Light" w:cs="Calibri Light"/>
                <w:b/>
                <w:lang w:val="en-GB"/>
              </w:rPr>
            </w:pPr>
            <w:r w:rsidRPr="00277909">
              <w:rPr>
                <w:rFonts w:ascii="Calibri Light" w:hAnsi="Calibri Light" w:cs="Calibri Light"/>
                <w:b/>
                <w:lang w:val="en-GB"/>
              </w:rPr>
              <w:t>Issue</w:t>
            </w:r>
          </w:p>
        </w:tc>
        <w:tc>
          <w:tcPr>
            <w:tcW w:w="5686" w:type="dxa"/>
            <w:shd w:val="clear" w:color="auto" w:fill="BFBFBF" w:themeFill="background1" w:themeFillShade="BF"/>
          </w:tcPr>
          <w:p w:rsidR="00277909" w:rsidRPr="00277909" w:rsidP="006A511E" w14:paraId="1433A94B" w14:textId="77777777">
            <w:pPr>
              <w:jc w:val="both"/>
              <w:rPr>
                <w:rFonts w:ascii="Calibri Light" w:hAnsi="Calibri Light" w:cs="Calibri Light"/>
                <w:b/>
                <w:lang w:val="en-GB"/>
              </w:rPr>
            </w:pPr>
            <w:r w:rsidRPr="00277909">
              <w:rPr>
                <w:rFonts w:ascii="Calibri Light" w:hAnsi="Calibri Light" w:cs="Calibri Light"/>
                <w:b/>
                <w:lang w:val="en-GB"/>
              </w:rPr>
              <w:t>Proposal</w:t>
            </w:r>
          </w:p>
        </w:tc>
      </w:tr>
      <w:tr w14:paraId="1FDED143" w14:textId="77777777" w:rsidTr="006A511E">
        <w:tblPrEx>
          <w:tblW w:w="8646" w:type="dxa"/>
          <w:tblInd w:w="534" w:type="dxa"/>
          <w:tblLayout w:type="fixed"/>
          <w:tblLook w:val="0400"/>
        </w:tblPrEx>
        <w:tc>
          <w:tcPr>
            <w:tcW w:w="2960" w:type="dxa"/>
          </w:tcPr>
          <w:p w:rsidR="00277909" w:rsidRPr="00277909" w:rsidP="006A511E" w14:paraId="19B25628" w14:textId="77777777">
            <w:pPr>
              <w:jc w:val="both"/>
              <w:rPr>
                <w:rFonts w:ascii="Calibri Light" w:hAnsi="Calibri Light" w:cs="Calibri Light"/>
                <w:lang w:val="en-GB"/>
              </w:rPr>
            </w:pPr>
            <w:r w:rsidRPr="00277909">
              <w:rPr>
                <w:rFonts w:ascii="Calibri Light" w:hAnsi="Calibri Light" w:cs="Calibri Light"/>
                <w:lang w:val="en-GB"/>
              </w:rPr>
              <w:t>Economic problems with the implementation of court decisions</w:t>
            </w:r>
          </w:p>
        </w:tc>
        <w:tc>
          <w:tcPr>
            <w:tcW w:w="5686" w:type="dxa"/>
          </w:tcPr>
          <w:p w:rsidR="00277909" w:rsidRPr="00277909" w:rsidP="006A511E" w14:paraId="699FEDC2" w14:textId="6952D744">
            <w:pPr>
              <w:numPr>
                <w:ilvl w:val="0"/>
                <w:numId w:val="37"/>
              </w:numPr>
              <w:ind w:left="0" w:firstLine="0"/>
              <w:jc w:val="both"/>
              <w:rPr>
                <w:rFonts w:ascii="Calibri Light" w:hAnsi="Calibri Light" w:cs="Calibri Light"/>
                <w:lang w:val="en-GB"/>
              </w:rPr>
            </w:pPr>
            <w:r>
              <w:rPr>
                <w:rFonts w:ascii="Calibri Light" w:hAnsi="Calibri Light" w:cs="Calibri Light"/>
                <w:lang w:val="en-GB"/>
              </w:rPr>
              <w:t>The possibility</w:t>
            </w:r>
            <w:r w:rsidRPr="00277909">
              <w:rPr>
                <w:rFonts w:ascii="Calibri Light" w:hAnsi="Calibri Light" w:cs="Calibri Light"/>
                <w:lang w:val="en-GB"/>
              </w:rPr>
              <w:t xml:space="preserve"> of making decisions on debt restructuring.</w:t>
            </w:r>
          </w:p>
          <w:p w:rsidR="00277909" w:rsidRPr="00277909" w:rsidP="006A511E" w14:paraId="37711247" w14:textId="77777777">
            <w:pPr>
              <w:numPr>
                <w:ilvl w:val="0"/>
                <w:numId w:val="37"/>
              </w:numPr>
              <w:ind w:left="0" w:firstLine="0"/>
              <w:jc w:val="both"/>
              <w:rPr>
                <w:rFonts w:ascii="Calibri Light" w:hAnsi="Calibri Light" w:cs="Calibri Light"/>
                <w:lang w:val="en-GB"/>
              </w:rPr>
            </w:pPr>
            <w:r w:rsidRPr="00277909">
              <w:rPr>
                <w:rFonts w:ascii="Calibri Light" w:hAnsi="Calibri Light" w:cs="Calibri Light"/>
                <w:lang w:val="en-GB"/>
              </w:rPr>
              <w:t>A unique government program for debt financing exists.</w:t>
            </w:r>
          </w:p>
          <w:p w:rsidR="00277909" w:rsidRPr="00277909" w:rsidP="006A511E" w14:paraId="07D70FBA" w14:textId="77777777">
            <w:pPr>
              <w:numPr>
                <w:ilvl w:val="0"/>
                <w:numId w:val="37"/>
              </w:numPr>
              <w:ind w:left="0" w:firstLine="0"/>
              <w:jc w:val="both"/>
              <w:rPr>
                <w:rFonts w:ascii="Calibri Light" w:hAnsi="Calibri Light" w:cs="Calibri Light"/>
                <w:lang w:val="en-GB"/>
              </w:rPr>
            </w:pPr>
            <w:r w:rsidRPr="00277909">
              <w:rPr>
                <w:rFonts w:ascii="Calibri Light" w:hAnsi="Calibri Light" w:cs="Calibri Light"/>
                <w:lang w:val="en-GB"/>
              </w:rPr>
              <w:t>Lifting of moratoriums on the sale of state property (property objects where the state's share is more than 25%).</w:t>
            </w:r>
          </w:p>
          <w:p w:rsidR="00277909" w:rsidRPr="00277909" w:rsidP="006A511E" w14:paraId="6083158E" w14:textId="77777777">
            <w:pPr>
              <w:numPr>
                <w:ilvl w:val="0"/>
                <w:numId w:val="37"/>
              </w:numPr>
              <w:ind w:left="0" w:firstLine="0"/>
              <w:jc w:val="both"/>
              <w:rPr>
                <w:rFonts w:ascii="Calibri Light" w:hAnsi="Calibri Light" w:cs="Calibri Light"/>
                <w:lang w:val="en-GB"/>
              </w:rPr>
            </w:pPr>
            <w:r w:rsidRPr="00277909">
              <w:rPr>
                <w:rFonts w:ascii="Calibri Light" w:hAnsi="Calibri Light" w:cs="Calibri Light"/>
                <w:lang w:val="en-GB"/>
              </w:rPr>
              <w:t>Reduction of state-owned companies and enterprises, from which it is challenging to obtain appropriate compensation even with the involvement of bailiffs.</w:t>
            </w:r>
          </w:p>
        </w:tc>
      </w:tr>
      <w:tr w14:paraId="664937E0" w14:textId="77777777" w:rsidTr="006A511E">
        <w:tblPrEx>
          <w:tblW w:w="8646" w:type="dxa"/>
          <w:tblInd w:w="534" w:type="dxa"/>
          <w:tblLayout w:type="fixed"/>
          <w:tblLook w:val="0400"/>
        </w:tblPrEx>
        <w:tc>
          <w:tcPr>
            <w:tcW w:w="2960" w:type="dxa"/>
          </w:tcPr>
          <w:p w:rsidR="00277909" w:rsidRPr="00277909" w:rsidP="006A511E" w14:paraId="420EC7AA" w14:textId="77777777">
            <w:pPr>
              <w:jc w:val="both"/>
              <w:rPr>
                <w:rFonts w:ascii="Calibri Light" w:hAnsi="Calibri Light" w:cs="Calibri Light"/>
                <w:lang w:val="en-GB"/>
              </w:rPr>
            </w:pPr>
            <w:r w:rsidRPr="00277909">
              <w:rPr>
                <w:rFonts w:ascii="Calibri Light" w:hAnsi="Calibri Light" w:cs="Calibri Light"/>
                <w:lang w:val="en-GB"/>
              </w:rPr>
              <w:t>Impeding the operation of automated systems for the execution of court decisions</w:t>
            </w:r>
          </w:p>
        </w:tc>
        <w:tc>
          <w:tcPr>
            <w:tcW w:w="5686" w:type="dxa"/>
          </w:tcPr>
          <w:p w:rsidR="00277909" w:rsidRPr="00277909" w:rsidP="006A511E" w14:paraId="4C0E93CF" w14:textId="77777777">
            <w:pPr>
              <w:jc w:val="both"/>
              <w:rPr>
                <w:rFonts w:ascii="Calibri Light" w:hAnsi="Calibri Light" w:cs="Calibri Light"/>
                <w:lang w:val="en-GB"/>
              </w:rPr>
            </w:pPr>
            <w:r w:rsidRPr="00277909">
              <w:rPr>
                <w:rFonts w:ascii="Calibri Light" w:hAnsi="Calibri Light" w:cs="Calibri Light"/>
                <w:lang w:val="en-GB"/>
              </w:rPr>
              <w:t>The need to expand access to databases and state registers</w:t>
            </w:r>
          </w:p>
        </w:tc>
      </w:tr>
      <w:tr w14:paraId="6ED5821F" w14:textId="77777777" w:rsidTr="006A511E">
        <w:tblPrEx>
          <w:tblW w:w="8646" w:type="dxa"/>
          <w:tblInd w:w="534" w:type="dxa"/>
          <w:tblLayout w:type="fixed"/>
          <w:tblLook w:val="0400"/>
        </w:tblPrEx>
        <w:tc>
          <w:tcPr>
            <w:tcW w:w="2960" w:type="dxa"/>
          </w:tcPr>
          <w:p w:rsidR="00277909" w:rsidRPr="00277909" w:rsidP="006A511E" w14:paraId="21F177C0" w14:textId="77777777">
            <w:pPr>
              <w:jc w:val="both"/>
              <w:rPr>
                <w:rFonts w:ascii="Calibri Light" w:hAnsi="Calibri Light" w:cs="Calibri Light"/>
                <w:lang w:val="en-GB"/>
              </w:rPr>
            </w:pPr>
            <w:r w:rsidRPr="00277909">
              <w:rPr>
                <w:rFonts w:ascii="Calibri Light" w:hAnsi="Calibri Light" w:cs="Calibri Light"/>
                <w:lang w:val="en-GB"/>
              </w:rPr>
              <w:t>Debtor abuse, corruption challenges</w:t>
            </w:r>
          </w:p>
        </w:tc>
        <w:tc>
          <w:tcPr>
            <w:tcW w:w="5686" w:type="dxa"/>
          </w:tcPr>
          <w:p w:rsidR="00277909" w:rsidRPr="00277909" w:rsidP="006A511E" w14:paraId="478BBF64" w14:textId="77777777">
            <w:pPr>
              <w:numPr>
                <w:ilvl w:val="0"/>
                <w:numId w:val="38"/>
              </w:numPr>
              <w:ind w:left="0" w:firstLine="0"/>
              <w:jc w:val="both"/>
              <w:rPr>
                <w:rFonts w:ascii="Calibri Light" w:hAnsi="Calibri Light" w:cs="Calibri Light"/>
                <w:lang w:val="en-GB"/>
              </w:rPr>
            </w:pPr>
            <w:r w:rsidRPr="00277909">
              <w:rPr>
                <w:rFonts w:ascii="Calibri Light" w:hAnsi="Calibri Light" w:cs="Calibri Light"/>
                <w:lang w:val="en-GB"/>
              </w:rPr>
              <w:t>Amendments to the laws of Ukraine.</w:t>
            </w:r>
          </w:p>
          <w:p w:rsidR="00277909" w:rsidRPr="00277909" w:rsidP="006A511E" w14:paraId="573A3379" w14:textId="77777777">
            <w:pPr>
              <w:numPr>
                <w:ilvl w:val="0"/>
                <w:numId w:val="38"/>
              </w:numPr>
              <w:ind w:left="0" w:firstLine="0"/>
              <w:jc w:val="both"/>
              <w:rPr>
                <w:rFonts w:ascii="Calibri Light" w:hAnsi="Calibri Light" w:cs="Calibri Light"/>
                <w:lang w:val="en-GB"/>
              </w:rPr>
            </w:pPr>
            <w:r w:rsidRPr="00277909">
              <w:rPr>
                <w:rFonts w:ascii="Calibri Light" w:hAnsi="Calibri Light" w:cs="Calibri Light"/>
                <w:lang w:val="en-GB"/>
              </w:rPr>
              <w:t>Improved digitalisation and openness of enforcement proceedings.</w:t>
            </w:r>
          </w:p>
        </w:tc>
      </w:tr>
      <w:tr w14:paraId="6F6FD1E8" w14:textId="77777777" w:rsidTr="006A511E">
        <w:tblPrEx>
          <w:tblW w:w="8646" w:type="dxa"/>
          <w:tblInd w:w="534" w:type="dxa"/>
          <w:tblLayout w:type="fixed"/>
          <w:tblLook w:val="0400"/>
        </w:tblPrEx>
        <w:tc>
          <w:tcPr>
            <w:tcW w:w="2960" w:type="dxa"/>
          </w:tcPr>
          <w:p w:rsidR="00277909" w:rsidRPr="00277909" w:rsidP="006A511E" w14:paraId="0FEDBEF3" w14:textId="76A44304">
            <w:pPr>
              <w:jc w:val="both"/>
              <w:rPr>
                <w:rFonts w:ascii="Calibri Light" w:hAnsi="Calibri Light" w:cs="Calibri Light"/>
                <w:lang w:val="en-GB"/>
              </w:rPr>
            </w:pPr>
            <w:r>
              <w:rPr>
                <w:rFonts w:ascii="Calibri Light" w:hAnsi="Calibri Light" w:cs="Calibri Light"/>
                <w:lang w:val="en-GB"/>
              </w:rPr>
              <w:t>A disproportionate</w:t>
            </w:r>
            <w:r w:rsidRPr="00277909">
              <w:rPr>
                <w:rFonts w:ascii="Calibri Light" w:hAnsi="Calibri Light" w:cs="Calibri Light"/>
                <w:lang w:val="en-GB"/>
              </w:rPr>
              <w:t xml:space="preserve"> number of state and private bailiffs</w:t>
            </w:r>
          </w:p>
        </w:tc>
        <w:tc>
          <w:tcPr>
            <w:tcW w:w="5686" w:type="dxa"/>
          </w:tcPr>
          <w:p w:rsidR="00277909" w:rsidRPr="00277909" w:rsidP="006A511E" w14:paraId="2EC3221B" w14:textId="77777777">
            <w:pPr>
              <w:numPr>
                <w:ilvl w:val="0"/>
                <w:numId w:val="39"/>
              </w:numPr>
              <w:ind w:left="0" w:firstLine="0"/>
              <w:jc w:val="both"/>
              <w:rPr>
                <w:rFonts w:ascii="Calibri Light" w:hAnsi="Calibri Light" w:cs="Calibri Light"/>
                <w:lang w:val="en-GB"/>
              </w:rPr>
            </w:pPr>
            <w:r w:rsidRPr="00277909">
              <w:rPr>
                <w:rFonts w:ascii="Calibri Light" w:hAnsi="Calibri Light" w:cs="Calibri Light"/>
                <w:lang w:val="en-GB"/>
              </w:rPr>
              <w:t>Increasing the number of private bailiffs.</w:t>
            </w:r>
          </w:p>
          <w:p w:rsidR="00277909" w:rsidRPr="00277909" w:rsidP="006A511E" w14:paraId="0F0037A2" w14:textId="77777777">
            <w:pPr>
              <w:numPr>
                <w:ilvl w:val="0"/>
                <w:numId w:val="39"/>
              </w:numPr>
              <w:ind w:left="0" w:firstLine="0"/>
              <w:jc w:val="both"/>
              <w:rPr>
                <w:rFonts w:ascii="Calibri Light" w:hAnsi="Calibri Light" w:cs="Calibri Light"/>
                <w:lang w:val="en-GB"/>
              </w:rPr>
            </w:pPr>
            <w:r w:rsidRPr="00277909">
              <w:rPr>
                <w:rFonts w:ascii="Calibri Light" w:hAnsi="Calibri Light" w:cs="Calibri Light"/>
                <w:lang w:val="en-GB"/>
              </w:rPr>
              <w:t>Expanding the order of cases in which private bailiffs can be involved.</w:t>
            </w:r>
          </w:p>
          <w:p w:rsidR="00277909" w:rsidRPr="00277909" w:rsidP="006A511E" w14:paraId="166302D1" w14:textId="77777777">
            <w:pPr>
              <w:numPr>
                <w:ilvl w:val="0"/>
                <w:numId w:val="39"/>
              </w:numPr>
              <w:ind w:left="0" w:firstLine="0"/>
              <w:jc w:val="both"/>
              <w:rPr>
                <w:rFonts w:ascii="Calibri Light" w:hAnsi="Calibri Light" w:cs="Calibri Light"/>
                <w:lang w:val="en-GB"/>
              </w:rPr>
            </w:pPr>
            <w:r w:rsidRPr="00277909">
              <w:rPr>
                <w:rFonts w:ascii="Calibri Light" w:hAnsi="Calibri Light" w:cs="Calibri Light"/>
                <w:lang w:val="en-GB"/>
              </w:rPr>
              <w:t>Preservation and optimisation of the work of the state bailiff service.</w:t>
            </w:r>
          </w:p>
        </w:tc>
      </w:tr>
      <w:tr w14:paraId="2C6838D2" w14:textId="77777777" w:rsidTr="006A511E">
        <w:tblPrEx>
          <w:tblW w:w="8646" w:type="dxa"/>
          <w:tblInd w:w="534" w:type="dxa"/>
          <w:tblLayout w:type="fixed"/>
          <w:tblLook w:val="0400"/>
        </w:tblPrEx>
        <w:tc>
          <w:tcPr>
            <w:tcW w:w="2960" w:type="dxa"/>
          </w:tcPr>
          <w:p w:rsidR="00277909" w:rsidRPr="00277909" w:rsidP="006A511E" w14:paraId="2FD4A426" w14:textId="77777777">
            <w:pPr>
              <w:jc w:val="both"/>
              <w:rPr>
                <w:rFonts w:ascii="Calibri Light" w:hAnsi="Calibri Light" w:cs="Calibri Light"/>
                <w:lang w:val="en-GB"/>
              </w:rPr>
            </w:pPr>
            <w:r w:rsidRPr="00277909">
              <w:rPr>
                <w:rFonts w:ascii="Calibri Light" w:hAnsi="Calibri Light" w:cs="Calibri Light"/>
                <w:lang w:val="en-GB"/>
              </w:rPr>
              <w:t>Unfounded complaints about the work of bailiffs</w:t>
            </w:r>
          </w:p>
        </w:tc>
        <w:tc>
          <w:tcPr>
            <w:tcW w:w="5686" w:type="dxa"/>
          </w:tcPr>
          <w:p w:rsidR="00277909" w:rsidRPr="00277909" w:rsidP="006A511E" w14:paraId="0BAA0AD1" w14:textId="77777777">
            <w:pPr>
              <w:numPr>
                <w:ilvl w:val="0"/>
                <w:numId w:val="40"/>
              </w:numPr>
              <w:ind w:left="0" w:firstLine="0"/>
              <w:jc w:val="both"/>
              <w:rPr>
                <w:rFonts w:ascii="Calibri Light" w:hAnsi="Calibri Light" w:cs="Calibri Light"/>
                <w:lang w:val="en-GB"/>
              </w:rPr>
            </w:pPr>
            <w:r w:rsidRPr="00277909">
              <w:rPr>
                <w:rFonts w:ascii="Calibri Light" w:hAnsi="Calibri Light" w:cs="Calibri Light"/>
                <w:lang w:val="en-GB"/>
              </w:rPr>
              <w:t>Payment of a court fee for filing charges against the actions of bailiffs.</w:t>
            </w:r>
          </w:p>
          <w:p w:rsidR="00277909" w:rsidRPr="00277909" w:rsidP="006A511E" w14:paraId="156DB292" w14:textId="76CD8DAE">
            <w:pPr>
              <w:numPr>
                <w:ilvl w:val="0"/>
                <w:numId w:val="40"/>
              </w:numPr>
              <w:ind w:left="0" w:firstLine="0"/>
              <w:jc w:val="both"/>
              <w:rPr>
                <w:rFonts w:ascii="Calibri Light" w:hAnsi="Calibri Light" w:cs="Calibri Light"/>
                <w:lang w:val="en-GB"/>
              </w:rPr>
            </w:pPr>
            <w:r w:rsidRPr="00277909">
              <w:rPr>
                <w:rFonts w:ascii="Calibri Light" w:hAnsi="Calibri Light" w:cs="Calibri Light"/>
                <w:lang w:val="en-GB"/>
              </w:rPr>
              <w:t>Use a proportional or differentiated rate with an economic justification, exceptions to application, tools for introducing a deferral of payment, instalments</w:t>
            </w:r>
            <w:r w:rsidR="00D762C2">
              <w:rPr>
                <w:rFonts w:ascii="Calibri Light" w:hAnsi="Calibri Light" w:cs="Calibri Light"/>
                <w:lang w:val="en-GB"/>
              </w:rPr>
              <w:t>,</w:t>
            </w:r>
            <w:r w:rsidRPr="00277909">
              <w:rPr>
                <w:rFonts w:ascii="Calibri Light" w:hAnsi="Calibri Light" w:cs="Calibri Light"/>
                <w:lang w:val="en-GB"/>
              </w:rPr>
              <w:t xml:space="preserve"> or even a reduction in the court fee.</w:t>
            </w:r>
          </w:p>
        </w:tc>
      </w:tr>
    </w:tbl>
    <w:p w:rsidR="00277909" w:rsidRPr="006A511E" w:rsidP="006A511E" w14:paraId="3558A974" w14:textId="77777777">
      <w:pPr>
        <w:spacing w:before="120" w:after="120"/>
        <w:ind w:left="440" w:right="-1" w:hanging="14"/>
        <w:jc w:val="center"/>
        <w:rPr>
          <w:rFonts w:ascii="Calibri Light" w:hAnsi="Calibri Light" w:cs="Calibri Light"/>
          <w:i/>
          <w:sz w:val="24"/>
          <w:szCs w:val="24"/>
          <w:lang w:val="en-GB"/>
        </w:rPr>
      </w:pPr>
      <w:r w:rsidRPr="006A511E">
        <w:rPr>
          <w:rFonts w:ascii="Calibri Light" w:hAnsi="Calibri Light" w:cs="Calibri Light"/>
          <w:i/>
          <w:sz w:val="24"/>
          <w:szCs w:val="24"/>
          <w:lang w:val="en-GB"/>
        </w:rPr>
        <w:t xml:space="preserve">Source: Authors’ </w:t>
      </w:r>
      <w:r w:rsidRPr="006A511E" w:rsidR="006A511E">
        <w:rPr>
          <w:rFonts w:ascii="Calibri Light" w:hAnsi="Calibri Light" w:cs="Calibri Light"/>
          <w:i/>
          <w:sz w:val="24"/>
          <w:szCs w:val="24"/>
          <w:lang w:val="en-GB"/>
        </w:rPr>
        <w:t>D</w:t>
      </w:r>
      <w:r w:rsidRPr="006A511E">
        <w:rPr>
          <w:rFonts w:ascii="Calibri Light" w:hAnsi="Calibri Light" w:cs="Calibri Light"/>
          <w:i/>
          <w:sz w:val="24"/>
          <w:szCs w:val="24"/>
          <w:lang w:val="en-GB"/>
        </w:rPr>
        <w:t>evelopment.</w:t>
      </w:r>
    </w:p>
    <w:p w:rsidR="00A4345E" w:rsidP="00277909" w14:paraId="2569A6D3" w14:textId="49445967">
      <w:pPr>
        <w:spacing w:before="120" w:after="120"/>
        <w:ind w:left="440" w:right="-1" w:hanging="14"/>
        <w:jc w:val="both"/>
        <w:rPr>
          <w:rFonts w:ascii="Calibri Light" w:hAnsi="Calibri Light" w:cs="Calibri Light"/>
          <w:sz w:val="24"/>
          <w:szCs w:val="24"/>
        </w:rPr>
      </w:pPr>
      <w:r w:rsidRPr="00277909">
        <w:rPr>
          <w:rFonts w:ascii="Calibri Light" w:hAnsi="Calibri Light" w:cs="Calibri Light"/>
          <w:sz w:val="24"/>
          <w:szCs w:val="24"/>
          <w:lang w:val="en-GB"/>
        </w:rPr>
        <w:t xml:space="preserve">Thus, scholars' proposals regarding improving court decision enforcement are </w:t>
      </w:r>
      <w:r w:rsidR="00D762C2">
        <w:rPr>
          <w:rFonts w:ascii="Calibri Light" w:hAnsi="Calibri Light" w:cs="Calibri Light"/>
          <w:sz w:val="24"/>
          <w:szCs w:val="24"/>
          <w:lang w:val="en-GB"/>
        </w:rPr>
        <w:t>pretty</w:t>
      </w:r>
      <w:r w:rsidRPr="00277909">
        <w:rPr>
          <w:rFonts w:ascii="Calibri Light" w:hAnsi="Calibri Light" w:cs="Calibri Light"/>
          <w:sz w:val="24"/>
          <w:szCs w:val="24"/>
          <w:lang w:val="en-GB"/>
        </w:rPr>
        <w:t xml:space="preserve"> extensive. However, some issues are </w:t>
      </w:r>
      <w:r w:rsidR="00D762C2">
        <w:rPr>
          <w:rFonts w:ascii="Calibri Light" w:hAnsi="Calibri Light" w:cs="Calibri Light"/>
          <w:sz w:val="24"/>
          <w:szCs w:val="24"/>
          <w:lang w:val="en-GB"/>
        </w:rPr>
        <w:t>complex</w:t>
      </w:r>
      <w:r w:rsidRPr="00277909">
        <w:rPr>
          <w:rFonts w:ascii="Calibri Light" w:hAnsi="Calibri Light" w:cs="Calibri Light"/>
          <w:sz w:val="24"/>
          <w:szCs w:val="24"/>
          <w:lang w:val="en-GB"/>
        </w:rPr>
        <w:t xml:space="preserve"> </w:t>
      </w:r>
      <w:r w:rsidR="00D762C2">
        <w:rPr>
          <w:rFonts w:ascii="Calibri Light" w:hAnsi="Calibri Light" w:cs="Calibri Light"/>
          <w:sz w:val="24"/>
          <w:szCs w:val="24"/>
          <w:lang w:val="en-GB"/>
        </w:rPr>
        <w:t>and can only be resolved</w:t>
      </w:r>
      <w:r w:rsidRPr="00277909">
        <w:rPr>
          <w:rFonts w:ascii="Calibri Light" w:hAnsi="Calibri Light" w:cs="Calibri Light"/>
          <w:sz w:val="24"/>
          <w:szCs w:val="24"/>
          <w:lang w:val="en-GB"/>
        </w:rPr>
        <w:t xml:space="preserve"> through </w:t>
      </w:r>
      <w:r w:rsidRPr="00277909">
        <w:rPr>
          <w:rFonts w:ascii="Calibri Light" w:hAnsi="Calibri Light" w:cs="Calibri Light"/>
          <w:sz w:val="24"/>
          <w:szCs w:val="24"/>
          <w:lang w:val="en-GB"/>
        </w:rPr>
        <w:t>amendments to the legislative framework; they will require a comprehensive review and solution.</w:t>
      </w:r>
    </w:p>
    <w:p w:rsidR="006A511E" w:rsidRPr="006A511E" w:rsidP="006A511E" w14:paraId="6131C4C4" w14:textId="156AF906">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 xml:space="preserve">The enforcement of court decisions in Ukraine represents a significant challenge </w:t>
      </w:r>
      <w:r w:rsidR="00D762C2">
        <w:rPr>
          <w:rFonts w:ascii="Calibri Light" w:hAnsi="Calibri Light" w:cs="Calibri Light"/>
          <w:sz w:val="24"/>
          <w:szCs w:val="24"/>
          <w:lang w:val="en-GB"/>
        </w:rPr>
        <w:t>that</w:t>
      </w:r>
      <w:r w:rsidRPr="006A511E">
        <w:rPr>
          <w:rFonts w:ascii="Calibri Light" w:hAnsi="Calibri Light" w:cs="Calibri Light"/>
          <w:sz w:val="24"/>
          <w:szCs w:val="24"/>
          <w:lang w:val="en-GB"/>
        </w:rPr>
        <w:t xml:space="preserve"> directly impacts the level of trust in the judiciary</w:t>
      </w:r>
      <w:r w:rsidRPr="000B071E">
        <w:rPr>
          <w:rFonts w:ascii="Calibri Light" w:hAnsi="Calibri Light" w:cs="Calibri Light"/>
          <w:sz w:val="24"/>
          <w:szCs w:val="24"/>
          <w:highlight w:val="yellow"/>
          <w:lang w:val="en-GB"/>
        </w:rPr>
        <w:t xml:space="preserve">. The primary research </w:t>
      </w:r>
      <w:r w:rsidRPr="000B071E" w:rsidR="000B071E">
        <w:rPr>
          <w:rFonts w:ascii="Calibri Light" w:hAnsi="Calibri Light" w:cs="Calibri Light"/>
          <w:sz w:val="24"/>
          <w:szCs w:val="24"/>
          <w:highlight w:val="yellow"/>
          <w:lang w:val="en-GB"/>
        </w:rPr>
        <w:t>issue</w:t>
      </w:r>
      <w:r w:rsidRPr="000B071E">
        <w:rPr>
          <w:rFonts w:ascii="Calibri Light" w:hAnsi="Calibri Light" w:cs="Calibri Light"/>
          <w:sz w:val="24"/>
          <w:szCs w:val="24"/>
          <w:highlight w:val="yellow"/>
          <w:lang w:val="en-GB"/>
        </w:rPr>
        <w:t xml:space="preserve"> involved analysing the key factors limiting the effective implementation of court rulings in Ukraine.</w:t>
      </w:r>
      <w:r w:rsidRPr="006A511E">
        <w:rPr>
          <w:rFonts w:ascii="Calibri Light" w:hAnsi="Calibri Light" w:cs="Calibri Light"/>
          <w:sz w:val="24"/>
          <w:szCs w:val="24"/>
          <w:lang w:val="en-GB"/>
        </w:rPr>
        <w:t xml:space="preserve"> This objective required a thorough examination of the specific problems related to the enforcement process that directly affect the effectiveness of justice and a detailed review of potential solutions for improving the situation, particularly those suggested in academic literature.</w:t>
      </w:r>
    </w:p>
    <w:p w:rsidR="006A511E" w:rsidRPr="006A511E" w:rsidP="006A511E" w14:paraId="4D56846B" w14:textId="77777777">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The findings highlight that the efficiency of enforcing court decisions is crucial for justice, economic development, and investment attractiveness. Researchers have consistently emphasised this [31; 33; 34]. Among the significant issues identified are financial constraints and legislative restrictions that prevent bailiffs from fully or even partially enforcing court rulings. Legislative acts, such as moratoriums on debt collection from enterprises with at least 25% state ownership, exacerbate these challenges. This situation is rightly classified as a legal contradiction, necessitating legislative amendments or the gradual repeal of such moratoriums [17; 35].</w:t>
      </w:r>
    </w:p>
    <w:p w:rsidR="006A511E" w:rsidRPr="004837DE" w:rsidP="00E9591C" w14:paraId="0B22E852" w14:textId="105F8906">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 xml:space="preserve">These findings support the first hypothesis of the study, which proposed that an inefficient organisational framework within the enforcement service significantly hinders the enforcement process. </w:t>
      </w:r>
      <w:r w:rsidRPr="00E9591C" w:rsidR="00E9591C">
        <w:rPr>
          <w:rFonts w:ascii="Calibri Light" w:hAnsi="Calibri Light" w:cs="Calibri Light"/>
          <w:sz w:val="24"/>
          <w:szCs w:val="24"/>
          <w:highlight w:val="yellow"/>
          <w:lang w:val="en-GB"/>
        </w:rPr>
        <w:t xml:space="preserve">This indicates that inherent flaws in the enforcement service's organizational structure </w:t>
      </w:r>
      <w:r w:rsidR="00D762C2">
        <w:rPr>
          <w:rFonts w:ascii="Calibri Light" w:hAnsi="Calibri Light" w:cs="Calibri Light"/>
          <w:sz w:val="24"/>
          <w:szCs w:val="24"/>
          <w:highlight w:val="yellow"/>
          <w:lang w:val="en-GB"/>
        </w:rPr>
        <w:t>significantly contribute</w:t>
      </w:r>
      <w:r w:rsidRPr="00E9591C" w:rsidR="00E9591C">
        <w:rPr>
          <w:rFonts w:ascii="Calibri Light" w:hAnsi="Calibri Light" w:cs="Calibri Light"/>
          <w:sz w:val="24"/>
          <w:szCs w:val="24"/>
          <w:highlight w:val="yellow"/>
          <w:lang w:val="en-GB"/>
        </w:rPr>
        <w:t xml:space="preserve"> to the difficulties in carrying out court orders in Ukraine. Put another way, the enforcement mechanism itself is ineffective even when there are legitimate reasons for judgments to be carried out by force. Process delays, a rise in complaints, and an overall decline in public confidence in the legal system follow this.</w:t>
      </w:r>
      <w:r w:rsidR="00E9591C">
        <w:rPr>
          <w:rFonts w:ascii="Calibri Light" w:hAnsi="Calibri Light" w:cs="Calibri Light"/>
          <w:sz w:val="24"/>
          <w:szCs w:val="24"/>
          <w:lang w:val="uk-UA"/>
        </w:rPr>
        <w:t xml:space="preserve"> </w:t>
      </w:r>
      <w:r w:rsidRPr="006A511E">
        <w:rPr>
          <w:rFonts w:ascii="Calibri Light" w:hAnsi="Calibri Light" w:cs="Calibri Light"/>
          <w:sz w:val="24"/>
          <w:szCs w:val="24"/>
          <w:lang w:val="en-GB"/>
        </w:rPr>
        <w:t>The gradual reduction of state ownership and even the complete privatisation of enterprises and institutions is suggested as a potential solution. However, scholars rightly argue that during wartime, complete privatisation of state-owned assets is infeasible [36; 37]. Furthermore, many state and municipal institutions would remain in public ownership, necessitating a more flexible approach.</w:t>
      </w:r>
    </w:p>
    <w:p w:rsidR="006A511E" w:rsidRPr="006A511E" w:rsidP="006A511E" w14:paraId="55375765" w14:textId="1FC97D91">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 xml:space="preserve">Researchers' proposals to establish special reserve funds for </w:t>
      </w:r>
      <w:r w:rsidR="00D762C2">
        <w:rPr>
          <w:rFonts w:ascii="Calibri Light" w:hAnsi="Calibri Light" w:cs="Calibri Light"/>
          <w:sz w:val="24"/>
          <w:szCs w:val="24"/>
          <w:lang w:val="en-GB"/>
        </w:rPr>
        <w:t>compensation</w:t>
      </w:r>
      <w:r w:rsidRPr="006A511E">
        <w:rPr>
          <w:rFonts w:ascii="Calibri Light" w:hAnsi="Calibri Light" w:cs="Calibri Light"/>
          <w:sz w:val="24"/>
          <w:szCs w:val="24"/>
          <w:lang w:val="en-GB"/>
        </w:rPr>
        <w:t xml:space="preserve"> resulting from court rulings appear more practical [38; 39]. However, such approaches require further refinement, as a complete divestiture of state-owned enterprises is neither realistic nor desirable. A more nuanced solution might involve legislative amendments mandating the inclusion of necessary funds in the budgets of state-owned enterprises, especially those with less than 75% state ownership. Specifically, increasing the threshold for moratoriums from 25% to 75% could filter out a significant proportion of organisations that exploit their state capital share to evade judicial enforcement.</w:t>
      </w:r>
    </w:p>
    <w:p w:rsidR="006A511E" w:rsidRPr="006A511E" w:rsidP="006A511E" w14:paraId="4720B414" w14:textId="77777777">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Considering that the proportion of state enterprises with more than 75% state ownership is relatively low, this adjustment would facilitate compliance with court rulings while allowing for better budget planning for enforcement obligations. Such legislative changes would balance public ownership interests with the need for effective judicial enforcement.</w:t>
      </w:r>
    </w:p>
    <w:p w:rsidR="006A511E" w:rsidRPr="006A511E" w:rsidP="006A511E" w14:paraId="4CA93CCE" w14:textId="77777777">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The results highlight the importance of automating certain aspects of judicial decision enforcement, a finding that also validates the study’s second hypothesis. Further advancement in this direction remains highly relevant, as corroborated by other research [40-42]. Additionally, the issue of regulating the activities of private judicial executors requires attention. Expanding their rights and the scope of cases they are authorised to enforce is recognised by researchers as a promising avenue for improvement. However, the proposal to grant private executors full authority to handle cases where the state is the defendant remains contentious [43; 44]. Considering the ongoing Russian aggression and the sensitive nature of the defence sector and related areas, involving vetted state-appointed executors in such cases appears to be a more viable solution.</w:t>
      </w:r>
    </w:p>
    <w:p w:rsidR="006A511E" w:rsidRPr="006A511E" w:rsidP="006A511E" w14:paraId="138E8700" w14:textId="77777777">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Furthermore, scholars point out the higher success rates of private executors, mainly when dealing with private disputes involving court rulings, which are generally less complex than cases involving state institutions [43; 45]. This factor underscores the need for qualitative legislative changes to the framework for enforcing judicial decisions. Without such reforms, significant improvements in enforcement outcomes may not materialise, even with the involvement of private executors, who are often more motivated by performance-based fees.</w:t>
      </w:r>
    </w:p>
    <w:p w:rsidR="006A511E" w:rsidRPr="006A511E" w:rsidP="006A511E" w14:paraId="5DDDCE82" w14:textId="1AD704C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 xml:space="preserve">This perspective also relates to the challenges posed by obstacles in judicial enforcement. Other studies support the introduction of court fee payments (provided they are reasonably priced), indicating the potential of such measures to counter deliberate </w:t>
      </w:r>
      <w:r w:rsidR="007C7AE9">
        <w:rPr>
          <w:rFonts w:ascii="Calibri Light" w:hAnsi="Calibri Light" w:cs="Calibri Light"/>
          <w:sz w:val="24"/>
          <w:szCs w:val="24"/>
          <w:lang w:val="en-GB"/>
        </w:rPr>
        <w:t>system abuses</w:t>
      </w:r>
      <w:r w:rsidRPr="006A511E">
        <w:rPr>
          <w:rFonts w:ascii="Calibri Light" w:hAnsi="Calibri Light" w:cs="Calibri Light"/>
          <w:sz w:val="24"/>
          <w:szCs w:val="24"/>
          <w:lang w:val="en-GB"/>
        </w:rPr>
        <w:t xml:space="preserve"> </w:t>
      </w:r>
      <w:r w:rsidRPr="006A511E">
        <w:rPr>
          <w:rFonts w:ascii="Calibri Light" w:hAnsi="Calibri Light" w:cs="Calibri Light"/>
          <w:sz w:val="24"/>
          <w:szCs w:val="24"/>
        </w:rPr>
        <w:t>[46]</w:t>
      </w:r>
      <w:r w:rsidRPr="006A511E">
        <w:rPr>
          <w:rFonts w:ascii="Calibri Light" w:hAnsi="Calibri Light" w:cs="Calibri Light"/>
          <w:sz w:val="24"/>
          <w:szCs w:val="24"/>
          <w:lang w:val="en-GB"/>
        </w:rPr>
        <w:t>.</w:t>
      </w:r>
    </w:p>
    <w:p w:rsidR="006A511E" w:rsidRPr="006A511E" w:rsidP="006A511E" w14:paraId="21484452" w14:textId="06D9C67F">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The findings also draw attention to corruption-related challenges that impede the enforcement of judicial decisions. These include intentional inaction by bailiffs who may deliberately perform their duties inadequately. There is a pressing need for a comprehensive review of legislative measures to counter corruption. The results reinforce the views of other researchers, suggesting that transparency</w:t>
      </w:r>
      <w:r w:rsidR="007C7AE9">
        <w:rPr>
          <w:rFonts w:ascii="Calibri Light" w:hAnsi="Calibri Light" w:cs="Calibri Light"/>
          <w:sz w:val="24"/>
          <w:szCs w:val="24"/>
          <w:lang w:val="en-GB"/>
        </w:rPr>
        <w:t>, mainly achieved through digital tools,</w:t>
      </w:r>
      <w:r w:rsidRPr="006A511E">
        <w:rPr>
          <w:rFonts w:ascii="Calibri Light" w:hAnsi="Calibri Light" w:cs="Calibri Light"/>
          <w:sz w:val="24"/>
          <w:szCs w:val="24"/>
          <w:lang w:val="en-GB"/>
        </w:rPr>
        <w:t xml:space="preserve"> is an effective solution</w:t>
      </w:r>
      <w:r w:rsidR="008A1E9B">
        <w:rPr>
          <w:rFonts w:ascii="Calibri Light" w:hAnsi="Calibri Light" w:cs="Calibri Light"/>
          <w:sz w:val="24"/>
          <w:szCs w:val="24"/>
          <w:lang w:val="en-GB"/>
        </w:rPr>
        <w:t xml:space="preserve"> [47; 48]</w:t>
      </w:r>
      <w:r w:rsidRPr="006A511E">
        <w:rPr>
          <w:rFonts w:ascii="Calibri Light" w:hAnsi="Calibri Light" w:cs="Calibri Light"/>
          <w:sz w:val="24"/>
          <w:szCs w:val="24"/>
          <w:lang w:val="en-GB"/>
        </w:rPr>
        <w:t>. This approach requires minimal capital investment yet yields significant outcomes [</w:t>
      </w:r>
      <w:r w:rsidR="008A1E9B">
        <w:rPr>
          <w:rFonts w:ascii="Calibri Light" w:hAnsi="Calibri Light" w:cs="Calibri Light"/>
          <w:sz w:val="24"/>
          <w:szCs w:val="24"/>
          <w:lang w:val="en-GB"/>
        </w:rPr>
        <w:t>49; 50; 51</w:t>
      </w:r>
      <w:r w:rsidRPr="006A511E">
        <w:rPr>
          <w:rFonts w:ascii="Calibri Light" w:hAnsi="Calibri Light" w:cs="Calibri Light"/>
          <w:sz w:val="24"/>
          <w:szCs w:val="24"/>
          <w:lang w:val="en-GB"/>
        </w:rPr>
        <w:t>]. Future transformations in the enforcement procedures could accelerate the process and address challenges related to unprofessional or wilfully negligent conduct by executors</w:t>
      </w:r>
      <w:r w:rsidR="008A1E9B">
        <w:rPr>
          <w:rFonts w:ascii="Calibri Light" w:hAnsi="Calibri Light" w:cs="Calibri Light"/>
          <w:sz w:val="24"/>
          <w:szCs w:val="24"/>
          <w:lang w:val="en-GB"/>
        </w:rPr>
        <w:t xml:space="preserve"> [52]</w:t>
      </w:r>
      <w:r w:rsidRPr="006A511E">
        <w:rPr>
          <w:rFonts w:ascii="Calibri Light" w:hAnsi="Calibri Light" w:cs="Calibri Light"/>
          <w:sz w:val="24"/>
          <w:szCs w:val="24"/>
          <w:lang w:val="en-GB"/>
        </w:rPr>
        <w:t>.</w:t>
      </w:r>
    </w:p>
    <w:p w:rsidR="006A511E" w:rsidRPr="009F725F" w:rsidP="009F725F" w14:paraId="6C71B143" w14:textId="6C46483D">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The methodology employed in this study has certain limitations that must be considered for future research. Firstly, scholarly sources were selected based primarily on their chronological relevance. The study predominantly utilised research published within the last five years in peer-reviewed academic journals indexed in bibliometric databases. While this ensures the credibility and contemporary significance of the sources, it is plausible that some older studies remain pertinent, given that the issue of judicial decision enforcement is not a novel concern.</w:t>
      </w:r>
      <w:r w:rsidR="009F725F">
        <w:rPr>
          <w:rFonts w:ascii="Calibri Light" w:hAnsi="Calibri Light" w:cs="Calibri Light"/>
          <w:sz w:val="24"/>
          <w:szCs w:val="24"/>
          <w:lang w:val="uk-UA"/>
        </w:rPr>
        <w:t xml:space="preserve"> </w:t>
      </w:r>
      <w:r w:rsidRPr="009F725F" w:rsidR="009F725F">
        <w:rPr>
          <w:rFonts w:ascii="Calibri Light" w:hAnsi="Calibri Light" w:cs="Calibri Light"/>
          <w:sz w:val="24"/>
          <w:szCs w:val="24"/>
          <w:highlight w:val="yellow"/>
          <w:lang w:val="en-GB"/>
        </w:rPr>
        <w:t>As a result, it's possible that some enduring structural problems with the implementation of court rulings were overlooked or underreported when viewed in the context of their longer-term evolution. This could therefore limit the study's capacity to provide long-term or historically informed recommendations and restrict the breadth of its analytical scope.</w:t>
      </w:r>
    </w:p>
    <w:p w:rsidR="00A4345E" w:rsidP="006A511E" w14:paraId="60AA4F60" w14:textId="77777777">
      <w:pPr>
        <w:spacing w:before="120" w:after="120"/>
        <w:ind w:left="440" w:right="-1" w:hanging="14"/>
        <w:jc w:val="both"/>
        <w:rPr>
          <w:rFonts w:ascii="Calibri Light" w:hAnsi="Calibri Light" w:cs="Calibri Light"/>
          <w:sz w:val="24"/>
          <w:szCs w:val="24"/>
        </w:rPr>
      </w:pPr>
      <w:r w:rsidRPr="006A511E">
        <w:rPr>
          <w:rFonts w:ascii="Calibri Light" w:hAnsi="Calibri Light" w:cs="Calibri Light"/>
          <w:sz w:val="24"/>
          <w:szCs w:val="24"/>
          <w:lang w:val="en-GB"/>
        </w:rPr>
        <w:t xml:space="preserve">Another limitation relates to the focus on Ukraine and its specific experience. Materials published in Ukrainian were excluded from the analysis. The methodology explicitly </w:t>
      </w:r>
      <w:r w:rsidRPr="006A511E">
        <w:rPr>
          <w:rFonts w:ascii="Calibri Light" w:hAnsi="Calibri Light" w:cs="Calibri Light"/>
          <w:sz w:val="24"/>
          <w:szCs w:val="24"/>
          <w:lang w:val="en-GB"/>
        </w:rPr>
        <w:t>prioritised studies published in English to facilitate additional critique and analysis within the multinational research community, which tends to engage more actively with English-language publications. However, this approach might have overlooked specific relevant perspectives. Although these omissions do not affect the overall findings, they could form the basis for future research with alternative objectives.</w:t>
      </w:r>
    </w:p>
    <w:p w:rsidR="00741058" w:rsidRPr="002D2B29" w:rsidP="00781D8B" w14:paraId="00B3EF6B" w14:textId="77777777">
      <w:pPr>
        <w:numPr>
          <w:ilvl w:val="0"/>
          <w:numId w:val="28"/>
        </w:numPr>
        <w:autoSpaceDE/>
        <w:autoSpaceDN/>
        <w:spacing w:line="240" w:lineRule="atLeast"/>
        <w:ind w:left="426" w:hanging="426"/>
        <w:rPr>
          <w:rFonts w:ascii="Calibri Light" w:hAnsi="Calibri Light" w:cs="Calibri Light"/>
          <w:b/>
          <w:sz w:val="24"/>
          <w:szCs w:val="24"/>
        </w:rPr>
      </w:pPr>
      <w:r w:rsidRPr="00122F5F">
        <w:rPr>
          <w:rFonts w:ascii="Calibri Light" w:hAnsi="Calibri Light" w:cs="Calibri Light"/>
          <w:b/>
          <w:sz w:val="24"/>
          <w:szCs w:val="24"/>
        </w:rPr>
        <w:t>CONCLUSION</w:t>
      </w:r>
    </w:p>
    <w:p w:rsidR="002D2B29" w:rsidRPr="002D2B29" w:rsidP="002D2B29" w14:paraId="11F491AC" w14:textId="0D38FC3C">
      <w:pPr>
        <w:pStyle w:val="ListParagraph"/>
        <w:spacing w:before="120" w:after="120" w:line="240" w:lineRule="auto"/>
        <w:ind w:left="436" w:hanging="11"/>
        <w:contextualSpacing w:val="0"/>
        <w:jc w:val="both"/>
        <w:rPr>
          <w:rFonts w:ascii="Calibri Light" w:hAnsi="Calibri Light" w:cs="Calibri Light"/>
          <w:sz w:val="24"/>
          <w:szCs w:val="24"/>
          <w:lang w:val="en-GB"/>
        </w:rPr>
      </w:pPr>
      <w:r w:rsidRPr="00B90600">
        <w:rPr>
          <w:rFonts w:ascii="Calibri Light" w:hAnsi="Calibri Light" w:cs="Calibri Light"/>
          <w:sz w:val="24"/>
          <w:szCs w:val="24"/>
          <w:highlight w:val="yellow"/>
          <w:lang w:val="en-GB"/>
        </w:rPr>
        <w:t xml:space="preserve">Therefore, </w:t>
      </w:r>
      <w:r w:rsidR="007C7AE9">
        <w:rPr>
          <w:rFonts w:ascii="Calibri Light" w:hAnsi="Calibri Light" w:cs="Calibri Light"/>
          <w:sz w:val="24"/>
          <w:szCs w:val="24"/>
          <w:highlight w:val="yellow"/>
          <w:lang w:val="en-GB"/>
        </w:rPr>
        <w:t>enforcing</w:t>
      </w:r>
      <w:r w:rsidRPr="00B90600">
        <w:rPr>
          <w:rFonts w:ascii="Calibri Light" w:hAnsi="Calibri Light" w:cs="Calibri Light"/>
          <w:sz w:val="24"/>
          <w:szCs w:val="24"/>
          <w:highlight w:val="yellow"/>
          <w:lang w:val="en-GB"/>
        </w:rPr>
        <w:t xml:space="preserve"> court decisions in Ukraine is a complex and multifaceted problem </w:t>
      </w:r>
      <w:r w:rsidR="007C7AE9">
        <w:rPr>
          <w:rFonts w:ascii="Calibri Light" w:hAnsi="Calibri Light" w:cs="Calibri Light"/>
          <w:sz w:val="24"/>
          <w:szCs w:val="24"/>
          <w:highlight w:val="yellow"/>
          <w:lang w:val="en-GB"/>
        </w:rPr>
        <w:t>requiring immediate solutions</w:t>
      </w:r>
      <w:r w:rsidRPr="00B90600">
        <w:rPr>
          <w:rFonts w:ascii="Calibri Light" w:hAnsi="Calibri Light" w:cs="Calibri Light"/>
          <w:sz w:val="24"/>
          <w:szCs w:val="24"/>
          <w:highlight w:val="yellow"/>
          <w:lang w:val="en-GB"/>
        </w:rPr>
        <w:t>.</w:t>
      </w:r>
      <w:r w:rsidRPr="002D2B29">
        <w:rPr>
          <w:rFonts w:ascii="Calibri Light" w:hAnsi="Calibri Light" w:cs="Calibri Light"/>
          <w:sz w:val="24"/>
          <w:szCs w:val="24"/>
          <w:lang w:val="en-GB"/>
        </w:rPr>
        <w:t xml:space="preserve"> The analysis conducted has identified several pressing issues that significantly delay this process. Primarily, economic challenges impede the enforcement of court rulings. Additionally, the process is hindered by difficulties and inconsistencies in accessing information from various registry databases, significantly complicating the automation of court decision enforcement.</w:t>
      </w:r>
    </w:p>
    <w:p w:rsidR="002D2B29" w:rsidRPr="002D2B29" w:rsidP="002D2B29" w14:paraId="6E8536FE" w14:textId="77777777">
      <w:pPr>
        <w:pStyle w:val="ListParagraph"/>
        <w:spacing w:before="120" w:after="120" w:line="240" w:lineRule="auto"/>
        <w:ind w:left="436" w:hanging="11"/>
        <w:contextualSpacing w:val="0"/>
        <w:jc w:val="both"/>
        <w:rPr>
          <w:rFonts w:ascii="Calibri Light" w:hAnsi="Calibri Light" w:cs="Calibri Light"/>
          <w:sz w:val="24"/>
          <w:szCs w:val="24"/>
          <w:lang w:val="en-GB"/>
        </w:rPr>
      </w:pPr>
      <w:r w:rsidRPr="002D2B29">
        <w:rPr>
          <w:rFonts w:ascii="Calibri Light" w:hAnsi="Calibri Light" w:cs="Calibri Light"/>
          <w:sz w:val="24"/>
          <w:szCs w:val="24"/>
          <w:lang w:val="en-GB"/>
        </w:rPr>
        <w:t>Corruption-related challenges were also noted, arising from legal and legislative discrepancies and certain abuses by debtors, such as the frequent contestation of any actions by court enforcers, which obstruct progress in the enforcement process. Another significant issue is the disproportionate number of state executors, who, under existing legislation, possess significantly broader powers than their private counterparts. Furthermore, private executors are excluded from numerous cases, particularly those where the state is a defendant.</w:t>
      </w:r>
    </w:p>
    <w:p w:rsidR="002D2B29" w:rsidRPr="002D2B29" w:rsidP="002D2B29" w14:paraId="079BACDE" w14:textId="77777777">
      <w:pPr>
        <w:pStyle w:val="ListParagraph"/>
        <w:spacing w:before="120" w:after="120" w:line="240" w:lineRule="auto"/>
        <w:ind w:left="436" w:hanging="11"/>
        <w:contextualSpacing w:val="0"/>
        <w:jc w:val="both"/>
        <w:rPr>
          <w:rFonts w:ascii="Calibri Light" w:hAnsi="Calibri Light" w:cs="Calibri Light"/>
          <w:sz w:val="24"/>
          <w:szCs w:val="24"/>
          <w:lang w:val="en-GB"/>
        </w:rPr>
      </w:pPr>
      <w:r w:rsidRPr="002D2B29">
        <w:rPr>
          <w:rFonts w:ascii="Calibri Light" w:hAnsi="Calibri Light" w:cs="Calibri Light"/>
          <w:sz w:val="24"/>
          <w:szCs w:val="24"/>
          <w:lang w:val="en-GB"/>
        </w:rPr>
        <w:t>Implementing a series of structural reforms is one proposal for overcoming the negative phenomenon of court decisions not being enforced. These reforms encompass updating government programmes for compensating judicial debts, lifting restrictions on the sale of state property (by amending the moratorium to allow for the sale of up to 75% of state-owned assets), and introducing opportunities for debt restructuring.</w:t>
      </w:r>
    </w:p>
    <w:p w:rsidR="002D2B29" w:rsidRPr="002D2B29" w:rsidP="002D2B29" w14:paraId="7A4382CF" w14:textId="6B01B891">
      <w:pPr>
        <w:pStyle w:val="ListParagraph"/>
        <w:spacing w:before="120" w:after="120" w:line="240" w:lineRule="auto"/>
        <w:ind w:left="436" w:hanging="11"/>
        <w:contextualSpacing w:val="0"/>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A critical area for further development involves expanding court enforcers' access to databases and state registries. Overall, the </w:t>
      </w:r>
      <w:r w:rsidRPr="00C427CC">
        <w:rPr>
          <w:rFonts w:ascii="Calibri Light" w:hAnsi="Calibri Light" w:cs="Calibri Light"/>
          <w:sz w:val="24"/>
          <w:szCs w:val="24"/>
          <w:highlight w:val="yellow"/>
          <w:lang w:val="en-GB"/>
        </w:rPr>
        <w:t>transparency</w:t>
      </w:r>
      <w:r w:rsidRPr="002D2B29">
        <w:rPr>
          <w:rFonts w:ascii="Calibri Light" w:hAnsi="Calibri Light" w:cs="Calibri Light"/>
          <w:sz w:val="24"/>
          <w:szCs w:val="24"/>
          <w:lang w:val="en-GB"/>
        </w:rPr>
        <w:t xml:space="preserve"> of enforcement processes </w:t>
      </w:r>
      <w:r w:rsidR="007C7AE9">
        <w:rPr>
          <w:rFonts w:ascii="Calibri Light" w:hAnsi="Calibri Light" w:cs="Calibri Light"/>
          <w:sz w:val="24"/>
          <w:szCs w:val="24"/>
          <w:lang w:val="en-GB"/>
        </w:rPr>
        <w:t>requires</w:t>
      </w:r>
      <w:r w:rsidRPr="002D2B29">
        <w:rPr>
          <w:rFonts w:ascii="Calibri Light" w:hAnsi="Calibri Light" w:cs="Calibri Light"/>
          <w:sz w:val="24"/>
          <w:szCs w:val="24"/>
          <w:lang w:val="en-GB"/>
        </w:rPr>
        <w:t xml:space="preserve"> special attention, as these measures can improve the general situation regarding court decision enforcement and restore public trust in the judiciary in Ukraine.</w:t>
      </w:r>
    </w:p>
    <w:p w:rsidR="006A511E" w:rsidP="002D2B29" w14:paraId="0AFE27F4" w14:textId="69A2161B">
      <w:pPr>
        <w:pStyle w:val="ListParagraph"/>
        <w:spacing w:before="120" w:after="120" w:line="240" w:lineRule="auto"/>
        <w:ind w:left="436" w:hanging="11"/>
        <w:contextualSpacing w:val="0"/>
        <w:jc w:val="both"/>
        <w:rPr>
          <w:rFonts w:ascii="Calibri Light" w:hAnsi="Calibri Light" w:cs="Calibri Light"/>
          <w:sz w:val="24"/>
          <w:szCs w:val="24"/>
          <w:lang w:val="uk-UA"/>
        </w:rPr>
      </w:pPr>
      <w:r w:rsidRPr="00C427CC">
        <w:rPr>
          <w:rFonts w:ascii="Calibri Light" w:hAnsi="Calibri Light" w:cs="Calibri Light"/>
          <w:sz w:val="24"/>
          <w:szCs w:val="24"/>
          <w:highlight w:val="yellow"/>
          <w:lang w:val="en-GB"/>
        </w:rPr>
        <w:t>Based on the experience of EU countries, privatization of the executive service increased efficiency by 18%.</w:t>
      </w:r>
      <w:r>
        <w:rPr>
          <w:rFonts w:ascii="Calibri Light" w:hAnsi="Calibri Light" w:cs="Calibri Light"/>
          <w:sz w:val="24"/>
          <w:szCs w:val="24"/>
          <w:lang w:val="en-GB"/>
        </w:rPr>
        <w:t xml:space="preserve"> </w:t>
      </w:r>
      <w:r w:rsidRPr="002D2B29" w:rsidR="002D2B29">
        <w:rPr>
          <w:rFonts w:ascii="Calibri Light" w:hAnsi="Calibri Light" w:cs="Calibri Light"/>
          <w:sz w:val="24"/>
          <w:szCs w:val="24"/>
          <w:lang w:val="en-GB"/>
        </w:rPr>
        <w:t xml:space="preserve">Another method for addressing these issues is to include </w:t>
      </w:r>
      <w:r w:rsidR="007C7AE9">
        <w:rPr>
          <w:rFonts w:ascii="Calibri Light" w:hAnsi="Calibri Light" w:cs="Calibri Light"/>
          <w:sz w:val="24"/>
          <w:szCs w:val="24"/>
          <w:lang w:val="en-GB"/>
        </w:rPr>
        <w:t>more</w:t>
      </w:r>
      <w:r w:rsidRPr="002D2B29" w:rsidR="002D2B29">
        <w:rPr>
          <w:rFonts w:ascii="Calibri Light" w:hAnsi="Calibri Light" w:cs="Calibri Light"/>
          <w:sz w:val="24"/>
          <w:szCs w:val="24"/>
          <w:lang w:val="en-GB"/>
        </w:rPr>
        <w:t xml:space="preserve"> private executors. Their participation could foster competition, potentially leading to enhanced efficiency and revitalisation in </w:t>
      </w:r>
      <w:r w:rsidR="007C7AE9">
        <w:rPr>
          <w:rFonts w:ascii="Calibri Light" w:hAnsi="Calibri Light" w:cs="Calibri Light"/>
          <w:sz w:val="24"/>
          <w:szCs w:val="24"/>
          <w:lang w:val="en-GB"/>
        </w:rPr>
        <w:t>enforcing</w:t>
      </w:r>
      <w:r w:rsidRPr="002D2B29" w:rsidR="002D2B29">
        <w:rPr>
          <w:rFonts w:ascii="Calibri Light" w:hAnsi="Calibri Light" w:cs="Calibri Light"/>
          <w:sz w:val="24"/>
          <w:szCs w:val="24"/>
          <w:lang w:val="en-GB"/>
        </w:rPr>
        <w:t xml:space="preserve"> court decisions.</w:t>
      </w:r>
    </w:p>
    <w:p w:rsidR="00C427CC" w:rsidRPr="00C427CC" w:rsidP="002D2B29" w14:paraId="6F1EB490" w14:textId="58A2A6BB">
      <w:pPr>
        <w:pStyle w:val="ListParagraph"/>
        <w:spacing w:before="120" w:after="120" w:line="240" w:lineRule="auto"/>
        <w:ind w:left="436" w:hanging="11"/>
        <w:contextualSpacing w:val="0"/>
        <w:jc w:val="both"/>
        <w:rPr>
          <w:rFonts w:ascii="Calibri Light" w:hAnsi="Calibri Light" w:cs="Calibri Light"/>
          <w:sz w:val="24"/>
          <w:szCs w:val="24"/>
          <w:lang w:val="uk-UA"/>
        </w:rPr>
      </w:pPr>
      <w:r w:rsidRPr="00C427CC">
        <w:rPr>
          <w:rFonts w:ascii="Calibri Light" w:hAnsi="Calibri Light" w:cs="Calibri Light"/>
          <w:sz w:val="24"/>
          <w:szCs w:val="24"/>
          <w:highlight w:val="yellow"/>
          <w:lang w:val="uk-UA"/>
        </w:rPr>
        <w:t xml:space="preserve">Therefore, the above approaches and recommendations for reforming the system of enforcement of court decisions in Ukraine, including the privatization of the enforcement service and improving access to registers, can make a significant contribution to improving the efficiency of enforcement of court decisions, which is currently critically </w:t>
      </w:r>
      <w:r w:rsidR="007C7AE9">
        <w:rPr>
          <w:rFonts w:ascii="Calibri Light" w:hAnsi="Calibri Light" w:cs="Calibri Light"/>
          <w:sz w:val="24"/>
          <w:szCs w:val="24"/>
          <w:highlight w:val="yellow"/>
          <w:lang w:val="uk-UA"/>
        </w:rPr>
        <w:t>crucial</w:t>
      </w:r>
      <w:r w:rsidRPr="00C427CC">
        <w:rPr>
          <w:rFonts w:ascii="Calibri Light" w:hAnsi="Calibri Light" w:cs="Calibri Light"/>
          <w:sz w:val="24"/>
          <w:szCs w:val="24"/>
          <w:highlight w:val="yellow"/>
          <w:lang w:val="uk-UA"/>
        </w:rPr>
        <w:t xml:space="preserve"> for restoring trust in the judicial system and the rule of law in Ukraine</w:t>
      </w:r>
      <w:r w:rsidRPr="00C427CC">
        <w:rPr>
          <w:rFonts w:ascii="Calibri Light" w:hAnsi="Calibri Light" w:cs="Calibri Light"/>
          <w:sz w:val="24"/>
          <w:szCs w:val="24"/>
          <w:lang w:val="uk-UA"/>
        </w:rPr>
        <w:t>.</w:t>
      </w:r>
    </w:p>
    <w:p w:rsidR="00741058" w:rsidRPr="002D2B29" w:rsidP="00F369EC" w14:paraId="534F6CB8" w14:textId="77777777">
      <w:pPr>
        <w:spacing w:line="240" w:lineRule="atLeast"/>
        <w:jc w:val="both"/>
        <w:rPr>
          <w:rFonts w:ascii="Calibri Light" w:hAnsi="Calibri Light" w:cs="Calibri Light"/>
          <w:b/>
          <w:sz w:val="24"/>
          <w:szCs w:val="24"/>
          <w:lang w:val="id-ID"/>
        </w:rPr>
      </w:pPr>
      <w:r w:rsidRPr="00122F5F">
        <w:rPr>
          <w:rFonts w:ascii="Calibri Light" w:hAnsi="Calibri Light" w:cs="Calibri Light"/>
          <w:b/>
          <w:sz w:val="24"/>
          <w:szCs w:val="24"/>
          <w:lang w:val="id-ID"/>
        </w:rPr>
        <w:t xml:space="preserve">V. </w:t>
      </w:r>
      <w:r w:rsidRPr="00122F5F">
        <w:rPr>
          <w:rFonts w:ascii="Calibri Light" w:hAnsi="Calibri Light" w:cs="Calibri Light"/>
          <w:b/>
          <w:sz w:val="24"/>
          <w:szCs w:val="24"/>
        </w:rPr>
        <w:t>REFERENCES</w:t>
      </w:r>
    </w:p>
    <w:p w:rsidR="002D2B29" w:rsidRPr="002D2B29" w:rsidP="002D2B29" w14:paraId="290AA7B6"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s-VE"/>
        </w:rPr>
      </w:pPr>
      <w:r w:rsidRPr="002D2B29">
        <w:rPr>
          <w:rFonts w:ascii="Calibri Light" w:hAnsi="Calibri Light" w:cs="Calibri Light"/>
          <w:sz w:val="24"/>
          <w:szCs w:val="24"/>
        </w:rPr>
        <w:t xml:space="preserve">Holodnyk, Y., Predmestnikov, O., Vasylenko, V., Gorinov, P., &amp; Kudin, S. (2023). </w:t>
      </w:r>
      <w:r w:rsidRPr="002D2B29">
        <w:rPr>
          <w:rFonts w:ascii="Calibri Light" w:hAnsi="Calibri Light" w:cs="Calibri Light"/>
          <w:sz w:val="24"/>
          <w:szCs w:val="24"/>
          <w:lang w:val="en-GB"/>
        </w:rPr>
        <w:t xml:space="preserve">Legal regulation of public control over the activities of Ukrainian law enforcement </w:t>
      </w:r>
      <w:r w:rsidRPr="002D2B29">
        <w:rPr>
          <w:rFonts w:ascii="Calibri Light" w:hAnsi="Calibri Light" w:cs="Calibri Light"/>
          <w:sz w:val="24"/>
          <w:szCs w:val="24"/>
          <w:lang w:val="en-GB"/>
        </w:rPr>
        <w:t xml:space="preserve">agencies: Experience of Ukraine and certain countries. </w:t>
      </w:r>
      <w:r w:rsidRPr="002D2B29">
        <w:rPr>
          <w:rFonts w:ascii="Calibri Light" w:hAnsi="Calibri Light" w:cs="Calibri Light"/>
          <w:i/>
          <w:sz w:val="24"/>
          <w:szCs w:val="24"/>
          <w:lang w:val="es-VE"/>
        </w:rPr>
        <w:t>Cuestiones Políticas</w:t>
      </w:r>
      <w:r w:rsidRPr="002D2B29">
        <w:rPr>
          <w:rFonts w:ascii="Calibri Light" w:hAnsi="Calibri Light" w:cs="Calibri Light"/>
          <w:sz w:val="24"/>
          <w:szCs w:val="24"/>
          <w:lang w:val="es-VE"/>
        </w:rPr>
        <w:t xml:space="preserve">, </w:t>
      </w:r>
      <w:r w:rsidRPr="002D2B29">
        <w:rPr>
          <w:rFonts w:ascii="Calibri Light" w:hAnsi="Calibri Light" w:cs="Calibri Light"/>
          <w:i/>
          <w:sz w:val="24"/>
          <w:szCs w:val="24"/>
          <w:lang w:val="es-VE"/>
        </w:rPr>
        <w:t>41</w:t>
      </w:r>
      <w:r w:rsidRPr="002D2B29">
        <w:rPr>
          <w:rFonts w:ascii="Calibri Light" w:hAnsi="Calibri Light" w:cs="Calibri Light"/>
          <w:sz w:val="24"/>
          <w:szCs w:val="24"/>
          <w:lang w:val="es-VE"/>
        </w:rPr>
        <w:t xml:space="preserve">(79), 567–582. </w:t>
      </w:r>
      <w:hyperlink r:id="rId13" w:history="1">
        <w:r w:rsidRPr="002D2B29">
          <w:rPr>
            <w:rStyle w:val="Hyperlink"/>
            <w:rFonts w:ascii="Calibri Light" w:hAnsi="Calibri Light" w:cs="Calibri Light"/>
            <w:sz w:val="24"/>
            <w:szCs w:val="24"/>
            <w:lang w:val="es-VE"/>
          </w:rPr>
          <w:t>https://doi.org/10.46398/cuestpol.4179.38</w:t>
        </w:r>
      </w:hyperlink>
    </w:p>
    <w:p w:rsidR="002D2B29" w:rsidRPr="002D2B29" w:rsidP="002D2B29" w14:paraId="18D0B4EE"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s-VE"/>
        </w:rPr>
      </w:pPr>
      <w:r w:rsidRPr="002D2B29">
        <w:rPr>
          <w:rFonts w:ascii="Calibri Light" w:hAnsi="Calibri Light" w:cs="Calibri Light"/>
          <w:sz w:val="24"/>
          <w:szCs w:val="24"/>
          <w:lang w:val="es-VE"/>
        </w:rPr>
        <w:t xml:space="preserve">Krupchan, O., Salmanova, O., Makarenko, N., Paskar, A., &amp; Yatskovyna, V. (2023). </w:t>
      </w:r>
      <w:r w:rsidRPr="002D2B29">
        <w:rPr>
          <w:rFonts w:ascii="Calibri Light" w:hAnsi="Calibri Light" w:cs="Calibri Light"/>
          <w:sz w:val="24"/>
          <w:szCs w:val="24"/>
          <w:lang w:val="en-GB"/>
        </w:rPr>
        <w:t xml:space="preserve">Access to Justice within Administrative Proceedings of Ukraine: Modern Realities and European Experience. </w:t>
      </w:r>
      <w:r w:rsidRPr="002D2B29">
        <w:rPr>
          <w:rFonts w:ascii="Calibri Light" w:hAnsi="Calibri Light" w:cs="Calibri Light"/>
          <w:i/>
          <w:sz w:val="24"/>
          <w:szCs w:val="24"/>
          <w:lang w:val="es-VE"/>
        </w:rPr>
        <w:t>Cuestiones Políticas</w:t>
      </w:r>
      <w:r w:rsidRPr="002D2B29">
        <w:rPr>
          <w:rFonts w:ascii="Calibri Light" w:hAnsi="Calibri Light" w:cs="Calibri Light"/>
          <w:sz w:val="24"/>
          <w:szCs w:val="24"/>
          <w:lang w:val="es-VE"/>
        </w:rPr>
        <w:t xml:space="preserve">, </w:t>
      </w:r>
      <w:r w:rsidRPr="002D2B29">
        <w:rPr>
          <w:rFonts w:ascii="Calibri Light" w:hAnsi="Calibri Light" w:cs="Calibri Light"/>
          <w:i/>
          <w:sz w:val="24"/>
          <w:szCs w:val="24"/>
          <w:lang w:val="es-VE"/>
        </w:rPr>
        <w:t>41</w:t>
      </w:r>
      <w:r w:rsidRPr="002D2B29">
        <w:rPr>
          <w:rFonts w:ascii="Calibri Light" w:hAnsi="Calibri Light" w:cs="Calibri Light"/>
          <w:sz w:val="24"/>
          <w:szCs w:val="24"/>
          <w:lang w:val="es-VE"/>
        </w:rPr>
        <w:t xml:space="preserve">(77), 103–115. </w:t>
      </w:r>
      <w:hyperlink r:id="rId14" w:history="1">
        <w:r w:rsidRPr="002D2B29">
          <w:rPr>
            <w:rStyle w:val="Hyperlink"/>
            <w:rFonts w:ascii="Calibri Light" w:hAnsi="Calibri Light" w:cs="Calibri Light"/>
            <w:sz w:val="24"/>
            <w:szCs w:val="24"/>
            <w:lang w:val="es-VE"/>
          </w:rPr>
          <w:t>https://doi.org/10.46398/cuestpol.4177.07</w:t>
        </w:r>
      </w:hyperlink>
    </w:p>
    <w:p w:rsidR="002D2B29" w:rsidRPr="002D2B29" w:rsidP="002D2B29" w14:paraId="19B9D0B3"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s-VE"/>
        </w:rPr>
        <w:t xml:space="preserve">Baranyanan, S. D., Firmandayu, N., &amp; Danendra, R. (2024). </w:t>
      </w:r>
      <w:r w:rsidRPr="002D2B29">
        <w:rPr>
          <w:rFonts w:ascii="Calibri Light" w:hAnsi="Calibri Light" w:cs="Calibri Light"/>
          <w:sz w:val="24"/>
          <w:szCs w:val="24"/>
          <w:lang w:val="en-GB"/>
        </w:rPr>
        <w:t xml:space="preserve">The Compliance of Regional Autonomy with State Administrative Court Decisions. </w:t>
      </w:r>
      <w:r w:rsidRPr="002D2B29">
        <w:rPr>
          <w:rFonts w:ascii="Calibri Light" w:hAnsi="Calibri Light" w:cs="Calibri Light"/>
          <w:i/>
          <w:sz w:val="24"/>
          <w:szCs w:val="24"/>
          <w:lang w:val="en-GB"/>
        </w:rPr>
        <w:t>Journal of Sustainable Development and Regulatory Issues (JSDERI)</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w:t>
      </w:r>
      <w:r w:rsidRPr="002D2B29">
        <w:rPr>
          <w:rFonts w:ascii="Calibri Light" w:hAnsi="Calibri Light" w:cs="Calibri Light"/>
          <w:sz w:val="24"/>
          <w:szCs w:val="24"/>
          <w:lang w:val="en-GB"/>
        </w:rPr>
        <w:t xml:space="preserve">(1), 35–52. </w:t>
      </w:r>
      <w:hyperlink r:id="rId15" w:history="1">
        <w:r w:rsidRPr="002D2B29">
          <w:rPr>
            <w:rStyle w:val="Hyperlink"/>
            <w:rFonts w:ascii="Calibri Light" w:hAnsi="Calibri Light" w:cs="Calibri Light"/>
            <w:sz w:val="24"/>
            <w:szCs w:val="24"/>
            <w:lang w:val="en-GB"/>
          </w:rPr>
          <w:t>https://doi.org/10.53955/jsderi.v2i1.25</w:t>
        </w:r>
      </w:hyperlink>
    </w:p>
    <w:p w:rsidR="002D2B29" w:rsidRPr="002D2B29" w:rsidP="002D2B29" w14:paraId="08882C63" w14:textId="77777777">
      <w:pPr>
        <w:pStyle w:val="ListParagraph"/>
        <w:numPr>
          <w:ilvl w:val="0"/>
          <w:numId w:val="42"/>
        </w:numPr>
        <w:spacing w:before="120" w:after="120" w:line="240" w:lineRule="auto"/>
        <w:ind w:right="-1" w:hanging="502"/>
        <w:jc w:val="both"/>
        <w:rPr>
          <w:rFonts w:ascii="Calibri Light" w:hAnsi="Calibri Light" w:cs="Calibri Light"/>
          <w:sz w:val="24"/>
          <w:szCs w:val="24"/>
          <w:u w:val="single"/>
          <w:lang w:val="uk-UA"/>
        </w:rPr>
      </w:pPr>
      <w:r w:rsidRPr="002D2B29">
        <w:rPr>
          <w:rFonts w:ascii="Calibri Light" w:hAnsi="Calibri Light" w:cs="Calibri Light"/>
          <w:sz w:val="24"/>
          <w:szCs w:val="24"/>
          <w:lang w:val="en-GB"/>
        </w:rPr>
        <w:t xml:space="preserve">Brekke, S. A., Fjelstul, J. C., Hermansen, S. S. L., &amp; Naurin, D. (2023). The CJEU Database Platform: Decisions and Decision-Makers. </w:t>
      </w:r>
      <w:r w:rsidRPr="002D2B29">
        <w:rPr>
          <w:rFonts w:ascii="Calibri Light" w:hAnsi="Calibri Light" w:cs="Calibri Light"/>
          <w:i/>
          <w:iCs/>
          <w:sz w:val="24"/>
          <w:szCs w:val="24"/>
          <w:lang w:val="en-GB"/>
        </w:rPr>
        <w:t>Journal of Law and Courts</w:t>
      </w:r>
      <w:r w:rsidRPr="002D2B29">
        <w:rPr>
          <w:rFonts w:ascii="Calibri Light" w:hAnsi="Calibri Light" w:cs="Calibri Light"/>
          <w:sz w:val="24"/>
          <w:szCs w:val="24"/>
          <w:lang w:val="en-GB"/>
        </w:rPr>
        <w:t xml:space="preserve">, </w:t>
      </w:r>
      <w:r w:rsidRPr="002D2B29">
        <w:rPr>
          <w:rFonts w:ascii="Calibri Light" w:hAnsi="Calibri Light" w:cs="Calibri Light"/>
          <w:i/>
          <w:iCs/>
          <w:sz w:val="24"/>
          <w:szCs w:val="24"/>
          <w:lang w:val="en-GB"/>
        </w:rPr>
        <w:t>11</w:t>
      </w:r>
      <w:r w:rsidRPr="002D2B29">
        <w:rPr>
          <w:rFonts w:ascii="Calibri Light" w:hAnsi="Calibri Light" w:cs="Calibri Light"/>
          <w:sz w:val="24"/>
          <w:szCs w:val="24"/>
          <w:lang w:val="en-GB"/>
        </w:rPr>
        <w:t xml:space="preserve">(2), 389–410. </w:t>
      </w:r>
      <w:hyperlink r:id="rId16" w:history="1">
        <w:r w:rsidRPr="002D2B29">
          <w:rPr>
            <w:rStyle w:val="Hyperlink"/>
            <w:rFonts w:ascii="Calibri Light" w:hAnsi="Calibri Light" w:cs="Calibri Light"/>
            <w:sz w:val="24"/>
            <w:szCs w:val="24"/>
            <w:lang w:val="uk-UA"/>
          </w:rPr>
          <w:t>https://doi.org/10.1017/jlc.2022.3</w:t>
        </w:r>
      </w:hyperlink>
    </w:p>
    <w:p w:rsidR="002D2B29" w:rsidRPr="002D2B29" w:rsidP="002D2B29" w14:paraId="6B1B7EC5"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uk-UA"/>
        </w:rPr>
        <w:t xml:space="preserve">Lubis, A. F. (2024). </w:t>
      </w:r>
      <w:r w:rsidRPr="002D2B29">
        <w:rPr>
          <w:rFonts w:ascii="Calibri Light" w:hAnsi="Calibri Light" w:cs="Calibri Light"/>
          <w:sz w:val="24"/>
          <w:szCs w:val="24"/>
          <w:lang w:val="en-GB"/>
        </w:rPr>
        <w:t xml:space="preserve">Law Enforcement In Cases Of Criminal Domestic Violence (KDRT) Within The TNI.  </w:t>
      </w:r>
      <w:r w:rsidRPr="002D2B29">
        <w:rPr>
          <w:rFonts w:ascii="Calibri Light" w:hAnsi="Calibri Light" w:cs="Calibri Light"/>
          <w:i/>
          <w:sz w:val="24"/>
          <w:szCs w:val="24"/>
          <w:lang w:val="en-GB"/>
        </w:rPr>
        <w:t>International Journal of Law and Society</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w:t>
      </w:r>
      <w:r w:rsidRPr="002D2B29">
        <w:rPr>
          <w:rFonts w:ascii="Calibri Light" w:hAnsi="Calibri Light" w:cs="Calibri Light"/>
          <w:sz w:val="24"/>
          <w:szCs w:val="24"/>
          <w:lang w:val="en-GB"/>
        </w:rPr>
        <w:t xml:space="preserve">(2), 134–141. </w:t>
      </w:r>
      <w:hyperlink r:id="rId17" w:history="1">
        <w:r w:rsidRPr="002D2B29">
          <w:rPr>
            <w:rStyle w:val="Hyperlink"/>
            <w:rFonts w:ascii="Calibri Light" w:hAnsi="Calibri Light" w:cs="Calibri Light"/>
            <w:sz w:val="24"/>
            <w:szCs w:val="24"/>
            <w:lang w:val="en-GB"/>
          </w:rPr>
          <w:t>https://doi.org/10.62951/ijls.v1i2.37</w:t>
        </w:r>
      </w:hyperlink>
    </w:p>
    <w:p w:rsidR="002D2B29" w:rsidRPr="002D2B29" w:rsidP="002D2B29" w14:paraId="18DB3D3C"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Gentile, G. (2023). Effective judicial protection: Enforcement, judicial federalism and the politics of EU law. </w:t>
      </w:r>
      <w:r w:rsidRPr="002D2B29">
        <w:rPr>
          <w:rFonts w:ascii="Calibri Light" w:hAnsi="Calibri Light" w:cs="Calibri Light"/>
          <w:i/>
          <w:iCs/>
          <w:sz w:val="24"/>
          <w:szCs w:val="24"/>
          <w:lang w:val="en-GB"/>
        </w:rPr>
        <w:t>European Law Open</w:t>
      </w:r>
      <w:r w:rsidRPr="002D2B29">
        <w:rPr>
          <w:rFonts w:ascii="Calibri Light" w:hAnsi="Calibri Light" w:cs="Calibri Light"/>
          <w:sz w:val="24"/>
          <w:szCs w:val="24"/>
          <w:lang w:val="en-GB"/>
        </w:rPr>
        <w:t xml:space="preserve">, </w:t>
      </w:r>
      <w:r w:rsidRPr="002D2B29">
        <w:rPr>
          <w:rFonts w:ascii="Calibri Light" w:hAnsi="Calibri Light" w:cs="Calibri Light"/>
          <w:i/>
          <w:iCs/>
          <w:sz w:val="24"/>
          <w:szCs w:val="24"/>
          <w:lang w:val="en-GB"/>
        </w:rPr>
        <w:t>2</w:t>
      </w:r>
      <w:r w:rsidRPr="002D2B29">
        <w:rPr>
          <w:rFonts w:ascii="Calibri Light" w:hAnsi="Calibri Light" w:cs="Calibri Light"/>
          <w:sz w:val="24"/>
          <w:szCs w:val="24"/>
          <w:lang w:val="en-GB"/>
        </w:rPr>
        <w:t xml:space="preserve">(1), 128–143. </w:t>
      </w:r>
      <w:hyperlink r:id="rId18" w:history="1">
        <w:r w:rsidRPr="002D2B29">
          <w:rPr>
            <w:rStyle w:val="Hyperlink"/>
            <w:rFonts w:ascii="Calibri Light" w:hAnsi="Calibri Light" w:cs="Calibri Light"/>
            <w:sz w:val="24"/>
            <w:szCs w:val="24"/>
            <w:lang w:val="en-GB"/>
          </w:rPr>
          <w:t>https://doi.org/10.1017/elo.2022.48</w:t>
        </w:r>
      </w:hyperlink>
    </w:p>
    <w:p w:rsidR="002D2B29" w:rsidRPr="002D2B29" w:rsidP="002D2B29" w14:paraId="2DC8EF67"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Bello, S. A. (2024). The Politics of Poverty and Economic Development in Nigeria. </w:t>
      </w:r>
      <w:r w:rsidRPr="002D2B29">
        <w:rPr>
          <w:rFonts w:ascii="Calibri Light" w:hAnsi="Calibri Light" w:cs="Calibri Light"/>
          <w:i/>
          <w:sz w:val="24"/>
          <w:szCs w:val="24"/>
          <w:lang w:val="en-GB"/>
        </w:rPr>
        <w:t>Futurity of Social Sciences</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w:t>
      </w:r>
      <w:r w:rsidRPr="002D2B29">
        <w:rPr>
          <w:rFonts w:ascii="Calibri Light" w:hAnsi="Calibri Light" w:cs="Calibri Light"/>
          <w:sz w:val="24"/>
          <w:szCs w:val="24"/>
          <w:lang w:val="en-GB"/>
        </w:rPr>
        <w:t xml:space="preserve">(4), 101–116. </w:t>
      </w:r>
      <w:hyperlink r:id="rId19" w:history="1">
        <w:r w:rsidRPr="002D2B29">
          <w:rPr>
            <w:rStyle w:val="Hyperlink"/>
            <w:rFonts w:ascii="Calibri Light" w:hAnsi="Calibri Light" w:cs="Calibri Light"/>
            <w:sz w:val="24"/>
            <w:szCs w:val="24"/>
            <w:lang w:val="en-GB"/>
          </w:rPr>
          <w:t>https://doi.org/10.57125/fs.2024.12.20.06</w:t>
        </w:r>
      </w:hyperlink>
    </w:p>
    <w:p w:rsidR="002D2B29" w:rsidRPr="002D2B29" w:rsidP="002D2B29" w14:paraId="10951CA3"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Magalhães, P. C., Skiple, J. K., Pereira, M. M., Arnesen, S., &amp; Bentsen, H. L. (2023). Beyond the Myth of Legality? Framing Effects and Public Reactions to High Court Decisions in Europe. </w:t>
      </w:r>
      <w:r w:rsidRPr="002D2B29">
        <w:rPr>
          <w:rFonts w:ascii="Calibri Light" w:hAnsi="Calibri Light" w:cs="Calibri Light"/>
          <w:i/>
          <w:iCs/>
          <w:sz w:val="24"/>
          <w:szCs w:val="24"/>
          <w:lang w:val="en-GB"/>
        </w:rPr>
        <w:t>Comparative Political Studies</w:t>
      </w:r>
      <w:r w:rsidRPr="002D2B29">
        <w:rPr>
          <w:rFonts w:ascii="Calibri Light" w:hAnsi="Calibri Light" w:cs="Calibri Light"/>
          <w:sz w:val="24"/>
          <w:szCs w:val="24"/>
          <w:lang w:val="en-GB"/>
        </w:rPr>
        <w:t xml:space="preserve">, </w:t>
      </w:r>
      <w:r w:rsidRPr="002D2B29">
        <w:rPr>
          <w:rFonts w:ascii="Calibri Light" w:hAnsi="Calibri Light" w:cs="Calibri Light"/>
          <w:i/>
          <w:iCs/>
          <w:sz w:val="24"/>
          <w:szCs w:val="24"/>
          <w:lang w:val="en-GB"/>
        </w:rPr>
        <w:t>56</w:t>
      </w:r>
      <w:r w:rsidRPr="002D2B29">
        <w:rPr>
          <w:rFonts w:ascii="Calibri Light" w:hAnsi="Calibri Light" w:cs="Calibri Light"/>
          <w:sz w:val="24"/>
          <w:szCs w:val="24"/>
          <w:lang w:val="en-GB"/>
        </w:rPr>
        <w:t xml:space="preserve">(10), 1537–1566. </w:t>
      </w:r>
      <w:hyperlink r:id="rId20" w:history="1">
        <w:r w:rsidRPr="002D2B29">
          <w:rPr>
            <w:rStyle w:val="Hyperlink"/>
            <w:rFonts w:ascii="Calibri Light" w:hAnsi="Calibri Light" w:cs="Calibri Light"/>
            <w:sz w:val="24"/>
            <w:szCs w:val="24"/>
            <w:lang w:val="en-GB"/>
          </w:rPr>
          <w:t>https://doi.org/10.1177/00104140231152769</w:t>
        </w:r>
      </w:hyperlink>
    </w:p>
    <w:p w:rsidR="002D2B29" w:rsidRPr="002D2B29" w:rsidP="002D2B29" w14:paraId="43784100"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974627">
        <w:rPr>
          <w:rFonts w:ascii="Calibri Light" w:hAnsi="Calibri Light" w:cs="Calibri Light"/>
          <w:sz w:val="24"/>
          <w:szCs w:val="24"/>
          <w:lang w:val="es-EC"/>
        </w:rPr>
        <w:t xml:space="preserve">Navarrete, R. M., &amp; Castillo-Ortiz, P. (2019). </w:t>
      </w:r>
      <w:r w:rsidRPr="002D2B29">
        <w:rPr>
          <w:rFonts w:ascii="Calibri Light" w:hAnsi="Calibri Light" w:cs="Calibri Light"/>
          <w:sz w:val="24"/>
          <w:szCs w:val="24"/>
          <w:lang w:val="en-GB"/>
        </w:rPr>
        <w:t xml:space="preserve">Constitutional courts and citizens’ perceptions of judicial systems in Europe. </w:t>
      </w:r>
      <w:r w:rsidRPr="002D2B29">
        <w:rPr>
          <w:rFonts w:ascii="Calibri Light" w:hAnsi="Calibri Light" w:cs="Calibri Light"/>
          <w:i/>
          <w:sz w:val="24"/>
          <w:szCs w:val="24"/>
          <w:lang w:val="en-GB"/>
        </w:rPr>
        <w:t>Comparative European Politics</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18</w:t>
      </w:r>
      <w:r w:rsidRPr="002D2B29">
        <w:rPr>
          <w:rFonts w:ascii="Calibri Light" w:hAnsi="Calibri Light" w:cs="Calibri Light"/>
          <w:sz w:val="24"/>
          <w:szCs w:val="24"/>
          <w:lang w:val="en-GB"/>
        </w:rPr>
        <w:t xml:space="preserve">(2), 128–150. </w:t>
      </w:r>
      <w:hyperlink r:id="rId21" w:history="1">
        <w:r w:rsidRPr="002D2B29">
          <w:rPr>
            <w:rStyle w:val="Hyperlink"/>
            <w:rFonts w:ascii="Calibri Light" w:hAnsi="Calibri Light" w:cs="Calibri Light"/>
            <w:sz w:val="24"/>
            <w:szCs w:val="24"/>
            <w:lang w:val="en-GB"/>
          </w:rPr>
          <w:t>https://doi.org/10.1057/s41295-019-00154-9</w:t>
        </w:r>
      </w:hyperlink>
    </w:p>
    <w:p w:rsidR="002D2B29" w:rsidRPr="002D2B29" w:rsidP="002D2B29" w14:paraId="77628825" w14:textId="267F1DAE">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974627">
        <w:rPr>
          <w:rFonts w:ascii="Calibri Light" w:hAnsi="Calibri Light" w:cs="Calibri Light"/>
          <w:sz w:val="24"/>
          <w:szCs w:val="24"/>
          <w:lang w:val="de-DE"/>
        </w:rPr>
        <w:t xml:space="preserve">Potapenko, A. V., Pylypenko, S. A., Korolenko, V. M., &amp; Melnyk, I. S. (2020). </w:t>
      </w:r>
      <w:r w:rsidR="007C7AE9">
        <w:rPr>
          <w:rFonts w:ascii="Calibri Light" w:hAnsi="Calibri Light" w:cs="Calibri Light"/>
          <w:sz w:val="24"/>
          <w:szCs w:val="24"/>
          <w:lang w:val="en-GB"/>
        </w:rPr>
        <w:t>Implementing</w:t>
      </w:r>
      <w:bookmarkStart w:id="0" w:name="_GoBack"/>
      <w:bookmarkEnd w:id="0"/>
      <w:r w:rsidRPr="002D2B29">
        <w:rPr>
          <w:rFonts w:ascii="Calibri Light" w:hAnsi="Calibri Light" w:cs="Calibri Light"/>
          <w:sz w:val="24"/>
          <w:szCs w:val="24"/>
          <w:lang w:val="en-GB"/>
        </w:rPr>
        <w:t xml:space="preserve"> International Standards for Determining an Efficient Civil Law Remedy by a National Court. </w:t>
      </w:r>
      <w:r w:rsidRPr="002D2B29">
        <w:rPr>
          <w:rFonts w:ascii="Calibri Light" w:hAnsi="Calibri Light" w:cs="Calibri Light"/>
          <w:i/>
          <w:sz w:val="24"/>
          <w:szCs w:val="24"/>
          <w:lang w:val="en-GB"/>
        </w:rPr>
        <w:t>International Journal of Criminology and Sociology</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10</w:t>
      </w:r>
      <w:r w:rsidRPr="002D2B29">
        <w:rPr>
          <w:rFonts w:ascii="Calibri Light" w:hAnsi="Calibri Light" w:cs="Calibri Light"/>
          <w:sz w:val="24"/>
          <w:szCs w:val="24"/>
          <w:lang w:val="en-GB"/>
        </w:rPr>
        <w:t xml:space="preserve">, 412–422. </w:t>
      </w:r>
      <w:hyperlink r:id="rId22" w:history="1">
        <w:r w:rsidRPr="002D2B29">
          <w:rPr>
            <w:rStyle w:val="Hyperlink"/>
            <w:rFonts w:ascii="Calibri Light" w:hAnsi="Calibri Light" w:cs="Calibri Light"/>
            <w:sz w:val="24"/>
            <w:szCs w:val="24"/>
            <w:lang w:val="en-GB"/>
          </w:rPr>
          <w:t>https://doi.org/10.6000/1929-4409.2021.10.49</w:t>
        </w:r>
      </w:hyperlink>
    </w:p>
    <w:p w:rsidR="002D2B29" w:rsidRPr="002D2B29" w:rsidP="002D2B29" w14:paraId="1A0DE9E8"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974627">
        <w:rPr>
          <w:rFonts w:ascii="Calibri Light" w:hAnsi="Calibri Light" w:cs="Calibri Light"/>
          <w:sz w:val="24"/>
          <w:szCs w:val="24"/>
          <w:lang w:val="es-EC"/>
        </w:rPr>
        <w:t xml:space="preserve">Kravtsova, T. M., &amp; Petrova, N. O. (2018). </w:t>
      </w:r>
      <w:r w:rsidRPr="002D2B29">
        <w:rPr>
          <w:rFonts w:ascii="Calibri Light" w:hAnsi="Calibri Light" w:cs="Calibri Light"/>
          <w:sz w:val="24"/>
          <w:szCs w:val="24"/>
          <w:lang w:val="en-GB"/>
        </w:rPr>
        <w:t xml:space="preserve">Scientific and practical analysis of administrative jurisdiction in the light of the adoption of the new code of administrative procedure of Ukraine. In </w:t>
      </w:r>
      <w:r w:rsidRPr="002D2B29">
        <w:rPr>
          <w:rFonts w:ascii="Calibri Light" w:hAnsi="Calibri Light" w:cs="Calibri Light"/>
          <w:i/>
          <w:sz w:val="24"/>
          <w:szCs w:val="24"/>
          <w:lang w:val="en-GB"/>
        </w:rPr>
        <w:t xml:space="preserve">Administrative law and administrative-procedural law: Origins, achievements and prospects of development </w:t>
      </w:r>
      <w:r w:rsidRPr="002D2B29">
        <w:rPr>
          <w:rFonts w:ascii="Calibri Light" w:hAnsi="Calibri Light" w:cs="Calibri Light"/>
          <w:sz w:val="24"/>
          <w:szCs w:val="24"/>
          <w:lang w:val="en-GB"/>
        </w:rPr>
        <w:t xml:space="preserve">(pp. 71–84). Izdevnieciba “Baltija Publishing”. </w:t>
      </w:r>
      <w:hyperlink r:id="rId23" w:history="1">
        <w:r w:rsidRPr="002D2B29">
          <w:rPr>
            <w:rStyle w:val="Hyperlink"/>
            <w:rFonts w:ascii="Calibri Light" w:hAnsi="Calibri Light" w:cs="Calibri Light"/>
            <w:sz w:val="24"/>
            <w:szCs w:val="24"/>
            <w:lang w:val="en-GB"/>
          </w:rPr>
          <w:t>https://doi.org/10.30525/978-9934-571-54-1-6</w:t>
        </w:r>
      </w:hyperlink>
    </w:p>
    <w:p w:rsidR="002D2B29" w:rsidRPr="002D2B29" w:rsidP="002D2B29" w14:paraId="22D32381"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Kyselova, T. (2014). Dualism of Ukrainian Commercial Courts: Exploratory Study. </w:t>
      </w:r>
      <w:r w:rsidRPr="002D2B29">
        <w:rPr>
          <w:rFonts w:ascii="Calibri Light" w:hAnsi="Calibri Light" w:cs="Calibri Light"/>
          <w:i/>
          <w:sz w:val="24"/>
          <w:szCs w:val="24"/>
          <w:lang w:val="en-GB"/>
        </w:rPr>
        <w:t>Hague Journal on the Rule of 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6</w:t>
      </w:r>
      <w:r w:rsidRPr="002D2B29">
        <w:rPr>
          <w:rFonts w:ascii="Calibri Light" w:hAnsi="Calibri Light" w:cs="Calibri Light"/>
          <w:sz w:val="24"/>
          <w:szCs w:val="24"/>
          <w:lang w:val="en-GB"/>
        </w:rPr>
        <w:t xml:space="preserve">(02), 178–201. </w:t>
      </w:r>
      <w:hyperlink r:id="rId24">
        <w:r w:rsidRPr="002D2B29">
          <w:rPr>
            <w:rStyle w:val="Hyperlink"/>
            <w:rFonts w:ascii="Calibri Light" w:hAnsi="Calibri Light" w:cs="Calibri Light"/>
            <w:sz w:val="24"/>
            <w:szCs w:val="24"/>
            <w:lang w:val="en-GB"/>
          </w:rPr>
          <w:t>https://papers.ssrn.com/sol3/papers.cfm?abstract_id=2457360</w:t>
        </w:r>
      </w:hyperlink>
    </w:p>
    <w:p w:rsidR="002D2B29" w:rsidRPr="002D2B29" w:rsidP="002D2B29" w14:paraId="1905C483"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974627">
        <w:rPr>
          <w:rFonts w:ascii="Calibri Light" w:hAnsi="Calibri Light" w:cs="Calibri Light"/>
          <w:sz w:val="24"/>
          <w:szCs w:val="24"/>
          <w:lang w:val="es-EC"/>
        </w:rPr>
        <w:t xml:space="preserve">Prytyka, Y., Izarova, I., Maliarchuk, L., &amp; Terekh, O. (2022). </w:t>
      </w:r>
      <w:r w:rsidRPr="002D2B29">
        <w:rPr>
          <w:rFonts w:ascii="Calibri Light" w:hAnsi="Calibri Light" w:cs="Calibri Light"/>
          <w:sz w:val="24"/>
          <w:szCs w:val="24"/>
          <w:lang w:val="en-GB"/>
        </w:rPr>
        <w:t xml:space="preserve">Legal Challenges for Ukraine under Martial Law: Protection of Civil, Property and Labour Rights, Right to a Fair Trial, and Enforcement of Decisions. </w:t>
      </w:r>
      <w:r w:rsidRPr="002D2B29">
        <w:rPr>
          <w:rFonts w:ascii="Calibri Light" w:hAnsi="Calibri Light" w:cs="Calibri Light"/>
          <w:i/>
          <w:sz w:val="24"/>
          <w:szCs w:val="24"/>
          <w:lang w:val="en-GB"/>
        </w:rPr>
        <w:t>Access to Justice in Eastern Europe</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5</w:t>
      </w:r>
      <w:r w:rsidRPr="002D2B29">
        <w:rPr>
          <w:rFonts w:ascii="Calibri Light" w:hAnsi="Calibri Light" w:cs="Calibri Light"/>
          <w:sz w:val="24"/>
          <w:szCs w:val="24"/>
          <w:lang w:val="en-GB"/>
        </w:rPr>
        <w:t xml:space="preserve">(3), 1–20. </w:t>
      </w:r>
      <w:hyperlink r:id="rId25" w:history="1">
        <w:r w:rsidRPr="002D2B29">
          <w:rPr>
            <w:rStyle w:val="Hyperlink"/>
            <w:rFonts w:ascii="Calibri Light" w:hAnsi="Calibri Light" w:cs="Calibri Light"/>
            <w:sz w:val="24"/>
            <w:szCs w:val="24"/>
            <w:lang w:val="en-GB"/>
          </w:rPr>
          <w:t>https://doi.org/10.33327/ajee-18-5.2-n000329</w:t>
        </w:r>
      </w:hyperlink>
    </w:p>
    <w:p w:rsidR="002D2B29" w:rsidRPr="002D2B29" w:rsidP="002D2B29" w14:paraId="0D50955B"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Petriv, I. (2019). Functioning of the constitutional court of Ukraine as part of improving the mechanisms of public administration and sustainable development of the state. </w:t>
      </w:r>
      <w:r w:rsidRPr="002D2B29">
        <w:rPr>
          <w:rFonts w:ascii="Calibri Light" w:hAnsi="Calibri Light" w:cs="Calibri Light"/>
          <w:i/>
          <w:sz w:val="24"/>
          <w:szCs w:val="24"/>
          <w:lang w:val="en-GB"/>
        </w:rPr>
        <w:t>Journal of Business</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8</w:t>
      </w:r>
      <w:r w:rsidRPr="002D2B29">
        <w:rPr>
          <w:rFonts w:ascii="Calibri Light" w:hAnsi="Calibri Light" w:cs="Calibri Light"/>
          <w:sz w:val="24"/>
          <w:szCs w:val="24"/>
          <w:lang w:val="en-GB"/>
        </w:rPr>
        <w:t xml:space="preserve">(2), 34–41. </w:t>
      </w:r>
      <w:hyperlink r:id="rId26" w:history="1">
        <w:r w:rsidRPr="002D2B29">
          <w:rPr>
            <w:rStyle w:val="Hyperlink"/>
            <w:rFonts w:ascii="Calibri Light" w:hAnsi="Calibri Light" w:cs="Calibri Light"/>
            <w:sz w:val="24"/>
            <w:szCs w:val="24"/>
            <w:lang w:val="en-GB"/>
          </w:rPr>
          <w:t>https://doi.org/10.31578/.v8i2.165</w:t>
        </w:r>
      </w:hyperlink>
    </w:p>
    <w:p w:rsidR="002D2B29" w:rsidRPr="002D2B29" w:rsidP="002D2B29" w14:paraId="677E8DA3"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uk-UA"/>
        </w:rPr>
      </w:pPr>
      <w:r w:rsidRPr="002D2B29">
        <w:rPr>
          <w:rFonts w:ascii="Calibri Light" w:hAnsi="Calibri Light" w:cs="Calibri Light"/>
          <w:sz w:val="24"/>
          <w:szCs w:val="24"/>
          <w:lang w:val="en-GB"/>
        </w:rPr>
        <w:t>Justlictors. (n.d.).</w:t>
      </w:r>
      <w:r w:rsidRPr="002D2B29">
        <w:rPr>
          <w:rFonts w:ascii="Calibri Light" w:hAnsi="Calibri Light" w:cs="Calibri Light"/>
          <w:i/>
          <w:sz w:val="24"/>
          <w:szCs w:val="24"/>
          <w:lang w:val="en-GB"/>
        </w:rPr>
        <w:t xml:space="preserve"> Statistics of enforcement success for 2018–2021</w:t>
      </w:r>
      <w:r w:rsidRPr="002D2B29">
        <w:rPr>
          <w:rFonts w:ascii="Calibri Light" w:hAnsi="Calibri Light" w:cs="Calibri Light"/>
          <w:sz w:val="24"/>
          <w:szCs w:val="24"/>
          <w:lang w:val="en-GB"/>
        </w:rPr>
        <w:t xml:space="preserve">. </w:t>
      </w:r>
      <w:hyperlink r:id="rId27">
        <w:r w:rsidRPr="002D2B29">
          <w:rPr>
            <w:rStyle w:val="Hyperlink"/>
            <w:rFonts w:ascii="Calibri Light" w:hAnsi="Calibri Light" w:cs="Calibri Light"/>
            <w:sz w:val="24"/>
            <w:szCs w:val="24"/>
            <w:lang w:val="uk-UA"/>
          </w:rPr>
          <w:t>https://justlictors.com.ua/en/statistics-of-enforcement-success/</w:t>
        </w:r>
      </w:hyperlink>
    </w:p>
    <w:p w:rsidR="002D2B29" w:rsidRPr="002D2B29" w:rsidP="002D2B29" w14:paraId="7D0C8E49"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uk-UA"/>
        </w:rPr>
      </w:pPr>
      <w:r w:rsidRPr="002D2B29">
        <w:rPr>
          <w:rFonts w:ascii="Calibri Light" w:hAnsi="Calibri Light" w:cs="Calibri Light"/>
          <w:sz w:val="24"/>
          <w:szCs w:val="24"/>
          <w:lang w:val="en-GB"/>
        </w:rPr>
        <w:t>Diia (n.d.).</w:t>
      </w:r>
      <w:r w:rsidRPr="002D2B29">
        <w:rPr>
          <w:rFonts w:ascii="Calibri Light" w:hAnsi="Calibri Light" w:cs="Calibri Light"/>
          <w:i/>
          <w:sz w:val="24"/>
          <w:szCs w:val="24"/>
          <w:lang w:val="en-GB"/>
        </w:rPr>
        <w:t xml:space="preserve"> Unified State Register of Court Decisions for 2022</w:t>
      </w:r>
      <w:r w:rsidRPr="002D2B29">
        <w:rPr>
          <w:rFonts w:ascii="Calibri Light" w:hAnsi="Calibri Light" w:cs="Calibri Light"/>
          <w:sz w:val="24"/>
          <w:szCs w:val="24"/>
          <w:lang w:val="en-GB"/>
        </w:rPr>
        <w:t xml:space="preserve">. </w:t>
      </w:r>
      <w:hyperlink r:id="rId28" w:history="1">
        <w:r w:rsidRPr="002D2B29">
          <w:rPr>
            <w:rStyle w:val="Hyperlink"/>
            <w:rFonts w:ascii="Calibri Light" w:hAnsi="Calibri Light" w:cs="Calibri Light"/>
            <w:sz w:val="24"/>
            <w:szCs w:val="24"/>
            <w:lang w:val="uk-UA"/>
          </w:rPr>
          <w:t>https://data.gov.ua/dataset/ediniy-derzhavniy-reestr-sudovih-rishen-za-2022-rik_763</w:t>
        </w:r>
      </w:hyperlink>
    </w:p>
    <w:p w:rsidR="002D2B29" w:rsidRPr="002D2B29" w:rsidP="002D2B29" w14:paraId="65BB922F"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Ribeiro, L., &amp; Fondevila, G. (2023). Legal defense in Latin America: Challenges within change. </w:t>
      </w:r>
      <w:r w:rsidRPr="002D2B29">
        <w:rPr>
          <w:rFonts w:ascii="Calibri Light" w:hAnsi="Calibri Light" w:cs="Calibri Light"/>
          <w:i/>
          <w:iCs/>
          <w:sz w:val="24"/>
          <w:szCs w:val="24"/>
          <w:lang w:val="en-GB"/>
        </w:rPr>
        <w:t>Crime, Law and Social Change</w:t>
      </w:r>
      <w:r w:rsidRPr="002D2B29">
        <w:rPr>
          <w:rFonts w:ascii="Calibri Light" w:hAnsi="Calibri Light" w:cs="Calibri Light"/>
          <w:sz w:val="24"/>
          <w:szCs w:val="24"/>
          <w:lang w:val="en-GB"/>
        </w:rPr>
        <w:t xml:space="preserve">, </w:t>
      </w:r>
      <w:r w:rsidRPr="002D2B29">
        <w:rPr>
          <w:rFonts w:ascii="Calibri Light" w:hAnsi="Calibri Light" w:cs="Calibri Light"/>
          <w:i/>
          <w:iCs/>
          <w:sz w:val="24"/>
          <w:szCs w:val="24"/>
          <w:lang w:val="en-GB"/>
        </w:rPr>
        <w:t>79</w:t>
      </w:r>
      <w:r w:rsidRPr="002D2B29">
        <w:rPr>
          <w:rFonts w:ascii="Calibri Light" w:hAnsi="Calibri Light" w:cs="Calibri Light"/>
          <w:sz w:val="24"/>
          <w:szCs w:val="24"/>
          <w:lang w:val="en-GB"/>
        </w:rPr>
        <w:t xml:space="preserve">(5), 473–481. </w:t>
      </w:r>
      <w:hyperlink r:id="rId29" w:history="1">
        <w:r w:rsidRPr="002D2B29">
          <w:rPr>
            <w:rStyle w:val="Hyperlink"/>
            <w:rFonts w:ascii="Calibri Light" w:hAnsi="Calibri Light" w:cs="Calibri Light"/>
            <w:sz w:val="24"/>
            <w:szCs w:val="24"/>
            <w:lang w:val="en-GB"/>
          </w:rPr>
          <w:t>https://doi.org/10.1007/s10611-023-10090-1</w:t>
        </w:r>
      </w:hyperlink>
    </w:p>
    <w:p w:rsidR="002D2B29" w:rsidRPr="002D2B29" w:rsidP="002D2B29" w14:paraId="67E40517"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Department for the Execution of Judgmentsof the European Court of Human Rights. (n.d.) </w:t>
      </w:r>
      <w:r w:rsidRPr="002D2B29">
        <w:rPr>
          <w:rFonts w:ascii="Calibri Light" w:hAnsi="Calibri Light" w:cs="Calibri Light"/>
          <w:i/>
          <w:sz w:val="24"/>
          <w:szCs w:val="24"/>
          <w:lang w:val="en-GB"/>
        </w:rPr>
        <w:t>Ukraine</w:t>
      </w:r>
      <w:r w:rsidRPr="002D2B29">
        <w:rPr>
          <w:rFonts w:ascii="Calibri Light" w:hAnsi="Calibri Light" w:cs="Calibri Light"/>
          <w:sz w:val="24"/>
          <w:szCs w:val="24"/>
          <w:lang w:val="en-GB"/>
        </w:rPr>
        <w:t xml:space="preserve">. Council of Europe. </w:t>
      </w:r>
      <w:hyperlink r:id="rId30" w:history="1">
        <w:r w:rsidRPr="002D2B29">
          <w:rPr>
            <w:rStyle w:val="Hyperlink"/>
            <w:rFonts w:ascii="Calibri Light" w:hAnsi="Calibri Light" w:cs="Calibri Light"/>
            <w:sz w:val="24"/>
            <w:szCs w:val="24"/>
            <w:lang w:val="en-GB"/>
          </w:rPr>
          <w:t>https://www.coe.int/en/web/execution/ukraine</w:t>
        </w:r>
      </w:hyperlink>
    </w:p>
    <w:p w:rsidR="002D2B29" w:rsidRPr="004837DE" w:rsidP="004837DE" w14:paraId="31A43267" w14:textId="77777777">
      <w:pPr>
        <w:pStyle w:val="ListParagraph"/>
        <w:numPr>
          <w:ilvl w:val="0"/>
          <w:numId w:val="42"/>
        </w:numPr>
        <w:spacing w:before="120" w:after="120" w:line="240" w:lineRule="auto"/>
        <w:ind w:left="1214" w:hanging="505"/>
        <w:jc w:val="both"/>
        <w:rPr>
          <w:rFonts w:ascii="Calibri Light" w:hAnsi="Calibri Light" w:cs="Calibri Light"/>
          <w:sz w:val="24"/>
          <w:szCs w:val="24"/>
          <w:lang w:val="de-DE"/>
        </w:rPr>
      </w:pPr>
      <w:r w:rsidRPr="002D2B29">
        <w:rPr>
          <w:rFonts w:ascii="Calibri Light" w:hAnsi="Calibri Light" w:cs="Calibri Light"/>
          <w:sz w:val="24"/>
          <w:szCs w:val="24"/>
          <w:lang w:val="en-GB"/>
        </w:rPr>
        <w:t xml:space="preserve">Gordienko, A., Najafli, E., Kobko, Y., Savenko, V., &amp; Korostashova, I. (2024). Legal Regulation of E-courts in Ukraine as an Element of Access to Justice for the Protection of Individual Rights. </w:t>
      </w:r>
      <w:r w:rsidRPr="002D2B29">
        <w:rPr>
          <w:rFonts w:ascii="Calibri Light" w:hAnsi="Calibri Light" w:cs="Calibri Light"/>
          <w:i/>
          <w:sz w:val="24"/>
          <w:szCs w:val="24"/>
          <w:lang w:val="de-DE"/>
        </w:rPr>
        <w:t>Jurnal IUS Kajian Hukum dan Keadilan</w:t>
      </w:r>
      <w:r w:rsidRPr="002D2B29">
        <w:rPr>
          <w:rFonts w:ascii="Calibri Light" w:hAnsi="Calibri Light" w:cs="Calibri Light"/>
          <w:sz w:val="24"/>
          <w:szCs w:val="24"/>
          <w:lang w:val="de-DE"/>
        </w:rPr>
        <w:t xml:space="preserve">, </w:t>
      </w:r>
      <w:r w:rsidRPr="002D2B29">
        <w:rPr>
          <w:rFonts w:ascii="Calibri Light" w:hAnsi="Calibri Light" w:cs="Calibri Light"/>
          <w:i/>
          <w:sz w:val="24"/>
          <w:szCs w:val="24"/>
          <w:lang w:val="de-DE"/>
        </w:rPr>
        <w:t>12</w:t>
      </w:r>
      <w:r w:rsidRPr="002D2B29">
        <w:rPr>
          <w:rFonts w:ascii="Calibri Light" w:hAnsi="Calibri Light" w:cs="Calibri Light"/>
          <w:sz w:val="24"/>
          <w:szCs w:val="24"/>
          <w:lang w:val="de-DE"/>
        </w:rPr>
        <w:t>(1), 17–</w:t>
      </w:r>
      <w:r w:rsidRPr="004837DE">
        <w:rPr>
          <w:rFonts w:ascii="Calibri Light" w:hAnsi="Calibri Light" w:cs="Calibri Light"/>
          <w:sz w:val="24"/>
          <w:szCs w:val="24"/>
          <w:lang w:val="de-DE"/>
        </w:rPr>
        <w:t xml:space="preserve">30. </w:t>
      </w:r>
      <w:hyperlink r:id="rId31" w:history="1">
        <w:r w:rsidRPr="004837DE">
          <w:rPr>
            <w:rStyle w:val="Hyperlink"/>
            <w:rFonts w:ascii="Calibri Light" w:hAnsi="Calibri Light" w:cs="Calibri Light"/>
            <w:sz w:val="24"/>
            <w:szCs w:val="24"/>
            <w:lang w:val="de-DE"/>
          </w:rPr>
          <w:t>https://doi.org/10.29303/ius.v12i1.1316</w:t>
        </w:r>
      </w:hyperlink>
    </w:p>
    <w:p w:rsidR="002D2B29" w:rsidRPr="004837DE" w:rsidP="004837DE" w14:paraId="032E543E" w14:textId="77777777">
      <w:pPr>
        <w:pStyle w:val="ListParagraph"/>
        <w:numPr>
          <w:ilvl w:val="0"/>
          <w:numId w:val="42"/>
        </w:numPr>
        <w:spacing w:before="120" w:after="120" w:line="240" w:lineRule="auto"/>
        <w:ind w:left="1214" w:hanging="505"/>
        <w:jc w:val="both"/>
        <w:rPr>
          <w:rFonts w:ascii="Calibri Light" w:hAnsi="Calibri Light" w:cs="Calibri Light"/>
          <w:sz w:val="24"/>
          <w:szCs w:val="24"/>
          <w:lang w:val="en-GB"/>
        </w:rPr>
      </w:pPr>
      <w:r w:rsidRPr="004837DE">
        <w:rPr>
          <w:rFonts w:ascii="Calibri Light" w:hAnsi="Calibri Light" w:cs="Calibri Light"/>
          <w:sz w:val="24"/>
          <w:szCs w:val="24"/>
          <w:lang w:val="en-GB"/>
        </w:rPr>
        <w:t>Bogdan</w:t>
      </w:r>
      <w:r w:rsidRPr="004837DE">
        <w:rPr>
          <w:rFonts w:ascii="Calibri Light" w:hAnsi="Calibri Light" w:cs="Calibri Light"/>
          <w:sz w:val="24"/>
          <w:szCs w:val="24"/>
          <w:lang w:val="uk-UA"/>
        </w:rPr>
        <w:t xml:space="preserve">, </w:t>
      </w:r>
      <w:r w:rsidRPr="004837DE">
        <w:rPr>
          <w:rFonts w:ascii="Calibri Light" w:hAnsi="Calibri Light" w:cs="Calibri Light"/>
          <w:sz w:val="24"/>
          <w:szCs w:val="24"/>
          <w:lang w:val="en-GB"/>
        </w:rPr>
        <w:t>D</w:t>
      </w:r>
      <w:r w:rsidRPr="004837DE">
        <w:rPr>
          <w:rFonts w:ascii="Calibri Light" w:hAnsi="Calibri Light" w:cs="Calibri Light"/>
          <w:sz w:val="24"/>
          <w:szCs w:val="24"/>
          <w:lang w:val="uk-UA"/>
        </w:rPr>
        <w:t xml:space="preserve">. (2022). </w:t>
      </w:r>
      <w:r w:rsidRPr="004837DE">
        <w:rPr>
          <w:rFonts w:ascii="Calibri Light" w:hAnsi="Calibri Light" w:cs="Calibri Light"/>
          <w:sz w:val="24"/>
          <w:szCs w:val="24"/>
          <w:lang w:val="en-GB"/>
        </w:rPr>
        <w:t xml:space="preserve">Considering the provisions of the constitution of Ukraine in decision-making by local courts. </w:t>
      </w:r>
      <w:r w:rsidRPr="004837DE">
        <w:rPr>
          <w:rFonts w:ascii="Calibri Light" w:hAnsi="Calibri Light" w:cs="Calibri Light"/>
          <w:i/>
          <w:sz w:val="24"/>
          <w:szCs w:val="24"/>
          <w:lang w:val="en-GB"/>
        </w:rPr>
        <w:t>Entrepreneurship, Economy and Law</w:t>
      </w:r>
      <w:r w:rsidRPr="004837DE">
        <w:rPr>
          <w:rFonts w:ascii="Calibri Light" w:hAnsi="Calibri Light" w:cs="Calibri Light"/>
          <w:sz w:val="24"/>
          <w:szCs w:val="24"/>
          <w:lang w:val="en-GB"/>
        </w:rPr>
        <w:t xml:space="preserve">, (5), 89–97. </w:t>
      </w:r>
      <w:hyperlink r:id="rId32" w:history="1">
        <w:r w:rsidRPr="004837DE">
          <w:rPr>
            <w:rStyle w:val="Hyperlink"/>
            <w:rFonts w:ascii="Calibri Light" w:hAnsi="Calibri Light" w:cs="Calibri Light"/>
            <w:sz w:val="24"/>
            <w:szCs w:val="24"/>
            <w:lang w:val="en-GB"/>
          </w:rPr>
          <w:t>https://doi.org/10.32849/2663-5313/2022.5.14</w:t>
        </w:r>
      </w:hyperlink>
    </w:p>
    <w:p w:rsidR="002D2B29" w:rsidRPr="004837DE" w:rsidP="004837DE" w14:paraId="23627231" w14:textId="77777777">
      <w:pPr>
        <w:pStyle w:val="ListParagraph"/>
        <w:numPr>
          <w:ilvl w:val="0"/>
          <w:numId w:val="42"/>
        </w:numPr>
        <w:spacing w:before="120" w:after="120" w:line="240" w:lineRule="auto"/>
        <w:ind w:left="1214" w:hanging="505"/>
        <w:jc w:val="both"/>
        <w:rPr>
          <w:rFonts w:ascii="Calibri Light" w:hAnsi="Calibri Light" w:cs="Calibri Light"/>
          <w:sz w:val="24"/>
          <w:szCs w:val="24"/>
          <w:lang w:val="en-GB"/>
        </w:rPr>
      </w:pPr>
      <w:r w:rsidRPr="004837DE">
        <w:rPr>
          <w:rFonts w:ascii="Calibri Light" w:hAnsi="Calibri Light" w:cs="Calibri Light"/>
          <w:sz w:val="24"/>
          <w:szCs w:val="24"/>
          <w:lang w:val="uk-UA"/>
        </w:rPr>
        <w:t xml:space="preserve">Franchuk, V. V., Trach Rosolovska, S. V., Selskyy, P. R., Mykolenko, A. Z., &amp; Bodnar, P. Y. (2018). </w:t>
      </w:r>
      <w:r w:rsidRPr="004837DE">
        <w:rPr>
          <w:rFonts w:ascii="Calibri Light" w:hAnsi="Calibri Light" w:cs="Calibri Light"/>
          <w:sz w:val="24"/>
          <w:szCs w:val="24"/>
          <w:lang w:val="en-GB"/>
        </w:rPr>
        <w:t xml:space="preserve">Analysis of final judgements in cases of medical negligence occurred in Ukraine. </w:t>
      </w:r>
      <w:r w:rsidRPr="004837DE">
        <w:rPr>
          <w:rFonts w:ascii="Calibri Light" w:hAnsi="Calibri Light" w:cs="Calibri Light"/>
          <w:i/>
          <w:sz w:val="24"/>
          <w:szCs w:val="24"/>
          <w:lang w:val="en-GB"/>
        </w:rPr>
        <w:t>Wiadomosci lekarskie,</w:t>
      </w:r>
      <w:r w:rsidRPr="004837DE">
        <w:rPr>
          <w:rFonts w:ascii="Calibri Light" w:hAnsi="Calibri Light" w:cs="Calibri Light"/>
          <w:sz w:val="24"/>
          <w:szCs w:val="24"/>
          <w:lang w:val="en-GB"/>
        </w:rPr>
        <w:t xml:space="preserve"> </w:t>
      </w:r>
      <w:r w:rsidRPr="004837DE">
        <w:rPr>
          <w:rFonts w:ascii="Calibri Light" w:hAnsi="Calibri Light" w:cs="Calibri Light"/>
          <w:i/>
          <w:sz w:val="24"/>
          <w:szCs w:val="24"/>
          <w:lang w:val="en-GB"/>
        </w:rPr>
        <w:t>71</w:t>
      </w:r>
      <w:r w:rsidRPr="004837DE">
        <w:rPr>
          <w:rFonts w:ascii="Calibri Light" w:hAnsi="Calibri Light" w:cs="Calibri Light"/>
          <w:sz w:val="24"/>
          <w:szCs w:val="24"/>
          <w:lang w:val="en-GB"/>
        </w:rPr>
        <w:t xml:space="preserve">(3 pt 2), 757–760. </w:t>
      </w:r>
      <w:hyperlink r:id="rId33" w:history="1">
        <w:r w:rsidRPr="004837DE">
          <w:rPr>
            <w:rStyle w:val="Hyperlink"/>
            <w:rFonts w:ascii="Calibri Light" w:hAnsi="Calibri Light" w:cs="Calibri Light"/>
            <w:sz w:val="24"/>
            <w:szCs w:val="24"/>
            <w:lang w:val="en-GB"/>
          </w:rPr>
          <w:t>https://pubmed.ncbi.nlm.nih.gov/29783262/</w:t>
        </w:r>
      </w:hyperlink>
    </w:p>
    <w:p w:rsidR="004837DE" w:rsidRPr="004837DE" w:rsidP="004837DE" w14:paraId="566EC193" w14:textId="77777777">
      <w:pPr>
        <w:pStyle w:val="ListParagraph"/>
        <w:numPr>
          <w:ilvl w:val="0"/>
          <w:numId w:val="42"/>
        </w:numPr>
        <w:spacing w:before="120" w:after="120" w:line="240" w:lineRule="auto"/>
        <w:ind w:left="1214" w:hanging="505"/>
        <w:jc w:val="both"/>
        <w:rPr>
          <w:rFonts w:ascii="Calibri Light" w:hAnsi="Calibri Light" w:cs="Calibri Light"/>
          <w:sz w:val="24"/>
          <w:szCs w:val="24"/>
          <w:lang w:val="en-GB"/>
        </w:rPr>
      </w:pPr>
      <w:r w:rsidRPr="004837DE">
        <w:rPr>
          <w:rFonts w:ascii="Calibri Light" w:hAnsi="Calibri Light" w:cs="Calibri Light"/>
          <w:sz w:val="24"/>
          <w:szCs w:val="24"/>
          <w:lang w:val="en-GB"/>
        </w:rPr>
        <w:t xml:space="preserve">Mokiy, A., Ilyash, O., Pynda, Y., Pikh, M., &amp; Tyurin, V. (2020). Dynamic Characteristics of the Interconnections Urging the Construction Enterprises Development and Regions Economic Growth. </w:t>
      </w:r>
      <w:r w:rsidRPr="004837DE">
        <w:rPr>
          <w:rFonts w:ascii="Calibri Light" w:hAnsi="Calibri Light" w:cs="Calibri Light"/>
          <w:i/>
          <w:iCs/>
          <w:sz w:val="24"/>
          <w:szCs w:val="24"/>
          <w:lang w:val="en-GB"/>
        </w:rPr>
        <w:t>TEM Journal</w:t>
      </w:r>
      <w:r w:rsidRPr="004837DE">
        <w:rPr>
          <w:rFonts w:ascii="Calibri Light" w:hAnsi="Calibri Light" w:cs="Calibri Light"/>
          <w:sz w:val="24"/>
          <w:szCs w:val="24"/>
          <w:lang w:val="en-GB"/>
        </w:rPr>
        <w:t xml:space="preserve">, </w:t>
      </w:r>
      <w:r w:rsidRPr="004837DE">
        <w:rPr>
          <w:rFonts w:ascii="Calibri Light" w:hAnsi="Calibri Light" w:cs="Calibri Light"/>
          <w:i/>
          <w:sz w:val="24"/>
          <w:szCs w:val="24"/>
          <w:lang w:val="en-GB"/>
        </w:rPr>
        <w:t>9</w:t>
      </w:r>
      <w:r w:rsidRPr="004837DE">
        <w:rPr>
          <w:rFonts w:ascii="Calibri Light" w:hAnsi="Calibri Light" w:cs="Calibri Light"/>
          <w:sz w:val="24"/>
          <w:szCs w:val="24"/>
          <w:lang w:val="en-GB"/>
        </w:rPr>
        <w:t xml:space="preserve">(4), 1550–1561. </w:t>
      </w:r>
      <w:hyperlink r:id="rId34" w:history="1">
        <w:r w:rsidRPr="004837DE">
          <w:rPr>
            <w:rStyle w:val="Hyperlink"/>
            <w:rFonts w:ascii="Calibri Light" w:hAnsi="Calibri Light" w:cs="Calibri Light"/>
            <w:sz w:val="24"/>
            <w:szCs w:val="24"/>
            <w:lang w:val="en-GB"/>
          </w:rPr>
          <w:t>https://doi.org/10.18421/TEM94-30</w:t>
        </w:r>
      </w:hyperlink>
    </w:p>
    <w:p w:rsidR="004837DE" w:rsidRPr="004837DE" w:rsidP="004837DE" w14:paraId="354DFA86" w14:textId="77777777">
      <w:pPr>
        <w:pStyle w:val="ListParagraph"/>
        <w:numPr>
          <w:ilvl w:val="0"/>
          <w:numId w:val="42"/>
        </w:numPr>
        <w:spacing w:before="120" w:after="120" w:line="240" w:lineRule="auto"/>
        <w:ind w:left="1214" w:hanging="505"/>
        <w:jc w:val="both"/>
        <w:rPr>
          <w:rFonts w:ascii="Calibri Light" w:hAnsi="Calibri Light" w:cs="Calibri Light"/>
          <w:sz w:val="24"/>
          <w:szCs w:val="24"/>
          <w:lang w:val="en-GB"/>
        </w:rPr>
      </w:pPr>
      <w:r w:rsidRPr="004837DE">
        <w:rPr>
          <w:rFonts w:ascii="Calibri Light" w:hAnsi="Calibri Light" w:cs="Calibri Light"/>
          <w:sz w:val="24"/>
          <w:szCs w:val="24"/>
          <w:lang w:val="en-GB"/>
        </w:rPr>
        <w:t xml:space="preserve">Shrub, I. V. (2024). Legislative prospects for the creation and functioning of a unified state register of weapons. In </w:t>
      </w:r>
      <w:r w:rsidRPr="004837DE">
        <w:rPr>
          <w:rFonts w:ascii="Calibri Light" w:hAnsi="Calibri Light" w:cs="Calibri Light"/>
          <w:i/>
          <w:sz w:val="24"/>
          <w:szCs w:val="24"/>
          <w:lang w:val="en-GB"/>
        </w:rPr>
        <w:t xml:space="preserve">Legal regulation of arms circulation in Ukraine: New challenges and prospects for solutions </w:t>
      </w:r>
      <w:r w:rsidRPr="004837DE">
        <w:rPr>
          <w:rFonts w:ascii="Calibri Light" w:hAnsi="Calibri Light" w:cs="Calibri Light"/>
          <w:sz w:val="24"/>
          <w:szCs w:val="24"/>
          <w:lang w:val="en-GB"/>
        </w:rPr>
        <w:t xml:space="preserve">(pp. 182–185). Baltija Publishing. </w:t>
      </w:r>
      <w:hyperlink r:id="rId35" w:history="1">
        <w:r w:rsidRPr="004837DE">
          <w:rPr>
            <w:rStyle w:val="Hyperlink"/>
            <w:rFonts w:ascii="Calibri Light" w:hAnsi="Calibri Light" w:cs="Calibri Light"/>
            <w:sz w:val="24"/>
            <w:szCs w:val="24"/>
            <w:lang w:val="en-GB"/>
          </w:rPr>
          <w:t>https://doi.org/10.30525/978-9934-26-453-5-45</w:t>
        </w:r>
      </w:hyperlink>
    </w:p>
    <w:p w:rsidR="004837DE" w:rsidRPr="004837DE" w:rsidP="004837DE" w14:paraId="447BA70B" w14:textId="77777777">
      <w:pPr>
        <w:pStyle w:val="ListParagraph"/>
        <w:numPr>
          <w:ilvl w:val="0"/>
          <w:numId w:val="42"/>
        </w:numPr>
        <w:spacing w:before="120" w:after="120" w:line="240" w:lineRule="auto"/>
        <w:ind w:left="1214" w:hanging="505"/>
        <w:jc w:val="both"/>
        <w:rPr>
          <w:rFonts w:ascii="Calibri Light" w:hAnsi="Calibri Light" w:cs="Calibri Light"/>
          <w:sz w:val="24"/>
          <w:szCs w:val="24"/>
          <w:lang w:val="en-GB"/>
        </w:rPr>
      </w:pPr>
      <w:r w:rsidRPr="004837DE">
        <w:rPr>
          <w:rFonts w:ascii="Calibri Light" w:hAnsi="Calibri Light" w:cs="Calibri Light"/>
          <w:sz w:val="24"/>
          <w:szCs w:val="24"/>
          <w:lang w:val="en-GB"/>
        </w:rPr>
        <w:t xml:space="preserve">Law of Ukraine “On Enforcement Proceedings” No. 1404-VIII (2024). </w:t>
      </w:r>
      <w:hyperlink r:id="rId36" w:history="1">
        <w:r w:rsidRPr="004837DE">
          <w:rPr>
            <w:rStyle w:val="Hyperlink"/>
            <w:rFonts w:ascii="Calibri Light" w:hAnsi="Calibri Light" w:cs="Calibri Light"/>
            <w:sz w:val="24"/>
            <w:szCs w:val="24"/>
            <w:lang w:val="uk-UA"/>
          </w:rPr>
          <w:t>https://zakon.rada.gov.ua/laws/show/1404</w:t>
        </w:r>
      </w:hyperlink>
    </w:p>
    <w:p w:rsidR="004837DE" w:rsidRPr="004837DE" w:rsidP="004837DE" w14:paraId="3535DBE6" w14:textId="77777777">
      <w:pPr>
        <w:pStyle w:val="ListParagraph"/>
        <w:numPr>
          <w:ilvl w:val="0"/>
          <w:numId w:val="42"/>
        </w:numPr>
        <w:spacing w:before="120" w:after="120" w:line="240" w:lineRule="auto"/>
        <w:ind w:left="1214" w:hanging="505"/>
        <w:jc w:val="both"/>
        <w:rPr>
          <w:rFonts w:ascii="Calibri Light" w:hAnsi="Calibri Light" w:cs="Calibri Light"/>
          <w:sz w:val="24"/>
          <w:szCs w:val="24"/>
          <w:lang w:val="en-GB"/>
        </w:rPr>
      </w:pPr>
      <w:r w:rsidRPr="004837DE">
        <w:rPr>
          <w:rFonts w:ascii="Calibri Light" w:hAnsi="Calibri Light" w:cs="Calibri Light"/>
          <w:sz w:val="24"/>
          <w:szCs w:val="24"/>
          <w:lang w:val="pt-PT"/>
        </w:rPr>
        <w:t xml:space="preserve">Gorinov, P., &amp; Mereniuk K. (2022). </w:t>
      </w:r>
      <w:r w:rsidRPr="004837DE">
        <w:rPr>
          <w:rFonts w:ascii="Calibri Light" w:hAnsi="Calibri Light" w:cs="Calibri Light"/>
          <w:sz w:val="24"/>
          <w:szCs w:val="24"/>
          <w:lang w:val="en-GB"/>
        </w:rPr>
        <w:t xml:space="preserve">Military law in Ukraine: future prospects for development. </w:t>
      </w:r>
      <w:r w:rsidRPr="004837DE">
        <w:rPr>
          <w:rFonts w:ascii="Calibri Light" w:hAnsi="Calibri Light" w:cs="Calibri Light"/>
          <w:i/>
          <w:sz w:val="24"/>
          <w:szCs w:val="24"/>
          <w:lang w:val="en-GB"/>
        </w:rPr>
        <w:t>Futurity Economics&amp;Law</w:t>
      </w:r>
      <w:r w:rsidRPr="004837DE">
        <w:rPr>
          <w:rFonts w:ascii="Calibri Light" w:hAnsi="Calibri Light" w:cs="Calibri Light"/>
          <w:sz w:val="24"/>
          <w:szCs w:val="24"/>
          <w:lang w:val="en-GB"/>
        </w:rPr>
        <w:t xml:space="preserve">, </w:t>
      </w:r>
      <w:r w:rsidRPr="004837DE">
        <w:rPr>
          <w:rFonts w:ascii="Calibri Light" w:hAnsi="Calibri Light" w:cs="Calibri Light"/>
          <w:i/>
          <w:sz w:val="24"/>
          <w:szCs w:val="24"/>
          <w:lang w:val="en-GB"/>
        </w:rPr>
        <w:t>2</w:t>
      </w:r>
      <w:r w:rsidRPr="004837DE">
        <w:rPr>
          <w:rFonts w:ascii="Calibri Light" w:hAnsi="Calibri Light" w:cs="Calibri Light"/>
          <w:sz w:val="24"/>
          <w:szCs w:val="24"/>
          <w:lang w:val="en-GB"/>
        </w:rPr>
        <w:t xml:space="preserve">(3), 46–59. </w:t>
      </w:r>
      <w:hyperlink r:id="rId37" w:history="1">
        <w:r w:rsidRPr="004837DE">
          <w:rPr>
            <w:rStyle w:val="Hyperlink"/>
            <w:rFonts w:ascii="Calibri Light" w:hAnsi="Calibri Light" w:cs="Calibri Light"/>
            <w:sz w:val="24"/>
            <w:szCs w:val="24"/>
            <w:lang w:val="en-GB"/>
          </w:rPr>
          <w:t>https://doi.org/10.57125/fel.2022.09.25.03</w:t>
        </w:r>
      </w:hyperlink>
    </w:p>
    <w:p w:rsidR="004837DE" w:rsidRPr="004837DE" w:rsidP="004837DE" w14:paraId="5D493BEC" w14:textId="77777777">
      <w:pPr>
        <w:pStyle w:val="ListParagraph"/>
        <w:numPr>
          <w:ilvl w:val="0"/>
          <w:numId w:val="42"/>
        </w:numPr>
        <w:spacing w:before="120" w:after="120" w:line="240" w:lineRule="auto"/>
        <w:ind w:left="1214" w:hanging="505"/>
        <w:jc w:val="both"/>
        <w:rPr>
          <w:rFonts w:ascii="Calibri Light" w:hAnsi="Calibri Light" w:cs="Calibri Light"/>
          <w:sz w:val="24"/>
          <w:szCs w:val="24"/>
          <w:lang w:val="en-GB"/>
        </w:rPr>
      </w:pPr>
      <w:r w:rsidRPr="004837DE">
        <w:rPr>
          <w:rFonts w:ascii="Calibri Light" w:hAnsi="Calibri Light" w:cs="Calibri Light"/>
          <w:sz w:val="24"/>
          <w:szCs w:val="24"/>
          <w:lang w:val="en-GB"/>
        </w:rPr>
        <w:t xml:space="preserve">Roskoshnyi, I. (2023). The Right to Conscientious Objection Under Martial Law in Ukraine. </w:t>
      </w:r>
      <w:r w:rsidRPr="004837DE">
        <w:rPr>
          <w:rFonts w:ascii="Calibri Light" w:hAnsi="Calibri Light" w:cs="Calibri Light"/>
          <w:i/>
          <w:sz w:val="24"/>
          <w:szCs w:val="24"/>
          <w:lang w:val="en-GB"/>
        </w:rPr>
        <w:t>SSRN Electronic Journal</w:t>
      </w:r>
      <w:r w:rsidRPr="004837DE">
        <w:rPr>
          <w:rFonts w:ascii="Calibri Light" w:hAnsi="Calibri Light" w:cs="Calibri Light"/>
          <w:sz w:val="24"/>
          <w:szCs w:val="24"/>
          <w:lang w:val="en-GB"/>
        </w:rPr>
        <w:t xml:space="preserve">. </w:t>
      </w:r>
      <w:hyperlink r:id="rId38" w:history="1">
        <w:r w:rsidRPr="004837DE">
          <w:rPr>
            <w:rStyle w:val="Hyperlink"/>
            <w:rFonts w:ascii="Calibri Light" w:hAnsi="Calibri Light" w:cs="Calibri Light"/>
            <w:sz w:val="24"/>
            <w:szCs w:val="24"/>
            <w:lang w:val="en-GB"/>
          </w:rPr>
          <w:t>https://doi.org/10.2139/ssrn.4554325</w:t>
        </w:r>
      </w:hyperlink>
      <w:r w:rsidRPr="004837DE">
        <w:rPr>
          <w:rFonts w:ascii="Calibri Light" w:hAnsi="Calibri Light" w:cs="Calibri Light"/>
          <w:sz w:val="24"/>
          <w:szCs w:val="24"/>
          <w:lang w:val="en-GB"/>
        </w:rPr>
        <w:t xml:space="preserve"> </w:t>
      </w:r>
    </w:p>
    <w:p w:rsidR="004837DE" w:rsidRPr="00495DEE" w:rsidP="004837DE" w14:paraId="75A0CC34" w14:textId="5ED0EEB9">
      <w:pPr>
        <w:pStyle w:val="ListParagraph"/>
        <w:numPr>
          <w:ilvl w:val="0"/>
          <w:numId w:val="42"/>
        </w:numPr>
        <w:spacing w:before="120" w:after="120" w:line="240" w:lineRule="auto"/>
        <w:ind w:left="1214" w:hanging="505"/>
        <w:jc w:val="both"/>
        <w:rPr>
          <w:rFonts w:ascii="Calibri Light" w:hAnsi="Calibri Light" w:cs="Calibri Light"/>
          <w:sz w:val="24"/>
          <w:szCs w:val="24"/>
          <w:lang w:val="en-GB"/>
        </w:rPr>
      </w:pPr>
      <w:r w:rsidRPr="00495DEE">
        <w:rPr>
          <w:rFonts w:ascii="Calibri Light" w:hAnsi="Calibri Light" w:cs="Calibri Light"/>
          <w:color w:val="000000"/>
          <w:sz w:val="24"/>
          <w:szCs w:val="24"/>
          <w:lang w:val="en-GB"/>
        </w:rPr>
        <w:t>Haltsova, V. V., Volodina, O. O., Hordieiev, V. I., Samoshchenko, I. V., &amp; Orobets, K. M. (2024). Analysis of criminal law on ecocide: A case study of war in Ukraine. </w:t>
      </w:r>
      <w:r w:rsidRPr="00495DEE">
        <w:rPr>
          <w:rFonts w:ascii="Calibri Light" w:hAnsi="Calibri Light" w:cs="Calibri Light"/>
          <w:i/>
          <w:iCs/>
          <w:color w:val="000000"/>
          <w:sz w:val="24"/>
          <w:szCs w:val="24"/>
          <w:lang w:val="es-EC"/>
        </w:rPr>
        <w:t>Revista Kawsaypacha: Sociedad y Medio Ambiente</w:t>
      </w:r>
      <w:r w:rsidRPr="00495DEE">
        <w:rPr>
          <w:rFonts w:ascii="Calibri Light" w:hAnsi="Calibri Light" w:cs="Calibri Light"/>
          <w:color w:val="000000"/>
          <w:sz w:val="24"/>
          <w:szCs w:val="24"/>
          <w:lang w:val="es-EC"/>
        </w:rPr>
        <w:t>, (14), D—013. </w:t>
      </w:r>
      <w:hyperlink r:id="rId39" w:history="1">
        <w:r w:rsidRPr="00495DEE" w:rsidR="008D5293">
          <w:rPr>
            <w:rStyle w:val="Hyperlink"/>
            <w:rFonts w:ascii="Calibri Light" w:hAnsi="Calibri Light" w:cs="Calibri Light"/>
            <w:sz w:val="24"/>
            <w:szCs w:val="24"/>
            <w:lang w:val="es-EC"/>
          </w:rPr>
          <w:t>https://doi.org/10.18800/kawsaypacha.202402.d013</w:t>
        </w:r>
      </w:hyperlink>
    </w:p>
    <w:p w:rsidR="004837DE" w:rsidRPr="00495DEE" w:rsidP="004837DE" w14:paraId="619D1EC0" w14:textId="0B76B1D3">
      <w:pPr>
        <w:pStyle w:val="ListParagraph"/>
        <w:numPr>
          <w:ilvl w:val="0"/>
          <w:numId w:val="42"/>
        </w:numPr>
        <w:spacing w:before="120" w:after="120" w:line="240" w:lineRule="auto"/>
        <w:ind w:left="1214" w:hanging="505"/>
        <w:jc w:val="both"/>
        <w:rPr>
          <w:rFonts w:ascii="Calibri Light" w:hAnsi="Calibri Light" w:cs="Calibri Light"/>
          <w:sz w:val="24"/>
          <w:szCs w:val="24"/>
          <w:lang w:val="en-GB"/>
        </w:rPr>
      </w:pPr>
      <w:r w:rsidRPr="00495DEE">
        <w:rPr>
          <w:rFonts w:ascii="Calibri Light" w:hAnsi="Calibri Light" w:cs="Calibri Light"/>
          <w:color w:val="000000"/>
          <w:sz w:val="24"/>
          <w:szCs w:val="24"/>
          <w:lang w:val="en-GB"/>
        </w:rPr>
        <w:t>Kerniakevych-Tanasiichuk, Y. V., Sezonov, V. S., Nychytailo, I. M., Savchuk, M. A., &amp; Tsareva, I. V. (2021). Problems of forensic identification of handwriting in forensic examination. </w:t>
      </w:r>
      <w:r w:rsidRPr="00495DEE">
        <w:rPr>
          <w:rFonts w:ascii="Calibri Light" w:hAnsi="Calibri Light" w:cs="Calibri Light"/>
          <w:i/>
          <w:iCs/>
          <w:color w:val="000000"/>
          <w:sz w:val="24"/>
          <w:szCs w:val="24"/>
          <w:lang w:val="en-GB"/>
        </w:rPr>
        <w:t>Journal of the National Academy of Legal Sciences of Ukraine</w:t>
      </w:r>
      <w:r w:rsidRPr="00495DEE">
        <w:rPr>
          <w:rFonts w:ascii="Calibri Light" w:hAnsi="Calibri Light" w:cs="Calibri Light"/>
          <w:color w:val="000000"/>
          <w:sz w:val="24"/>
          <w:szCs w:val="24"/>
          <w:lang w:val="en-GB"/>
        </w:rPr>
        <w:t>, </w:t>
      </w:r>
      <w:r w:rsidRPr="00495DEE">
        <w:rPr>
          <w:rFonts w:ascii="Calibri Light" w:hAnsi="Calibri Light" w:cs="Calibri Light"/>
          <w:i/>
          <w:iCs/>
          <w:color w:val="000000"/>
          <w:sz w:val="24"/>
          <w:szCs w:val="24"/>
          <w:lang w:val="en-GB"/>
        </w:rPr>
        <w:t>28</w:t>
      </w:r>
      <w:r w:rsidRPr="00495DEE">
        <w:rPr>
          <w:rFonts w:ascii="Calibri Light" w:hAnsi="Calibri Light" w:cs="Calibri Light"/>
          <w:color w:val="000000"/>
          <w:sz w:val="24"/>
          <w:szCs w:val="24"/>
          <w:lang w:val="en-GB"/>
        </w:rPr>
        <w:t>(1), 195–204. </w:t>
      </w:r>
      <w:hyperlink r:id="rId40" w:history="1">
        <w:r w:rsidRPr="00495DEE" w:rsidR="008D5293">
          <w:rPr>
            <w:rStyle w:val="Hyperlink"/>
            <w:rFonts w:ascii="Calibri Light" w:hAnsi="Calibri Light" w:cs="Calibri Light"/>
            <w:sz w:val="24"/>
            <w:szCs w:val="24"/>
          </w:rPr>
          <w:t>https://doi.org/10.37635/jnalsu.28(1).2021.195-204</w:t>
        </w:r>
      </w:hyperlink>
    </w:p>
    <w:p w:rsidR="004837DE" w:rsidRPr="00495DEE" w:rsidP="004837DE" w14:paraId="727CC4DC" w14:textId="15163AA5">
      <w:pPr>
        <w:pStyle w:val="ListParagraph"/>
        <w:numPr>
          <w:ilvl w:val="0"/>
          <w:numId w:val="42"/>
        </w:numPr>
        <w:spacing w:before="120" w:after="120" w:line="240" w:lineRule="auto"/>
        <w:ind w:left="1214" w:hanging="505"/>
        <w:jc w:val="both"/>
        <w:rPr>
          <w:rFonts w:ascii="Calibri Light" w:hAnsi="Calibri Light" w:cs="Calibri Light"/>
          <w:sz w:val="24"/>
          <w:szCs w:val="24"/>
          <w:lang w:val="en-GB"/>
        </w:rPr>
      </w:pPr>
      <w:r w:rsidRPr="00495DEE">
        <w:rPr>
          <w:rFonts w:ascii="Calibri Light" w:hAnsi="Calibri Light" w:cs="Calibri Light"/>
          <w:color w:val="000000"/>
          <w:sz w:val="24"/>
          <w:szCs w:val="24"/>
          <w:lang w:val="en-GB"/>
        </w:rPr>
        <w:t>Romaniuk, M., Orobets, K., Herasymenko, O., Brynzanska, O., &amp; Petkov, V. (2024). The practice of qualifying environmental crimes at critical infrastructure facilities in the criminal justice of EU countries. </w:t>
      </w:r>
      <w:r w:rsidRPr="00495DEE">
        <w:rPr>
          <w:rFonts w:ascii="Calibri Light" w:hAnsi="Calibri Light" w:cs="Calibri Light"/>
          <w:i/>
          <w:iCs/>
          <w:color w:val="000000"/>
          <w:sz w:val="24"/>
          <w:szCs w:val="24"/>
          <w:lang w:val="en-GB"/>
        </w:rPr>
        <w:t>Journal of Lifestyle and SDGs Review</w:t>
      </w:r>
      <w:r w:rsidRPr="00495DEE">
        <w:rPr>
          <w:rFonts w:ascii="Calibri Light" w:hAnsi="Calibri Light" w:cs="Calibri Light"/>
          <w:color w:val="000000"/>
          <w:sz w:val="24"/>
          <w:szCs w:val="24"/>
          <w:lang w:val="en-GB"/>
        </w:rPr>
        <w:t>, </w:t>
      </w:r>
      <w:r w:rsidRPr="00495DEE">
        <w:rPr>
          <w:rFonts w:ascii="Calibri Light" w:hAnsi="Calibri Light" w:cs="Calibri Light"/>
          <w:i/>
          <w:iCs/>
          <w:color w:val="000000"/>
          <w:sz w:val="24"/>
          <w:szCs w:val="24"/>
          <w:lang w:val="en-GB"/>
        </w:rPr>
        <w:t>5</w:t>
      </w:r>
      <w:r w:rsidRPr="00495DEE">
        <w:rPr>
          <w:rFonts w:ascii="Calibri Light" w:hAnsi="Calibri Light" w:cs="Calibri Light"/>
          <w:color w:val="000000"/>
          <w:sz w:val="24"/>
          <w:szCs w:val="24"/>
          <w:lang w:val="en-GB"/>
        </w:rPr>
        <w:t>(2), Article e02561. </w:t>
      </w:r>
      <w:hyperlink r:id="rId41" w:history="1">
        <w:r w:rsidRPr="00495DEE" w:rsidR="008D5293">
          <w:rPr>
            <w:rStyle w:val="Hyperlink"/>
            <w:rFonts w:ascii="Calibri Light" w:hAnsi="Calibri Light" w:cs="Calibri Light"/>
            <w:sz w:val="24"/>
            <w:szCs w:val="24"/>
            <w:lang w:val="en-GB"/>
          </w:rPr>
          <w:t>https://doi.org/10.47172/2965-730x.sdgsreview.v5.n02.pe02561</w:t>
        </w:r>
      </w:hyperlink>
    </w:p>
    <w:p w:rsidR="002D2B29" w:rsidRPr="004837DE" w:rsidP="002D2B29" w14:paraId="34DC7FCF"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uk-UA"/>
        </w:rPr>
      </w:pPr>
      <w:r w:rsidRPr="004837DE">
        <w:rPr>
          <w:rFonts w:ascii="Calibri Light" w:hAnsi="Calibri Light" w:cs="Calibri Light"/>
          <w:sz w:val="24"/>
          <w:szCs w:val="24"/>
          <w:lang w:val="en-GB"/>
        </w:rPr>
        <w:t xml:space="preserve">Khalymon, S., &amp; Prytula, A. (2019). Problems of implementation of whistleblower institution in Ukraine </w:t>
      </w:r>
      <w:r w:rsidRPr="004837DE">
        <w:rPr>
          <w:rFonts w:ascii="Calibri Light" w:hAnsi="Calibri Light" w:cs="Calibri Light"/>
          <w:i/>
          <w:sz w:val="24"/>
          <w:szCs w:val="24"/>
          <w:lang w:val="en-GB"/>
        </w:rPr>
        <w:t>Juridical Tribune Journal</w:t>
      </w:r>
      <w:r w:rsidRPr="004837DE">
        <w:rPr>
          <w:rFonts w:ascii="Calibri Light" w:hAnsi="Calibri Light" w:cs="Calibri Light"/>
          <w:sz w:val="24"/>
          <w:szCs w:val="24"/>
          <w:lang w:val="en-GB"/>
        </w:rPr>
        <w:t xml:space="preserve">, </w:t>
      </w:r>
      <w:r w:rsidRPr="004837DE">
        <w:rPr>
          <w:rFonts w:ascii="Calibri Light" w:hAnsi="Calibri Light" w:cs="Calibri Light"/>
          <w:i/>
          <w:sz w:val="24"/>
          <w:szCs w:val="24"/>
          <w:lang w:val="en-GB"/>
        </w:rPr>
        <w:t>9</w:t>
      </w:r>
      <w:r w:rsidRPr="004837DE">
        <w:rPr>
          <w:rFonts w:ascii="Calibri Light" w:hAnsi="Calibri Light" w:cs="Calibri Light"/>
          <w:sz w:val="24"/>
          <w:szCs w:val="24"/>
          <w:lang w:val="en-GB"/>
        </w:rPr>
        <w:t xml:space="preserve"> (2), 436–454. </w:t>
      </w:r>
      <w:hyperlink r:id="rId42" w:history="1">
        <w:r w:rsidRPr="004837DE">
          <w:rPr>
            <w:rStyle w:val="Hyperlink"/>
            <w:rFonts w:ascii="Calibri Light" w:hAnsi="Calibri Light" w:cs="Calibri Light"/>
            <w:sz w:val="24"/>
            <w:szCs w:val="24"/>
            <w:lang w:val="de-DE"/>
          </w:rPr>
          <w:t>https</w:t>
        </w:r>
        <w:r w:rsidRPr="004837DE">
          <w:rPr>
            <w:rStyle w:val="Hyperlink"/>
            <w:rFonts w:ascii="Calibri Light" w:hAnsi="Calibri Light" w:cs="Calibri Light"/>
            <w:sz w:val="24"/>
            <w:szCs w:val="24"/>
            <w:lang w:val="uk-UA"/>
          </w:rPr>
          <w:t>://</w:t>
        </w:r>
        <w:r w:rsidRPr="004837DE">
          <w:rPr>
            <w:rStyle w:val="Hyperlink"/>
            <w:rFonts w:ascii="Calibri Light" w:hAnsi="Calibri Light" w:cs="Calibri Light"/>
            <w:sz w:val="24"/>
            <w:szCs w:val="24"/>
            <w:lang w:val="de-DE"/>
          </w:rPr>
          <w:t>ideas</w:t>
        </w:r>
        <w:r w:rsidRPr="004837DE">
          <w:rPr>
            <w:rStyle w:val="Hyperlink"/>
            <w:rFonts w:ascii="Calibri Light" w:hAnsi="Calibri Light" w:cs="Calibri Light"/>
            <w:sz w:val="24"/>
            <w:szCs w:val="24"/>
            <w:lang w:val="uk-UA"/>
          </w:rPr>
          <w:t>.</w:t>
        </w:r>
        <w:r w:rsidRPr="004837DE">
          <w:rPr>
            <w:rStyle w:val="Hyperlink"/>
            <w:rFonts w:ascii="Calibri Light" w:hAnsi="Calibri Light" w:cs="Calibri Light"/>
            <w:sz w:val="24"/>
            <w:szCs w:val="24"/>
            <w:lang w:val="de-DE"/>
          </w:rPr>
          <w:t>repec</w:t>
        </w:r>
        <w:r w:rsidRPr="004837DE">
          <w:rPr>
            <w:rStyle w:val="Hyperlink"/>
            <w:rFonts w:ascii="Calibri Light" w:hAnsi="Calibri Light" w:cs="Calibri Light"/>
            <w:sz w:val="24"/>
            <w:szCs w:val="24"/>
            <w:lang w:val="uk-UA"/>
          </w:rPr>
          <w:t>.</w:t>
        </w:r>
        <w:r w:rsidRPr="004837DE">
          <w:rPr>
            <w:rStyle w:val="Hyperlink"/>
            <w:rFonts w:ascii="Calibri Light" w:hAnsi="Calibri Light" w:cs="Calibri Light"/>
            <w:sz w:val="24"/>
            <w:szCs w:val="24"/>
            <w:lang w:val="de-DE"/>
          </w:rPr>
          <w:t>org</w:t>
        </w:r>
        <w:r w:rsidRPr="004837DE">
          <w:rPr>
            <w:rStyle w:val="Hyperlink"/>
            <w:rFonts w:ascii="Calibri Light" w:hAnsi="Calibri Light" w:cs="Calibri Light"/>
            <w:sz w:val="24"/>
            <w:szCs w:val="24"/>
            <w:lang w:val="uk-UA"/>
          </w:rPr>
          <w:t>/</w:t>
        </w:r>
        <w:r w:rsidRPr="004837DE">
          <w:rPr>
            <w:rStyle w:val="Hyperlink"/>
            <w:rFonts w:ascii="Calibri Light" w:hAnsi="Calibri Light" w:cs="Calibri Light"/>
            <w:sz w:val="24"/>
            <w:szCs w:val="24"/>
            <w:lang w:val="de-DE"/>
          </w:rPr>
          <w:t>a</w:t>
        </w:r>
        <w:r w:rsidRPr="004837DE">
          <w:rPr>
            <w:rStyle w:val="Hyperlink"/>
            <w:rFonts w:ascii="Calibri Light" w:hAnsi="Calibri Light" w:cs="Calibri Light"/>
            <w:sz w:val="24"/>
            <w:szCs w:val="24"/>
            <w:lang w:val="uk-UA"/>
          </w:rPr>
          <w:t>/</w:t>
        </w:r>
        <w:r w:rsidRPr="004837DE">
          <w:rPr>
            <w:rStyle w:val="Hyperlink"/>
            <w:rFonts w:ascii="Calibri Light" w:hAnsi="Calibri Light" w:cs="Calibri Light"/>
            <w:sz w:val="24"/>
            <w:szCs w:val="24"/>
            <w:lang w:val="de-DE"/>
          </w:rPr>
          <w:t>asr</w:t>
        </w:r>
        <w:r w:rsidRPr="004837DE">
          <w:rPr>
            <w:rStyle w:val="Hyperlink"/>
            <w:rFonts w:ascii="Calibri Light" w:hAnsi="Calibri Light" w:cs="Calibri Light"/>
            <w:sz w:val="24"/>
            <w:szCs w:val="24"/>
            <w:lang w:val="uk-UA"/>
          </w:rPr>
          <w:t>/</w:t>
        </w:r>
        <w:r w:rsidRPr="004837DE">
          <w:rPr>
            <w:rStyle w:val="Hyperlink"/>
            <w:rFonts w:ascii="Calibri Light" w:hAnsi="Calibri Light" w:cs="Calibri Light"/>
            <w:sz w:val="24"/>
            <w:szCs w:val="24"/>
            <w:lang w:val="de-DE"/>
          </w:rPr>
          <w:t>journl</w:t>
        </w:r>
        <w:r w:rsidRPr="004837DE">
          <w:rPr>
            <w:rStyle w:val="Hyperlink"/>
            <w:rFonts w:ascii="Calibri Light" w:hAnsi="Calibri Light" w:cs="Calibri Light"/>
            <w:sz w:val="24"/>
            <w:szCs w:val="24"/>
            <w:lang w:val="uk-UA"/>
          </w:rPr>
          <w:t>/</w:t>
        </w:r>
        <w:r w:rsidRPr="004837DE">
          <w:rPr>
            <w:rStyle w:val="Hyperlink"/>
            <w:rFonts w:ascii="Calibri Light" w:hAnsi="Calibri Light" w:cs="Calibri Light"/>
            <w:sz w:val="24"/>
            <w:szCs w:val="24"/>
            <w:lang w:val="de-DE"/>
          </w:rPr>
          <w:t>v</w:t>
        </w:r>
        <w:r w:rsidRPr="004837DE">
          <w:rPr>
            <w:rStyle w:val="Hyperlink"/>
            <w:rFonts w:ascii="Calibri Light" w:hAnsi="Calibri Light" w:cs="Calibri Light"/>
            <w:sz w:val="24"/>
            <w:szCs w:val="24"/>
            <w:lang w:val="uk-UA"/>
          </w:rPr>
          <w:t>9</w:t>
        </w:r>
        <w:r w:rsidRPr="004837DE">
          <w:rPr>
            <w:rStyle w:val="Hyperlink"/>
            <w:rFonts w:ascii="Calibri Light" w:hAnsi="Calibri Light" w:cs="Calibri Light"/>
            <w:sz w:val="24"/>
            <w:szCs w:val="24"/>
            <w:lang w:val="de-DE"/>
          </w:rPr>
          <w:t>y</w:t>
        </w:r>
        <w:r w:rsidRPr="004837DE">
          <w:rPr>
            <w:rStyle w:val="Hyperlink"/>
            <w:rFonts w:ascii="Calibri Light" w:hAnsi="Calibri Light" w:cs="Calibri Light"/>
            <w:sz w:val="24"/>
            <w:szCs w:val="24"/>
            <w:lang w:val="uk-UA"/>
          </w:rPr>
          <w:t>2019</w:t>
        </w:r>
        <w:r w:rsidRPr="004837DE">
          <w:rPr>
            <w:rStyle w:val="Hyperlink"/>
            <w:rFonts w:ascii="Calibri Light" w:hAnsi="Calibri Light" w:cs="Calibri Light"/>
            <w:sz w:val="24"/>
            <w:szCs w:val="24"/>
            <w:lang w:val="de-DE"/>
          </w:rPr>
          <w:t>i</w:t>
        </w:r>
        <w:r w:rsidRPr="004837DE">
          <w:rPr>
            <w:rStyle w:val="Hyperlink"/>
            <w:rFonts w:ascii="Calibri Light" w:hAnsi="Calibri Light" w:cs="Calibri Light"/>
            <w:sz w:val="24"/>
            <w:szCs w:val="24"/>
            <w:lang w:val="uk-UA"/>
          </w:rPr>
          <w:t>2</w:t>
        </w:r>
        <w:r w:rsidRPr="004837DE">
          <w:rPr>
            <w:rStyle w:val="Hyperlink"/>
            <w:rFonts w:ascii="Calibri Light" w:hAnsi="Calibri Light" w:cs="Calibri Light"/>
            <w:sz w:val="24"/>
            <w:szCs w:val="24"/>
            <w:lang w:val="de-DE"/>
          </w:rPr>
          <w:t>p</w:t>
        </w:r>
        <w:r w:rsidRPr="004837DE">
          <w:rPr>
            <w:rStyle w:val="Hyperlink"/>
            <w:rFonts w:ascii="Calibri Light" w:hAnsi="Calibri Light" w:cs="Calibri Light"/>
            <w:sz w:val="24"/>
            <w:szCs w:val="24"/>
            <w:lang w:val="uk-UA"/>
          </w:rPr>
          <w:t>436-454.</w:t>
        </w:r>
        <w:r w:rsidRPr="004837DE">
          <w:rPr>
            <w:rStyle w:val="Hyperlink"/>
            <w:rFonts w:ascii="Calibri Light" w:hAnsi="Calibri Light" w:cs="Calibri Light"/>
            <w:sz w:val="24"/>
            <w:szCs w:val="24"/>
            <w:lang w:val="de-DE"/>
          </w:rPr>
          <w:t>html</w:t>
        </w:r>
      </w:hyperlink>
    </w:p>
    <w:p w:rsidR="002D2B29" w:rsidRPr="002D2B29" w:rsidP="002D2B29" w14:paraId="0A1FF6CD"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974627">
        <w:rPr>
          <w:rFonts w:ascii="Calibri Light" w:hAnsi="Calibri Light" w:cs="Calibri Light"/>
          <w:sz w:val="24"/>
          <w:szCs w:val="24"/>
          <w:lang w:val="en-GB"/>
        </w:rPr>
        <w:t xml:space="preserve">Meleshevich, A., &amp; Forstein, C. (2014). </w:t>
      </w:r>
      <w:r w:rsidRPr="002D2B29">
        <w:rPr>
          <w:rFonts w:ascii="Calibri Light" w:hAnsi="Calibri Light" w:cs="Calibri Light"/>
          <w:sz w:val="24"/>
          <w:szCs w:val="24"/>
          <w:lang w:val="en-GB"/>
        </w:rPr>
        <w:t xml:space="preserve">Bringing Human Rights Home: The Challenge of Enforcing Judicial Rulings in Ukraine and Russia. </w:t>
      </w:r>
      <w:r w:rsidRPr="002D2B29">
        <w:rPr>
          <w:rFonts w:ascii="Calibri Light" w:hAnsi="Calibri Light" w:cs="Calibri Light"/>
          <w:i/>
          <w:sz w:val="24"/>
          <w:szCs w:val="24"/>
          <w:lang w:val="en-GB"/>
        </w:rPr>
        <w:t>Indiana International &amp; Comparative Law Review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24</w:t>
      </w:r>
      <w:r w:rsidRPr="002D2B29">
        <w:rPr>
          <w:rFonts w:ascii="Calibri Light" w:hAnsi="Calibri Light" w:cs="Calibri Light"/>
          <w:sz w:val="24"/>
          <w:szCs w:val="24"/>
          <w:lang w:val="en-GB"/>
        </w:rPr>
        <w:t xml:space="preserve">(2), 269–312. </w:t>
      </w:r>
      <w:hyperlink r:id="rId43" w:history="1">
        <w:r w:rsidRPr="002D2B29">
          <w:rPr>
            <w:rStyle w:val="Hyperlink"/>
            <w:rFonts w:ascii="Calibri Light" w:hAnsi="Calibri Light" w:cs="Calibri Light"/>
            <w:sz w:val="24"/>
            <w:szCs w:val="24"/>
            <w:lang w:val="en-GB"/>
          </w:rPr>
          <w:t>https://doi.org/10.18060/18268</w:t>
        </w:r>
      </w:hyperlink>
    </w:p>
    <w:p w:rsidR="002D2B29" w:rsidRPr="002D2B29" w:rsidP="002D2B29" w14:paraId="074BDEB5"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Shevchuk, O., Lysodyed, O., Matyukhina, N., Babaieva, O., &amp; Davydenko, S. (2023a). Conflict of interest in the activities of judges in Ukraine and the European Union: A comparative legal study. </w:t>
      </w:r>
      <w:r w:rsidRPr="002D2B29">
        <w:rPr>
          <w:rFonts w:ascii="Calibri Light" w:hAnsi="Calibri Light" w:cs="Calibri Light"/>
          <w:i/>
          <w:sz w:val="24"/>
          <w:szCs w:val="24"/>
          <w:lang w:val="en-GB"/>
        </w:rPr>
        <w:t>Juridical Tribune</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13</w:t>
      </w:r>
      <w:r w:rsidRPr="002D2B29">
        <w:rPr>
          <w:rFonts w:ascii="Calibri Light" w:hAnsi="Calibri Light" w:cs="Calibri Light"/>
          <w:sz w:val="24"/>
          <w:szCs w:val="24"/>
          <w:lang w:val="en-GB"/>
        </w:rPr>
        <w:t xml:space="preserve">(2). </w:t>
      </w:r>
      <w:hyperlink r:id="rId44" w:history="1">
        <w:r w:rsidRPr="002D2B29">
          <w:rPr>
            <w:rStyle w:val="Hyperlink"/>
            <w:rFonts w:ascii="Calibri Light" w:hAnsi="Calibri Light" w:cs="Calibri Light"/>
            <w:sz w:val="24"/>
            <w:szCs w:val="24"/>
            <w:lang w:val="en-GB"/>
          </w:rPr>
          <w:t>https://doi.org/10.24818/tbj/2023/13/2.06</w:t>
        </w:r>
      </w:hyperlink>
    </w:p>
    <w:p w:rsidR="002D2B29" w:rsidRPr="002D2B29" w:rsidP="002D2B29" w14:paraId="04AB7D21"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s-VE"/>
        </w:rPr>
      </w:pPr>
      <w:r w:rsidRPr="002D2B29">
        <w:rPr>
          <w:rFonts w:ascii="Calibri Light" w:hAnsi="Calibri Light" w:cs="Calibri Light"/>
          <w:sz w:val="24"/>
          <w:szCs w:val="24"/>
          <w:lang w:val="en-GB"/>
        </w:rPr>
        <w:t xml:space="preserve">Shevchuk, O., Protsiuk, I., Mokhonchuk, S., Papusha, I. (2019). Adaptation of Ukrainian legislation on drug trafficking control to the European Union legislation (separate aspects). </w:t>
      </w:r>
      <w:r w:rsidRPr="002D2B29">
        <w:rPr>
          <w:rFonts w:ascii="Calibri Light" w:hAnsi="Calibri Light" w:cs="Calibri Light"/>
          <w:i/>
          <w:sz w:val="24"/>
          <w:szCs w:val="24"/>
          <w:lang w:val="es-VE"/>
        </w:rPr>
        <w:t>Juridical Tribune/Tribuna Juridică</w:t>
      </w:r>
      <w:r w:rsidRPr="002D2B29">
        <w:rPr>
          <w:rFonts w:ascii="Calibri Light" w:hAnsi="Calibri Light" w:cs="Calibri Light"/>
          <w:sz w:val="24"/>
          <w:szCs w:val="24"/>
          <w:lang w:val="es-VE"/>
        </w:rPr>
        <w:t xml:space="preserve">, </w:t>
      </w:r>
      <w:r w:rsidRPr="002D2B29">
        <w:rPr>
          <w:rFonts w:ascii="Calibri Light" w:hAnsi="Calibri Light" w:cs="Calibri Light"/>
          <w:i/>
          <w:sz w:val="24"/>
          <w:szCs w:val="24"/>
          <w:lang w:val="es-VE"/>
        </w:rPr>
        <w:t>9</w:t>
      </w:r>
      <w:r w:rsidRPr="002D2B29">
        <w:rPr>
          <w:rFonts w:ascii="Calibri Light" w:hAnsi="Calibri Light" w:cs="Calibri Light"/>
          <w:sz w:val="24"/>
          <w:szCs w:val="24"/>
          <w:lang w:val="es-VE"/>
        </w:rPr>
        <w:t xml:space="preserve">, 117–126. </w:t>
      </w:r>
      <w:hyperlink r:id="rId45">
        <w:r w:rsidRPr="002D2B29">
          <w:rPr>
            <w:rStyle w:val="Hyperlink"/>
            <w:rFonts w:ascii="Calibri Light" w:hAnsi="Calibri Light" w:cs="Calibri Light"/>
            <w:sz w:val="24"/>
            <w:szCs w:val="24"/>
            <w:lang w:val="es-VE"/>
          </w:rPr>
          <w:t>https://ideas.repec.org/a/asr/journl/v9y2019ispecialp117-126.html</w:t>
        </w:r>
      </w:hyperlink>
    </w:p>
    <w:p w:rsidR="002D2B29" w:rsidRPr="002D2B29" w:rsidP="002D2B29" w14:paraId="41EC1761"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Mappasessu, M. (2024). Analysis of the Role of Judicial Institutions in Sharia Economic Law Enforcement in Indonesia. </w:t>
      </w:r>
      <w:r w:rsidRPr="002D2B29">
        <w:rPr>
          <w:rFonts w:ascii="Calibri Light" w:hAnsi="Calibri Light" w:cs="Calibri Light"/>
          <w:i/>
          <w:sz w:val="24"/>
          <w:szCs w:val="24"/>
          <w:lang w:val="en-GB"/>
        </w:rPr>
        <w:t>Journal of Islamic Economy</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w:t>
      </w:r>
      <w:r w:rsidRPr="002D2B29">
        <w:rPr>
          <w:rFonts w:ascii="Calibri Light" w:hAnsi="Calibri Light" w:cs="Calibri Light"/>
          <w:sz w:val="24"/>
          <w:szCs w:val="24"/>
          <w:lang w:val="en-GB"/>
        </w:rPr>
        <w:t xml:space="preserve">(2), 1–7. </w:t>
      </w:r>
      <w:hyperlink r:id="rId46" w:history="1">
        <w:r w:rsidRPr="002D2B29">
          <w:rPr>
            <w:rStyle w:val="Hyperlink"/>
            <w:rFonts w:ascii="Calibri Light" w:hAnsi="Calibri Light" w:cs="Calibri Light"/>
            <w:sz w:val="24"/>
            <w:szCs w:val="24"/>
            <w:lang w:val="en-GB"/>
          </w:rPr>
          <w:t>https://doi.org/10.62872/gtygez33</w:t>
        </w:r>
      </w:hyperlink>
    </w:p>
    <w:p w:rsidR="002D2B29" w:rsidRPr="002D2B29" w:rsidP="002D2B29" w14:paraId="1949CD84"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Luchtman, M. (2023). Setting the Scene: The Rise of EU Law Enforcement Authorities. In M. Luchtman, K. Ligeti, &amp; J. Vervaele (Eds.), </w:t>
      </w:r>
      <w:r w:rsidRPr="002D2B29">
        <w:rPr>
          <w:rFonts w:ascii="Calibri Light" w:hAnsi="Calibri Light" w:cs="Calibri Light"/>
          <w:i/>
          <w:sz w:val="24"/>
          <w:szCs w:val="24"/>
          <w:lang w:val="en-GB"/>
        </w:rPr>
        <w:t>EU Enforcement Authorities</w:t>
      </w:r>
      <w:r w:rsidRPr="002D2B29">
        <w:rPr>
          <w:rFonts w:ascii="Calibri Light" w:hAnsi="Calibri Light" w:cs="Calibri Light"/>
          <w:sz w:val="24"/>
          <w:szCs w:val="24"/>
          <w:lang w:val="en-GB"/>
        </w:rPr>
        <w:t xml:space="preserve">. Hart Publishing. </w:t>
      </w:r>
      <w:hyperlink r:id="rId47" w:history="1">
        <w:r w:rsidRPr="002D2B29">
          <w:rPr>
            <w:rStyle w:val="Hyperlink"/>
            <w:rFonts w:ascii="Calibri Light" w:hAnsi="Calibri Light" w:cs="Calibri Light"/>
            <w:sz w:val="24"/>
            <w:szCs w:val="24"/>
            <w:lang w:val="en-GB"/>
          </w:rPr>
          <w:t>https://doi.org/10.5040/9781509946495.ch-001</w:t>
        </w:r>
      </w:hyperlink>
    </w:p>
    <w:p w:rsidR="002D2B29" w:rsidRPr="002D2B29" w:rsidP="002D2B29" w14:paraId="3F5DFC4C"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Jaworski, B. (2024). General principles of enforcement proceedings in administration. </w:t>
      </w:r>
      <w:r w:rsidRPr="002D2B29">
        <w:rPr>
          <w:rFonts w:ascii="Calibri Light" w:hAnsi="Calibri Light" w:cs="Calibri Light"/>
          <w:i/>
          <w:sz w:val="24"/>
          <w:szCs w:val="24"/>
          <w:lang w:val="en-GB"/>
        </w:rPr>
        <w:t>Roczniki Administracji i Prawa</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w:t>
      </w:r>
      <w:r w:rsidRPr="002D2B29">
        <w:rPr>
          <w:rFonts w:ascii="Calibri Light" w:hAnsi="Calibri Light" w:cs="Calibri Light"/>
          <w:sz w:val="24"/>
          <w:szCs w:val="24"/>
          <w:lang w:val="en-GB"/>
        </w:rPr>
        <w:t xml:space="preserve">(XXIV), 175–192. </w:t>
      </w:r>
      <w:hyperlink r:id="rId48" w:history="1">
        <w:r w:rsidRPr="002D2B29">
          <w:rPr>
            <w:rStyle w:val="Hyperlink"/>
            <w:rFonts w:ascii="Calibri Light" w:hAnsi="Calibri Light" w:cs="Calibri Light"/>
            <w:sz w:val="24"/>
            <w:szCs w:val="24"/>
            <w:lang w:val="en-GB"/>
          </w:rPr>
          <w:t>https://doi.org/10.5604/01.3001.0054.4689</w:t>
        </w:r>
      </w:hyperlink>
    </w:p>
    <w:p w:rsidR="002D2B29" w:rsidRPr="002D2B29" w:rsidP="002D2B29" w14:paraId="13A4C40E"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Pūraitė-Andrikienė, D. (2023). Towards an Effective Constitution in Lithuania: The Role of the Constitutional Court. </w:t>
      </w:r>
      <w:r w:rsidRPr="002D2B29">
        <w:rPr>
          <w:rFonts w:ascii="Calibri Light" w:hAnsi="Calibri Light" w:cs="Calibri Light"/>
          <w:i/>
          <w:sz w:val="24"/>
          <w:szCs w:val="24"/>
          <w:lang w:val="en-GB"/>
        </w:rPr>
        <w:t>Review of Central and East European 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48</w:t>
      </w:r>
      <w:r w:rsidRPr="002D2B29">
        <w:rPr>
          <w:rFonts w:ascii="Calibri Light" w:hAnsi="Calibri Light" w:cs="Calibri Light"/>
          <w:sz w:val="24"/>
          <w:szCs w:val="24"/>
          <w:lang w:val="en-GB"/>
        </w:rPr>
        <w:t xml:space="preserve">(2), 134–165. </w:t>
      </w:r>
      <w:hyperlink r:id="rId49" w:history="1">
        <w:r w:rsidRPr="002D2B29">
          <w:rPr>
            <w:rStyle w:val="Hyperlink"/>
            <w:rFonts w:ascii="Calibri Light" w:hAnsi="Calibri Light" w:cs="Calibri Light"/>
            <w:sz w:val="24"/>
            <w:szCs w:val="24"/>
            <w:lang w:val="en-GB"/>
          </w:rPr>
          <w:t>https://doi.org/10.1163/15730352-bja10079</w:t>
        </w:r>
      </w:hyperlink>
    </w:p>
    <w:p w:rsidR="002D2B29" w:rsidRPr="002D2B29" w:rsidP="002D2B29" w14:paraId="33021BC3"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uk-UA"/>
        </w:rPr>
      </w:pPr>
      <w:r w:rsidRPr="002D2B29">
        <w:rPr>
          <w:rFonts w:ascii="Calibri Light" w:hAnsi="Calibri Light" w:cs="Calibri Light"/>
          <w:sz w:val="24"/>
          <w:szCs w:val="24"/>
          <w:lang w:val="en-GB"/>
        </w:rPr>
        <w:t xml:space="preserve">Obikhod, T., &amp; Bilenchuk, P. (2021). Efficiency improvement challenges of law application in Ukraine. </w:t>
      </w:r>
      <w:r w:rsidRPr="002D2B29">
        <w:rPr>
          <w:rFonts w:ascii="Calibri Light" w:hAnsi="Calibri Light" w:cs="Calibri Light"/>
          <w:i/>
          <w:sz w:val="24"/>
          <w:szCs w:val="24"/>
          <w:lang w:val="en-GB"/>
        </w:rPr>
        <w:t>Scientific Works of National Aviation University. Series: Law Journal “Air and Space 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3</w:t>
      </w:r>
      <w:r w:rsidRPr="002D2B29">
        <w:rPr>
          <w:rFonts w:ascii="Calibri Light" w:hAnsi="Calibri Light" w:cs="Calibri Light"/>
          <w:sz w:val="24"/>
          <w:szCs w:val="24"/>
          <w:lang w:val="en-GB"/>
        </w:rPr>
        <w:t xml:space="preserve">(60), 58–62. </w:t>
      </w:r>
      <w:hyperlink r:id="rId50" w:history="1">
        <w:r w:rsidRPr="002D2B29">
          <w:rPr>
            <w:rStyle w:val="Hyperlink"/>
            <w:rFonts w:ascii="Calibri Light" w:hAnsi="Calibri Light" w:cs="Calibri Light"/>
            <w:sz w:val="24"/>
            <w:szCs w:val="24"/>
            <w:lang w:val="en-GB"/>
          </w:rPr>
          <w:t>https</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en-GB"/>
          </w:rPr>
          <w:t>doi</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en-GB"/>
          </w:rPr>
          <w:t>org</w:t>
        </w:r>
        <w:r w:rsidRPr="002D2B29">
          <w:rPr>
            <w:rStyle w:val="Hyperlink"/>
            <w:rFonts w:ascii="Calibri Light" w:hAnsi="Calibri Light" w:cs="Calibri Light"/>
            <w:sz w:val="24"/>
            <w:szCs w:val="24"/>
            <w:lang w:val="uk-UA"/>
          </w:rPr>
          <w:t>/10.18372/2307-9061.60.15953</w:t>
        </w:r>
      </w:hyperlink>
    </w:p>
    <w:p w:rsidR="002D2B29" w:rsidRPr="002D2B29" w:rsidP="002D2B29" w14:paraId="72EFD709"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US"/>
        </w:rPr>
        <w:t xml:space="preserve">Korniienko, P., &amp; Petrunenko, I. (2023). </w:t>
      </w:r>
      <w:r w:rsidRPr="002D2B29">
        <w:rPr>
          <w:rFonts w:ascii="Calibri Light" w:hAnsi="Calibri Light" w:cs="Calibri Light"/>
          <w:sz w:val="24"/>
          <w:szCs w:val="24"/>
          <w:lang w:val="en-GB"/>
        </w:rPr>
        <w:t xml:space="preserve">The Impact of International Sanctions on Ukraine’s Sustainable Development in the Context of Russian Cyberwarfare. </w:t>
      </w:r>
      <w:r w:rsidRPr="002D2B29">
        <w:rPr>
          <w:rFonts w:ascii="Calibri Light" w:hAnsi="Calibri Light" w:cs="Calibri Light"/>
          <w:i/>
          <w:sz w:val="24"/>
          <w:szCs w:val="24"/>
          <w:lang w:val="en-GB"/>
        </w:rPr>
        <w:t>Law, Business and Sustainability Herald, 3</w:t>
      </w:r>
      <w:r w:rsidRPr="002D2B29">
        <w:rPr>
          <w:rFonts w:ascii="Calibri Light" w:hAnsi="Calibri Light" w:cs="Calibri Light"/>
          <w:sz w:val="24"/>
          <w:szCs w:val="24"/>
          <w:lang w:val="en-GB"/>
        </w:rPr>
        <w:t xml:space="preserve">(2), 30–47. </w:t>
      </w:r>
      <w:hyperlink r:id="rId51">
        <w:r w:rsidRPr="002D2B29">
          <w:rPr>
            <w:rStyle w:val="Hyperlink"/>
            <w:rFonts w:ascii="Calibri Light" w:hAnsi="Calibri Light" w:cs="Calibri Light"/>
            <w:sz w:val="24"/>
            <w:szCs w:val="24"/>
            <w:lang w:val="en-GB"/>
          </w:rPr>
          <w:t>https://lbsherald.org/index.php/journal/article/view/65</w:t>
        </w:r>
      </w:hyperlink>
    </w:p>
    <w:p w:rsidR="002D2B29" w:rsidRPr="002D2B29" w:rsidP="002D2B29" w14:paraId="7619743E"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Mytnyk, A. A., Syrota, D. I., Slobodianyk, T. M., Loktionova, V. V., &amp; Pleskun, O. V. (2020). Ensuring Enforcement of Judgements through the Prism of Reforming </w:t>
      </w:r>
      <w:r w:rsidRPr="002D2B29">
        <w:rPr>
          <w:rFonts w:ascii="Calibri Light" w:hAnsi="Calibri Light" w:cs="Calibri Light"/>
          <w:sz w:val="24"/>
          <w:szCs w:val="24"/>
          <w:lang w:val="en-GB"/>
        </w:rPr>
        <w:t xml:space="preserve">Criminal Provisions. </w:t>
      </w:r>
      <w:r w:rsidRPr="002D2B29">
        <w:rPr>
          <w:rFonts w:ascii="Calibri Light" w:hAnsi="Calibri Light" w:cs="Calibri Light"/>
          <w:i/>
          <w:sz w:val="24"/>
          <w:szCs w:val="24"/>
          <w:lang w:val="en-GB"/>
        </w:rPr>
        <w:t>International Journal of Criminology and Sociology</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9</w:t>
      </w:r>
      <w:r w:rsidRPr="002D2B29">
        <w:rPr>
          <w:rFonts w:ascii="Calibri Light" w:hAnsi="Calibri Light" w:cs="Calibri Light"/>
          <w:sz w:val="24"/>
          <w:szCs w:val="24"/>
          <w:lang w:val="en-GB"/>
        </w:rPr>
        <w:t xml:space="preserve">, 735–747. </w:t>
      </w:r>
      <w:hyperlink r:id="rId52" w:history="1">
        <w:r w:rsidRPr="002D2B29">
          <w:rPr>
            <w:rStyle w:val="Hyperlink"/>
            <w:rFonts w:ascii="Calibri Light" w:hAnsi="Calibri Light" w:cs="Calibri Light"/>
            <w:sz w:val="24"/>
            <w:szCs w:val="24"/>
            <w:lang w:val="en-GB"/>
          </w:rPr>
          <w:t>https://doi.org/10.6000/1929-4409.2020.09.69</w:t>
        </w:r>
      </w:hyperlink>
    </w:p>
    <w:p w:rsidR="002D2B29" w:rsidRPr="002D2B29" w:rsidP="002D2B29" w14:paraId="498D7804"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Muraev, P., Muraev, R., &amp; Andryushchenko, O. (2021). The Coordination of the Activities of the Law Enforcement Agencies for the Prevention and Detection of Crimes Committed by Minors. </w:t>
      </w:r>
      <w:r w:rsidRPr="002D2B29">
        <w:rPr>
          <w:rFonts w:ascii="Calibri Light" w:hAnsi="Calibri Light" w:cs="Calibri Light"/>
          <w:i/>
          <w:sz w:val="24"/>
          <w:szCs w:val="24"/>
          <w:lang w:val="en-GB"/>
        </w:rPr>
        <w:t>Legal Concept</w:t>
      </w:r>
      <w:r w:rsidRPr="002D2B29">
        <w:rPr>
          <w:rFonts w:ascii="Calibri Light" w:hAnsi="Calibri Light" w:cs="Calibri Light"/>
          <w:sz w:val="24"/>
          <w:szCs w:val="24"/>
          <w:lang w:val="en-GB"/>
        </w:rPr>
        <w:t xml:space="preserve">, (2), 33–40. </w:t>
      </w:r>
      <w:hyperlink r:id="rId53" w:history="1">
        <w:r w:rsidRPr="002D2B29">
          <w:rPr>
            <w:rStyle w:val="Hyperlink"/>
            <w:rFonts w:ascii="Calibri Light" w:hAnsi="Calibri Light" w:cs="Calibri Light"/>
            <w:sz w:val="24"/>
            <w:szCs w:val="24"/>
            <w:lang w:val="en-GB"/>
          </w:rPr>
          <w:t>https://doi.org/10.15688/lc.jvolsu.2021.2.5</w:t>
        </w:r>
      </w:hyperlink>
    </w:p>
    <w:p w:rsidR="002D2B29" w:rsidRPr="002D2B29" w:rsidP="002D2B29" w14:paraId="53421748"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Teremetskyi, V., Kovalchuk, O., Kolesnikov, A., Bogdanov, R., Korniienko, M., &amp; Dir, I. (2024). Improving the Information and Legal Support of the Judicial System of Ukraine: Experience of the European Court of Human Rights. </w:t>
      </w:r>
      <w:r w:rsidRPr="002D2B29">
        <w:rPr>
          <w:rFonts w:ascii="Calibri Light" w:hAnsi="Calibri Light" w:cs="Calibri Light"/>
          <w:i/>
          <w:sz w:val="24"/>
          <w:szCs w:val="24"/>
          <w:lang w:val="en-GB"/>
        </w:rPr>
        <w:t>Journal of Ecohumanism</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3</w:t>
      </w:r>
      <w:r w:rsidRPr="002D2B29">
        <w:rPr>
          <w:rFonts w:ascii="Calibri Light" w:hAnsi="Calibri Light" w:cs="Calibri Light"/>
          <w:sz w:val="24"/>
          <w:szCs w:val="24"/>
          <w:lang w:val="en-GB"/>
        </w:rPr>
        <w:t xml:space="preserve">(3), 61–74. </w:t>
      </w:r>
      <w:hyperlink r:id="rId54" w:history="1">
        <w:r w:rsidRPr="002D2B29">
          <w:rPr>
            <w:rStyle w:val="Hyperlink"/>
            <w:rFonts w:ascii="Calibri Light" w:hAnsi="Calibri Light" w:cs="Calibri Light"/>
            <w:sz w:val="24"/>
            <w:szCs w:val="24"/>
            <w:lang w:val="en-GB"/>
          </w:rPr>
          <w:t>https://doi.org/10.62754/joe.v3i3.3349</w:t>
        </w:r>
      </w:hyperlink>
    </w:p>
    <w:p w:rsidR="002D2B29" w:rsidRPr="002D2B29" w:rsidP="002D2B29" w14:paraId="2983F93A"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uk-UA"/>
        </w:rPr>
        <w:t xml:space="preserve">Iliev, K. (2022). </w:t>
      </w:r>
      <w:r w:rsidRPr="002D2B29">
        <w:rPr>
          <w:rFonts w:ascii="Calibri Light" w:hAnsi="Calibri Light" w:cs="Calibri Light"/>
          <w:sz w:val="24"/>
          <w:szCs w:val="24"/>
          <w:lang w:val="en-GB"/>
        </w:rPr>
        <w:t xml:space="preserve">Philosophical views on the procedure for regulating the norms of Blockchain technologies in the context of future prospects for the development of the meta-universe. </w:t>
      </w:r>
      <w:r w:rsidRPr="002D2B29">
        <w:rPr>
          <w:rFonts w:ascii="Calibri Light" w:hAnsi="Calibri Light" w:cs="Calibri Light"/>
          <w:i/>
          <w:sz w:val="24"/>
          <w:szCs w:val="24"/>
          <w:lang w:val="en-GB"/>
        </w:rPr>
        <w:t>Futurity Philosophy</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w:t>
      </w:r>
      <w:r w:rsidRPr="002D2B29">
        <w:rPr>
          <w:rFonts w:ascii="Calibri Light" w:hAnsi="Calibri Light" w:cs="Calibri Light"/>
          <w:sz w:val="24"/>
          <w:szCs w:val="24"/>
          <w:lang w:val="en-GB"/>
        </w:rPr>
        <w:t xml:space="preserve">(1), 30–41. </w:t>
      </w:r>
      <w:hyperlink r:id="rId55" w:history="1">
        <w:r w:rsidRPr="002D2B29">
          <w:rPr>
            <w:rStyle w:val="Hyperlink"/>
            <w:rFonts w:ascii="Calibri Light" w:hAnsi="Calibri Light" w:cs="Calibri Light"/>
            <w:sz w:val="24"/>
            <w:szCs w:val="24"/>
            <w:lang w:val="en-GB"/>
          </w:rPr>
          <w:t>https://doi.org/10.57125/fp.2022.03.30.03</w:t>
        </w:r>
      </w:hyperlink>
    </w:p>
    <w:p w:rsidR="002D2B29" w:rsidRPr="002D2B29" w:rsidP="002D2B29" w14:paraId="46FCF844"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Krap, A., Bataiev, S., Bobro, N., Kozub, V., &amp; Hlevatska, N. (2024). Examination of digital advancements: Their influence on contemporary corporate management methods and approaches. </w:t>
      </w:r>
      <w:r w:rsidRPr="002D2B29">
        <w:rPr>
          <w:rFonts w:ascii="Calibri Light" w:hAnsi="Calibri Light" w:cs="Calibri Light"/>
          <w:i/>
          <w:sz w:val="24"/>
          <w:szCs w:val="24"/>
          <w:lang w:val="en-GB"/>
        </w:rPr>
        <w:t>Multidisciplinary Reviews</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7</w:t>
      </w:r>
      <w:r w:rsidRPr="002D2B29">
        <w:rPr>
          <w:rFonts w:ascii="Calibri Light" w:hAnsi="Calibri Light" w:cs="Calibri Light"/>
          <w:sz w:val="24"/>
          <w:szCs w:val="24"/>
          <w:lang w:val="en-GB"/>
        </w:rPr>
        <w:t xml:space="preserve">, Article 2024spe026. </w:t>
      </w:r>
      <w:hyperlink r:id="rId56" w:history="1">
        <w:r w:rsidRPr="002D2B29">
          <w:rPr>
            <w:rStyle w:val="Hyperlink"/>
            <w:rFonts w:ascii="Calibri Light" w:hAnsi="Calibri Light" w:cs="Calibri Light"/>
            <w:sz w:val="24"/>
            <w:szCs w:val="24"/>
            <w:lang w:val="en-GB"/>
          </w:rPr>
          <w:t>https://doi.org/10.31893/multirev.2024spe026</w:t>
        </w:r>
      </w:hyperlink>
    </w:p>
    <w:p w:rsidR="002D2B29" w:rsidRPr="002D2B29" w:rsidP="002D2B29" w14:paraId="71CD2C81"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Prokopenko, O., &amp; Sapinski, A. (2024). Using Virtual Reality in Education: Ethical and Social Dimensions. </w:t>
      </w:r>
      <w:r w:rsidRPr="002D2B29">
        <w:rPr>
          <w:rFonts w:ascii="Calibri Light" w:hAnsi="Calibri Light" w:cs="Calibri Light"/>
          <w:i/>
          <w:sz w:val="24"/>
          <w:szCs w:val="24"/>
          <w:lang w:val="en-GB"/>
        </w:rPr>
        <w:t>E-Learning Innovations Journal</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w:t>
      </w:r>
      <w:r w:rsidRPr="002D2B29">
        <w:rPr>
          <w:rFonts w:ascii="Calibri Light" w:hAnsi="Calibri Light" w:cs="Calibri Light"/>
          <w:sz w:val="24"/>
          <w:szCs w:val="24"/>
          <w:lang w:val="en-GB"/>
        </w:rPr>
        <w:t xml:space="preserve">(1), 41–62. </w:t>
      </w:r>
      <w:hyperlink r:id="rId57" w:history="1">
        <w:r w:rsidRPr="002D2B29">
          <w:rPr>
            <w:rStyle w:val="Hyperlink"/>
            <w:rFonts w:ascii="Calibri Light" w:hAnsi="Calibri Light" w:cs="Calibri Light"/>
            <w:sz w:val="24"/>
            <w:szCs w:val="24"/>
            <w:lang w:val="en-GB"/>
          </w:rPr>
          <w:t>https://doi.org/10.57125/elij.2024.03.25.03</w:t>
        </w:r>
      </w:hyperlink>
    </w:p>
    <w:p w:rsidR="002D2B29" w:rsidRPr="002D2B29" w:rsidP="002D2B29" w14:paraId="67314EF7"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Gruev, I. (2023). Responsive Judicial Review in Kelsenian Constitutional Courts: The Impeding Effects of Limited Standing and Formalism. </w:t>
      </w:r>
      <w:r w:rsidRPr="002D2B29">
        <w:rPr>
          <w:rFonts w:ascii="Calibri Light" w:hAnsi="Calibri Light" w:cs="Calibri Light"/>
          <w:i/>
          <w:sz w:val="24"/>
          <w:szCs w:val="24"/>
          <w:lang w:val="en-GB"/>
        </w:rPr>
        <w:t>Review of Central and East European 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48</w:t>
      </w:r>
      <w:r w:rsidRPr="002D2B29">
        <w:rPr>
          <w:rFonts w:ascii="Calibri Light" w:hAnsi="Calibri Light" w:cs="Calibri Light"/>
          <w:sz w:val="24"/>
          <w:szCs w:val="24"/>
          <w:lang w:val="en-GB"/>
        </w:rPr>
        <w:t xml:space="preserve">(3-4), 426–444. </w:t>
      </w:r>
      <w:hyperlink r:id="rId58" w:history="1">
        <w:r w:rsidRPr="002D2B29">
          <w:rPr>
            <w:rStyle w:val="Hyperlink"/>
            <w:rFonts w:ascii="Calibri Light" w:hAnsi="Calibri Light" w:cs="Calibri Light"/>
            <w:sz w:val="24"/>
            <w:szCs w:val="24"/>
            <w:lang w:val="en-GB"/>
          </w:rPr>
          <w:t>https://doi.org/10.1163/15730352-bja10085</w:t>
        </w:r>
      </w:hyperlink>
    </w:p>
    <w:p w:rsidR="002D2B29" w:rsidRPr="002D2B29" w:rsidP="002D2B29" w14:paraId="69AF4E8B"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Shevchuk, O., Protsiuk, I,. Samoshchenko, V., Panova, A., &amp; Shaposhnyk A. (2023b). The Rights to access to Information and National Security in the Ukraine in the System of Human Rights. </w:t>
      </w:r>
      <w:r w:rsidRPr="002D2B29">
        <w:rPr>
          <w:rFonts w:ascii="Calibri Light" w:hAnsi="Calibri Light" w:cs="Calibri Light"/>
          <w:i/>
          <w:sz w:val="24"/>
          <w:szCs w:val="24"/>
          <w:lang w:val="en-GB"/>
        </w:rPr>
        <w:t>Revista Jurídica Portucalense</w:t>
      </w:r>
      <w:r w:rsidRPr="002D2B29">
        <w:rPr>
          <w:rFonts w:ascii="Calibri Light" w:hAnsi="Calibri Light" w:cs="Calibri Light"/>
          <w:sz w:val="24"/>
          <w:szCs w:val="24"/>
          <w:lang w:val="en-GB"/>
        </w:rPr>
        <w:t xml:space="preserve">, (34), 257–282. </w:t>
      </w:r>
      <w:hyperlink r:id="rId59">
        <w:r w:rsidRPr="002D2B29">
          <w:rPr>
            <w:rStyle w:val="Hyperlink"/>
            <w:rFonts w:ascii="Calibri Light" w:hAnsi="Calibri Light" w:cs="Calibri Light"/>
            <w:sz w:val="24"/>
            <w:szCs w:val="24"/>
            <w:lang w:val="en-GB"/>
          </w:rPr>
          <w:t>https://doi.org/10.34625/issn.2183-2705(34)2023.ic-13</w:t>
        </w:r>
      </w:hyperlink>
    </w:p>
    <w:p w:rsidR="002D2B29" w:rsidRPr="002D2B29" w:rsidP="002D2B29" w14:paraId="05650B28"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de-DE"/>
        </w:rPr>
        <w:t xml:space="preserve">Kelemen, R. D., &amp; Pavone, T. (2021). </w:t>
      </w:r>
      <w:r w:rsidRPr="002D2B29">
        <w:rPr>
          <w:rFonts w:ascii="Calibri Light" w:hAnsi="Calibri Light" w:cs="Calibri Light"/>
          <w:sz w:val="24"/>
          <w:szCs w:val="24"/>
          <w:lang w:val="en-GB"/>
        </w:rPr>
        <w:t xml:space="preserve">Where Have the Guardians Gone? Law Enforcement and the Politics of Supranational Forbearance in the European Union. </w:t>
      </w:r>
      <w:r w:rsidRPr="002D2B29">
        <w:rPr>
          <w:rFonts w:ascii="Calibri Light" w:hAnsi="Calibri Light" w:cs="Calibri Light"/>
          <w:i/>
          <w:iCs/>
          <w:sz w:val="24"/>
          <w:szCs w:val="24"/>
          <w:lang w:val="en-GB"/>
        </w:rPr>
        <w:t>SSRN Electronic Journal</w:t>
      </w:r>
      <w:r w:rsidRPr="002D2B29">
        <w:rPr>
          <w:rFonts w:ascii="Calibri Light" w:hAnsi="Calibri Light" w:cs="Calibri Light"/>
          <w:sz w:val="24"/>
          <w:szCs w:val="24"/>
          <w:lang w:val="en-GB"/>
        </w:rPr>
        <w:t xml:space="preserve">. </w:t>
      </w:r>
      <w:hyperlink r:id="rId60" w:history="1">
        <w:r w:rsidRPr="002D2B29">
          <w:rPr>
            <w:rStyle w:val="Hyperlink"/>
            <w:rFonts w:ascii="Calibri Light" w:hAnsi="Calibri Light" w:cs="Calibri Light"/>
            <w:sz w:val="24"/>
            <w:szCs w:val="24"/>
            <w:lang w:val="en-GB"/>
          </w:rPr>
          <w:t>https://doi.org/10.2139/ssrn.3994918</w:t>
        </w:r>
      </w:hyperlink>
    </w:p>
    <w:p w:rsidR="002D2B29" w:rsidRPr="002D2B29" w:rsidP="002D2B29" w14:paraId="1069BD26"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Shelever, N., Rogach, O., Antalovtsi, O., Voron, D., &amp; Pylyp, V. (2024). Justice of judicial procedure: conceptual basis and national characteristics. </w:t>
      </w:r>
      <w:r w:rsidRPr="002D2B29">
        <w:rPr>
          <w:rFonts w:ascii="Calibri Light" w:hAnsi="Calibri Light" w:cs="Calibri Light"/>
          <w:i/>
          <w:sz w:val="24"/>
          <w:szCs w:val="24"/>
          <w:lang w:val="en-GB"/>
        </w:rPr>
        <w:t>Revista Brasileira de Direito</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20</w:t>
      </w:r>
      <w:r w:rsidRPr="002D2B29">
        <w:rPr>
          <w:rFonts w:ascii="Calibri Light" w:hAnsi="Calibri Light" w:cs="Calibri Light"/>
          <w:sz w:val="24"/>
          <w:szCs w:val="24"/>
          <w:lang w:val="en-GB"/>
        </w:rPr>
        <w:t xml:space="preserve">(1), 4987. </w:t>
      </w:r>
      <w:hyperlink r:id="rId61" w:history="1">
        <w:r w:rsidRPr="002D2B29">
          <w:rPr>
            <w:rStyle w:val="Hyperlink"/>
            <w:rFonts w:ascii="Calibri Light" w:hAnsi="Calibri Light" w:cs="Calibri Light"/>
            <w:sz w:val="24"/>
            <w:szCs w:val="24"/>
            <w:lang w:val="en-GB"/>
          </w:rPr>
          <w:t>https://doi.org/10.18256/2238-0604.2024.v20i1.4987</w:t>
        </w:r>
      </w:hyperlink>
    </w:p>
    <w:p w:rsidR="002D2B29" w:rsidRPr="002D2B29" w:rsidP="002D2B29" w14:paraId="438A1673"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US"/>
        </w:rPr>
      </w:pPr>
      <w:r w:rsidRPr="002D2B29">
        <w:rPr>
          <w:rFonts w:ascii="Calibri Light" w:hAnsi="Calibri Light" w:cs="Calibri Light"/>
          <w:sz w:val="24"/>
          <w:szCs w:val="24"/>
          <w:lang w:val="en-GB"/>
        </w:rPr>
        <w:t xml:space="preserve">Myroslavskyi, S. V., &amp; Leshchenko, A. V. (2022). Prevention of corruption in the system of state and public administration in Ukraine: History – retrospective analysis. </w:t>
      </w:r>
      <w:r w:rsidRPr="002D2B29">
        <w:rPr>
          <w:rFonts w:ascii="Calibri Light" w:hAnsi="Calibri Light" w:cs="Calibri Light"/>
          <w:i/>
          <w:iCs/>
          <w:sz w:val="24"/>
          <w:szCs w:val="24"/>
          <w:lang w:val="en-GB"/>
        </w:rPr>
        <w:t>“Scientific Notes of Taurida V.I. Vernadsky University”, Series “Public Administration,”</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33</w:t>
      </w:r>
      <w:r w:rsidRPr="002D2B29">
        <w:rPr>
          <w:rFonts w:ascii="Calibri Light" w:hAnsi="Calibri Light" w:cs="Calibri Light"/>
          <w:sz w:val="24"/>
          <w:szCs w:val="24"/>
          <w:lang w:val="en-GB"/>
        </w:rPr>
        <w:t>(</w:t>
      </w:r>
      <w:r w:rsidRPr="002D2B29">
        <w:rPr>
          <w:rFonts w:ascii="Calibri Light" w:hAnsi="Calibri Light" w:cs="Calibri Light"/>
          <w:iCs/>
          <w:sz w:val="24"/>
          <w:szCs w:val="24"/>
          <w:lang w:val="en-GB"/>
        </w:rPr>
        <w:t>6)</w:t>
      </w:r>
      <w:r w:rsidRPr="002D2B29">
        <w:rPr>
          <w:rFonts w:ascii="Calibri Light" w:hAnsi="Calibri Light" w:cs="Calibri Light"/>
          <w:sz w:val="24"/>
          <w:szCs w:val="24"/>
          <w:lang w:val="en-GB"/>
        </w:rPr>
        <w:t xml:space="preserve">, 25–30. </w:t>
      </w:r>
      <w:hyperlink r:id="rId62" w:history="1">
        <w:r w:rsidRPr="002D2B29">
          <w:rPr>
            <w:rStyle w:val="Hyperlink"/>
            <w:rFonts w:ascii="Calibri Light" w:hAnsi="Calibri Light" w:cs="Calibri Light"/>
            <w:sz w:val="24"/>
            <w:szCs w:val="24"/>
            <w:lang w:val="en-US"/>
          </w:rPr>
          <w:t>https://doi.org/10.32782/TNU-2663-6468/2022.6/04</w:t>
        </w:r>
      </w:hyperlink>
    </w:p>
    <w:p w:rsidR="002D2B29" w:rsidRPr="00AC4782" w:rsidP="002D2B29" w14:paraId="238C03BC" w14:textId="77777777">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Shevchuk, O., Kompaniiets, I., Volianska, O., Shovkoplias, O., &amp; Baranchuk, V. (2024). Electronic Administrative Judicial Procedure of Ukraine and the Right to Judicial Protection: Problems of Legal Regulation and Practical Issues. </w:t>
      </w:r>
      <w:r w:rsidRPr="002D2B29">
        <w:rPr>
          <w:rFonts w:ascii="Calibri Light" w:hAnsi="Calibri Light" w:cs="Calibri Light"/>
          <w:i/>
          <w:sz w:val="24"/>
          <w:szCs w:val="24"/>
          <w:lang w:val="en-GB"/>
        </w:rPr>
        <w:t>Juridical Tribune – Review of Comparative and International 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14</w:t>
      </w:r>
      <w:r w:rsidRPr="002D2B29">
        <w:rPr>
          <w:rFonts w:ascii="Calibri Light" w:hAnsi="Calibri Light" w:cs="Calibri Light"/>
          <w:sz w:val="24"/>
          <w:szCs w:val="24"/>
          <w:lang w:val="en-GB"/>
        </w:rPr>
        <w:t xml:space="preserve">(1), 98–115. </w:t>
      </w:r>
      <w:hyperlink r:id="rId63" w:history="1">
        <w:r w:rsidRPr="002D2B29">
          <w:rPr>
            <w:rStyle w:val="Hyperlink"/>
            <w:rFonts w:ascii="Calibri Light" w:hAnsi="Calibri Light" w:cs="Calibri Light"/>
            <w:sz w:val="24"/>
            <w:szCs w:val="24"/>
            <w:lang w:val="en-GB"/>
          </w:rPr>
          <w:t>https://doi.org/10.62768/tbj/2024/14/1/06</w:t>
        </w:r>
      </w:hyperlink>
    </w:p>
    <w:p w:rsidR="00AC4782" w:rsidRPr="002D2B29" w:rsidP="002D2B29" w14:paraId="27AA05FB" w14:textId="5DBB1816">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AC4782">
        <w:rPr>
          <w:rFonts w:ascii="Calibri Light" w:hAnsi="Calibri Light" w:cs="Calibri Light"/>
          <w:sz w:val="24"/>
          <w:szCs w:val="24"/>
          <w:lang w:val="en-US"/>
        </w:rPr>
        <w:t>Mazur, H., Burkina, N., Popovskyi, Y., Vasylenko, N., Zaiachkovskyi, V., Lavrov, R., &amp; Kozlovskyi, S. (2023). Customer classification and decision making in the digital economy based on scoring models. </w:t>
      </w:r>
      <w:r w:rsidRPr="00AC4782">
        <w:rPr>
          <w:rFonts w:ascii="Calibri Light" w:hAnsi="Calibri Light" w:cs="Calibri Light"/>
          <w:i/>
          <w:iCs/>
          <w:sz w:val="24"/>
          <w:szCs w:val="24"/>
          <w:lang w:val="en-US"/>
        </w:rPr>
        <w:t>Wseas Transactions on Business and Economics</w:t>
      </w:r>
      <w:r w:rsidRPr="00AC4782">
        <w:rPr>
          <w:rFonts w:ascii="Calibri Light" w:hAnsi="Calibri Light" w:cs="Calibri Light"/>
          <w:sz w:val="24"/>
          <w:szCs w:val="24"/>
          <w:lang w:val="en-US"/>
        </w:rPr>
        <w:t>, </w:t>
      </w:r>
      <w:r w:rsidRPr="00AC4782">
        <w:rPr>
          <w:rFonts w:ascii="Calibri Light" w:hAnsi="Calibri Light" w:cs="Calibri Light"/>
          <w:i/>
          <w:iCs/>
          <w:sz w:val="24"/>
          <w:szCs w:val="24"/>
          <w:lang w:val="en-US"/>
        </w:rPr>
        <w:t>20</w:t>
      </w:r>
      <w:r w:rsidRPr="00AC4782">
        <w:rPr>
          <w:rFonts w:ascii="Calibri Light" w:hAnsi="Calibri Light" w:cs="Calibri Light"/>
          <w:sz w:val="24"/>
          <w:szCs w:val="24"/>
          <w:lang w:val="en-US"/>
        </w:rPr>
        <w:t>, 800–814. </w:t>
      </w:r>
      <w:hyperlink r:id="rId64" w:tgtFrame="_blank" w:history="1">
        <w:r w:rsidRPr="00AC4782">
          <w:rPr>
            <w:rStyle w:val="Hyperlink"/>
            <w:rFonts w:ascii="Calibri Light" w:hAnsi="Calibri Light" w:cs="Calibri Light"/>
            <w:sz w:val="24"/>
            <w:szCs w:val="24"/>
            <w:lang w:val="en-US"/>
          </w:rPr>
          <w:t>https://doi.org/10.37394/23207.2023.20.74</w:t>
        </w:r>
      </w:hyperlink>
    </w:p>
    <w:sectPr w:rsidSect="007816FC">
      <w:headerReference w:type="even" r:id="rId65"/>
      <w:headerReference w:type="default" r:id="rId66"/>
      <w:footerReference w:type="even" r:id="rId67"/>
      <w:footerReference w:type="default" r:id="rId68"/>
      <w:headerReference w:type="first" r:id="rId69"/>
      <w:footerReference w:type="first" r:id="rId70"/>
      <w:pgSz w:w="11907" w:h="16840" w:code="9"/>
      <w:pgMar w:top="1418" w:right="1418" w:bottom="1418" w:left="1418" w:header="720" w:footer="720" w:gutter="0"/>
      <w:pgNumType w:start="1"/>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36C85" w:rsidRPr="00540F02" w:rsidP="00122F5F" w14:paraId="420B80D9" w14:textId="77777777">
    <w:pPr>
      <w:pStyle w:val="Footer"/>
      <w:ind w:right="357"/>
      <w:rPr>
        <w:rFonts w:ascii="Calibri Light" w:hAnsi="Calibri Light" w:cs="Calibri Light"/>
        <w:sz w:val="16"/>
        <w:szCs w:val="16"/>
      </w:rPr>
    </w:pPr>
    <w:r>
      <w:rPr>
        <w:noProof/>
        <w:lang w:val="ru-RU" w:eastAsia="ru-RU"/>
      </w:rPr>
      <mc:AlternateContent>
        <mc:Choice Requires="wps">
          <w:drawing>
            <wp:anchor distT="0" distB="0" distL="114300" distR="114300" simplePos="0" relativeHeight="251660288" behindDoc="0" locked="0" layoutInCell="1" allowOverlap="1">
              <wp:simplePos x="0" y="0"/>
              <wp:positionH relativeFrom="column">
                <wp:posOffset>5151755</wp:posOffset>
              </wp:positionH>
              <wp:positionV relativeFrom="paragraph">
                <wp:posOffset>-64770</wp:posOffset>
              </wp:positionV>
              <wp:extent cx="619760" cy="278130"/>
              <wp:effectExtent l="0" t="0" r="2540" b="1270"/>
              <wp:wrapNone/>
              <wp:docPr id="1775404786" name="Rectangle 19"/>
              <wp:cNvGraphicFramePr/>
              <a:graphic xmlns:a="http://schemas.openxmlformats.org/drawingml/2006/main">
                <a:graphicData uri="http://schemas.microsoft.com/office/word/2010/wordprocessingShape">
                  <wps:wsp xmlns:wps="http://schemas.microsoft.com/office/word/2010/wordprocessingShape">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C36C85" w:rsidRPr="00122F5F" w:rsidP="00122F5F" w14:textId="77777777">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19" o:spid="_x0000_s2053" style="width:48.8pt;height:21.9pt;margin-top:-5.1pt;margin-left:405.65pt;mso-height-percent:0;mso-height-relative:page;mso-width-percent:0;mso-width-relative:page;mso-wrap-distance-bottom:0;mso-wrap-distance-left:9pt;mso-wrap-distance-right:9pt;mso-wrap-distance-top:0;mso-wrap-style:square;position:absolute;visibility:visible;v-text-anchor:top;z-index:251661312" strokecolor="white">
              <v:path arrowok="t"/>
              <v:textbox>
                <w:txbxContent>
                  <w:p w:rsidR="00C36C85" w:rsidRPr="00122F5F" w:rsidP="00122F5F" w14:paraId="36F90F56" w14:textId="77777777">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Pr="00540F02">
      <w:rPr>
        <w:rFonts w:ascii="Calibri Light" w:hAnsi="Calibri Light" w:cs="Calibri Light"/>
        <w:sz w:val="16"/>
        <w:szCs w:val="16"/>
      </w:rPr>
      <w:t>International Journal Law and Society</w:t>
    </w:r>
  </w:p>
  <w:p w:rsidR="00C36C85" w:rsidRPr="00540F02" w:rsidP="00122F5F" w14:paraId="4E5AD215" w14:textId="77777777">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36C85" w:rsidRPr="00540F02" w:rsidP="0008220C" w14:paraId="11B0E04B" w14:textId="77777777">
    <w:pPr>
      <w:pStyle w:val="Footer"/>
      <w:ind w:right="357"/>
      <w:rPr>
        <w:rFonts w:ascii="Calibri Light" w:hAnsi="Calibri Light" w:cs="Calibri Light"/>
        <w:sz w:val="16"/>
        <w:szCs w:val="16"/>
      </w:rPr>
    </w:pPr>
    <w:r>
      <w:rPr>
        <w:noProof/>
        <w:lang w:val="ru-RU" w:eastAsia="ru-RU"/>
      </w:rPr>
      <mc:AlternateContent>
        <mc:Choice Requires="wps">
          <w:drawing>
            <wp:anchor distT="0" distB="0" distL="114300" distR="114300" simplePos="0" relativeHeight="251662336" behindDoc="0" locked="0" layoutInCell="1" allowOverlap="1">
              <wp:simplePos x="0" y="0"/>
              <wp:positionH relativeFrom="column">
                <wp:posOffset>5151755</wp:posOffset>
              </wp:positionH>
              <wp:positionV relativeFrom="paragraph">
                <wp:posOffset>-64770</wp:posOffset>
              </wp:positionV>
              <wp:extent cx="619760" cy="278130"/>
              <wp:effectExtent l="0" t="0" r="2540" b="1270"/>
              <wp:wrapNone/>
              <wp:docPr id="2074680477" name="Rectangle 20"/>
              <wp:cNvGraphicFramePr/>
              <a:graphic xmlns:a="http://schemas.openxmlformats.org/drawingml/2006/main">
                <a:graphicData uri="http://schemas.microsoft.com/office/word/2010/wordprocessingShape">
                  <wps:wsp xmlns:wps="http://schemas.microsoft.com/office/word/2010/wordprocessingShape">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C36C85" w:rsidRPr="00122F5F" w:rsidP="0008220C" w14:textId="77777777">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20" o:spid="_x0000_s2054" style="width:48.8pt;height:21.9pt;margin-top:-5.1pt;margin-left:405.65pt;mso-height-percent:0;mso-height-relative:page;mso-width-percent:0;mso-width-relative:page;mso-wrap-distance-bottom:0;mso-wrap-distance-left:9pt;mso-wrap-distance-right:9pt;mso-wrap-distance-top:0;mso-wrap-style:square;position:absolute;visibility:visible;v-text-anchor:top;z-index:251663360" strokecolor="white">
              <v:path arrowok="t"/>
              <v:textbox>
                <w:txbxContent>
                  <w:p w:rsidR="00C36C85" w:rsidRPr="00122F5F" w:rsidP="0008220C" w14:paraId="7CF28B82" w14:textId="77777777">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Pr="00540F02">
      <w:rPr>
        <w:rFonts w:ascii="Calibri Light" w:hAnsi="Calibri Light" w:cs="Calibri Light"/>
        <w:sz w:val="16"/>
        <w:szCs w:val="16"/>
      </w:rPr>
      <w:t>International Journal Law and Society</w:t>
    </w:r>
  </w:p>
  <w:p w:rsidR="00C36C85" w:rsidRPr="0008220C" w:rsidP="0008220C" w14:paraId="499952E5" w14:textId="77777777">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36C85" w:rsidRPr="0008220C" w:rsidP="00FF1D30" w14:paraId="31B65A39" w14:textId="77777777">
    <w:pPr>
      <w:pStyle w:val="Footer"/>
      <w:ind w:right="357"/>
      <w:rPr>
        <w:rFonts w:ascii="Calibri Light" w:hAnsi="Calibri Light" w:cs="Calibri Light"/>
        <w:sz w:val="16"/>
        <w:szCs w:val="16"/>
      </w:rPr>
    </w:pPr>
    <w:r>
      <w:rPr>
        <w:noProof/>
        <w:lang w:val="ru-RU" w:eastAsia="ru-RU"/>
      </w:rPr>
      <mc:AlternateContent>
        <mc:Choice Requires="wps">
          <w:drawing>
            <wp:anchor distT="0" distB="0" distL="114300" distR="114300" simplePos="0" relativeHeight="251658240" behindDoc="0" locked="0" layoutInCell="1" allowOverlap="1">
              <wp:simplePos x="0" y="0"/>
              <wp:positionH relativeFrom="column">
                <wp:posOffset>5151755</wp:posOffset>
              </wp:positionH>
              <wp:positionV relativeFrom="paragraph">
                <wp:posOffset>-64770</wp:posOffset>
              </wp:positionV>
              <wp:extent cx="619760" cy="278130"/>
              <wp:effectExtent l="0" t="0" r="2540" b="1270"/>
              <wp:wrapNone/>
              <wp:docPr id="1652166090" name="Rectangle 24"/>
              <wp:cNvGraphicFramePr/>
              <a:graphic xmlns:a="http://schemas.openxmlformats.org/drawingml/2006/main">
                <a:graphicData uri="http://schemas.microsoft.com/office/word/2010/wordprocessingShape">
                  <wps:wsp xmlns:wps="http://schemas.microsoft.com/office/word/2010/wordprocessingShape">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C36C85" w:rsidRPr="00540F02" w:rsidP="00122F5F" w14:textId="77777777">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24" o:spid="_x0000_s2057" style="width:48.8pt;height:21.9pt;margin-top:-5.1pt;margin-left:405.65pt;mso-height-percent:0;mso-height-relative:page;mso-width-percent:0;mso-width-relative:page;mso-wrap-distance-bottom:0;mso-wrap-distance-left:9pt;mso-wrap-distance-right:9pt;mso-wrap-distance-top:0;mso-wrap-style:square;position:absolute;visibility:visible;v-text-anchor:top;z-index:251659264" strokecolor="white">
              <v:path arrowok="t"/>
              <v:textbox>
                <w:txbxContent>
                  <w:p w:rsidR="00C36C85" w:rsidRPr="00540F02" w:rsidP="00122F5F" w14:paraId="3F045C63" w14:textId="77777777">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Pr="0008220C">
      <w:rPr>
        <w:rFonts w:ascii="Calibri Light" w:hAnsi="Calibri Light" w:cs="Calibri Light"/>
        <w:sz w:val="16"/>
        <w:szCs w:val="16"/>
      </w:rPr>
      <w:t>International Journal Law and Society</w:t>
    </w:r>
  </w:p>
  <w:p w:rsidR="00C36C85" w:rsidRPr="0008220C" w:rsidP="00FF1D30" w14:paraId="3BB012CD" w14:textId="77777777">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Pr="0008220C">
        <w:rPr>
          <w:rStyle w:val="Hyperlink"/>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36C85" w:rsidP="00122F5F" w14:paraId="056BBA80" w14:textId="77777777">
    <w:pPr>
      <w:pStyle w:val="Header"/>
    </w:pPr>
    <w:r>
      <w:rPr>
        <w:noProof/>
        <w:lang w:val="ru-RU" w:eastAsia="ru-RU"/>
      </w:rPr>
      <mc:AlternateContent>
        <mc:Choice Requires="wps">
          <w:drawing>
            <wp:anchor distT="0" distB="0" distL="114300" distR="114300" simplePos="0" relativeHeight="251660288" behindDoc="1" locked="0" layoutInCell="1" allowOverlap="1">
              <wp:simplePos x="0" y="0"/>
              <wp:positionH relativeFrom="page">
                <wp:posOffset>962025</wp:posOffset>
              </wp:positionH>
              <wp:positionV relativeFrom="page">
                <wp:posOffset>947420</wp:posOffset>
              </wp:positionV>
              <wp:extent cx="1998980" cy="229870"/>
              <wp:effectExtent l="0" t="0" r="0" b="0"/>
              <wp:wrapNone/>
              <wp:docPr id="546023046" name="Text Box 13"/>
              <wp:cNvGraphicFramePr/>
              <a:graphic xmlns:a="http://schemas.openxmlformats.org/drawingml/2006/main">
                <a:graphicData uri="http://schemas.microsoft.com/office/word/2010/wordprocessingShape">
                  <wps:wsp xmlns:wps="http://schemas.microsoft.com/office/word/2010/wordprocessingShape">
                    <wps:cNvSpPr txBox="1"/>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C36C85" w:rsidRPr="00FF1D30" w:rsidP="00122F5F"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C36C85" w:rsidRPr="00FF1D30" w:rsidP="00122F5F"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2049"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5168" filled="f" stroked="f">
              <v:path arrowok="t" textboxrect="0,0,21600,21600"/>
              <v:textbox inset="0,0,0,0">
                <w:txbxContent>
                  <w:p w:rsidR="00C36C85" w:rsidRPr="00FF1D30" w:rsidP="00122F5F" w14:paraId="6D390DE5"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C36C85" w:rsidRPr="00FF1D30" w:rsidP="00122F5F" w14:paraId="40D70C44"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v:shape>
          </w:pict>
        </mc:Fallback>
      </mc:AlternateContent>
    </w:r>
    <w:r>
      <w:rPr>
        <w:noProof/>
        <w:lang w:val="ru-RU" w:eastAsia="ru-RU"/>
      </w:rPr>
      <mc:AlternateContent>
        <mc:Choice Requires="wps">
          <w:drawing>
            <wp:anchor distT="0" distB="0" distL="114300" distR="114300" simplePos="0" relativeHeight="251664384" behindDoc="1" locked="0" layoutInCell="1" allowOverlap="1">
              <wp:simplePos x="0" y="0"/>
              <wp:positionH relativeFrom="page">
                <wp:posOffset>6497955</wp:posOffset>
              </wp:positionH>
              <wp:positionV relativeFrom="page">
                <wp:posOffset>445135</wp:posOffset>
              </wp:positionV>
              <wp:extent cx="231775" cy="177800"/>
              <wp:effectExtent l="0" t="0" r="0" b="0"/>
              <wp:wrapNone/>
              <wp:docPr id="2003414837" name="Text Box 14"/>
              <wp:cNvGraphicFramePr/>
              <a:graphic xmlns:a="http://schemas.openxmlformats.org/drawingml/2006/main">
                <a:graphicData uri="http://schemas.microsoft.com/office/word/2010/wordprocessingShape">
                  <wps:wsp xmlns:wps="http://schemas.microsoft.com/office/word/2010/wordprocessingShape">
                    <wps:cNvSpPr txBox="1"/>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C36C85" w:rsidRPr="00540F02" w:rsidP="00540F02" w14:textId="546EBB8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7C7AE9">
                            <w:rPr>
                              <w:rFonts w:ascii="Calibri Light" w:hAnsi="Calibri Light" w:cs="Calibri Light"/>
                              <w:noProof/>
                            </w:rPr>
                            <w:t>16</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4" o:spid="_x0000_s2050" type="#_x0000_t202" style="width:18.25pt;height:14pt;margin-top:35.05pt;margin-left:511.6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1072" filled="f" stroked="f">
              <v:path arrowok="t" textboxrect="0,0,21600,21600"/>
              <v:textbox inset="0,0,0,0">
                <w:txbxContent>
                  <w:p w:rsidR="00C36C85" w:rsidRPr="00540F02" w:rsidP="00540F02" w14:paraId="00939E72" w14:textId="546EBB8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7C7AE9">
                      <w:rPr>
                        <w:rFonts w:ascii="Calibri Light" w:hAnsi="Calibri Light" w:cs="Calibri Light"/>
                        <w:noProof/>
                      </w:rPr>
                      <w:t>16</w:t>
                    </w:r>
                    <w:r w:rsidRPr="00540F02">
                      <w:rPr>
                        <w:rFonts w:ascii="Calibri Light" w:hAnsi="Calibri Light" w:cs="Calibri Light"/>
                      </w:rPr>
                      <w:fldChar w:fldCharType="end"/>
                    </w:r>
                  </w:p>
                </w:txbxContent>
              </v:textbox>
            </v:shape>
          </w:pict>
        </mc:Fallback>
      </mc:AlternateContent>
    </w:r>
    <w:r>
      <w:rPr>
        <w:noProof/>
        <w:lang w:val="ru-RU" w:eastAsia="ru-RU"/>
      </w:rPr>
      <w:drawing>
        <wp:inline distT="0" distB="0" distL="0" distR="0">
          <wp:extent cx="1092200" cy="508000"/>
          <wp:effectExtent l="0" t="0" r="0" b="0"/>
          <wp:docPr id="5" name="Picture 4"/>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2200" cy="508000"/>
                  </a:xfrm>
                  <a:prstGeom prst="rect">
                    <a:avLst/>
                  </a:prstGeom>
                  <a:noFill/>
                  <a:ln>
                    <a:noFill/>
                  </a:ln>
                </pic:spPr>
              </pic:pic>
            </a:graphicData>
          </a:graphic>
        </wp:inline>
      </w:drawing>
    </w:r>
  </w:p>
  <w:p w:rsidR="00C36C85" w:rsidP="00122F5F" w14:paraId="10DE7DF2" w14:textId="77777777">
    <w:pPr>
      <w:pStyle w:val="Header"/>
      <w:rPr>
        <w:sz w:val="16"/>
        <w:szCs w:val="16"/>
      </w:rPr>
    </w:pPr>
  </w:p>
  <w:p w:rsidR="00C36C85" w:rsidP="00122F5F" w14:paraId="42925E4B" w14:textId="77777777">
    <w:pPr>
      <w:pStyle w:val="Header"/>
      <w:rPr>
        <w:sz w:val="16"/>
        <w:szCs w:val="16"/>
      </w:rPr>
    </w:pPr>
  </w:p>
  <w:p w:rsidR="00C36C85" w:rsidRPr="00122F5F" w:rsidP="00122F5F" w14:paraId="043831A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36C85" w:rsidP="00540F02" w14:paraId="446A77E0" w14:textId="77777777">
    <w:pPr>
      <w:pStyle w:val="Header"/>
    </w:pPr>
    <w:r>
      <w:rPr>
        <w:noProof/>
        <w:lang w:val="ru-RU" w:eastAsia="ru-RU"/>
      </w:rPr>
      <mc:AlternateContent>
        <mc:Choice Requires="wps">
          <w:drawing>
            <wp:anchor distT="0" distB="0" distL="114300" distR="114300" simplePos="0" relativeHeight="251662336" behindDoc="1" locked="0" layoutInCell="1" allowOverlap="1">
              <wp:simplePos x="0" y="0"/>
              <wp:positionH relativeFrom="page">
                <wp:posOffset>962025</wp:posOffset>
              </wp:positionH>
              <wp:positionV relativeFrom="page">
                <wp:posOffset>947420</wp:posOffset>
              </wp:positionV>
              <wp:extent cx="1998980" cy="229870"/>
              <wp:effectExtent l="0" t="0" r="0" b="0"/>
              <wp:wrapNone/>
              <wp:docPr id="1091102730" name="Text Box 16"/>
              <wp:cNvGraphicFramePr/>
              <a:graphic xmlns:a="http://schemas.openxmlformats.org/drawingml/2006/main">
                <a:graphicData uri="http://schemas.microsoft.com/office/word/2010/wordprocessingShape">
                  <wps:wsp xmlns:wps="http://schemas.microsoft.com/office/word/2010/wordprocessingShape">
                    <wps:cNvSpPr txBox="1"/>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C36C85" w:rsidRPr="00FF1D30" w:rsidP="00540F02"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C36C85" w:rsidRPr="00FF1D30" w:rsidP="00540F02"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2051"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3120" filled="f" stroked="f">
              <v:path arrowok="t" textboxrect="0,0,21600,21600"/>
              <v:textbox inset="0,0,0,0">
                <w:txbxContent>
                  <w:p w:rsidR="00C36C85" w:rsidRPr="00FF1D30" w:rsidP="00540F02" w14:paraId="31E77662"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C36C85" w:rsidRPr="00FF1D30" w:rsidP="00540F02" w14:paraId="17B554A3"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v:shape>
          </w:pict>
        </mc:Fallback>
      </mc:AlternateContent>
    </w:r>
    <w:r>
      <w:rPr>
        <w:noProof/>
        <w:lang w:val="ru-RU" w:eastAsia="ru-RU"/>
      </w:rPr>
      <mc:AlternateContent>
        <mc:Choice Requires="wps">
          <w:drawing>
            <wp:anchor distT="0" distB="0" distL="114300" distR="114300" simplePos="0" relativeHeight="251668480" behindDoc="1" locked="0" layoutInCell="1" allowOverlap="1">
              <wp:simplePos x="0" y="0"/>
              <wp:positionH relativeFrom="page">
                <wp:posOffset>6464300</wp:posOffset>
              </wp:positionH>
              <wp:positionV relativeFrom="page">
                <wp:posOffset>467360</wp:posOffset>
              </wp:positionV>
              <wp:extent cx="231775" cy="177800"/>
              <wp:effectExtent l="0" t="0" r="0" b="0"/>
              <wp:wrapNone/>
              <wp:docPr id="497327408" name="Text Box 17"/>
              <wp:cNvGraphicFramePr/>
              <a:graphic xmlns:a="http://schemas.openxmlformats.org/drawingml/2006/main">
                <a:graphicData uri="http://schemas.microsoft.com/office/word/2010/wordprocessingShape">
                  <wps:wsp xmlns:wps="http://schemas.microsoft.com/office/word/2010/wordprocessingShape">
                    <wps:cNvSpPr txBox="1"/>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C36C85" w:rsidRPr="00540F02" w:rsidP="0008220C" w14:textId="1CD6FCE4">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7C7AE9">
                            <w:rPr>
                              <w:rFonts w:ascii="Calibri Light" w:hAnsi="Calibri Light" w:cs="Calibri Light"/>
                              <w:noProof/>
                            </w:rPr>
                            <w:t>15</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7" o:spid="_x0000_s2052" type="#_x0000_t202" style="width:18.25pt;height:14pt;margin-top:36.8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6976" filled="f" stroked="f">
              <v:path arrowok="t" textboxrect="0,0,21600,21600"/>
              <v:textbox inset="0,0,0,0">
                <w:txbxContent>
                  <w:p w:rsidR="00C36C85" w:rsidRPr="00540F02" w:rsidP="0008220C" w14:paraId="23E65F0B" w14:textId="1CD6FCE4">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7C7AE9">
                      <w:rPr>
                        <w:rFonts w:ascii="Calibri Light" w:hAnsi="Calibri Light" w:cs="Calibri Light"/>
                        <w:noProof/>
                      </w:rPr>
                      <w:t>15</w:t>
                    </w:r>
                    <w:r w:rsidRPr="00540F02">
                      <w:rPr>
                        <w:rFonts w:ascii="Calibri Light" w:hAnsi="Calibri Light" w:cs="Calibri Light"/>
                      </w:rPr>
                      <w:fldChar w:fldCharType="end"/>
                    </w:r>
                  </w:p>
                </w:txbxContent>
              </v:textbox>
            </v:shape>
          </w:pict>
        </mc:Fallback>
      </mc:AlternateContent>
    </w:r>
    <w:r>
      <w:rPr>
        <w:noProof/>
        <w:lang w:val="ru-RU" w:eastAsia="ru-RU"/>
      </w:rPr>
      <w:drawing>
        <wp:inline distT="0" distB="0" distL="0" distR="0">
          <wp:extent cx="1092200" cy="508000"/>
          <wp:effectExtent l="0" t="0" r="0" b="0"/>
          <wp:docPr id="6" name="Picture 3"/>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2200" cy="508000"/>
                  </a:xfrm>
                  <a:prstGeom prst="rect">
                    <a:avLst/>
                  </a:prstGeom>
                  <a:noFill/>
                  <a:ln>
                    <a:noFill/>
                  </a:ln>
                </pic:spPr>
              </pic:pic>
            </a:graphicData>
          </a:graphic>
        </wp:inline>
      </w:drawing>
    </w:r>
  </w:p>
  <w:p w:rsidR="00C36C85" w:rsidP="00540F02" w14:paraId="4385AE02" w14:textId="77777777">
    <w:pPr>
      <w:pStyle w:val="Header"/>
      <w:rPr>
        <w:sz w:val="16"/>
        <w:szCs w:val="16"/>
      </w:rPr>
    </w:pPr>
  </w:p>
  <w:p w:rsidR="00C36C85" w:rsidP="00540F02" w14:paraId="7A715033" w14:textId="77777777">
    <w:pPr>
      <w:pStyle w:val="Header"/>
      <w:rPr>
        <w:sz w:val="16"/>
        <w:szCs w:val="16"/>
      </w:rPr>
    </w:pPr>
  </w:p>
  <w:p w:rsidR="00C36C85" w:rsidRPr="00540F02" w:rsidP="00540F02" w14:paraId="681EADA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36C85" w14:paraId="24CE81F5" w14:textId="77777777">
    <w:pPr>
      <w:pStyle w:val="Header"/>
    </w:pPr>
    <w:r>
      <w:rPr>
        <w:noProof/>
        <w:lang w:val="ru-RU" w:eastAsia="ru-RU"/>
      </w:rPr>
      <mc:AlternateContent>
        <mc:Choice Requires="wps">
          <w:drawing>
            <wp:anchor distT="0" distB="0" distL="114300" distR="114300" simplePos="0" relativeHeight="251658240" behindDoc="1" locked="0" layoutInCell="1" allowOverlap="1">
              <wp:simplePos x="0" y="0"/>
              <wp:positionH relativeFrom="page">
                <wp:posOffset>942975</wp:posOffset>
              </wp:positionH>
              <wp:positionV relativeFrom="page">
                <wp:posOffset>947420</wp:posOffset>
              </wp:positionV>
              <wp:extent cx="1998980" cy="229870"/>
              <wp:effectExtent l="0" t="0" r="0" b="0"/>
              <wp:wrapNone/>
              <wp:docPr id="1316840868" name="Text Box 21"/>
              <wp:cNvGraphicFramePr/>
              <a:graphic xmlns:a="http://schemas.openxmlformats.org/drawingml/2006/main">
                <a:graphicData uri="http://schemas.microsoft.com/office/word/2010/wordprocessingShape">
                  <wps:wsp xmlns:wps="http://schemas.microsoft.com/office/word/2010/wordprocessingShape">
                    <wps:cNvSpPr txBox="1"/>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C36C85" w:rsidRPr="00FF1D30" w:rsidP="00FF1D30"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C36C85" w:rsidRPr="00FF1D30" w:rsidP="00FF1D30"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2055" type="#_x0000_t202" style="width:157.4pt;height:18.1pt;margin-top:74.6pt;margin-left:74.2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7216" filled="f" stroked="f">
              <v:path arrowok="t" textboxrect="0,0,21600,21600"/>
              <v:textbox inset="0,0,0,0">
                <w:txbxContent>
                  <w:p w:rsidR="00C36C85" w:rsidRPr="00FF1D30" w:rsidP="00FF1D30" w14:paraId="289BDB50"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C36C85" w:rsidRPr="00FF1D30" w:rsidP="00FF1D30" w14:paraId="7E395377"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v:shape>
          </w:pict>
        </mc:Fallback>
      </mc:AlternateContent>
    </w:r>
    <w:r>
      <w:rPr>
        <w:noProof/>
        <w:lang w:val="ru-RU" w:eastAsia="ru-RU"/>
      </w:rPr>
      <mc:AlternateContent>
        <mc:Choice Requires="wps">
          <w:drawing>
            <wp:anchor distT="0" distB="0" distL="114300" distR="114300" simplePos="0" relativeHeight="251666432" behindDoc="1" locked="0" layoutInCell="1" allowOverlap="1">
              <wp:simplePos x="0" y="0"/>
              <wp:positionH relativeFrom="page">
                <wp:posOffset>6464300</wp:posOffset>
              </wp:positionH>
              <wp:positionV relativeFrom="page">
                <wp:posOffset>439420</wp:posOffset>
              </wp:positionV>
              <wp:extent cx="231775" cy="177800"/>
              <wp:effectExtent l="0" t="0" r="0" b="0"/>
              <wp:wrapNone/>
              <wp:docPr id="832532566" name="Text Box 22"/>
              <wp:cNvGraphicFramePr/>
              <a:graphic xmlns:a="http://schemas.openxmlformats.org/drawingml/2006/main">
                <a:graphicData uri="http://schemas.microsoft.com/office/word/2010/wordprocessingShape">
                  <wps:wsp xmlns:wps="http://schemas.microsoft.com/office/word/2010/wordprocessingShape">
                    <wps:cNvSpPr txBox="1"/>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C36C85" w:rsidRPr="00540F02" w:rsidP="00540F02" w14:textId="4A1D47E6">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D762C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22" o:spid="_x0000_s2056" type="#_x0000_t202" style="width:18.25pt;height:14pt;margin-top:34.6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9024" filled="f" stroked="f">
              <v:path arrowok="t" textboxrect="0,0,21600,21600"/>
              <v:textbox inset="0,0,0,0">
                <w:txbxContent>
                  <w:p w:rsidR="00C36C85" w:rsidRPr="00540F02" w:rsidP="00540F02" w14:paraId="63D05924" w14:textId="4A1D47E6">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D762C2">
                      <w:rPr>
                        <w:rFonts w:ascii="Calibri Light" w:hAnsi="Calibri Light" w:cs="Calibri Light"/>
                        <w:noProof/>
                      </w:rPr>
                      <w:t>1</w:t>
                    </w:r>
                    <w:r w:rsidRPr="00540F02">
                      <w:rPr>
                        <w:rFonts w:ascii="Calibri Light" w:hAnsi="Calibri Light" w:cs="Calibri Light"/>
                      </w:rPr>
                      <w:fldChar w:fldCharType="end"/>
                    </w:r>
                  </w:p>
                </w:txbxContent>
              </v:textbox>
            </v:shape>
          </w:pict>
        </mc:Fallback>
      </mc:AlternateContent>
    </w:r>
    <w:r>
      <w:rPr>
        <w:noProof/>
        <w:lang w:val="ru-RU" w:eastAsia="ru-RU"/>
      </w:rPr>
      <w:drawing>
        <wp:inline distT="0" distB="0" distL="0" distR="0">
          <wp:extent cx="1092200" cy="508000"/>
          <wp:effectExtent l="0" t="0" r="0" b="0"/>
          <wp:docPr id="7" name="Picture 2"/>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2200" cy="508000"/>
                  </a:xfrm>
                  <a:prstGeom prst="rect">
                    <a:avLst/>
                  </a:prstGeom>
                  <a:noFill/>
                  <a:ln>
                    <a:noFill/>
                  </a:ln>
                </pic:spPr>
              </pic:pic>
            </a:graphicData>
          </a:graphic>
        </wp:inline>
      </w:drawing>
    </w:r>
  </w:p>
  <w:p w:rsidR="00C36C85" w14:paraId="215C6D19" w14:textId="77777777">
    <w:pPr>
      <w:pStyle w:val="Header"/>
      <w:rPr>
        <w:sz w:val="16"/>
        <w:szCs w:val="16"/>
      </w:rPr>
    </w:pPr>
  </w:p>
  <w:p w:rsidR="00C36C85" w14:paraId="71D20A6E" w14:textId="77777777">
    <w:pPr>
      <w:pStyle w:val="Header"/>
      <w:rPr>
        <w:sz w:val="16"/>
        <w:szCs w:val="16"/>
      </w:rPr>
    </w:pPr>
  </w:p>
  <w:p w:rsidR="00C36C85" w:rsidRPr="00FF1D30" w14:paraId="21E72090" w14:textId="77777777">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2"/>
    <w:multiLevelType w:val="hybridMultilevel"/>
    <w:tmpl w:val="C1126DC0"/>
    <w:lvl w:ilvl="0">
      <w:start w:val="35"/>
      <w:numFmt w:val="upperLetter"/>
      <w:lvlText w:val="%1."/>
      <w:lvlJc w:val="left"/>
      <w:rPr>
        <w:rFonts w:ascii="Arial" w:hAnsi="Arial" w:cs="Arial" w:hint="default"/>
        <w:b/>
        <w:bCs/>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1">
    <w:nsid w:val="00000003"/>
    <w:multiLevelType w:val="hybridMultilevel"/>
    <w:tmpl w:val="3D1B58BA"/>
    <w:lvl w:ilvl="0">
      <w:start w:val="61"/>
      <w:numFmt w:val="upperLetter"/>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2">
    <w:nsid w:val="00000004"/>
    <w:multiLevelType w:val="hybridMultilevel"/>
    <w:tmpl w:val="44F60598"/>
    <w:lvl w:ilvl="0">
      <w:start w:val="22"/>
      <w:numFmt w:val="upperLetter"/>
      <w:lvlText w:val="%1."/>
      <w:lvlJc w:val="left"/>
      <w:rPr>
        <w:rFonts w:cs="Times New Roman"/>
        <w:color w:val="auto"/>
        <w:sz w:val="24"/>
        <w:szCs w:val="24"/>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3">
    <w:nsid w:val="00000005"/>
    <w:multiLevelType w:val="hybridMultilevel"/>
    <w:tmpl w:val="2EB141F2"/>
    <w:lvl w:ilvl="0">
      <w:start w:val="1"/>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4">
    <w:nsid w:val="00000006"/>
    <w:multiLevelType w:val="hybridMultilevel"/>
    <w:tmpl w:val="41B71EFA"/>
    <w:lvl w:ilvl="0">
      <w:start w:val="3"/>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5">
    <w:nsid w:val="00BA1038"/>
    <w:multiLevelType w:val="multilevel"/>
    <w:tmpl w:val="E8B64E0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01967584"/>
    <w:multiLevelType w:val="multilevel"/>
    <w:tmpl w:val="215AFF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027F7048"/>
    <w:multiLevelType w:val="hybridMultilevel"/>
    <w:tmpl w:val="99FA89E2"/>
    <w:lvl w:ilvl="0">
      <w:start w:val="1"/>
      <w:numFmt w:val="decimal"/>
      <w:lvlText w:val="%1)"/>
      <w:lvlJc w:val="left"/>
      <w:pPr>
        <w:ind w:left="1080" w:hanging="360"/>
      </w:pPr>
      <w:rPr>
        <w:rFonts w:cs="Times New Roman"/>
      </w:rPr>
    </w:lvl>
    <w:lvl w:ilvl="1" w:tentative="1">
      <w:start w:val="1"/>
      <w:numFmt w:val="lowerLetter"/>
      <w:lvlText w:val="%2."/>
      <w:lvlJc w:val="left"/>
      <w:pPr>
        <w:ind w:left="1800" w:hanging="360"/>
      </w:pPr>
      <w:rPr>
        <w:rFonts w:cs="Times New Roman"/>
      </w:rPr>
    </w:lvl>
    <w:lvl w:ilvl="2" w:tentative="1">
      <w:start w:val="1"/>
      <w:numFmt w:val="lowerRoman"/>
      <w:lvlText w:val="%3."/>
      <w:lvlJc w:val="right"/>
      <w:pPr>
        <w:ind w:left="2520" w:hanging="180"/>
      </w:pPr>
      <w:rPr>
        <w:rFonts w:cs="Times New Roman"/>
      </w:rPr>
    </w:lvl>
    <w:lvl w:ilvl="3" w:tentative="1">
      <w:start w:val="1"/>
      <w:numFmt w:val="decimal"/>
      <w:lvlText w:val="%4."/>
      <w:lvlJc w:val="left"/>
      <w:pPr>
        <w:ind w:left="3240" w:hanging="360"/>
      </w:pPr>
      <w:rPr>
        <w:rFonts w:cs="Times New Roman"/>
      </w:rPr>
    </w:lvl>
    <w:lvl w:ilvl="4" w:tentative="1">
      <w:start w:val="1"/>
      <w:numFmt w:val="lowerLetter"/>
      <w:lvlText w:val="%5."/>
      <w:lvlJc w:val="left"/>
      <w:pPr>
        <w:ind w:left="3960" w:hanging="360"/>
      </w:pPr>
      <w:rPr>
        <w:rFonts w:cs="Times New Roman"/>
      </w:rPr>
    </w:lvl>
    <w:lvl w:ilvl="5" w:tentative="1">
      <w:start w:val="1"/>
      <w:numFmt w:val="lowerRoman"/>
      <w:lvlText w:val="%6."/>
      <w:lvlJc w:val="right"/>
      <w:pPr>
        <w:ind w:left="4680" w:hanging="180"/>
      </w:pPr>
      <w:rPr>
        <w:rFonts w:cs="Times New Roman"/>
      </w:rPr>
    </w:lvl>
    <w:lvl w:ilvl="6" w:tentative="1">
      <w:start w:val="1"/>
      <w:numFmt w:val="decimal"/>
      <w:lvlText w:val="%7."/>
      <w:lvlJc w:val="left"/>
      <w:pPr>
        <w:ind w:left="5400" w:hanging="360"/>
      </w:pPr>
      <w:rPr>
        <w:rFonts w:cs="Times New Roman"/>
      </w:rPr>
    </w:lvl>
    <w:lvl w:ilvl="7" w:tentative="1">
      <w:start w:val="1"/>
      <w:numFmt w:val="lowerLetter"/>
      <w:lvlText w:val="%8."/>
      <w:lvlJc w:val="left"/>
      <w:pPr>
        <w:ind w:left="6120" w:hanging="360"/>
      </w:pPr>
      <w:rPr>
        <w:rFonts w:cs="Times New Roman"/>
      </w:rPr>
    </w:lvl>
    <w:lvl w:ilvl="8" w:tentative="1">
      <w:start w:val="1"/>
      <w:numFmt w:val="lowerRoman"/>
      <w:lvlText w:val="%9."/>
      <w:lvlJc w:val="right"/>
      <w:pPr>
        <w:ind w:left="6840" w:hanging="180"/>
      </w:pPr>
      <w:rPr>
        <w:rFonts w:cs="Times New Roman"/>
      </w:rPr>
    </w:lvl>
  </w:abstractNum>
  <w:abstractNum w:abstractNumId="8">
    <w:nsid w:val="028430C3"/>
    <w:multiLevelType w:val="hybridMultilevel"/>
    <w:tmpl w:val="8214B738"/>
    <w:lvl w:ilvl="0">
      <w:start w:val="4"/>
      <w:numFmt w:val="upperRoman"/>
      <w:lvlText w:val="%1."/>
      <w:lvlJc w:val="left"/>
      <w:pPr>
        <w:ind w:left="1146" w:hanging="720"/>
      </w:pPr>
      <w:rPr>
        <w:rFonts w:cs="Times New Roman" w:hint="default"/>
        <w:color w:val="auto"/>
      </w:rPr>
    </w:lvl>
    <w:lvl w:ilvl="1" w:tentative="1">
      <w:start w:val="1"/>
      <w:numFmt w:val="lowerLetter"/>
      <w:lvlText w:val="%2."/>
      <w:lvlJc w:val="left"/>
      <w:pPr>
        <w:ind w:left="1506" w:hanging="360"/>
      </w:pPr>
      <w:rPr>
        <w:rFonts w:cs="Times New Roman"/>
      </w:rPr>
    </w:lvl>
    <w:lvl w:ilvl="2" w:tentative="1">
      <w:start w:val="1"/>
      <w:numFmt w:val="lowerRoman"/>
      <w:lvlText w:val="%3."/>
      <w:lvlJc w:val="right"/>
      <w:pPr>
        <w:ind w:left="2226" w:hanging="180"/>
      </w:pPr>
      <w:rPr>
        <w:rFonts w:cs="Times New Roman"/>
      </w:rPr>
    </w:lvl>
    <w:lvl w:ilvl="3" w:tentative="1">
      <w:start w:val="1"/>
      <w:numFmt w:val="decimal"/>
      <w:lvlText w:val="%4."/>
      <w:lvlJc w:val="left"/>
      <w:pPr>
        <w:ind w:left="2946" w:hanging="360"/>
      </w:pPr>
      <w:rPr>
        <w:rFonts w:cs="Times New Roman"/>
      </w:rPr>
    </w:lvl>
    <w:lvl w:ilvl="4" w:tentative="1">
      <w:start w:val="1"/>
      <w:numFmt w:val="lowerLetter"/>
      <w:lvlText w:val="%5."/>
      <w:lvlJc w:val="left"/>
      <w:pPr>
        <w:ind w:left="3666" w:hanging="360"/>
      </w:pPr>
      <w:rPr>
        <w:rFonts w:cs="Times New Roman"/>
      </w:rPr>
    </w:lvl>
    <w:lvl w:ilvl="5" w:tentative="1">
      <w:start w:val="1"/>
      <w:numFmt w:val="lowerRoman"/>
      <w:lvlText w:val="%6."/>
      <w:lvlJc w:val="right"/>
      <w:pPr>
        <w:ind w:left="4386" w:hanging="180"/>
      </w:pPr>
      <w:rPr>
        <w:rFonts w:cs="Times New Roman"/>
      </w:rPr>
    </w:lvl>
    <w:lvl w:ilvl="6" w:tentative="1">
      <w:start w:val="1"/>
      <w:numFmt w:val="decimal"/>
      <w:lvlText w:val="%7."/>
      <w:lvlJc w:val="left"/>
      <w:pPr>
        <w:ind w:left="5106" w:hanging="360"/>
      </w:pPr>
      <w:rPr>
        <w:rFonts w:cs="Times New Roman"/>
      </w:rPr>
    </w:lvl>
    <w:lvl w:ilvl="7" w:tentative="1">
      <w:start w:val="1"/>
      <w:numFmt w:val="lowerLetter"/>
      <w:lvlText w:val="%8."/>
      <w:lvlJc w:val="left"/>
      <w:pPr>
        <w:ind w:left="5826" w:hanging="360"/>
      </w:pPr>
      <w:rPr>
        <w:rFonts w:cs="Times New Roman"/>
      </w:rPr>
    </w:lvl>
    <w:lvl w:ilvl="8" w:tentative="1">
      <w:start w:val="1"/>
      <w:numFmt w:val="lowerRoman"/>
      <w:lvlText w:val="%9."/>
      <w:lvlJc w:val="right"/>
      <w:pPr>
        <w:ind w:left="6546" w:hanging="180"/>
      </w:pPr>
      <w:rPr>
        <w:rFonts w:cs="Times New Roman"/>
      </w:rPr>
    </w:lvl>
  </w:abstractNum>
  <w:abstractNum w:abstractNumId="9">
    <w:nsid w:val="06D70B74"/>
    <w:multiLevelType w:val="hybridMultilevel"/>
    <w:tmpl w:val="1E2E0D64"/>
    <w:lvl w:ilvl="0">
      <w:start w:val="1"/>
      <w:numFmt w:val="decimal"/>
      <w:lvlText w:val="%1)"/>
      <w:lvlJc w:val="left"/>
      <w:pPr>
        <w:ind w:left="-150" w:hanging="60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13E15026"/>
    <w:multiLevelType w:val="multilevel"/>
    <w:tmpl w:val="EBF603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145E0DFB"/>
    <w:multiLevelType w:val="hybridMultilevel"/>
    <w:tmpl w:val="C73006DA"/>
    <w:lvl w:ilvl="0">
      <w:start w:val="1"/>
      <w:numFmt w:val="decimal"/>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3">
    <w:nsid w:val="1D1E3992"/>
    <w:multiLevelType w:val="hybridMultilevel"/>
    <w:tmpl w:val="7C32134A"/>
    <w:lvl w:ilvl="0">
      <w:start w:val="1"/>
      <w:numFmt w:val="decimal"/>
      <w:lvlText w:val="[%1]"/>
      <w:lvlJc w:val="left"/>
      <w:pPr>
        <w:ind w:left="1146" w:hanging="360"/>
      </w:pPr>
      <w:rPr>
        <w:rFonts w:cs="Times New Roman" w:hint="default"/>
        <w:color w:val="auto"/>
      </w:rPr>
    </w:lvl>
    <w:lvl w:ilvl="1" w:tentative="1">
      <w:start w:val="1"/>
      <w:numFmt w:val="lowerLetter"/>
      <w:lvlText w:val="%2."/>
      <w:lvlJc w:val="left"/>
      <w:pPr>
        <w:ind w:left="1866" w:hanging="360"/>
      </w:pPr>
      <w:rPr>
        <w:rFonts w:cs="Times New Roman"/>
      </w:rPr>
    </w:lvl>
    <w:lvl w:ilvl="2" w:tentative="1">
      <w:start w:val="1"/>
      <w:numFmt w:val="lowerRoman"/>
      <w:lvlText w:val="%3."/>
      <w:lvlJc w:val="right"/>
      <w:pPr>
        <w:ind w:left="2586" w:hanging="180"/>
      </w:pPr>
      <w:rPr>
        <w:rFonts w:cs="Times New Roman"/>
      </w:rPr>
    </w:lvl>
    <w:lvl w:ilvl="3" w:tentative="1">
      <w:start w:val="1"/>
      <w:numFmt w:val="decimal"/>
      <w:lvlText w:val="%4."/>
      <w:lvlJc w:val="left"/>
      <w:pPr>
        <w:ind w:left="3306" w:hanging="360"/>
      </w:pPr>
      <w:rPr>
        <w:rFonts w:cs="Times New Roman"/>
      </w:rPr>
    </w:lvl>
    <w:lvl w:ilvl="4" w:tentative="1">
      <w:start w:val="1"/>
      <w:numFmt w:val="lowerLetter"/>
      <w:lvlText w:val="%5."/>
      <w:lvlJc w:val="left"/>
      <w:pPr>
        <w:ind w:left="4026" w:hanging="360"/>
      </w:pPr>
      <w:rPr>
        <w:rFonts w:cs="Times New Roman"/>
      </w:rPr>
    </w:lvl>
    <w:lvl w:ilvl="5" w:tentative="1">
      <w:start w:val="1"/>
      <w:numFmt w:val="lowerRoman"/>
      <w:lvlText w:val="%6."/>
      <w:lvlJc w:val="right"/>
      <w:pPr>
        <w:ind w:left="4746" w:hanging="180"/>
      </w:pPr>
      <w:rPr>
        <w:rFonts w:cs="Times New Roman"/>
      </w:rPr>
    </w:lvl>
    <w:lvl w:ilvl="6" w:tentative="1">
      <w:start w:val="1"/>
      <w:numFmt w:val="decimal"/>
      <w:lvlText w:val="%7."/>
      <w:lvlJc w:val="left"/>
      <w:pPr>
        <w:ind w:left="5466" w:hanging="360"/>
      </w:pPr>
      <w:rPr>
        <w:rFonts w:cs="Times New Roman"/>
      </w:rPr>
    </w:lvl>
    <w:lvl w:ilvl="7" w:tentative="1">
      <w:start w:val="1"/>
      <w:numFmt w:val="lowerLetter"/>
      <w:lvlText w:val="%8."/>
      <w:lvlJc w:val="left"/>
      <w:pPr>
        <w:ind w:left="6186" w:hanging="360"/>
      </w:pPr>
      <w:rPr>
        <w:rFonts w:cs="Times New Roman"/>
      </w:rPr>
    </w:lvl>
    <w:lvl w:ilvl="8" w:tentative="1">
      <w:start w:val="1"/>
      <w:numFmt w:val="lowerRoman"/>
      <w:lvlText w:val="%9."/>
      <w:lvlJc w:val="right"/>
      <w:pPr>
        <w:ind w:left="6906" w:hanging="180"/>
      </w:pPr>
      <w:rPr>
        <w:rFonts w:cs="Times New Roman"/>
      </w:rPr>
    </w:lvl>
  </w:abstractNum>
  <w:abstractNum w:abstractNumId="14">
    <w:nsid w:val="1FE30FAA"/>
    <w:multiLevelType w:val="hybridMultilevel"/>
    <w:tmpl w:val="55F285CC"/>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15">
    <w:nsid w:val="20C15439"/>
    <w:multiLevelType w:val="hybridMultilevel"/>
    <w:tmpl w:val="C97C4B20"/>
    <w:lvl w:ilvl="0">
      <w:start w:val="1"/>
      <w:numFmt w:val="decimal"/>
      <w:lvlText w:val="%1)"/>
      <w:lvlJc w:val="left"/>
      <w:pPr>
        <w:ind w:left="833" w:hanging="360"/>
      </w:pPr>
      <w:rPr>
        <w:rFonts w:cs="Times New Roman"/>
      </w:rPr>
    </w:lvl>
    <w:lvl w:ilvl="1" w:tentative="1">
      <w:start w:val="1"/>
      <w:numFmt w:val="lowerLetter"/>
      <w:lvlText w:val="%2."/>
      <w:lvlJc w:val="left"/>
      <w:pPr>
        <w:ind w:left="1553" w:hanging="360"/>
      </w:pPr>
      <w:rPr>
        <w:rFonts w:cs="Times New Roman"/>
      </w:rPr>
    </w:lvl>
    <w:lvl w:ilvl="2" w:tentative="1">
      <w:start w:val="1"/>
      <w:numFmt w:val="lowerRoman"/>
      <w:lvlText w:val="%3."/>
      <w:lvlJc w:val="right"/>
      <w:pPr>
        <w:ind w:left="2273" w:hanging="180"/>
      </w:pPr>
      <w:rPr>
        <w:rFonts w:cs="Times New Roman"/>
      </w:rPr>
    </w:lvl>
    <w:lvl w:ilvl="3" w:tentative="1">
      <w:start w:val="1"/>
      <w:numFmt w:val="decimal"/>
      <w:lvlText w:val="%4."/>
      <w:lvlJc w:val="left"/>
      <w:pPr>
        <w:ind w:left="2993" w:hanging="360"/>
      </w:pPr>
      <w:rPr>
        <w:rFonts w:cs="Times New Roman"/>
      </w:rPr>
    </w:lvl>
    <w:lvl w:ilvl="4" w:tentative="1">
      <w:start w:val="1"/>
      <w:numFmt w:val="lowerLetter"/>
      <w:lvlText w:val="%5."/>
      <w:lvlJc w:val="left"/>
      <w:pPr>
        <w:ind w:left="3713" w:hanging="360"/>
      </w:pPr>
      <w:rPr>
        <w:rFonts w:cs="Times New Roman"/>
      </w:rPr>
    </w:lvl>
    <w:lvl w:ilvl="5" w:tentative="1">
      <w:start w:val="1"/>
      <w:numFmt w:val="lowerRoman"/>
      <w:lvlText w:val="%6."/>
      <w:lvlJc w:val="right"/>
      <w:pPr>
        <w:ind w:left="4433" w:hanging="180"/>
      </w:pPr>
      <w:rPr>
        <w:rFonts w:cs="Times New Roman"/>
      </w:rPr>
    </w:lvl>
    <w:lvl w:ilvl="6" w:tentative="1">
      <w:start w:val="1"/>
      <w:numFmt w:val="decimal"/>
      <w:lvlText w:val="%7."/>
      <w:lvlJc w:val="left"/>
      <w:pPr>
        <w:ind w:left="5153" w:hanging="360"/>
      </w:pPr>
      <w:rPr>
        <w:rFonts w:cs="Times New Roman"/>
      </w:rPr>
    </w:lvl>
    <w:lvl w:ilvl="7" w:tentative="1">
      <w:start w:val="1"/>
      <w:numFmt w:val="lowerLetter"/>
      <w:lvlText w:val="%8."/>
      <w:lvlJc w:val="left"/>
      <w:pPr>
        <w:ind w:left="5873" w:hanging="360"/>
      </w:pPr>
      <w:rPr>
        <w:rFonts w:cs="Times New Roman"/>
      </w:rPr>
    </w:lvl>
    <w:lvl w:ilvl="8" w:tentative="1">
      <w:start w:val="1"/>
      <w:numFmt w:val="lowerRoman"/>
      <w:lvlText w:val="%9."/>
      <w:lvlJc w:val="right"/>
      <w:pPr>
        <w:ind w:left="6593" w:hanging="180"/>
      </w:pPr>
      <w:rPr>
        <w:rFonts w:cs="Times New Roman"/>
      </w:rPr>
    </w:lvl>
  </w:abstractNum>
  <w:abstractNum w:abstractNumId="16">
    <w:nsid w:val="21A320E1"/>
    <w:multiLevelType w:val="multilevel"/>
    <w:tmpl w:val="0D582B2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nsid w:val="24C25F98"/>
    <w:multiLevelType w:val="hybridMultilevel"/>
    <w:tmpl w:val="37C866B2"/>
    <w:lvl w:ilvl="0">
      <w:start w:val="0"/>
      <w:numFmt w:val="bullet"/>
      <w:lvlText w:val="-"/>
      <w:lvlJc w:val="left"/>
      <w:pPr>
        <w:ind w:left="77" w:hanging="78"/>
      </w:pPr>
      <w:rPr>
        <w:rFonts w:ascii="Calibri" w:hAnsi="Calibri"/>
        <w:color w:val="231F20"/>
        <w:w w:val="100"/>
        <w:sz w:val="12"/>
      </w:rPr>
    </w:lvl>
    <w:lvl w:ilvl="1">
      <w:start w:val="0"/>
      <w:numFmt w:val="bullet"/>
      <w:lvlText w:val="•"/>
      <w:lvlJc w:val="left"/>
      <w:pPr>
        <w:ind w:left="157" w:hanging="78"/>
      </w:pPr>
    </w:lvl>
    <w:lvl w:ilvl="2">
      <w:start w:val="0"/>
      <w:numFmt w:val="bullet"/>
      <w:lvlText w:val="•"/>
      <w:lvlJc w:val="left"/>
      <w:pPr>
        <w:ind w:left="234" w:hanging="78"/>
      </w:pPr>
    </w:lvl>
    <w:lvl w:ilvl="3">
      <w:start w:val="0"/>
      <w:numFmt w:val="bullet"/>
      <w:lvlText w:val="•"/>
      <w:lvlJc w:val="left"/>
      <w:pPr>
        <w:ind w:left="312" w:hanging="78"/>
      </w:pPr>
    </w:lvl>
    <w:lvl w:ilvl="4">
      <w:start w:val="0"/>
      <w:numFmt w:val="bullet"/>
      <w:lvlText w:val="•"/>
      <w:lvlJc w:val="left"/>
      <w:pPr>
        <w:ind w:left="389" w:hanging="78"/>
      </w:pPr>
    </w:lvl>
    <w:lvl w:ilvl="5">
      <w:start w:val="0"/>
      <w:numFmt w:val="bullet"/>
      <w:lvlText w:val="•"/>
      <w:lvlJc w:val="left"/>
      <w:pPr>
        <w:ind w:left="466" w:hanging="78"/>
      </w:pPr>
    </w:lvl>
    <w:lvl w:ilvl="6">
      <w:start w:val="0"/>
      <w:numFmt w:val="bullet"/>
      <w:lvlText w:val="•"/>
      <w:lvlJc w:val="left"/>
      <w:pPr>
        <w:ind w:left="544" w:hanging="78"/>
      </w:pPr>
    </w:lvl>
    <w:lvl w:ilvl="7">
      <w:start w:val="0"/>
      <w:numFmt w:val="bullet"/>
      <w:lvlText w:val="•"/>
      <w:lvlJc w:val="left"/>
      <w:pPr>
        <w:ind w:left="621" w:hanging="78"/>
      </w:pPr>
    </w:lvl>
    <w:lvl w:ilvl="8">
      <w:start w:val="0"/>
      <w:numFmt w:val="bullet"/>
      <w:lvlText w:val="•"/>
      <w:lvlJc w:val="left"/>
      <w:pPr>
        <w:ind w:left="698" w:hanging="78"/>
      </w:pPr>
    </w:lvl>
  </w:abstractNum>
  <w:abstractNum w:abstractNumId="18">
    <w:nsid w:val="2C667CE1"/>
    <w:multiLevelType w:val="multilevel"/>
    <w:tmpl w:val="2BDA8F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2DC068FF"/>
    <w:multiLevelType w:val="hybridMultilevel"/>
    <w:tmpl w:val="B5122354"/>
    <w:lvl w:ilvl="0">
      <w:start w:val="1"/>
      <w:numFmt w:val="upperLetter"/>
      <w:lvlText w:val="%1."/>
      <w:lvlJc w:val="left"/>
      <w:pPr>
        <w:ind w:left="720" w:hanging="360"/>
      </w:pPr>
      <w:rPr>
        <w:rFonts w:cs="Times New Roman" w:hint="default"/>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0">
    <w:nsid w:val="2DED1B21"/>
    <w:multiLevelType w:val="hybridMultilevel"/>
    <w:tmpl w:val="D8FCF024"/>
    <w:lvl w:ilvl="0">
      <w:start w:val="1"/>
      <w:numFmt w:val="decimal"/>
      <w:lvlText w:val="%1."/>
      <w:lvlJc w:val="left"/>
      <w:pPr>
        <w:ind w:left="1413" w:hanging="360"/>
      </w:pPr>
      <w:rPr>
        <w:rFonts w:cs="Times New Roman" w:hint="default"/>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21">
    <w:nsid w:val="373B1D85"/>
    <w:multiLevelType w:val="multilevel"/>
    <w:tmpl w:val="3F029C1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nsid w:val="41C278DF"/>
    <w:multiLevelType w:val="hybridMultilevel"/>
    <w:tmpl w:val="9BD4BD4C"/>
    <w:lvl w:ilvl="0">
      <w:start w:val="1"/>
      <w:numFmt w:val="decimal"/>
      <w:lvlText w:val="%1."/>
      <w:lvlJc w:val="left"/>
      <w:pPr>
        <w:ind w:left="72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3">
    <w:nsid w:val="42A91EF3"/>
    <w:multiLevelType w:val="multilevel"/>
    <w:tmpl w:val="F2508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572604B"/>
    <w:multiLevelType w:val="multilevel"/>
    <w:tmpl w:val="C5C2312E"/>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5">
    <w:nsid w:val="4C843614"/>
    <w:multiLevelType w:val="hybridMultilevel"/>
    <w:tmpl w:val="B568CC96"/>
    <w:lvl w:ilvl="0">
      <w:start w:val="1"/>
      <w:numFmt w:val="lowerLetter"/>
      <w:lvlText w:val="%1)"/>
      <w:lvlJc w:val="left"/>
      <w:pPr>
        <w:ind w:left="1712" w:hanging="360"/>
      </w:pPr>
      <w:rPr>
        <w:rFonts w:cs="Times New Roman"/>
        <w:b/>
        <w:bCs/>
      </w:rPr>
    </w:lvl>
    <w:lvl w:ilvl="1" w:tentative="1">
      <w:start w:val="1"/>
      <w:numFmt w:val="lowerLetter"/>
      <w:lvlText w:val="%2."/>
      <w:lvlJc w:val="left"/>
      <w:pPr>
        <w:ind w:left="2432" w:hanging="360"/>
      </w:pPr>
      <w:rPr>
        <w:rFonts w:cs="Times New Roman"/>
      </w:rPr>
    </w:lvl>
    <w:lvl w:ilvl="2" w:tentative="1">
      <w:start w:val="1"/>
      <w:numFmt w:val="lowerRoman"/>
      <w:lvlText w:val="%3."/>
      <w:lvlJc w:val="right"/>
      <w:pPr>
        <w:ind w:left="3152" w:hanging="180"/>
      </w:pPr>
      <w:rPr>
        <w:rFonts w:cs="Times New Roman"/>
      </w:rPr>
    </w:lvl>
    <w:lvl w:ilvl="3" w:tentative="1">
      <w:start w:val="1"/>
      <w:numFmt w:val="decimal"/>
      <w:lvlText w:val="%4."/>
      <w:lvlJc w:val="left"/>
      <w:pPr>
        <w:ind w:left="3872" w:hanging="360"/>
      </w:pPr>
      <w:rPr>
        <w:rFonts w:cs="Times New Roman"/>
      </w:rPr>
    </w:lvl>
    <w:lvl w:ilvl="4" w:tentative="1">
      <w:start w:val="1"/>
      <w:numFmt w:val="lowerLetter"/>
      <w:lvlText w:val="%5."/>
      <w:lvlJc w:val="left"/>
      <w:pPr>
        <w:ind w:left="4592" w:hanging="360"/>
      </w:pPr>
      <w:rPr>
        <w:rFonts w:cs="Times New Roman"/>
      </w:rPr>
    </w:lvl>
    <w:lvl w:ilvl="5" w:tentative="1">
      <w:start w:val="1"/>
      <w:numFmt w:val="lowerRoman"/>
      <w:lvlText w:val="%6."/>
      <w:lvlJc w:val="right"/>
      <w:pPr>
        <w:ind w:left="5312" w:hanging="180"/>
      </w:pPr>
      <w:rPr>
        <w:rFonts w:cs="Times New Roman"/>
      </w:rPr>
    </w:lvl>
    <w:lvl w:ilvl="6" w:tentative="1">
      <w:start w:val="1"/>
      <w:numFmt w:val="decimal"/>
      <w:lvlText w:val="%7."/>
      <w:lvlJc w:val="left"/>
      <w:pPr>
        <w:ind w:left="6032" w:hanging="360"/>
      </w:pPr>
      <w:rPr>
        <w:rFonts w:cs="Times New Roman"/>
      </w:rPr>
    </w:lvl>
    <w:lvl w:ilvl="7" w:tentative="1">
      <w:start w:val="1"/>
      <w:numFmt w:val="lowerLetter"/>
      <w:lvlText w:val="%8."/>
      <w:lvlJc w:val="left"/>
      <w:pPr>
        <w:ind w:left="6752" w:hanging="360"/>
      </w:pPr>
      <w:rPr>
        <w:rFonts w:cs="Times New Roman"/>
      </w:rPr>
    </w:lvl>
    <w:lvl w:ilvl="8" w:tentative="1">
      <w:start w:val="1"/>
      <w:numFmt w:val="lowerRoman"/>
      <w:lvlText w:val="%9."/>
      <w:lvlJc w:val="right"/>
      <w:pPr>
        <w:ind w:left="7472" w:hanging="180"/>
      </w:pPr>
      <w:rPr>
        <w:rFonts w:cs="Times New Roman"/>
      </w:rPr>
    </w:lvl>
  </w:abstractNum>
  <w:abstractNum w:abstractNumId="26">
    <w:nsid w:val="51451C3A"/>
    <w:multiLevelType w:val="hybridMultilevel"/>
    <w:tmpl w:val="F66067CC"/>
    <w:lvl w:ilvl="0">
      <w:start w:val="1"/>
      <w:numFmt w:val="decimal"/>
      <w:lvlText w:val="%1)"/>
      <w:lvlJc w:val="left"/>
      <w:pPr>
        <w:ind w:left="-150" w:hanging="600"/>
      </w:pPr>
      <w:rPr>
        <w:rFonts w:cs="Times New Roman" w:hint="default"/>
      </w:rPr>
    </w:lvl>
    <w:lvl w:ilvl="1" w:tentative="1">
      <w:start w:val="1"/>
      <w:numFmt w:val="lowerLetter"/>
      <w:lvlText w:val="%2."/>
      <w:lvlJc w:val="left"/>
      <w:pPr>
        <w:ind w:left="1065" w:hanging="360"/>
      </w:pPr>
      <w:rPr>
        <w:rFonts w:cs="Times New Roman"/>
      </w:rPr>
    </w:lvl>
    <w:lvl w:ilvl="2" w:tentative="1">
      <w:start w:val="1"/>
      <w:numFmt w:val="lowerRoman"/>
      <w:lvlText w:val="%3."/>
      <w:lvlJc w:val="right"/>
      <w:pPr>
        <w:ind w:left="1785" w:hanging="180"/>
      </w:pPr>
      <w:rPr>
        <w:rFonts w:cs="Times New Roman"/>
      </w:rPr>
    </w:lvl>
    <w:lvl w:ilvl="3" w:tentative="1">
      <w:start w:val="1"/>
      <w:numFmt w:val="decimal"/>
      <w:lvlText w:val="%4."/>
      <w:lvlJc w:val="left"/>
      <w:pPr>
        <w:ind w:left="2505" w:hanging="360"/>
      </w:pPr>
      <w:rPr>
        <w:rFonts w:cs="Times New Roman"/>
      </w:rPr>
    </w:lvl>
    <w:lvl w:ilvl="4" w:tentative="1">
      <w:start w:val="1"/>
      <w:numFmt w:val="lowerLetter"/>
      <w:lvlText w:val="%5."/>
      <w:lvlJc w:val="left"/>
      <w:pPr>
        <w:ind w:left="3225" w:hanging="360"/>
      </w:pPr>
      <w:rPr>
        <w:rFonts w:cs="Times New Roman"/>
      </w:rPr>
    </w:lvl>
    <w:lvl w:ilvl="5" w:tentative="1">
      <w:start w:val="1"/>
      <w:numFmt w:val="lowerRoman"/>
      <w:lvlText w:val="%6."/>
      <w:lvlJc w:val="right"/>
      <w:pPr>
        <w:ind w:left="3945" w:hanging="180"/>
      </w:pPr>
      <w:rPr>
        <w:rFonts w:cs="Times New Roman"/>
      </w:rPr>
    </w:lvl>
    <w:lvl w:ilvl="6" w:tentative="1">
      <w:start w:val="1"/>
      <w:numFmt w:val="decimal"/>
      <w:lvlText w:val="%7."/>
      <w:lvlJc w:val="left"/>
      <w:pPr>
        <w:ind w:left="4665" w:hanging="360"/>
      </w:pPr>
      <w:rPr>
        <w:rFonts w:cs="Times New Roman"/>
      </w:rPr>
    </w:lvl>
    <w:lvl w:ilvl="7" w:tentative="1">
      <w:start w:val="1"/>
      <w:numFmt w:val="lowerLetter"/>
      <w:lvlText w:val="%8."/>
      <w:lvlJc w:val="left"/>
      <w:pPr>
        <w:ind w:left="5385" w:hanging="360"/>
      </w:pPr>
      <w:rPr>
        <w:rFonts w:cs="Times New Roman"/>
      </w:rPr>
    </w:lvl>
    <w:lvl w:ilvl="8" w:tentative="1">
      <w:start w:val="1"/>
      <w:numFmt w:val="lowerRoman"/>
      <w:lvlText w:val="%9."/>
      <w:lvlJc w:val="right"/>
      <w:pPr>
        <w:ind w:left="6105" w:hanging="180"/>
      </w:pPr>
      <w:rPr>
        <w:rFonts w:cs="Times New Roman"/>
      </w:rPr>
    </w:lvl>
  </w:abstractNum>
  <w:abstractNum w:abstractNumId="27">
    <w:nsid w:val="53506898"/>
    <w:multiLevelType w:val="hybridMultilevel"/>
    <w:tmpl w:val="DCB2214A"/>
    <w:lvl w:ilvl="0">
      <w:start w:val="1"/>
      <w:numFmt w:val="decimal"/>
      <w:lvlText w:val="%1."/>
      <w:lvlJc w:val="left"/>
      <w:pPr>
        <w:ind w:left="720" w:hanging="360"/>
      </w:pPr>
      <w:rPr>
        <w:rFonts w:cs="Times New Roman" w:hint="default"/>
        <w:i w:val="0"/>
        <w:iCs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8">
    <w:nsid w:val="5541547D"/>
    <w:multiLevelType w:val="hybridMultilevel"/>
    <w:tmpl w:val="98E62712"/>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9">
    <w:nsid w:val="57B44D9E"/>
    <w:multiLevelType w:val="hybridMultilevel"/>
    <w:tmpl w:val="18667776"/>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30">
    <w:nsid w:val="5F7554F0"/>
    <w:multiLevelType w:val="hybridMultilevel"/>
    <w:tmpl w:val="802C7EEC"/>
    <w:lvl w:ilvl="0">
      <w:start w:val="1"/>
      <w:numFmt w:val="lowerLetter"/>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31">
    <w:nsid w:val="613F0B7A"/>
    <w:multiLevelType w:val="hybridMultilevel"/>
    <w:tmpl w:val="0024C8B0"/>
    <w:lvl w:ilvl="0">
      <w:start w:val="1"/>
      <w:numFmt w:val="lowerLetter"/>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32">
    <w:nsid w:val="6FB41F20"/>
    <w:multiLevelType w:val="multilevel"/>
    <w:tmpl w:val="73005A2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nsid w:val="74633A4F"/>
    <w:multiLevelType w:val="hybridMultilevel"/>
    <w:tmpl w:val="E9EA757C"/>
    <w:lvl w:ilvl="0">
      <w:start w:val="1"/>
      <w:numFmt w:val="decimal"/>
      <w:lvlText w:val="%1."/>
      <w:lvlJc w:val="left"/>
      <w:pPr>
        <w:ind w:left="1413" w:hanging="360"/>
      </w:pPr>
      <w:rPr>
        <w:rFonts w:cs="Times New Roman" w:hint="default"/>
        <w:sz w:val="24"/>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34">
    <w:nsid w:val="74D4382D"/>
    <w:multiLevelType w:val="hybridMultilevel"/>
    <w:tmpl w:val="9C3C2FF4"/>
    <w:lvl w:ilvl="0">
      <w:start w:val="1"/>
      <w:numFmt w:val="decimal"/>
      <w:lvlText w:val="%1."/>
      <w:lvlJc w:val="left"/>
      <w:pPr>
        <w:ind w:left="1211" w:hanging="360"/>
      </w:pPr>
      <w:rPr>
        <w:rFonts w:cs="Times New Roman"/>
      </w:rPr>
    </w:lvl>
    <w:lvl w:ilvl="1" w:tentative="1">
      <w:start w:val="1"/>
      <w:numFmt w:val="lowerLetter"/>
      <w:lvlText w:val="%2."/>
      <w:lvlJc w:val="left"/>
      <w:pPr>
        <w:ind w:left="1931" w:hanging="360"/>
      </w:pPr>
      <w:rPr>
        <w:rFonts w:cs="Times New Roman"/>
      </w:rPr>
    </w:lvl>
    <w:lvl w:ilvl="2" w:tentative="1">
      <w:start w:val="1"/>
      <w:numFmt w:val="lowerRoman"/>
      <w:lvlText w:val="%3."/>
      <w:lvlJc w:val="right"/>
      <w:pPr>
        <w:ind w:left="2651" w:hanging="180"/>
      </w:pPr>
      <w:rPr>
        <w:rFonts w:cs="Times New Roman"/>
      </w:rPr>
    </w:lvl>
    <w:lvl w:ilvl="3" w:tentative="1">
      <w:start w:val="1"/>
      <w:numFmt w:val="decimal"/>
      <w:lvlText w:val="%4."/>
      <w:lvlJc w:val="left"/>
      <w:pPr>
        <w:ind w:left="3371" w:hanging="360"/>
      </w:pPr>
      <w:rPr>
        <w:rFonts w:cs="Times New Roman"/>
      </w:rPr>
    </w:lvl>
    <w:lvl w:ilvl="4" w:tentative="1">
      <w:start w:val="1"/>
      <w:numFmt w:val="lowerLetter"/>
      <w:lvlText w:val="%5."/>
      <w:lvlJc w:val="left"/>
      <w:pPr>
        <w:ind w:left="4091" w:hanging="360"/>
      </w:pPr>
      <w:rPr>
        <w:rFonts w:cs="Times New Roman"/>
      </w:rPr>
    </w:lvl>
    <w:lvl w:ilvl="5" w:tentative="1">
      <w:start w:val="1"/>
      <w:numFmt w:val="lowerRoman"/>
      <w:lvlText w:val="%6."/>
      <w:lvlJc w:val="right"/>
      <w:pPr>
        <w:ind w:left="4811" w:hanging="180"/>
      </w:pPr>
      <w:rPr>
        <w:rFonts w:cs="Times New Roman"/>
      </w:rPr>
    </w:lvl>
    <w:lvl w:ilvl="6" w:tentative="1">
      <w:start w:val="1"/>
      <w:numFmt w:val="decimal"/>
      <w:lvlText w:val="%7."/>
      <w:lvlJc w:val="left"/>
      <w:pPr>
        <w:ind w:left="5531" w:hanging="360"/>
      </w:pPr>
      <w:rPr>
        <w:rFonts w:cs="Times New Roman"/>
      </w:rPr>
    </w:lvl>
    <w:lvl w:ilvl="7" w:tentative="1">
      <w:start w:val="1"/>
      <w:numFmt w:val="lowerLetter"/>
      <w:lvlText w:val="%8."/>
      <w:lvlJc w:val="left"/>
      <w:pPr>
        <w:ind w:left="6251" w:hanging="360"/>
      </w:pPr>
      <w:rPr>
        <w:rFonts w:cs="Times New Roman"/>
      </w:rPr>
    </w:lvl>
    <w:lvl w:ilvl="8" w:tentative="1">
      <w:start w:val="1"/>
      <w:numFmt w:val="lowerRoman"/>
      <w:lvlText w:val="%9."/>
      <w:lvlJc w:val="right"/>
      <w:pPr>
        <w:ind w:left="6971" w:hanging="180"/>
      </w:pPr>
      <w:rPr>
        <w:rFonts w:cs="Times New Roman"/>
      </w:rPr>
    </w:lvl>
  </w:abstractNum>
  <w:abstractNum w:abstractNumId="35">
    <w:nsid w:val="75783D45"/>
    <w:multiLevelType w:val="multilevel"/>
    <w:tmpl w:val="8E26C8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nsid w:val="76AB5283"/>
    <w:multiLevelType w:val="hybridMultilevel"/>
    <w:tmpl w:val="38A68520"/>
    <w:lvl w:ilvl="0">
      <w:start w:val="1"/>
      <w:numFmt w:val="decimal"/>
      <w:lvlText w:val="%1)"/>
      <w:lvlJc w:val="left"/>
      <w:pPr>
        <w:ind w:left="720" w:hanging="360"/>
      </w:pPr>
      <w:rPr>
        <w:rFonts w:cs="Times New Roman"/>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7">
    <w:nsid w:val="770D0F59"/>
    <w:multiLevelType w:val="hybridMultilevel"/>
    <w:tmpl w:val="D534B0B2"/>
    <w:lvl w:ilvl="0">
      <w:start w:val="1"/>
      <w:numFmt w:val="decimal"/>
      <w:lvlText w:val="[%1]"/>
      <w:lvlJc w:val="left"/>
      <w:pPr>
        <w:ind w:left="1211" w:hanging="360"/>
      </w:pPr>
      <w:rPr>
        <w:rFonts w:cs="Times New Roman" w:hint="default"/>
      </w:rPr>
    </w:lvl>
    <w:lvl w:ilvl="1" w:tentative="1">
      <w:start w:val="1"/>
      <w:numFmt w:val="lowerLetter"/>
      <w:lvlText w:val="%2."/>
      <w:lvlJc w:val="left"/>
      <w:pPr>
        <w:ind w:left="1931" w:hanging="360"/>
      </w:pPr>
      <w:rPr>
        <w:rFonts w:cs="Times New Roman"/>
      </w:rPr>
    </w:lvl>
    <w:lvl w:ilvl="2" w:tentative="1">
      <w:start w:val="1"/>
      <w:numFmt w:val="lowerRoman"/>
      <w:lvlText w:val="%3."/>
      <w:lvlJc w:val="right"/>
      <w:pPr>
        <w:ind w:left="2651" w:hanging="180"/>
      </w:pPr>
      <w:rPr>
        <w:rFonts w:cs="Times New Roman"/>
      </w:rPr>
    </w:lvl>
    <w:lvl w:ilvl="3" w:tentative="1">
      <w:start w:val="1"/>
      <w:numFmt w:val="decimal"/>
      <w:lvlText w:val="%4."/>
      <w:lvlJc w:val="left"/>
      <w:pPr>
        <w:ind w:left="3371" w:hanging="360"/>
      </w:pPr>
      <w:rPr>
        <w:rFonts w:cs="Times New Roman"/>
      </w:rPr>
    </w:lvl>
    <w:lvl w:ilvl="4" w:tentative="1">
      <w:start w:val="1"/>
      <w:numFmt w:val="lowerLetter"/>
      <w:lvlText w:val="%5."/>
      <w:lvlJc w:val="left"/>
      <w:pPr>
        <w:ind w:left="4091" w:hanging="360"/>
      </w:pPr>
      <w:rPr>
        <w:rFonts w:cs="Times New Roman"/>
      </w:rPr>
    </w:lvl>
    <w:lvl w:ilvl="5" w:tentative="1">
      <w:start w:val="1"/>
      <w:numFmt w:val="lowerRoman"/>
      <w:lvlText w:val="%6."/>
      <w:lvlJc w:val="right"/>
      <w:pPr>
        <w:ind w:left="4811" w:hanging="180"/>
      </w:pPr>
      <w:rPr>
        <w:rFonts w:cs="Times New Roman"/>
      </w:rPr>
    </w:lvl>
    <w:lvl w:ilvl="6" w:tentative="1">
      <w:start w:val="1"/>
      <w:numFmt w:val="decimal"/>
      <w:lvlText w:val="%7."/>
      <w:lvlJc w:val="left"/>
      <w:pPr>
        <w:ind w:left="5531" w:hanging="360"/>
      </w:pPr>
      <w:rPr>
        <w:rFonts w:cs="Times New Roman"/>
      </w:rPr>
    </w:lvl>
    <w:lvl w:ilvl="7" w:tentative="1">
      <w:start w:val="1"/>
      <w:numFmt w:val="lowerLetter"/>
      <w:lvlText w:val="%8."/>
      <w:lvlJc w:val="left"/>
      <w:pPr>
        <w:ind w:left="6251" w:hanging="360"/>
      </w:pPr>
      <w:rPr>
        <w:rFonts w:cs="Times New Roman"/>
      </w:rPr>
    </w:lvl>
    <w:lvl w:ilvl="8" w:tentative="1">
      <w:start w:val="1"/>
      <w:numFmt w:val="lowerRoman"/>
      <w:lvlText w:val="%9."/>
      <w:lvlJc w:val="right"/>
      <w:pPr>
        <w:ind w:left="6971" w:hanging="180"/>
      </w:pPr>
      <w:rPr>
        <w:rFonts w:cs="Times New Roman"/>
      </w:rPr>
    </w:lvl>
  </w:abstractNum>
  <w:abstractNum w:abstractNumId="38">
    <w:nsid w:val="7B857A15"/>
    <w:multiLevelType w:val="hybridMultilevel"/>
    <w:tmpl w:val="5D26E8E8"/>
    <w:lvl w:ilvl="0">
      <w:start w:val="1"/>
      <w:numFmt w:val="lowerLetter"/>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9">
    <w:nsid w:val="7C1E659A"/>
    <w:multiLevelType w:val="hybridMultilevel"/>
    <w:tmpl w:val="DE922EA2"/>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40">
    <w:nsid w:val="7C7B3BD8"/>
    <w:multiLevelType w:val="multilevel"/>
    <w:tmpl w:val="35D0DEF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1">
    <w:nsid w:val="7CC85296"/>
    <w:multiLevelType w:val="hybridMultilevel"/>
    <w:tmpl w:val="926808E6"/>
    <w:lvl w:ilvl="0">
      <w:start w:val="1"/>
      <w:numFmt w:val="upperRoman"/>
      <w:lvlText w:val="%1."/>
      <w:lvlJc w:val="right"/>
      <w:pPr>
        <w:ind w:left="360" w:hanging="360"/>
      </w:pPr>
      <w:rPr>
        <w:rFonts w:cs="Times New Roman"/>
      </w:rPr>
    </w:lvl>
    <w:lvl w:ilvl="1" w:tentative="1">
      <w:start w:val="1"/>
      <w:numFmt w:val="lowerLetter"/>
      <w:lvlText w:val="%2."/>
      <w:lvlJc w:val="left"/>
      <w:pPr>
        <w:ind w:left="2149" w:hanging="360"/>
      </w:pPr>
      <w:rPr>
        <w:rFonts w:cs="Times New Roman"/>
      </w:rPr>
    </w:lvl>
    <w:lvl w:ilvl="2" w:tentative="1">
      <w:start w:val="1"/>
      <w:numFmt w:val="lowerRoman"/>
      <w:lvlText w:val="%3."/>
      <w:lvlJc w:val="right"/>
      <w:pPr>
        <w:ind w:left="2869" w:hanging="180"/>
      </w:pPr>
      <w:rPr>
        <w:rFonts w:cs="Times New Roman"/>
      </w:rPr>
    </w:lvl>
    <w:lvl w:ilvl="3" w:tentative="1">
      <w:start w:val="1"/>
      <w:numFmt w:val="decimal"/>
      <w:lvlText w:val="%4."/>
      <w:lvlJc w:val="left"/>
      <w:pPr>
        <w:ind w:left="3589" w:hanging="360"/>
      </w:pPr>
      <w:rPr>
        <w:rFonts w:cs="Times New Roman"/>
      </w:rPr>
    </w:lvl>
    <w:lvl w:ilvl="4" w:tentative="1">
      <w:start w:val="1"/>
      <w:numFmt w:val="lowerLetter"/>
      <w:lvlText w:val="%5."/>
      <w:lvlJc w:val="left"/>
      <w:pPr>
        <w:ind w:left="4309" w:hanging="360"/>
      </w:pPr>
      <w:rPr>
        <w:rFonts w:cs="Times New Roman"/>
      </w:rPr>
    </w:lvl>
    <w:lvl w:ilvl="5" w:tentative="1">
      <w:start w:val="1"/>
      <w:numFmt w:val="lowerRoman"/>
      <w:lvlText w:val="%6."/>
      <w:lvlJc w:val="right"/>
      <w:pPr>
        <w:ind w:left="5029" w:hanging="180"/>
      </w:pPr>
      <w:rPr>
        <w:rFonts w:cs="Times New Roman"/>
      </w:rPr>
    </w:lvl>
    <w:lvl w:ilvl="6" w:tentative="1">
      <w:start w:val="1"/>
      <w:numFmt w:val="decimal"/>
      <w:lvlText w:val="%7."/>
      <w:lvlJc w:val="left"/>
      <w:pPr>
        <w:ind w:left="5749" w:hanging="360"/>
      </w:pPr>
      <w:rPr>
        <w:rFonts w:cs="Times New Roman"/>
      </w:rPr>
    </w:lvl>
    <w:lvl w:ilvl="7" w:tentative="1">
      <w:start w:val="1"/>
      <w:numFmt w:val="lowerLetter"/>
      <w:lvlText w:val="%8."/>
      <w:lvlJc w:val="left"/>
      <w:pPr>
        <w:ind w:left="6469" w:hanging="360"/>
      </w:pPr>
      <w:rPr>
        <w:rFonts w:cs="Times New Roman"/>
      </w:rPr>
    </w:lvl>
    <w:lvl w:ilvl="8" w:tentative="1">
      <w:start w:val="1"/>
      <w:numFmt w:val="lowerRoman"/>
      <w:lvlText w:val="%9."/>
      <w:lvlJc w:val="right"/>
      <w:pPr>
        <w:ind w:left="7189" w:hanging="180"/>
      </w:pPr>
      <w:rPr>
        <w:rFonts w:cs="Times New Roman"/>
      </w:rPr>
    </w:lvl>
  </w:abstractNum>
  <w:num w:numId="1">
    <w:abstractNumId w:val="19"/>
  </w:num>
  <w:num w:numId="2">
    <w:abstractNumId w:val="10"/>
  </w:num>
  <w:num w:numId="3">
    <w:abstractNumId w:val="12"/>
  </w:num>
  <w:num w:numId="4">
    <w:abstractNumId w:val="30"/>
  </w:num>
  <w:num w:numId="5">
    <w:abstractNumId w:val="29"/>
  </w:num>
  <w:num w:numId="6">
    <w:abstractNumId w:val="28"/>
  </w:num>
  <w:num w:numId="7">
    <w:abstractNumId w:val="39"/>
  </w:num>
  <w:num w:numId="8">
    <w:abstractNumId w:val="20"/>
  </w:num>
  <w:num w:numId="9">
    <w:abstractNumId w:val="31"/>
  </w:num>
  <w:num w:numId="10">
    <w:abstractNumId w:val="33"/>
  </w:num>
  <w:num w:numId="11">
    <w:abstractNumId w:val="14"/>
  </w:num>
  <w:num w:numId="12">
    <w:abstractNumId w:val="26"/>
  </w:num>
  <w:num w:numId="13">
    <w:abstractNumId w:val="9"/>
  </w:num>
  <w:num w:numId="14">
    <w:abstractNumId w:val="0"/>
  </w:num>
  <w:num w:numId="15">
    <w:abstractNumId w:val="41"/>
  </w:num>
  <w:num w:numId="16">
    <w:abstractNumId w:val="27"/>
  </w:num>
  <w:num w:numId="17">
    <w:abstractNumId w:val="38"/>
  </w:num>
  <w:num w:numId="18">
    <w:abstractNumId w:val="36"/>
  </w:num>
  <w:num w:numId="19">
    <w:abstractNumId w:val="25"/>
  </w:num>
  <w:num w:numId="20">
    <w:abstractNumId w:val="7"/>
  </w:num>
  <w:num w:numId="21">
    <w:abstractNumId w:val="1"/>
  </w:num>
  <w:num w:numId="22">
    <w:abstractNumId w:val="15"/>
  </w:num>
  <w:num w:numId="23">
    <w:abstractNumId w:val="2"/>
  </w:num>
  <w:num w:numId="24">
    <w:abstractNumId w:val="3"/>
  </w:num>
  <w:num w:numId="25">
    <w:abstractNumId w:val="4"/>
  </w:num>
  <w:num w:numId="26">
    <w:abstractNumId w:val="13"/>
  </w:num>
  <w:num w:numId="27">
    <w:abstractNumId w:val="17"/>
  </w:num>
  <w:num w:numId="28">
    <w:abstractNumId w:val="8"/>
  </w:num>
  <w:num w:numId="29">
    <w:abstractNumId w:val="22"/>
  </w:num>
  <w:num w:numId="30">
    <w:abstractNumId w:val="32"/>
  </w:num>
  <w:num w:numId="31">
    <w:abstractNumId w:val="5"/>
  </w:num>
  <w:num w:numId="32">
    <w:abstractNumId w:val="18"/>
  </w:num>
  <w:num w:numId="33">
    <w:abstractNumId w:val="23"/>
  </w:num>
  <w:num w:numId="34">
    <w:abstractNumId w:val="35"/>
  </w:num>
  <w:num w:numId="35">
    <w:abstractNumId w:val="11"/>
  </w:num>
  <w:num w:numId="36">
    <w:abstractNumId w:val="6"/>
  </w:num>
  <w:num w:numId="37">
    <w:abstractNumId w:val="21"/>
  </w:num>
  <w:num w:numId="38">
    <w:abstractNumId w:val="40"/>
  </w:num>
  <w:num w:numId="39">
    <w:abstractNumId w:val="24"/>
  </w:num>
  <w:num w:numId="40">
    <w:abstractNumId w:val="16"/>
  </w:num>
  <w:num w:numId="41">
    <w:abstractNumId w:val="34"/>
  </w:num>
  <w:num w:numId="42">
    <w:abstractNumId w:val="3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defaultTabStop w:val="720"/>
  <w:hyphenationZone w:val="425"/>
  <w:doNotHyphenateCaps/>
  <w:evenAndOddHeaders/>
  <w:drawingGridHorizontalSpacing w:val="100"/>
  <w:displayHorizontalDrawingGridEvery w:val="2"/>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DAC"/>
    <w:rsid w:val="00003189"/>
    <w:rsid w:val="00005ED9"/>
    <w:rsid w:val="00010DEE"/>
    <w:rsid w:val="000243A3"/>
    <w:rsid w:val="00024881"/>
    <w:rsid w:val="0002569B"/>
    <w:rsid w:val="000417D3"/>
    <w:rsid w:val="000475BE"/>
    <w:rsid w:val="00050F12"/>
    <w:rsid w:val="00055FC4"/>
    <w:rsid w:val="0006191D"/>
    <w:rsid w:val="00066AC1"/>
    <w:rsid w:val="00076F8C"/>
    <w:rsid w:val="0008220C"/>
    <w:rsid w:val="000877EE"/>
    <w:rsid w:val="00095892"/>
    <w:rsid w:val="000A0B41"/>
    <w:rsid w:val="000A2548"/>
    <w:rsid w:val="000B0038"/>
    <w:rsid w:val="000B071E"/>
    <w:rsid w:val="000B0CE5"/>
    <w:rsid w:val="000B59CD"/>
    <w:rsid w:val="000C3688"/>
    <w:rsid w:val="000E1F30"/>
    <w:rsid w:val="000E31DC"/>
    <w:rsid w:val="000E6D14"/>
    <w:rsid w:val="000F66AA"/>
    <w:rsid w:val="00103AFF"/>
    <w:rsid w:val="00110D78"/>
    <w:rsid w:val="00116ED8"/>
    <w:rsid w:val="00117792"/>
    <w:rsid w:val="00122F5F"/>
    <w:rsid w:val="00123EF2"/>
    <w:rsid w:val="001245CB"/>
    <w:rsid w:val="0013783B"/>
    <w:rsid w:val="001578E9"/>
    <w:rsid w:val="00162A30"/>
    <w:rsid w:val="00165813"/>
    <w:rsid w:val="00166A51"/>
    <w:rsid w:val="00171D19"/>
    <w:rsid w:val="00173196"/>
    <w:rsid w:val="0018288D"/>
    <w:rsid w:val="00187357"/>
    <w:rsid w:val="001A07A8"/>
    <w:rsid w:val="001B3613"/>
    <w:rsid w:val="001C2739"/>
    <w:rsid w:val="001C3D6C"/>
    <w:rsid w:val="001C7BDA"/>
    <w:rsid w:val="001D17BF"/>
    <w:rsid w:val="001D5E03"/>
    <w:rsid w:val="001D7DEE"/>
    <w:rsid w:val="001E02DA"/>
    <w:rsid w:val="001E2AAA"/>
    <w:rsid w:val="001F4F1D"/>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77909"/>
    <w:rsid w:val="00287EDB"/>
    <w:rsid w:val="00295FB9"/>
    <w:rsid w:val="002961FA"/>
    <w:rsid w:val="002A293E"/>
    <w:rsid w:val="002A4E05"/>
    <w:rsid w:val="002C2843"/>
    <w:rsid w:val="002C2FAC"/>
    <w:rsid w:val="002D0F54"/>
    <w:rsid w:val="002D1D04"/>
    <w:rsid w:val="002D2B29"/>
    <w:rsid w:val="002D2DAC"/>
    <w:rsid w:val="002E0452"/>
    <w:rsid w:val="002E695D"/>
    <w:rsid w:val="002F3E59"/>
    <w:rsid w:val="002F4D18"/>
    <w:rsid w:val="00301FEB"/>
    <w:rsid w:val="00303D42"/>
    <w:rsid w:val="0030640D"/>
    <w:rsid w:val="00312D76"/>
    <w:rsid w:val="00334520"/>
    <w:rsid w:val="00334792"/>
    <w:rsid w:val="003363F0"/>
    <w:rsid w:val="00336A9A"/>
    <w:rsid w:val="0034128C"/>
    <w:rsid w:val="00362A23"/>
    <w:rsid w:val="00362CBC"/>
    <w:rsid w:val="00381B26"/>
    <w:rsid w:val="00382478"/>
    <w:rsid w:val="0038324A"/>
    <w:rsid w:val="00386F26"/>
    <w:rsid w:val="00387148"/>
    <w:rsid w:val="00387C94"/>
    <w:rsid w:val="003948B0"/>
    <w:rsid w:val="00395535"/>
    <w:rsid w:val="003B28D6"/>
    <w:rsid w:val="003B4EE9"/>
    <w:rsid w:val="003C40CE"/>
    <w:rsid w:val="003C482F"/>
    <w:rsid w:val="003C5369"/>
    <w:rsid w:val="003D64E0"/>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37DE"/>
    <w:rsid w:val="004863B6"/>
    <w:rsid w:val="00486707"/>
    <w:rsid w:val="0048722D"/>
    <w:rsid w:val="004926FD"/>
    <w:rsid w:val="004928B8"/>
    <w:rsid w:val="00495DEE"/>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5770"/>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A6A1E"/>
    <w:rsid w:val="005C14AA"/>
    <w:rsid w:val="005C643D"/>
    <w:rsid w:val="005D4A0D"/>
    <w:rsid w:val="005E7673"/>
    <w:rsid w:val="005F333D"/>
    <w:rsid w:val="006035FA"/>
    <w:rsid w:val="006052AE"/>
    <w:rsid w:val="0061613E"/>
    <w:rsid w:val="0062129F"/>
    <w:rsid w:val="00622926"/>
    <w:rsid w:val="0062388D"/>
    <w:rsid w:val="006352D0"/>
    <w:rsid w:val="006419D1"/>
    <w:rsid w:val="006538D6"/>
    <w:rsid w:val="00654B07"/>
    <w:rsid w:val="00674CB5"/>
    <w:rsid w:val="00680536"/>
    <w:rsid w:val="006902BB"/>
    <w:rsid w:val="006A511E"/>
    <w:rsid w:val="006A7DFF"/>
    <w:rsid w:val="006B0510"/>
    <w:rsid w:val="006B2D02"/>
    <w:rsid w:val="006B6E0F"/>
    <w:rsid w:val="006C65C4"/>
    <w:rsid w:val="006C6EBD"/>
    <w:rsid w:val="006C7730"/>
    <w:rsid w:val="006D6149"/>
    <w:rsid w:val="006D782E"/>
    <w:rsid w:val="006D7856"/>
    <w:rsid w:val="006E2F83"/>
    <w:rsid w:val="006E3364"/>
    <w:rsid w:val="006E7FC3"/>
    <w:rsid w:val="006F411A"/>
    <w:rsid w:val="00704378"/>
    <w:rsid w:val="00707398"/>
    <w:rsid w:val="007169EC"/>
    <w:rsid w:val="00727B9E"/>
    <w:rsid w:val="007315EF"/>
    <w:rsid w:val="00741058"/>
    <w:rsid w:val="00755AB4"/>
    <w:rsid w:val="00761E7C"/>
    <w:rsid w:val="007636FC"/>
    <w:rsid w:val="007816FC"/>
    <w:rsid w:val="00781D8B"/>
    <w:rsid w:val="00786986"/>
    <w:rsid w:val="0079311F"/>
    <w:rsid w:val="007933FE"/>
    <w:rsid w:val="00796577"/>
    <w:rsid w:val="00796A75"/>
    <w:rsid w:val="007A2AA8"/>
    <w:rsid w:val="007A5A78"/>
    <w:rsid w:val="007A62B7"/>
    <w:rsid w:val="007A65BF"/>
    <w:rsid w:val="007B6823"/>
    <w:rsid w:val="007C7AE9"/>
    <w:rsid w:val="007D5BA1"/>
    <w:rsid w:val="007E508F"/>
    <w:rsid w:val="007F02FB"/>
    <w:rsid w:val="007F37D6"/>
    <w:rsid w:val="007F422E"/>
    <w:rsid w:val="00802718"/>
    <w:rsid w:val="00802990"/>
    <w:rsid w:val="00802A96"/>
    <w:rsid w:val="00810811"/>
    <w:rsid w:val="008157AA"/>
    <w:rsid w:val="00815993"/>
    <w:rsid w:val="0082272E"/>
    <w:rsid w:val="0085200E"/>
    <w:rsid w:val="00852EC7"/>
    <w:rsid w:val="0085484D"/>
    <w:rsid w:val="00857088"/>
    <w:rsid w:val="00862178"/>
    <w:rsid w:val="00862DDA"/>
    <w:rsid w:val="00863A78"/>
    <w:rsid w:val="00874EB7"/>
    <w:rsid w:val="008765A5"/>
    <w:rsid w:val="00882CAF"/>
    <w:rsid w:val="0088746C"/>
    <w:rsid w:val="008940D8"/>
    <w:rsid w:val="008A1E9B"/>
    <w:rsid w:val="008B23F8"/>
    <w:rsid w:val="008B4BA9"/>
    <w:rsid w:val="008B61DD"/>
    <w:rsid w:val="008B7A0F"/>
    <w:rsid w:val="008C302B"/>
    <w:rsid w:val="008C3DC2"/>
    <w:rsid w:val="008C45DE"/>
    <w:rsid w:val="008D0F02"/>
    <w:rsid w:val="008D5293"/>
    <w:rsid w:val="008E554D"/>
    <w:rsid w:val="008F3342"/>
    <w:rsid w:val="00902F9C"/>
    <w:rsid w:val="00906AC7"/>
    <w:rsid w:val="0091106A"/>
    <w:rsid w:val="00911A24"/>
    <w:rsid w:val="009206DD"/>
    <w:rsid w:val="009276FB"/>
    <w:rsid w:val="00936811"/>
    <w:rsid w:val="00940F83"/>
    <w:rsid w:val="0094187E"/>
    <w:rsid w:val="00945575"/>
    <w:rsid w:val="0095288D"/>
    <w:rsid w:val="00954BA8"/>
    <w:rsid w:val="00965E3F"/>
    <w:rsid w:val="00965F50"/>
    <w:rsid w:val="00974627"/>
    <w:rsid w:val="0098193E"/>
    <w:rsid w:val="00987772"/>
    <w:rsid w:val="0099291C"/>
    <w:rsid w:val="009929B4"/>
    <w:rsid w:val="009A1281"/>
    <w:rsid w:val="009B6344"/>
    <w:rsid w:val="009B764B"/>
    <w:rsid w:val="009D7552"/>
    <w:rsid w:val="009D7AA9"/>
    <w:rsid w:val="009E2468"/>
    <w:rsid w:val="009E3624"/>
    <w:rsid w:val="009E4EBA"/>
    <w:rsid w:val="009F091C"/>
    <w:rsid w:val="009F2D64"/>
    <w:rsid w:val="009F373B"/>
    <w:rsid w:val="009F3E54"/>
    <w:rsid w:val="009F409C"/>
    <w:rsid w:val="009F6F7B"/>
    <w:rsid w:val="009F725F"/>
    <w:rsid w:val="00A03126"/>
    <w:rsid w:val="00A13315"/>
    <w:rsid w:val="00A175E3"/>
    <w:rsid w:val="00A27B34"/>
    <w:rsid w:val="00A37C4B"/>
    <w:rsid w:val="00A4345E"/>
    <w:rsid w:val="00A43778"/>
    <w:rsid w:val="00A4558F"/>
    <w:rsid w:val="00A50B27"/>
    <w:rsid w:val="00A53EA3"/>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4782"/>
    <w:rsid w:val="00AC6628"/>
    <w:rsid w:val="00AD2E20"/>
    <w:rsid w:val="00AD3EFD"/>
    <w:rsid w:val="00AD559D"/>
    <w:rsid w:val="00AF103E"/>
    <w:rsid w:val="00AF35CC"/>
    <w:rsid w:val="00AF73DF"/>
    <w:rsid w:val="00B02CE0"/>
    <w:rsid w:val="00B17324"/>
    <w:rsid w:val="00B25AD1"/>
    <w:rsid w:val="00B25EDF"/>
    <w:rsid w:val="00B35DC8"/>
    <w:rsid w:val="00B4389C"/>
    <w:rsid w:val="00B47B2C"/>
    <w:rsid w:val="00B56B54"/>
    <w:rsid w:val="00B57EFB"/>
    <w:rsid w:val="00B70E6B"/>
    <w:rsid w:val="00B757DB"/>
    <w:rsid w:val="00B80A1A"/>
    <w:rsid w:val="00B86BF7"/>
    <w:rsid w:val="00B905EC"/>
    <w:rsid w:val="00B90600"/>
    <w:rsid w:val="00B91F74"/>
    <w:rsid w:val="00B9472D"/>
    <w:rsid w:val="00B96AE8"/>
    <w:rsid w:val="00BA6FF3"/>
    <w:rsid w:val="00BB2B6F"/>
    <w:rsid w:val="00BB5A3B"/>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36C85"/>
    <w:rsid w:val="00C420B8"/>
    <w:rsid w:val="00C427CC"/>
    <w:rsid w:val="00C50A65"/>
    <w:rsid w:val="00C549E7"/>
    <w:rsid w:val="00C6051D"/>
    <w:rsid w:val="00C67610"/>
    <w:rsid w:val="00C71E29"/>
    <w:rsid w:val="00C72516"/>
    <w:rsid w:val="00C7503D"/>
    <w:rsid w:val="00C75366"/>
    <w:rsid w:val="00C93C98"/>
    <w:rsid w:val="00CA7439"/>
    <w:rsid w:val="00CB41DC"/>
    <w:rsid w:val="00CC56D8"/>
    <w:rsid w:val="00CE2073"/>
    <w:rsid w:val="00CE2A67"/>
    <w:rsid w:val="00CE741E"/>
    <w:rsid w:val="00CF03A1"/>
    <w:rsid w:val="00CF57D6"/>
    <w:rsid w:val="00D0192C"/>
    <w:rsid w:val="00D26ADD"/>
    <w:rsid w:val="00D44083"/>
    <w:rsid w:val="00D57022"/>
    <w:rsid w:val="00D57A56"/>
    <w:rsid w:val="00D63088"/>
    <w:rsid w:val="00D67104"/>
    <w:rsid w:val="00D73826"/>
    <w:rsid w:val="00D762C2"/>
    <w:rsid w:val="00D775DE"/>
    <w:rsid w:val="00D90FE5"/>
    <w:rsid w:val="00D93B4D"/>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20BB"/>
    <w:rsid w:val="00E0470A"/>
    <w:rsid w:val="00E30D6B"/>
    <w:rsid w:val="00E30E14"/>
    <w:rsid w:val="00E36AA2"/>
    <w:rsid w:val="00E41250"/>
    <w:rsid w:val="00E439CB"/>
    <w:rsid w:val="00E46E84"/>
    <w:rsid w:val="00E5640B"/>
    <w:rsid w:val="00E65AF8"/>
    <w:rsid w:val="00E73641"/>
    <w:rsid w:val="00E75F6E"/>
    <w:rsid w:val="00E77C4D"/>
    <w:rsid w:val="00E90C62"/>
    <w:rsid w:val="00E922F2"/>
    <w:rsid w:val="00E93AC4"/>
    <w:rsid w:val="00E9591C"/>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69EC"/>
    <w:rsid w:val="00F4510D"/>
    <w:rsid w:val="00F52E83"/>
    <w:rsid w:val="00F631E5"/>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D2FF5"/>
    <w:rsid w:val="00FE0722"/>
    <w:rsid w:val="00FE59A0"/>
    <w:rsid w:val="00FE703C"/>
    <w:rsid w:val="00FF1D30"/>
    <w:rsid w:val="00FF4D86"/>
    <w:rsid w:val="00FF5F3B"/>
    <w:rsid w:val="00FF795F"/>
  </w:rsids>
  <m:mathPr>
    <m:mathFont m:val="Cambria Math"/>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14:docId w14:val="038F3359"/>
  <w15:docId w15:val="{54D11317-DBD8-46CA-BFEE-0C76AE1C4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1"/>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2"/>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3"/>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4"/>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7"/>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a0"/>
    <w:uiPriority w:val="10"/>
    <w:qFormat/>
    <w:rsid w:val="002D2DAC"/>
    <w:pPr>
      <w:jc w:val="center"/>
    </w:pPr>
    <w:rPr>
      <w:b/>
      <w:bCs/>
      <w:sz w:val="24"/>
      <w:szCs w:val="24"/>
    </w:rPr>
  </w:style>
  <w:style w:type="character" w:customStyle="1" w:styleId="3">
    <w:name w:val="Заголовок 3 Знак"/>
    <w:basedOn w:val="DefaultParagraphFont"/>
    <w:link w:val="Heading3"/>
    <w:uiPriority w:val="9"/>
    <w:semiHidden/>
    <w:locked/>
    <w:rsid w:val="00DE1E48"/>
    <w:rPr>
      <w:rFonts w:ascii="Cambria" w:hAnsi="Cambria" w:cs="Times New Roman"/>
      <w:b/>
      <w:sz w:val="26"/>
      <w:lang w:val="x-none" w:eastAsia="en-GB"/>
    </w:rPr>
  </w:style>
  <w:style w:type="character" w:customStyle="1" w:styleId="4">
    <w:name w:val="Заголовок 4 Знак"/>
    <w:basedOn w:val="DefaultParagraphFont"/>
    <w:link w:val="Heading4"/>
    <w:uiPriority w:val="9"/>
    <w:semiHidden/>
    <w:locked/>
    <w:rPr>
      <w:rFonts w:ascii="Calibri" w:hAnsi="Calibri" w:cs="Times New Roman"/>
      <w:b/>
      <w:sz w:val="28"/>
      <w:lang w:val="x-none" w:eastAsia="en-GB"/>
    </w:rPr>
  </w:style>
  <w:style w:type="character" w:customStyle="1" w:styleId="7">
    <w:name w:val="Заголовок 7 Знак"/>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a"/>
    <w:uiPriority w:val="99"/>
    <w:semiHidden/>
    <w:pPr>
      <w:autoSpaceDE/>
      <w:autoSpaceDN/>
    </w:pPr>
    <w:rPr>
      <w:rFonts w:ascii="Tahoma" w:hAnsi="Tahoma" w:cs="Tahoma"/>
      <w:sz w:val="16"/>
      <w:szCs w:val="16"/>
      <w:lang w:eastAsia="en-US"/>
    </w:rPr>
  </w:style>
  <w:style w:type="character" w:customStyle="1" w:styleId="2">
    <w:name w:val="Заголовок 2 Знак"/>
    <w:basedOn w:val="DefaultParagraphFont"/>
    <w:link w:val="Heading2"/>
    <w:uiPriority w:val="9"/>
    <w:locked/>
    <w:rsid w:val="008C45DE"/>
    <w:rPr>
      <w:rFonts w:ascii="Cambria" w:hAnsi="Cambria" w:cs="Times New Roman"/>
      <w:b/>
      <w:i/>
      <w:sz w:val="28"/>
      <w:lang w:val="en-US"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a1"/>
    <w:uiPriority w:val="99"/>
    <w:rsid w:val="002D2DAC"/>
  </w:style>
  <w:style w:type="character" w:customStyle="1" w:styleId="1">
    <w:name w:val="Заголовок 1 Знак"/>
    <w:basedOn w:val="DefaultParagraphFont"/>
    <w:link w:val="Heading1"/>
    <w:uiPriority w:val="9"/>
    <w:locked/>
    <w:rsid w:val="008765A5"/>
    <w:rPr>
      <w:rFonts w:ascii="Cambria" w:hAnsi="Cambria" w:cs="Times New Roman"/>
      <w:b/>
      <w:kern w:val="32"/>
      <w:sz w:val="32"/>
      <w:lang w:val="x-none" w:eastAsia="en-GB"/>
    </w:rPr>
  </w:style>
  <w:style w:type="character" w:styleId="FootnoteReference">
    <w:name w:val="footnote reference"/>
    <w:basedOn w:val="DefaultParagraphFont"/>
    <w:uiPriority w:val="99"/>
    <w:rsid w:val="002D2DAC"/>
    <w:rPr>
      <w:rFonts w:cs="Times New Roman"/>
      <w:vertAlign w:val="superscript"/>
    </w:rPr>
  </w:style>
  <w:style w:type="character" w:customStyle="1" w:styleId="a">
    <w:name w:val="Текст выноски Знак"/>
    <w:basedOn w:val="DefaultParagraphFont"/>
    <w:link w:val="BalloonText"/>
    <w:uiPriority w:val="99"/>
    <w:semiHidden/>
    <w:locked/>
    <w:rPr>
      <w:rFonts w:ascii="Tahoma" w:hAnsi="Tahoma" w:cs="Times New Roman"/>
      <w:sz w:val="16"/>
      <w:lang w:val="x-none" w:eastAsia="en-GB"/>
    </w:rPr>
  </w:style>
  <w:style w:type="paragraph" w:styleId="BodyText2">
    <w:name w:val="Body Text 2"/>
    <w:basedOn w:val="Normal"/>
    <w:link w:val="20"/>
    <w:uiPriority w:val="99"/>
    <w:rsid w:val="002D2DAC"/>
    <w:pPr>
      <w:spacing w:after="120"/>
      <w:ind w:left="283"/>
    </w:pPr>
    <w:rPr>
      <w:sz w:val="24"/>
      <w:szCs w:val="24"/>
    </w:rPr>
  </w:style>
  <w:style w:type="character" w:customStyle="1" w:styleId="a0">
    <w:name w:val="Заголовок Знак"/>
    <w:basedOn w:val="DefaultParagraphFont"/>
    <w:link w:val="Title"/>
    <w:uiPriority w:val="10"/>
    <w:locked/>
    <w:rPr>
      <w:rFonts w:ascii="Cambria" w:hAnsi="Cambria" w:cs="Times New Roman"/>
      <w:b/>
      <w:kern w:val="28"/>
      <w:sz w:val="32"/>
      <w:lang w:val="x-none" w:eastAsia="en-GB"/>
    </w:rPr>
  </w:style>
  <w:style w:type="character" w:customStyle="1" w:styleId="a1">
    <w:name w:val="Текст сноски Знак"/>
    <w:aliases w:val="Char Знак,Catatan Kaki Char Char Char Char Char Знак,Footnote Char Char Char Char Char Знак,Footnote Char Char Char Char Знак,Footnote Char Char Знак,Footnote Text Char Char Char Знак,Footnote Text Char Char Знак"/>
    <w:basedOn w:val="DefaultParagraphFont"/>
    <w:link w:val="FootnoteText"/>
    <w:uiPriority w:val="99"/>
    <w:locked/>
    <w:rsid w:val="00802718"/>
    <w:rPr>
      <w:rFonts w:cs="Times New Roman"/>
      <w:lang w:val="en-US" w:eastAsia="en-GB"/>
    </w:rPr>
  </w:style>
  <w:style w:type="character" w:styleId="PageNumber">
    <w:name w:val="page number"/>
    <w:basedOn w:val="DefaultParagraphFont"/>
    <w:uiPriority w:val="99"/>
    <w:rsid w:val="002D2DAC"/>
    <w:rPr>
      <w:rFonts w:cs="Times New Roman"/>
    </w:rPr>
  </w:style>
  <w:style w:type="paragraph" w:styleId="Footer">
    <w:name w:val="footer"/>
    <w:basedOn w:val="Normal"/>
    <w:link w:val="a2"/>
    <w:uiPriority w:val="99"/>
    <w:rsid w:val="002D2DAC"/>
    <w:pPr>
      <w:tabs>
        <w:tab w:val="center" w:pos="4320"/>
        <w:tab w:val="right" w:pos="8640"/>
      </w:tabs>
    </w:pPr>
  </w:style>
  <w:style w:type="paragraph" w:styleId="BodyText">
    <w:name w:val="Body Text"/>
    <w:basedOn w:val="Normal"/>
    <w:link w:val="a3"/>
    <w:uiPriority w:val="1"/>
    <w:qFormat/>
    <w:rsid w:val="00C26170"/>
    <w:pPr>
      <w:spacing w:after="120"/>
    </w:pPr>
  </w:style>
  <w:style w:type="character" w:customStyle="1" w:styleId="20">
    <w:name w:val="Основной текст 2 Знак"/>
    <w:basedOn w:val="DefaultParagraphFont"/>
    <w:link w:val="BodyText2"/>
    <w:uiPriority w:val="99"/>
    <w:semiHidden/>
    <w:locked/>
    <w:rPr>
      <w:rFonts w:cs="Times New Roman"/>
      <w:sz w:val="20"/>
      <w:lang w:val="x-none" w:eastAsia="en-GB"/>
    </w:rPr>
  </w:style>
  <w:style w:type="character" w:customStyle="1" w:styleId="a2">
    <w:name w:val="Нижний колонтитул Знак"/>
    <w:basedOn w:val="DefaultParagraphFont"/>
    <w:link w:val="Footer"/>
    <w:uiPriority w:val="99"/>
    <w:locked/>
    <w:rPr>
      <w:rFonts w:cs="Times New Roman"/>
      <w:sz w:val="20"/>
      <w:lang w:val="x-none" w:eastAsia="en-GB"/>
    </w:rPr>
  </w:style>
  <w:style w:type="character" w:customStyle="1" w:styleId="go">
    <w:name w:val="go"/>
    <w:rsid w:val="008765A5"/>
  </w:style>
  <w:style w:type="paragraph" w:styleId="BodyText3">
    <w:name w:val="Body Text 3"/>
    <w:basedOn w:val="Normal"/>
    <w:link w:val="30"/>
    <w:uiPriority w:val="99"/>
    <w:unhideWhenUsed/>
    <w:rsid w:val="008765A5"/>
    <w:pPr>
      <w:autoSpaceDE/>
      <w:autoSpaceDN/>
      <w:spacing w:after="120"/>
    </w:pPr>
    <w:rPr>
      <w:sz w:val="16"/>
      <w:szCs w:val="16"/>
      <w:lang w:eastAsia="en-US"/>
    </w:rPr>
  </w:style>
  <w:style w:type="paragraph" w:styleId="Header">
    <w:name w:val="header"/>
    <w:basedOn w:val="Normal"/>
    <w:link w:val="a4"/>
    <w:uiPriority w:val="99"/>
    <w:unhideWhenUsed/>
    <w:rsid w:val="007D5BA1"/>
    <w:pPr>
      <w:tabs>
        <w:tab w:val="center" w:pos="4680"/>
        <w:tab w:val="right" w:pos="9360"/>
      </w:tabs>
    </w:pPr>
  </w:style>
  <w:style w:type="character" w:customStyle="1" w:styleId="a3">
    <w:name w:val="Основной текст Знак"/>
    <w:basedOn w:val="DefaultParagraphFont"/>
    <w:link w:val="BodyText"/>
    <w:uiPriority w:val="1"/>
    <w:locked/>
    <w:rPr>
      <w:rFonts w:cs="Times New Roman"/>
      <w:sz w:val="20"/>
      <w:lang w:val="x-none" w:eastAsia="en-GB"/>
    </w:rPr>
  </w:style>
  <w:style w:type="character" w:customStyle="1" w:styleId="30">
    <w:name w:val="Основной текст 3 Знак"/>
    <w:basedOn w:val="DefaultParagraphFont"/>
    <w:link w:val="BodyText3"/>
    <w:uiPriority w:val="99"/>
    <w:locked/>
    <w:rsid w:val="008765A5"/>
    <w:rPr>
      <w:rFonts w:cs="Times New Roman"/>
      <w:sz w:val="16"/>
    </w:rPr>
  </w:style>
  <w:style w:type="paragraph" w:styleId="BodyTextIndent">
    <w:name w:val="Body Text Indent"/>
    <w:basedOn w:val="Normal"/>
    <w:link w:val="a5"/>
    <w:uiPriority w:val="99"/>
    <w:rsid w:val="00D775DE"/>
    <w:pPr>
      <w:autoSpaceDE/>
      <w:autoSpaceDN/>
      <w:spacing w:after="120"/>
      <w:ind w:left="360"/>
    </w:pPr>
    <w:rPr>
      <w:sz w:val="24"/>
      <w:szCs w:val="24"/>
      <w:lang w:eastAsia="en-US"/>
    </w:rPr>
  </w:style>
  <w:style w:type="paragraph" w:styleId="BodyTextIndent2">
    <w:name w:val="Body Text Indent 2"/>
    <w:basedOn w:val="Normal"/>
    <w:link w:val="21"/>
    <w:uiPriority w:val="99"/>
    <w:semiHidden/>
    <w:unhideWhenUsed/>
    <w:rsid w:val="00D775DE"/>
    <w:pPr>
      <w:spacing w:after="120" w:line="480" w:lineRule="auto"/>
      <w:ind w:left="360"/>
    </w:pPr>
  </w:style>
  <w:style w:type="character" w:styleId="Hyperlink">
    <w:name w:val="Hyperlink"/>
    <w:basedOn w:val="DefaultParagraphFont"/>
    <w:uiPriority w:val="99"/>
    <w:rsid w:val="00D775DE"/>
    <w:rPr>
      <w:rFonts w:cs="Times New Roman"/>
      <w:color w:val="0000FF"/>
      <w:u w:val="single"/>
    </w:rPr>
  </w:style>
  <w:style w:type="character" w:customStyle="1" w:styleId="a4">
    <w:name w:val="Верхний колонтитул Знак"/>
    <w:basedOn w:val="DefaultParagraphFont"/>
    <w:link w:val="Header"/>
    <w:uiPriority w:val="99"/>
    <w:locked/>
    <w:rsid w:val="007D5BA1"/>
    <w:rPr>
      <w:rFonts w:cs="Times New Roman"/>
      <w:sz w:val="20"/>
      <w:lang w:val="x-none" w:eastAsia="en-GB"/>
    </w:rPr>
  </w:style>
  <w:style w:type="character" w:customStyle="1" w:styleId="hps">
    <w:name w:val="hps"/>
    <w:rsid w:val="00796A75"/>
  </w:style>
  <w:style w:type="character" w:customStyle="1" w:styleId="21">
    <w:name w:val="Основной текст с отступом 2 Знак"/>
    <w:basedOn w:val="DefaultParagraphFont"/>
    <w:link w:val="BodyTextIndent2"/>
    <w:uiPriority w:val="99"/>
    <w:semiHidden/>
    <w:locked/>
    <w:rsid w:val="00D775DE"/>
    <w:rPr>
      <w:rFonts w:cs="Times New Roman"/>
      <w:lang w:val="x-none" w:eastAsia="en-GB"/>
    </w:rPr>
  </w:style>
  <w:style w:type="character" w:customStyle="1" w:styleId="a5">
    <w:name w:val="Основной текст с отступом Знак"/>
    <w:basedOn w:val="DefaultParagraphFont"/>
    <w:link w:val="BodyTextIndent"/>
    <w:uiPriority w:val="99"/>
    <w:locked/>
    <w:rsid w:val="00D775DE"/>
    <w:rPr>
      <w:rFonts w:cs="Times New Roman"/>
      <w:sz w:val="24"/>
    </w:rPr>
  </w:style>
  <w:style w:type="character" w:customStyle="1" w:styleId="atn">
    <w:name w:val="atn"/>
    <w:rsid w:val="00796A75"/>
  </w:style>
  <w:style w:type="table" w:styleId="TableGrid">
    <w:name w:val="Table Grid"/>
    <w:basedOn w:val="TableNormal"/>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a6"/>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a6">
    <w:name w:val="Абзац списка Знак"/>
    <w:aliases w:val="Body of text Знак"/>
    <w:link w:val="ListParagraph"/>
    <w:uiPriority w:val="34"/>
    <w:locked/>
    <w:rsid w:val="000B0038"/>
    <w:rPr>
      <w:rFonts w:ascii="Calibri" w:hAnsi="Calibri"/>
      <w:noProof/>
      <w:sz w:val="22"/>
      <w:lang w:val="id-ID"/>
    </w:rPr>
  </w:style>
  <w:style w:type="paragraph" w:styleId="BodyTextIndent3">
    <w:name w:val="Body Text Indent 3"/>
    <w:basedOn w:val="Normal"/>
    <w:link w:val="31"/>
    <w:uiPriority w:val="99"/>
    <w:unhideWhenUsed/>
    <w:rsid w:val="00D67104"/>
    <w:pPr>
      <w:autoSpaceDE/>
      <w:autoSpaceDN/>
      <w:spacing w:after="120"/>
      <w:ind w:left="283"/>
    </w:pPr>
    <w:rPr>
      <w:sz w:val="16"/>
      <w:szCs w:val="16"/>
      <w:lang w:eastAsia="en-US"/>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paragraph" w:styleId="HTMLPreformatted">
    <w:name w:val="HTML Preformatted"/>
    <w:basedOn w:val="Normal"/>
    <w:link w:val="HTML"/>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fontstyle23">
    <w:name w:val="fontstyle23"/>
    <w:rsid w:val="00DE1E48"/>
  </w:style>
  <w:style w:type="character" w:customStyle="1" w:styleId="31">
    <w:name w:val="Основной текст с отступом 3 Знак"/>
    <w:basedOn w:val="DefaultParagraphFont"/>
    <w:link w:val="BodyTextIndent3"/>
    <w:uiPriority w:val="99"/>
    <w:locked/>
    <w:rsid w:val="00D67104"/>
    <w:rPr>
      <w:rFonts w:cs="Times New Roman"/>
      <w:sz w:val="16"/>
    </w:rPr>
  </w:style>
  <w:style w:type="character" w:customStyle="1" w:styleId="HTML">
    <w:name w:val="Стандартный HTML Знак"/>
    <w:basedOn w:val="DefaultParagraphFont"/>
    <w:link w:val="HTMLPreformatted"/>
    <w:uiPriority w:val="99"/>
    <w:locked/>
    <w:rsid w:val="00D67104"/>
    <w:rPr>
      <w:rFonts w:ascii="Courier New" w:hAnsi="Courier New" w:cs="Times New Roman"/>
    </w:rPr>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paragraph" w:styleId="NormalWeb">
    <w:name w:val="Normal (Web)"/>
    <w:basedOn w:val="Normal"/>
    <w:uiPriority w:val="99"/>
    <w:unhideWhenUsed/>
    <w:rsid w:val="004837DE"/>
    <w:pPr>
      <w:autoSpaceDE/>
      <w:autoSpaceDN/>
      <w:spacing w:before="100" w:beforeAutospacing="1" w:after="100" w:afterAutospacing="1"/>
    </w:pPr>
    <w:rPr>
      <w:sz w:val="24"/>
      <w:szCs w:val="24"/>
      <w:lang w:val="de-DE" w:eastAsia="de-DE"/>
    </w:rPr>
  </w:style>
  <w:style w:type="character" w:customStyle="1" w:styleId="UnresolvedMention">
    <w:name w:val="Unresolved Mention"/>
    <w:basedOn w:val="DefaultParagraphFont"/>
    <w:uiPriority w:val="99"/>
    <w:semiHidden/>
    <w:unhideWhenUsed/>
    <w:rsid w:val="00AC47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oleObject" Target="embeddings/oleObject1.xls" /><Relationship Id="rId11" Type="http://schemas.openxmlformats.org/officeDocument/2006/relationships/image" Target="media/image3.png" /><Relationship Id="rId12" Type="http://schemas.openxmlformats.org/officeDocument/2006/relationships/oleObject" Target="embeddings/oleObject2.xls" /><Relationship Id="rId13" Type="http://schemas.openxmlformats.org/officeDocument/2006/relationships/hyperlink" Target="https://doi.org/10.46398/cuestpol.4179.38" TargetMode="External" /><Relationship Id="rId14" Type="http://schemas.openxmlformats.org/officeDocument/2006/relationships/hyperlink" Target="https://doi.org/10.46398/cuestpol.4177.07" TargetMode="External" /><Relationship Id="rId15" Type="http://schemas.openxmlformats.org/officeDocument/2006/relationships/hyperlink" Target="https://doi.org/10.53955/jsderi.v2i1.25" TargetMode="External" /><Relationship Id="rId16" Type="http://schemas.openxmlformats.org/officeDocument/2006/relationships/hyperlink" Target="https://doi.org/10.1017/jlc.2022.3" TargetMode="External" /><Relationship Id="rId17" Type="http://schemas.openxmlformats.org/officeDocument/2006/relationships/hyperlink" Target="https://doi.org/10.62951/ijls.v1i2.37" TargetMode="External" /><Relationship Id="rId18" Type="http://schemas.openxmlformats.org/officeDocument/2006/relationships/hyperlink" Target="https://doi.org/10.1017/elo.2022.48" TargetMode="External" /><Relationship Id="rId19" Type="http://schemas.openxmlformats.org/officeDocument/2006/relationships/hyperlink" Target="https://doi.org/10.57125/fs.2024.12.20.06" TargetMode="External" /><Relationship Id="rId2" Type="http://schemas.openxmlformats.org/officeDocument/2006/relationships/webSettings" Target="webSettings.xml" /><Relationship Id="rId20" Type="http://schemas.openxmlformats.org/officeDocument/2006/relationships/hyperlink" Target="https://doi.org/10.1177/00104140231152769" TargetMode="External" /><Relationship Id="rId21" Type="http://schemas.openxmlformats.org/officeDocument/2006/relationships/hyperlink" Target="https://doi.org/10.1057/s41295-019-00154-9" TargetMode="External" /><Relationship Id="rId22" Type="http://schemas.openxmlformats.org/officeDocument/2006/relationships/hyperlink" Target="https://doi.org/10.6000/1929-4409.2021.10.49" TargetMode="External" /><Relationship Id="rId23" Type="http://schemas.openxmlformats.org/officeDocument/2006/relationships/hyperlink" Target="https://doi.org/10.30525/978-9934-571-54-1-6" TargetMode="External" /><Relationship Id="rId24" Type="http://schemas.openxmlformats.org/officeDocument/2006/relationships/hyperlink" Target="https://papers.ssrn.com/sol3/papers.cfm?abstract_id=2457360" TargetMode="External" /><Relationship Id="rId25" Type="http://schemas.openxmlformats.org/officeDocument/2006/relationships/hyperlink" Target="https://doi.org/10.33327/ajee-18-5.2-n000329" TargetMode="External" /><Relationship Id="rId26" Type="http://schemas.openxmlformats.org/officeDocument/2006/relationships/hyperlink" Target="https://doi.org/10.31578/.v8i2.165" TargetMode="External" /><Relationship Id="rId27" Type="http://schemas.openxmlformats.org/officeDocument/2006/relationships/hyperlink" Target="https://justlictors.com.ua/en/statistics-of-enforcement-success/" TargetMode="External" /><Relationship Id="rId28" Type="http://schemas.openxmlformats.org/officeDocument/2006/relationships/hyperlink" Target="https://data.gov.ua/dataset/ediniy-derzhavniy-reestr-sudovih-rishen-za-2022-rik_763" TargetMode="External" /><Relationship Id="rId29" Type="http://schemas.openxmlformats.org/officeDocument/2006/relationships/hyperlink" Target="https://doi.org/10.1007/s10611-023-10090-1" TargetMode="External" /><Relationship Id="rId3" Type="http://schemas.openxmlformats.org/officeDocument/2006/relationships/fontTable" Target="fontTable.xml" /><Relationship Id="rId30" Type="http://schemas.openxmlformats.org/officeDocument/2006/relationships/hyperlink" Target="https://www.coe.int/en/web/execution/ukraine" TargetMode="External" /><Relationship Id="rId31" Type="http://schemas.openxmlformats.org/officeDocument/2006/relationships/hyperlink" Target="https://doi.org/10.29303/ius.v12i1.1316" TargetMode="External" /><Relationship Id="rId32" Type="http://schemas.openxmlformats.org/officeDocument/2006/relationships/hyperlink" Target="https://doi.org/10.32849/2663-5313/2022.5.14" TargetMode="External" /><Relationship Id="rId33" Type="http://schemas.openxmlformats.org/officeDocument/2006/relationships/hyperlink" Target="https://pubmed.ncbi.nlm.nih.gov/29783262/" TargetMode="External" /><Relationship Id="rId34" Type="http://schemas.openxmlformats.org/officeDocument/2006/relationships/hyperlink" Target="https://doi.org/10.18421/TEM94-30" TargetMode="External" /><Relationship Id="rId35" Type="http://schemas.openxmlformats.org/officeDocument/2006/relationships/hyperlink" Target="https://doi.org/10.30525/978-9934-26-453-5-45" TargetMode="External" /><Relationship Id="rId36" Type="http://schemas.openxmlformats.org/officeDocument/2006/relationships/hyperlink" Target="https://zakon.rada.gov.ua/laws/show/1404" TargetMode="External" /><Relationship Id="rId37" Type="http://schemas.openxmlformats.org/officeDocument/2006/relationships/hyperlink" Target="https://doi.org/10.57125/fel.2022.09.25.03" TargetMode="External" /><Relationship Id="rId38" Type="http://schemas.openxmlformats.org/officeDocument/2006/relationships/hyperlink" Target="https://doi.org/10.2139/ssrn.4554325" TargetMode="External" /><Relationship Id="rId39" Type="http://schemas.openxmlformats.org/officeDocument/2006/relationships/hyperlink" Target="https://doi.org/10.18800/kawsaypacha.202402.d013" TargetMode="External" /><Relationship Id="rId4" Type="http://schemas.openxmlformats.org/officeDocument/2006/relationships/customXml" Target="../customXml/item1.xml" /><Relationship Id="rId40" Type="http://schemas.openxmlformats.org/officeDocument/2006/relationships/hyperlink" Target="https://doi.org/10.37635/jnalsu.28(1).2021.195-204" TargetMode="External" /><Relationship Id="rId41" Type="http://schemas.openxmlformats.org/officeDocument/2006/relationships/hyperlink" Target="https://doi.org/10.47172/2965-730x.sdgsreview.v5.n02.pe02561" TargetMode="External" /><Relationship Id="rId42" Type="http://schemas.openxmlformats.org/officeDocument/2006/relationships/hyperlink" Target="https://ideas.repec.org/a/asr/journl/v9y2019i2p436-454.html" TargetMode="External" /><Relationship Id="rId43" Type="http://schemas.openxmlformats.org/officeDocument/2006/relationships/hyperlink" Target="https://doi.org/10.18060/18268" TargetMode="External" /><Relationship Id="rId44" Type="http://schemas.openxmlformats.org/officeDocument/2006/relationships/hyperlink" Target="https://doi.org/10.24818/tbj/2023/13/2.06" TargetMode="External" /><Relationship Id="rId45" Type="http://schemas.openxmlformats.org/officeDocument/2006/relationships/hyperlink" Target="https://ideas.repec.org/a/asr/journl/v9y2019ispecialp117-126.html" TargetMode="External" /><Relationship Id="rId46" Type="http://schemas.openxmlformats.org/officeDocument/2006/relationships/hyperlink" Target="https://doi.org/10.62872/gtygez33" TargetMode="External" /><Relationship Id="rId47" Type="http://schemas.openxmlformats.org/officeDocument/2006/relationships/hyperlink" Target="https://doi.org/10.5040/9781509946495.ch-001" TargetMode="External" /><Relationship Id="rId48" Type="http://schemas.openxmlformats.org/officeDocument/2006/relationships/hyperlink" Target="https://doi.org/10.5604/01.3001.0054.4689" TargetMode="External" /><Relationship Id="rId49" Type="http://schemas.openxmlformats.org/officeDocument/2006/relationships/hyperlink" Target="https://doi.org/10.1163/15730352-bja10079" TargetMode="External" /><Relationship Id="rId5" Type="http://schemas.openxmlformats.org/officeDocument/2006/relationships/customXml" Target="../customXml/item2.xml" /><Relationship Id="rId50" Type="http://schemas.openxmlformats.org/officeDocument/2006/relationships/hyperlink" Target="https://doi.org/10.18372/2307-9061.60.15953" TargetMode="External" /><Relationship Id="rId51" Type="http://schemas.openxmlformats.org/officeDocument/2006/relationships/hyperlink" Target="https://lbsherald.org/index.php/journal/article/view/65" TargetMode="External" /><Relationship Id="rId52" Type="http://schemas.openxmlformats.org/officeDocument/2006/relationships/hyperlink" Target="https://doi.org/10.6000/1929-4409.2020.09.69" TargetMode="External" /><Relationship Id="rId53" Type="http://schemas.openxmlformats.org/officeDocument/2006/relationships/hyperlink" Target="https://doi.org/10.15688/lc.jvolsu.2021.2.5" TargetMode="External" /><Relationship Id="rId54" Type="http://schemas.openxmlformats.org/officeDocument/2006/relationships/hyperlink" Target="https://doi.org/10.62754/joe.v3i3.3349" TargetMode="External" /><Relationship Id="rId55" Type="http://schemas.openxmlformats.org/officeDocument/2006/relationships/hyperlink" Target="https://doi.org/10.57125/fp.2022.03.30.03" TargetMode="External" /><Relationship Id="rId56" Type="http://schemas.openxmlformats.org/officeDocument/2006/relationships/hyperlink" Target="https://doi.org/10.31893/multirev.2024spe026" TargetMode="External" /><Relationship Id="rId57" Type="http://schemas.openxmlformats.org/officeDocument/2006/relationships/hyperlink" Target="https://doi.org/10.57125/elij.2024.03.25.03" TargetMode="External" /><Relationship Id="rId58" Type="http://schemas.openxmlformats.org/officeDocument/2006/relationships/hyperlink" Target="https://doi.org/10.1163/15730352-bja10085" TargetMode="External" /><Relationship Id="rId59" Type="http://schemas.openxmlformats.org/officeDocument/2006/relationships/hyperlink" Target="https://doi.org/10.34625/issn.2183-2705(34)2023.ic-13" TargetMode="External" /><Relationship Id="rId6" Type="http://schemas.openxmlformats.org/officeDocument/2006/relationships/customXml" Target="../customXml/item3.xml" /><Relationship Id="rId60" Type="http://schemas.openxmlformats.org/officeDocument/2006/relationships/hyperlink" Target="https://doi.org/10.2139/ssrn.3994918" TargetMode="External" /><Relationship Id="rId61" Type="http://schemas.openxmlformats.org/officeDocument/2006/relationships/hyperlink" Target="https://doi.org/10.18256/2238-0604.2024.v20i1.4987" TargetMode="External" /><Relationship Id="rId62" Type="http://schemas.openxmlformats.org/officeDocument/2006/relationships/hyperlink" Target="https://doi.org/10.32782/TNU-2663-6468/2022.6/04" TargetMode="External" /><Relationship Id="rId63" Type="http://schemas.openxmlformats.org/officeDocument/2006/relationships/hyperlink" Target="https://doi.org/10.62768/tbj/2024/14/1/06" TargetMode="External" /><Relationship Id="rId64" Type="http://schemas.openxmlformats.org/officeDocument/2006/relationships/hyperlink" Target="https://doi.org/10.37394/23207.2023.20.74" TargetMode="External" /><Relationship Id="rId65" Type="http://schemas.openxmlformats.org/officeDocument/2006/relationships/header" Target="header1.xml" /><Relationship Id="rId66" Type="http://schemas.openxmlformats.org/officeDocument/2006/relationships/header" Target="header2.xml" /><Relationship Id="rId67" Type="http://schemas.openxmlformats.org/officeDocument/2006/relationships/footer" Target="footer1.xml" /><Relationship Id="rId68" Type="http://schemas.openxmlformats.org/officeDocument/2006/relationships/footer" Target="footer2.xml" /><Relationship Id="rId69" Type="http://schemas.openxmlformats.org/officeDocument/2006/relationships/header" Target="header3.xml" /><Relationship Id="rId7" Type="http://schemas.openxmlformats.org/officeDocument/2006/relationships/image" Target="media/image1.jpeg" /><Relationship Id="rId70" Type="http://schemas.openxmlformats.org/officeDocument/2006/relationships/footer" Target="footer3.xml" /><Relationship Id="rId71" Type="http://schemas.openxmlformats.org/officeDocument/2006/relationships/theme" Target="theme/theme1.xml" /><Relationship Id="rId72" Type="http://schemas.openxmlformats.org/officeDocument/2006/relationships/numbering" Target="numbering.xml" /><Relationship Id="rId73" Type="http://schemas.openxmlformats.org/officeDocument/2006/relationships/styles" Target="styles.xml" /><Relationship Id="rId8" Type="http://schemas.openxmlformats.org/officeDocument/2006/relationships/hyperlink" Target="https://creativecommons.org/licenses/by/4.0/" TargetMode="External" /><Relationship Id="rId9" Type="http://schemas.openxmlformats.org/officeDocument/2006/relationships/image" Target="media/image2.png" /></Relationships>
</file>

<file path=word/_rels/footer1.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2.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3.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4.jpeg" /></Relationships>
</file>

<file path=word/_rels/header2.xml.rels><?xml version="1.0" encoding="utf-8" standalone="yes"?><Relationships xmlns="http://schemas.openxmlformats.org/package/2006/relationships"><Relationship Id="rId1" Type="http://schemas.openxmlformats.org/officeDocument/2006/relationships/image" Target="media/image4.jpeg" /></Relationships>
</file>

<file path=word/_rels/header3.xml.rels><?xml version="1.0" encoding="utf-8" standalone="yes"?><Relationships xmlns="http://schemas.openxmlformats.org/package/2006/relationships"><Relationship Id="rId1" Type="http://schemas.openxmlformats.org/officeDocument/2006/relationships/image" Target="media/image4.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6b16172-3716-457a-b0ba-88bf95791f6e" xsi:nil="true"/>
    <lcf76f155ced4ddcb4097134ff3c332f xmlns="4093cc45-6eaa-4d4d-b1a5-bbbe6058338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92859EDDF7D2E340B5B366A9D34C95A8" ma:contentTypeVersion="10" ma:contentTypeDescription="Создание документа." ma:contentTypeScope="" ma:versionID="5cbb7374898ab3edcaf33e6a93bd2d38">
  <xsd:schema xmlns:xsd="http://www.w3.org/2001/XMLSchema" xmlns:xs="http://www.w3.org/2001/XMLSchema" xmlns:p="http://schemas.microsoft.com/office/2006/metadata/properties" xmlns:ns2="4093cc45-6eaa-4d4d-b1a5-bbbe6058338c" xmlns:ns3="76b16172-3716-457a-b0ba-88bf95791f6e" targetNamespace="http://schemas.microsoft.com/office/2006/metadata/properties" ma:root="true" ma:fieldsID="d5c88fa19e81fec0e92cf3e73648ba7e" ns2:_="" ns3:_="">
    <xsd:import namespace="4093cc45-6eaa-4d4d-b1a5-bbbe6058338c"/>
    <xsd:import namespace="76b16172-3716-457a-b0ba-88bf95791f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93cc45-6eaa-4d4d-b1a5-bbbe60583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Теги изображений" ma:readOnly="false" ma:fieldId="{5cf76f15-5ced-4ddc-b409-7134ff3c332f}" ma:taxonomyMulti="true" ma:sspId="ae398c63-db6e-435e-86c0-812c5a04435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b16172-3716-457a-b0ba-88bf95791f6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a7ccbb6-7373-4665-88bc-ce6e6d61ea5e}" ma:internalName="TaxCatchAll" ma:showField="CatchAllData" ma:web="76b16172-3716-457a-b0ba-88bf95791f6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FF4497-C55A-41FF-852B-D313CCB9F1EC}">
  <ds:schemaRefs>
    <ds:schemaRef ds:uri="http://schemas.microsoft.com/office/2006/metadata/properties"/>
    <ds:schemaRef ds:uri="http://schemas.microsoft.com/office/infopath/2007/PartnerControls"/>
    <ds:schemaRef ds:uri="76b16172-3716-457a-b0ba-88bf95791f6e"/>
    <ds:schemaRef ds:uri="4093cc45-6eaa-4d4d-b1a5-bbbe6058338c"/>
  </ds:schemaRefs>
</ds:datastoreItem>
</file>

<file path=customXml/itemProps2.xml><?xml version="1.0" encoding="utf-8"?>
<ds:datastoreItem xmlns:ds="http://schemas.openxmlformats.org/officeDocument/2006/customXml" ds:itemID="{546AF49B-5226-4DBD-9D46-F22B3EEA64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93cc45-6eaa-4d4d-b1a5-bbbe6058338c"/>
    <ds:schemaRef ds:uri="76b16172-3716-457a-b0ba-88bf95791f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7615C8-3BC8-4099-9804-F4111E4DD5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20</Pages>
  <Words>8041</Words>
  <Characters>51147</Characters>
  <Application>Microsoft Office Word</Application>
  <DocSecurity>0</DocSecurity>
  <Lines>811</Lines>
  <Paragraphs>212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Transformasi Kultur Pendidikan Islam di Indonesia</vt:lpstr>
      <vt:lpstr>Transformasi Kultur Pendidikan Islam di Indonesia</vt:lpstr>
    </vt:vector>
  </TitlesOfParts>
  <Company>UIN Malang</Company>
  <LinksUpToDate>false</LinksUpToDate>
  <CharactersWithSpaces>58976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Yurii Smirnov</cp:lastModifiedBy>
  <cp:revision>32</cp:revision>
  <cp:lastPrinted>2008-11-01T10:52:00Z</cp:lastPrinted>
  <dcterms:created xsi:type="dcterms:W3CDTF">2025-04-05T01:50:00Z</dcterms:created>
  <dcterms:modified xsi:type="dcterms:W3CDTF">2025-05-02T08:54:00Z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0x01010092859EDDF7D2E340B5B366A9D34C95A8</vt:lpwstr>
  </property>
  <property fmtid="{D5CDD505-2E9C-101B-9397-08002B2CF9AE}" pid="3" name="GrammarlyDocumentId">
    <vt:lpwstr>6b81cd2a7517cb2873a2d77936149db080ea4548ea2bcac04a364536fb452fbc</vt:lpwstr>
  </property>
</Properties>
</file>