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81A8C" w14:textId="77777777" w:rsidR="00AD5EA3" w:rsidRDefault="00AD5EA3">
      <w:pPr>
        <w:rPr>
          <w:rFonts w:ascii="Calibri Light" w:cs="Calibri Light"/>
          <w:b/>
          <w:sz w:val="24"/>
          <w:szCs w:val="24"/>
        </w:rPr>
      </w:pPr>
    </w:p>
    <w:p w14:paraId="333F38FD" w14:textId="77777777" w:rsidR="00AD5EA3" w:rsidRDefault="00252506">
      <w:pPr>
        <w:rPr>
          <w:rFonts w:ascii="Calibri Light" w:cs="Calibri Light"/>
          <w:b/>
          <w:sz w:val="28"/>
          <w:szCs w:val="28"/>
          <w:lang w:val="id-ID"/>
        </w:rPr>
      </w:pPr>
      <w:bookmarkStart w:id="0" w:name="_Hlk193456418"/>
      <w:r>
        <w:rPr>
          <w:rFonts w:ascii="Calibri Light" w:cs="Calibri Light"/>
          <w:b/>
          <w:sz w:val="28"/>
          <w:szCs w:val="28"/>
        </w:rPr>
        <w:t>Disparity in Parliamentary Power in the Formation of Laws in Indonesia: Considering Proportional Bicameralism</w:t>
      </w:r>
      <w:bookmarkEnd w:id="0"/>
    </w:p>
    <w:p w14:paraId="1B7A0A5E" w14:textId="77777777" w:rsidR="00AD5EA3" w:rsidRDefault="00AD5EA3">
      <w:pPr>
        <w:jc w:val="center"/>
        <w:rPr>
          <w:rFonts w:ascii="Calibri Light" w:cs="Calibri Light"/>
          <w:sz w:val="24"/>
          <w:szCs w:val="24"/>
        </w:rPr>
      </w:pPr>
    </w:p>
    <w:p w14:paraId="0ED2D707" w14:textId="77777777" w:rsidR="00AD5EA3" w:rsidRDefault="00AD5EA3">
      <w:pPr>
        <w:jc w:val="center"/>
        <w:rPr>
          <w:rFonts w:ascii="Calibri Light" w:cs="Calibri Light"/>
          <w:sz w:val="24"/>
          <w:szCs w:val="24"/>
        </w:rPr>
      </w:pPr>
    </w:p>
    <w:p w14:paraId="498FDCE4" w14:textId="77777777" w:rsidR="00AD5EA3" w:rsidRDefault="00252506">
      <w:pPr>
        <w:ind w:right="737"/>
        <w:rPr>
          <w:rFonts w:ascii="Calibri Light" w:cs="Calibri Light"/>
          <w:spacing w:val="1"/>
        </w:rPr>
      </w:pPr>
      <w:r>
        <w:rPr>
          <w:rFonts w:ascii="Calibri Light" w:cs="Calibri Light"/>
        </w:rPr>
        <w:t xml:space="preserve">Received: </w:t>
      </w:r>
    </w:p>
    <w:p w14:paraId="2F19FD42" w14:textId="77777777" w:rsidR="00AD5EA3" w:rsidRDefault="00252506">
      <w:pPr>
        <w:ind w:right="737"/>
        <w:rPr>
          <w:rFonts w:ascii="Calibri Light" w:cs="Calibri Light"/>
          <w:spacing w:val="1"/>
        </w:rPr>
      </w:pPr>
      <w:r>
        <w:rPr>
          <w:rFonts w:ascii="Calibri Light" w:cs="Calibri Light"/>
        </w:rPr>
        <w:t>Rev. Req:</w:t>
      </w:r>
      <w:r>
        <w:rPr>
          <w:rFonts w:ascii="Calibri Light" w:cs="Calibri Light"/>
          <w:spacing w:val="1"/>
        </w:rPr>
        <w:t xml:space="preserve"> </w:t>
      </w:r>
    </w:p>
    <w:p w14:paraId="13158C12" w14:textId="77777777" w:rsidR="00AD5EA3" w:rsidRDefault="00252506">
      <w:pPr>
        <w:ind w:right="737"/>
        <w:rPr>
          <w:rFonts w:ascii="Calibri Light" w:cs="Calibri Light"/>
        </w:rPr>
      </w:pPr>
      <w:r>
        <w:rPr>
          <w:rFonts w:ascii="Calibri Light" w:cs="Calibri Light"/>
        </w:rPr>
        <w:t>Accepted:</w:t>
      </w:r>
      <w:r>
        <w:rPr>
          <w:rFonts w:ascii="Calibri Light" w:cs="Calibri Light"/>
          <w:spacing w:val="32"/>
        </w:rPr>
        <w:t xml:space="preserve"> </w:t>
      </w:r>
    </w:p>
    <w:p w14:paraId="3CAB3FC4" w14:textId="77777777" w:rsidR="00AD5EA3" w:rsidRDefault="00AD5EA3">
      <w:pPr>
        <w:ind w:right="737"/>
        <w:rPr>
          <w:rFonts w:ascii="Calibri Light" w:cs="Calibri Light"/>
          <w:b/>
        </w:rPr>
      </w:pPr>
    </w:p>
    <w:p w14:paraId="10BA2902" w14:textId="5EBB6092" w:rsidR="00AD5EA3" w:rsidRDefault="00F05A0C">
      <w:pPr>
        <w:ind w:right="737"/>
        <w:rPr>
          <w:rFonts w:ascii="Calibri Light" w:cs="Calibri Light"/>
          <w:b/>
        </w:rPr>
      </w:pPr>
      <w:r>
        <w:rPr>
          <w:rFonts w:ascii="Calibri Light" w:cs="Calibri Light"/>
          <w:noProof/>
          <w:position w:val="-13"/>
          <w:lang w:val="en-ID" w:eastAsia="en-ID"/>
        </w:rPr>
        <w:drawing>
          <wp:inline distT="0" distB="0" distL="0" distR="0" wp14:anchorId="6AF15ACA" wp14:editId="1911E643">
            <wp:extent cx="255270" cy="25527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252506">
        <w:rPr>
          <w:rFonts w:ascii="Calibri Light" w:cs="Calibri Light"/>
          <w:position w:val="-13"/>
          <w:lang w:val="en-ID" w:eastAsia="en-ID"/>
        </w:rPr>
        <w:t xml:space="preserve"> </w:t>
      </w:r>
    </w:p>
    <w:p w14:paraId="50C3ED4B" w14:textId="77777777" w:rsidR="00AD5EA3" w:rsidRDefault="00AD5EA3">
      <w:pPr>
        <w:ind w:right="737"/>
        <w:rPr>
          <w:rFonts w:ascii="Calibri Light" w:cs="Calibri Light"/>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4"/>
      </w:tblGrid>
      <w:tr w:rsidR="00AD5EA3" w14:paraId="44E6BC4B" w14:textId="77777777">
        <w:tc>
          <w:tcPr>
            <w:tcW w:w="9004" w:type="dxa"/>
            <w:tcBorders>
              <w:left w:val="nil"/>
              <w:right w:val="nil"/>
            </w:tcBorders>
          </w:tcPr>
          <w:p w14:paraId="07733F99" w14:textId="77777777" w:rsidR="00AD5EA3" w:rsidRDefault="00AD5EA3">
            <w:pPr>
              <w:ind w:right="2"/>
              <w:jc w:val="both"/>
              <w:rPr>
                <w:rFonts w:ascii="Calibri Light" w:cs="Calibri Light"/>
                <w:sz w:val="12"/>
                <w:szCs w:val="12"/>
              </w:rPr>
            </w:pPr>
          </w:p>
          <w:p w14:paraId="6B5B92E4" w14:textId="77777777" w:rsidR="00AD5EA3" w:rsidRDefault="00252506">
            <w:pPr>
              <w:ind w:right="2"/>
              <w:jc w:val="both"/>
              <w:rPr>
                <w:rFonts w:ascii="Calibri Light" w:cs="Calibri Light"/>
              </w:rPr>
            </w:pPr>
            <w:r>
              <w:rPr>
                <w:rFonts w:ascii="Calibri Light" w:cs="Calibri Light"/>
              </w:rPr>
              <w:t xml:space="preserve">How to cite this paper: </w:t>
            </w:r>
          </w:p>
          <w:p w14:paraId="331F2B84" w14:textId="77777777" w:rsidR="00AD5EA3" w:rsidRDefault="00AD5EA3">
            <w:pPr>
              <w:ind w:right="2"/>
              <w:jc w:val="both"/>
              <w:rPr>
                <w:rFonts w:ascii="Calibri Light" w:cs="Calibri Light"/>
                <w:color w:val="0462C1"/>
                <w:u w:val="single" w:color="0462C1"/>
              </w:rPr>
            </w:pPr>
          </w:p>
          <w:p w14:paraId="4DD53601" w14:textId="77777777" w:rsidR="00AD5EA3" w:rsidRDefault="00AD5EA3">
            <w:pPr>
              <w:ind w:right="2"/>
              <w:jc w:val="both"/>
              <w:rPr>
                <w:rFonts w:ascii="Calibri Light" w:cs="Calibri Light"/>
                <w:color w:val="0462C1"/>
                <w:u w:val="single" w:color="0462C1"/>
              </w:rPr>
            </w:pPr>
          </w:p>
          <w:p w14:paraId="0785900B" w14:textId="77777777" w:rsidR="00AD5EA3" w:rsidRDefault="00AD5EA3">
            <w:pPr>
              <w:ind w:right="2"/>
              <w:jc w:val="both"/>
              <w:rPr>
                <w:rFonts w:ascii="Calibri Light" w:cs="Calibri Light"/>
                <w:color w:val="0462C1"/>
                <w:u w:val="single" w:color="0462C1"/>
              </w:rPr>
            </w:pPr>
          </w:p>
          <w:p w14:paraId="29F3BB02" w14:textId="77777777" w:rsidR="00AD5EA3" w:rsidRDefault="00252506">
            <w:pPr>
              <w:ind w:right="2"/>
              <w:jc w:val="both"/>
              <w:rPr>
                <w:rFonts w:ascii="Calibri Light" w:cs="Calibri Light"/>
              </w:rPr>
            </w:pPr>
            <w:r>
              <w:rPr>
                <w:rFonts w:ascii="Calibri Light" w:cs="Calibri Light"/>
              </w:rPr>
              <w:t>This is an Open Access article distributed under the terms of the Creative Commons Attribution 4.0 International license</w:t>
            </w:r>
            <w:r>
              <w:rPr>
                <w:rFonts w:ascii="Calibri Light" w:cs="Calibri Light"/>
                <w:spacing w:val="-34"/>
              </w:rPr>
              <w:t xml:space="preserve"> </w:t>
            </w:r>
            <w:hyperlink r:id="rId8">
              <w:r>
                <w:rPr>
                  <w:rFonts w:ascii="Calibri Light" w:cs="Calibri Light"/>
                </w:rPr>
                <w:t>(</w:t>
              </w:r>
              <w:r>
                <w:rPr>
                  <w:rFonts w:ascii="Calibri Light" w:cs="Calibri Light"/>
                  <w:color w:val="0462C1"/>
                  <w:u w:val="single" w:color="0462C1"/>
                </w:rPr>
                <w:t>https://creativecommons.org/licenses/by/4.0/</w:t>
              </w:r>
              <w:r>
                <w:rPr>
                  <w:rFonts w:ascii="Calibri Light" w:cs="Calibri Light"/>
                </w:rPr>
                <w:t>)</w:t>
              </w:r>
            </w:hyperlink>
          </w:p>
          <w:p w14:paraId="0659FA5F" w14:textId="77777777" w:rsidR="00AD5EA3" w:rsidRDefault="00AD5EA3">
            <w:pPr>
              <w:ind w:right="2"/>
              <w:jc w:val="both"/>
              <w:rPr>
                <w:rFonts w:ascii="Calibri Light" w:cs="Calibri Light"/>
                <w:b/>
                <w:sz w:val="12"/>
                <w:szCs w:val="12"/>
              </w:rPr>
            </w:pPr>
          </w:p>
        </w:tc>
      </w:tr>
    </w:tbl>
    <w:p w14:paraId="62D26269" w14:textId="77777777" w:rsidR="00AD5EA3" w:rsidRDefault="00AD5EA3">
      <w:pPr>
        <w:ind w:right="737"/>
        <w:rPr>
          <w:rFonts w:ascii="Calibri Light" w:cs="Calibri Light"/>
          <w:b/>
          <w:sz w:val="24"/>
          <w:szCs w:val="24"/>
        </w:rPr>
      </w:pPr>
    </w:p>
    <w:p w14:paraId="3C1635D4" w14:textId="77777777" w:rsidR="00AD5EA3" w:rsidRDefault="00252506">
      <w:pPr>
        <w:ind w:right="-1"/>
        <w:jc w:val="both"/>
        <w:rPr>
          <w:rFonts w:ascii="Calibri Light" w:cs="Calibri Light"/>
          <w:i/>
          <w:sz w:val="24"/>
          <w:szCs w:val="24"/>
          <w:lang w:val="id-ID"/>
        </w:rPr>
      </w:pPr>
      <w:r>
        <w:rPr>
          <w:rFonts w:ascii="Calibri Light" w:cs="Calibri Light"/>
          <w:b/>
          <w:sz w:val="24"/>
          <w:szCs w:val="24"/>
        </w:rPr>
        <w:t>ABSTRACT:</w:t>
      </w:r>
      <w:r>
        <w:rPr>
          <w:rFonts w:ascii="Calibri Light" w:cs="Calibri Light"/>
          <w:sz w:val="24"/>
          <w:szCs w:val="24"/>
        </w:rPr>
        <w:t xml:space="preserve"> </w:t>
      </w:r>
      <w:r>
        <w:rPr>
          <w:rFonts w:ascii="Calibri Light" w:cs="Calibri Light"/>
          <w:i/>
          <w:color w:val="000000"/>
          <w:sz w:val="24"/>
          <w:szCs w:val="24"/>
          <w:lang w:val="en-ID" w:eastAsia="en-ID"/>
        </w:rPr>
        <w:t xml:space="preserve">This research aims to investigate the issues encountered by parliamentary institutions in Indonesia, focusing specifically on the disproportionate power of the first chamber (DPR) relative to the second chamber (DPD) throughout the legislative process. This research presents normative-conceptual proposals for a reconstruction formula aimed at equilibrating the legislative functions of the two chambers, in alignment with the principles of balanced or robust bicameralism. This study utilizes a doctrinal legal research framework, involving the analysis of primary and secondary legal sources in the literature. This study incorporates constitutional, theoretical, and statutory/normative techniques. </w:t>
      </w:r>
      <w:commentRangeStart w:id="1"/>
      <w:r>
        <w:rPr>
          <w:rFonts w:ascii="Calibri Light" w:cs="Calibri Light"/>
          <w:i/>
          <w:color w:val="000000"/>
          <w:sz w:val="24"/>
          <w:szCs w:val="24"/>
          <w:lang w:val="en-ID" w:eastAsia="en-ID"/>
        </w:rPr>
        <w:t>Qualitative approaches are employed to deliver the analysis in a descriptive-prescriptive format</w:t>
      </w:r>
      <w:commentRangeEnd w:id="1"/>
      <w:r w:rsidR="00643C82">
        <w:rPr>
          <w:rStyle w:val="CommentReference"/>
        </w:rPr>
        <w:commentReference w:id="1"/>
      </w:r>
      <w:r>
        <w:rPr>
          <w:rFonts w:ascii="Calibri Light" w:cs="Calibri Light"/>
          <w:i/>
          <w:color w:val="000000"/>
          <w:sz w:val="24"/>
          <w:szCs w:val="24"/>
          <w:lang w:val="en-ID" w:eastAsia="en-ID"/>
        </w:rPr>
        <w:t>. The research findings reveal that the legislative authority of the two chambers (DPD &amp; DPR) in legislation making, as delineated in the 1945 Constitution of the Republic of Indo-</w:t>
      </w:r>
      <w:proofErr w:type="spellStart"/>
      <w:r>
        <w:rPr>
          <w:rFonts w:ascii="Calibri Light" w:cs="Calibri Light"/>
          <w:i/>
          <w:color w:val="000000"/>
          <w:sz w:val="24"/>
          <w:szCs w:val="24"/>
          <w:lang w:val="en-ID" w:eastAsia="en-ID"/>
        </w:rPr>
        <w:t>nesia</w:t>
      </w:r>
      <w:proofErr w:type="spellEnd"/>
      <w:r>
        <w:rPr>
          <w:rFonts w:ascii="Calibri Light" w:cs="Calibri Light"/>
          <w:i/>
          <w:color w:val="000000"/>
          <w:sz w:val="24"/>
          <w:szCs w:val="24"/>
          <w:lang w:val="en-ID" w:eastAsia="en-ID"/>
        </w:rPr>
        <w:t xml:space="preserve"> and statutory rules, remains disproportionate. This results from the DPD's limited authority to propose draft legislation and to discuss proposals that have not attained final approval. The DPD continues to be acknowledged as a co-legislator or supplementary power in the legislative process, unlike the unrestricted authority of the DPR. Therefore, the relationship between the two chambers as representative entities must be redefined based on the principles of either robust bicameralism or equitable bicameralism. To execute rebuilding plans, it is essential to amend several parts of the Constitution and revise other legislative rules. The two chambers are expected to collaborate and meet the ambitions of both national and local governments to produce high-quality legal documents.</w:t>
      </w:r>
    </w:p>
    <w:p w14:paraId="3B1BDE22" w14:textId="77777777" w:rsidR="00AD5EA3" w:rsidRDefault="00AD5EA3">
      <w:pPr>
        <w:ind w:left="709" w:right="737"/>
        <w:jc w:val="both"/>
        <w:rPr>
          <w:rFonts w:ascii="Calibri Light" w:cs="Calibri Light"/>
          <w:i/>
          <w:sz w:val="24"/>
          <w:szCs w:val="24"/>
          <w:lang w:val="id-ID"/>
        </w:rPr>
      </w:pPr>
    </w:p>
    <w:p w14:paraId="37258935" w14:textId="77777777" w:rsidR="00AD5EA3" w:rsidRDefault="00252506">
      <w:pPr>
        <w:ind w:right="737"/>
        <w:jc w:val="both"/>
        <w:rPr>
          <w:rFonts w:ascii="Calibri Light" w:cs="Calibri Light"/>
          <w:i/>
          <w:sz w:val="24"/>
          <w:szCs w:val="24"/>
          <w:lang w:val="id-ID"/>
        </w:rPr>
      </w:pPr>
      <w:r>
        <w:rPr>
          <w:rFonts w:ascii="Calibri Light" w:cs="Calibri Light"/>
          <w:b/>
          <w:sz w:val="24"/>
          <w:szCs w:val="24"/>
        </w:rPr>
        <w:t>Keyword</w:t>
      </w:r>
      <w:r>
        <w:rPr>
          <w:rFonts w:ascii="Calibri Light" w:cs="Calibri Light"/>
          <w:b/>
          <w:sz w:val="24"/>
          <w:szCs w:val="24"/>
          <w:lang w:val="id-ID"/>
        </w:rPr>
        <w:t>s</w:t>
      </w:r>
      <w:r>
        <w:rPr>
          <w:rFonts w:ascii="Calibri Light" w:cs="Calibri Light"/>
          <w:b/>
          <w:sz w:val="24"/>
          <w:szCs w:val="24"/>
        </w:rPr>
        <w:t>:</w:t>
      </w:r>
      <w:r>
        <w:rPr>
          <w:rFonts w:ascii="Calibri Light" w:cs="Calibri Light"/>
          <w:sz w:val="24"/>
          <w:szCs w:val="24"/>
        </w:rPr>
        <w:t xml:space="preserve"> </w:t>
      </w:r>
      <w:r>
        <w:rPr>
          <w:rStyle w:val="shorttext"/>
          <w:rFonts w:ascii="Calibri Light" w:cs="Calibri Light"/>
          <w:i/>
          <w:sz w:val="24"/>
          <w:szCs w:val="24"/>
          <w:lang w:val="en"/>
        </w:rPr>
        <w:t>Parliament, Law-making power, Reconstruction, Strong bicameralism.</w:t>
      </w:r>
    </w:p>
    <w:p w14:paraId="360D7B57" w14:textId="77777777" w:rsidR="00AD5EA3" w:rsidRDefault="00AD5EA3">
      <w:pPr>
        <w:jc w:val="center"/>
        <w:rPr>
          <w:rFonts w:ascii="Calibri Light" w:cs="Calibri Light"/>
          <w:i/>
          <w:lang w:val="id-ID"/>
        </w:rPr>
      </w:pPr>
    </w:p>
    <w:p w14:paraId="3E417E37" w14:textId="77777777" w:rsidR="00AD5EA3" w:rsidRDefault="00AD5EA3">
      <w:pPr>
        <w:rPr>
          <w:rFonts w:ascii="Calibri Light" w:cs="Calibri Light"/>
          <w:b/>
          <w:sz w:val="24"/>
          <w:szCs w:val="24"/>
          <w:lang w:val="id-ID"/>
        </w:rPr>
      </w:pPr>
    </w:p>
    <w:p w14:paraId="7193D400" w14:textId="77777777" w:rsidR="00AD5EA3" w:rsidRDefault="00252506">
      <w:pPr>
        <w:numPr>
          <w:ilvl w:val="0"/>
          <w:numId w:val="1"/>
        </w:numPr>
        <w:spacing w:before="120" w:after="120"/>
        <w:ind w:hanging="270"/>
        <w:rPr>
          <w:rFonts w:ascii="Calibri Light" w:cs="Calibri Light"/>
          <w:b/>
          <w:sz w:val="24"/>
          <w:szCs w:val="24"/>
          <w:lang w:val="id-ID"/>
        </w:rPr>
      </w:pPr>
      <w:r>
        <w:rPr>
          <w:rFonts w:ascii="Calibri Light" w:cs="Calibri Light"/>
          <w:b/>
          <w:sz w:val="24"/>
          <w:szCs w:val="24"/>
        </w:rPr>
        <w:t>INTRODUCTION</w:t>
      </w:r>
    </w:p>
    <w:p w14:paraId="4F3903E7" w14:textId="77777777" w:rsidR="00AD5EA3" w:rsidRDefault="00252506">
      <w:pPr>
        <w:pStyle w:val="BodyText"/>
        <w:spacing w:after="240"/>
        <w:ind w:left="360"/>
        <w:jc w:val="both"/>
        <w:rPr>
          <w:rFonts w:ascii="Calibri Light" w:cs="Calibri Light"/>
          <w:color w:val="000000"/>
          <w:sz w:val="24"/>
          <w:szCs w:val="24"/>
        </w:rPr>
      </w:pPr>
      <w:commentRangeStart w:id="2"/>
      <w:r>
        <w:rPr>
          <w:rFonts w:ascii="Calibri Light" w:cs="Calibri Light"/>
          <w:color w:val="000000"/>
          <w:sz w:val="24"/>
          <w:szCs w:val="24"/>
        </w:rPr>
        <w:lastRenderedPageBreak/>
        <w:t xml:space="preserve">The People's Consultative Assembly (MPR) is the highest institution </w:t>
      </w:r>
      <w:commentRangeEnd w:id="2"/>
      <w:r w:rsidR="00643C82">
        <w:rPr>
          <w:rStyle w:val="CommentReference"/>
        </w:rPr>
        <w:commentReference w:id="2"/>
      </w:r>
      <w:r>
        <w:rPr>
          <w:rFonts w:ascii="Calibri Light" w:cs="Calibri Light"/>
          <w:color w:val="000000"/>
          <w:sz w:val="24"/>
          <w:szCs w:val="24"/>
        </w:rPr>
        <w:t xml:space="preserve">established by the 1945 Constitution and is regarded as the representative and sovereign body of the entire Indonesian populace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10.14505/jarle.v11.3(45).30","ISSN":"2068-696X","author":[{"dropping-particle":"","family":"Marzuki","given":"","non-dropping-particle":"","parse-names":false,"suffix":""},{"dropping-particle":"","family":"Sitompul","given":"Roswita","non-dropping-particle":"","parse-names":false,"suffix":""}],"container-title":"Journal Of Advanced Research In Law And Economics","id":"ITEM-1","issue":"3 (49)","issued":{"date-parts":[["2020"]]},"page":"947-950","publisher":"ASERS Ltd","title":"The Existence of People's Consultative Assembly in Indonesian State System in the Pancasila Democracy Perspective","type":"article-journal","volume":"11"},"uris":["http://www.mendeley.com/documents/?uuid=998a4dea-4be0-45a2-b858-71170b465959"]}],"mendeley":{"formattedCitation":"(Marzuki &amp; Sitompul, 2020)","plainTextFormattedCitation":"(Marzuki &amp; Sitompul, 2020)","previouslyFormattedCitation":"Marzuki and Roswita Sitompul, </w:instrText>
      </w:r>
      <w:r>
        <w:rPr>
          <w:rFonts w:ascii="Calibri Light" w:cs="Calibri Light"/>
          <w:sz w:val="24"/>
          <w:szCs w:val="24"/>
        </w:rPr>
        <w:instrText>“</w:instrText>
      </w:r>
      <w:r>
        <w:rPr>
          <w:rFonts w:ascii="Calibri Light" w:cs="Calibri Light"/>
          <w:sz w:val="24"/>
          <w:szCs w:val="24"/>
        </w:rPr>
        <w:instrText>The Existence of People</w:instrText>
      </w:r>
      <w:r>
        <w:rPr>
          <w:rFonts w:ascii="Calibri Light" w:cs="Calibri Light"/>
          <w:sz w:val="24"/>
          <w:szCs w:val="24"/>
        </w:rPr>
        <w:instrText>’</w:instrText>
      </w:r>
      <w:r>
        <w:rPr>
          <w:rFonts w:ascii="Calibri Light" w:cs="Calibri Light"/>
          <w:sz w:val="24"/>
          <w:szCs w:val="24"/>
        </w:rPr>
        <w:instrText>s Consultative Assembly in Indonesian State System in the Pancasila Democracy Perspective,</w:instrText>
      </w:r>
      <w:r>
        <w:rPr>
          <w:rFonts w:ascii="Calibri Light" w:cs="Calibri Light"/>
          <w:sz w:val="24"/>
          <w:szCs w:val="24"/>
        </w:rPr>
        <w:instrText>”</w:instrText>
      </w:r>
      <w:r>
        <w:rPr>
          <w:rFonts w:ascii="Calibri Light" w:cs="Calibri Light"/>
          <w:sz w:val="24"/>
          <w:szCs w:val="24"/>
        </w:rPr>
        <w:instrText xml:space="preserve"> &lt;i&gt;Journal Of Advanced Research In Law And Economics&lt;/i&gt; 11, no. 3 (49) (2020): 947</w:instrText>
      </w:r>
      <w:r>
        <w:rPr>
          <w:rFonts w:ascii="Calibri Light" w:cs="Calibri Light"/>
          <w:sz w:val="24"/>
          <w:szCs w:val="24"/>
        </w:rPr>
        <w:instrText>–</w:instrText>
      </w:r>
      <w:r>
        <w:rPr>
          <w:rFonts w:ascii="Calibri Light" w:cs="Calibri Light"/>
          <w:sz w:val="24"/>
          <w:szCs w:val="24"/>
        </w:rPr>
        <w:instrText>50, https://doi.org/10.14505/jarle.v11.3(45).30."},"properties":{"noteIndex":0},"schema":"https://github.com/citation-style-language/schema/raw/master/csl-citation.json"}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(Marzuki &amp; Sitompul, 2020)</w:t>
      </w:r>
      <w:r>
        <w:rPr>
          <w:rFonts w:ascii="Calibri Light" w:cs="Calibri Light"/>
          <w:sz w:val="24"/>
          <w:szCs w:val="24"/>
        </w:rPr>
        <w:fldChar w:fldCharType="end"/>
      </w:r>
      <w:r>
        <w:rPr>
          <w:rFonts w:ascii="Calibri Light" w:cs="Calibri Light"/>
          <w:color w:val="000000"/>
          <w:sz w:val="24"/>
          <w:szCs w:val="24"/>
        </w:rPr>
        <w:t xml:space="preserve">. Nevertheless, the MPR is no longer regarded as an institution that enforces the political will of the populace as a result of the 1945 Constitutional amendments. Additionally, the MPR has evolved from the highest state institution that grants vertical authority to state institutions below it. Conversely, it is now a state institution that is on par with other state institutions. The MPR was created with the objective of transitioning the parliament from a "unicameral system" to a "bicameral system" in the context of implementing the rule of law. This system is distinguished by the presence of the People's Representative Council (DPR), which represents the aspirations of political parties (political representation), and the Regional Representative Council (DPD), which represents regional interests (regional representation). It is anticipated that both the aspirations of constituents in political parties and the aspirations that are emerging in the regions will have comprehensive distribution channels in parliament. According to Ramadani and </w:t>
      </w:r>
      <w:proofErr w:type="spellStart"/>
      <w:r>
        <w:rPr>
          <w:rFonts w:ascii="Calibri Light" w:cs="Calibri Light"/>
          <w:color w:val="000000"/>
          <w:sz w:val="24"/>
          <w:szCs w:val="24"/>
        </w:rPr>
        <w:t>Mamonto</w:t>
      </w:r>
      <w:proofErr w:type="spellEnd"/>
      <w:r>
        <w:rPr>
          <w:rFonts w:ascii="Calibri Light" w:cs="Calibri Light"/>
          <w:color w:val="000000"/>
          <w:sz w:val="24"/>
          <w:szCs w:val="24"/>
        </w:rPr>
        <w:t xml:space="preserve">, the MPR is classified as the third (tricameral) parliament as a consequence of the amendments to the 1945 Constitution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10.33096/substantivejustice.v1i2.18","ISSN":"2599-0462","author":[{"dropping-particle":"","family":"Ramadani","given":"Rizki","non-dropping-particle":"","parse-names":false,"suffix":""},{"dropping-particle":"","family":"Mamonto","given":"Moch Andry W W","non-dropping-particle":"","parse-names":false,"suffix":""}],"container-title":"Substantive Justice International Journal of Law","id":"ITEM-1","issue":"2","issued":{"date-parts":[["2018"]]},"page":"82-94","title":"Independency of the Corruption Eradication Commission of the Republic of Indonesia (KPK RI) in Indicators of Independent Regulatory Agencies (IRAs)","type":"article-journal","volume":"1"},"uris":["http://www.mendeley.com/documents/?uuid=436e5046-0880-47ad-8603-a80c6a13cdbe"]},{"id":"ITEM-2","itemData":{"DOI":"10.1111/1475- 6765.12204","ISSN":"0304-4130","author":[{"dropping-particle":"","family":"Lord","given":"Christopher","non-dropping-particle":"","parse-names":false,"suffix":""}],"container-title":"European Journal of Political Research","id":"ITEM-2","issue":"3","issued":{"date-parts":[["2017"]]},"page":"512-528","publisher":"Wiley Online Library","title":"An Indirect Legitimacy Argument for a Directly Elected European Parliament","type":"article-journal","volume":"56"},"uris":["http://www.mendeley.com/documents/?uuid=9672ecac-e3d1-494d-ac42-5ba3f984fa51"]}],"mendeley":{"formattedCitation":"(Lord, 2017; Ramadani &amp; Mamonto, 2018)","plainTextFormattedCitation":"(Lord, 2017; Ramadani &amp; Mamonto, 2018)","previouslyFormattedCitation":"Rizki Ramadani and Moch Andry W W Mamonto, </w:instrText>
      </w:r>
      <w:r>
        <w:rPr>
          <w:rFonts w:ascii="Calibri Light" w:cs="Calibri Light"/>
          <w:sz w:val="24"/>
          <w:szCs w:val="24"/>
        </w:rPr>
        <w:instrText>“</w:instrText>
      </w:r>
      <w:r>
        <w:rPr>
          <w:rFonts w:ascii="Calibri Light" w:cs="Calibri Light"/>
          <w:sz w:val="24"/>
          <w:szCs w:val="24"/>
        </w:rPr>
        <w:instrText>Independency of the Corruption Eradication Commission of the Republic of Indonesia (KPK RI) in Indicators of Independent Regulatory Agencies (IRAs),</w:instrText>
      </w:r>
      <w:r>
        <w:rPr>
          <w:rFonts w:ascii="Calibri Light" w:cs="Calibri Light"/>
          <w:sz w:val="24"/>
          <w:szCs w:val="24"/>
        </w:rPr>
        <w:instrText>”</w:instrText>
      </w:r>
      <w:r>
        <w:rPr>
          <w:rFonts w:ascii="Calibri Light" w:cs="Calibri Light"/>
          <w:sz w:val="24"/>
          <w:szCs w:val="24"/>
        </w:rPr>
        <w:instrText xml:space="preserve"> &lt;i&gt;Substantive Justice International Journal of Law&lt;/i&gt; 1, no. 2 (2018): 82</w:instrText>
      </w:r>
      <w:r>
        <w:rPr>
          <w:rFonts w:ascii="Calibri Light" w:cs="Calibri Light"/>
          <w:sz w:val="24"/>
          <w:szCs w:val="24"/>
        </w:rPr>
        <w:instrText>–</w:instrText>
      </w:r>
      <w:r>
        <w:rPr>
          <w:rFonts w:ascii="Calibri Light" w:cs="Calibri Light"/>
          <w:sz w:val="24"/>
          <w:szCs w:val="24"/>
        </w:rPr>
        <w:instrText xml:space="preserve">94, https://doi.org/10.33096/substantivejustice.v1i2.18; Christopher Lord, </w:instrText>
      </w:r>
      <w:r>
        <w:rPr>
          <w:rFonts w:ascii="Calibri Light" w:cs="Calibri Light"/>
          <w:sz w:val="24"/>
          <w:szCs w:val="24"/>
        </w:rPr>
        <w:instrText>“</w:instrText>
      </w:r>
      <w:r>
        <w:rPr>
          <w:rFonts w:ascii="Calibri Light" w:cs="Calibri Light"/>
          <w:sz w:val="24"/>
          <w:szCs w:val="24"/>
        </w:rPr>
        <w:instrText>An Indirect Legitimacy Argument for a Directly Elected European Parliament,</w:instrText>
      </w:r>
      <w:r>
        <w:rPr>
          <w:rFonts w:ascii="Calibri Light" w:cs="Calibri Light"/>
          <w:sz w:val="24"/>
          <w:szCs w:val="24"/>
        </w:rPr>
        <w:instrText>”</w:instrText>
      </w:r>
      <w:r>
        <w:rPr>
          <w:rFonts w:ascii="Calibri Light" w:cs="Calibri Light"/>
          <w:sz w:val="24"/>
          <w:szCs w:val="24"/>
        </w:rPr>
        <w:instrText xml:space="preserve"> &lt;i&gt;European Journal of Political Research&lt;/i&gt; 56, no. 3 (2017): 512</w:instrText>
      </w:r>
      <w:r>
        <w:rPr>
          <w:rFonts w:ascii="Calibri Light" w:cs="Calibri Light"/>
          <w:sz w:val="24"/>
          <w:szCs w:val="24"/>
        </w:rPr>
        <w:instrText>–</w:instrText>
      </w:r>
      <w:r>
        <w:rPr>
          <w:rFonts w:ascii="Calibri Light" w:cs="Calibri Light"/>
          <w:sz w:val="24"/>
          <w:szCs w:val="24"/>
        </w:rPr>
        <w:instrText>28, https://doi.org/10.1111/1475- 6765.12204."},"properties":{"noteIndex":0},"schema":"https://github.com/citation-style-language/schema/raw/master/csl-citation.json"}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(Lord, 2017; Ramadani &amp; Mamonto, 2018)</w:t>
      </w:r>
      <w:r>
        <w:rPr>
          <w:rFonts w:ascii="Calibri Light" w:cs="Calibri Light"/>
          <w:sz w:val="24"/>
          <w:szCs w:val="24"/>
        </w:rPr>
        <w:fldChar w:fldCharType="end"/>
      </w:r>
      <w:r>
        <w:rPr>
          <w:rFonts w:ascii="Calibri Light" w:cs="Calibri Light"/>
          <w:color w:val="000000"/>
          <w:sz w:val="24"/>
          <w:szCs w:val="24"/>
        </w:rPr>
        <w:t xml:space="preserve">. The three legislative institutions are not regarded as joint sessions, but rather as independent institutions, due to the fact that each has its own authority and leadership. </w:t>
      </w:r>
    </w:p>
    <w:p w14:paraId="59579127"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Broadly speaking, there are several reasons why Indonesia needs to switch to a two-chamber system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{"citationItems":[{"id":"ITEM-1","itemData":{"ISSN":"2461-0798","author":[{"dropping-particle":"","family":"Jurdi","given":"Fajlurrahman","non-dropping-particle":"","parse-names":false,"suffix":""}],"container-title":"Jurnal Hukum Staatrechts","id":"ITEM-1","issue":"1","issued":{"date-parts":[["2016"]]},"title":"Eksistensi Parlemen Indonesia Setelah Amandemen Konstitusi","type":"article-journal","volume":"2"},"uris":["http://www.mendeley.com/documents/?uuid=980845f5-2b25-455d-b778-9b056a634433"]}],"mendeley":{"formattedCitation":"(Jurdi, 2016)","plainTextFormattedCitation":"(Jurdi, 2016)","previouslyFormattedCitation":"Fajlurrahman Jurdi, </w:instrText>
      </w:r>
      <w:r>
        <w:rPr>
          <w:rFonts w:ascii="Calibri Light" w:cs="Calibri Light"/>
          <w:sz w:val="24"/>
          <w:szCs w:val="24"/>
        </w:rPr>
        <w:instrText>“</w:instrText>
      </w:r>
      <w:r>
        <w:rPr>
          <w:rFonts w:ascii="Calibri Light" w:cs="Calibri Light"/>
          <w:sz w:val="24"/>
          <w:szCs w:val="24"/>
        </w:rPr>
        <w:instrText>Eksistensi Parlemen Indonesia Setelah Amandemen Konstitusi,</w:instrText>
      </w:r>
      <w:r>
        <w:rPr>
          <w:rFonts w:ascii="Calibri Light" w:cs="Calibri Light"/>
          <w:sz w:val="24"/>
          <w:szCs w:val="24"/>
        </w:rPr>
        <w:instrText>”</w:instrText>
      </w:r>
      <w:r>
        <w:rPr>
          <w:rFonts w:ascii="Calibri Light" w:cs="Calibri Light"/>
          <w:sz w:val="24"/>
          <w:szCs w:val="24"/>
        </w:rPr>
        <w:instrText xml:space="preserve"> &lt;i&gt;Jurnal Hukum Staatrechts&lt;/i&gt; 2, no. 1 (2016)."},"properties":{"noteIndex":0},"schema":"https://github.com/citation-style-language/schema/raw/master/csl-citation.json"}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(Jurdi, 2016)</w:t>
      </w:r>
      <w:r>
        <w:rPr>
          <w:rFonts w:ascii="Calibri Light" w:cs="Calibri Light"/>
          <w:sz w:val="24"/>
          <w:szCs w:val="24"/>
        </w:rPr>
        <w:fldChar w:fldCharType="end"/>
      </w:r>
      <w:r>
        <w:rPr>
          <w:rFonts w:ascii="Calibri Light" w:cs="Calibri Light"/>
          <w:color w:val="000000"/>
          <w:sz w:val="24"/>
          <w:szCs w:val="24"/>
        </w:rPr>
        <w:t>:</w:t>
      </w:r>
    </w:p>
    <w:p w14:paraId="0F687603" w14:textId="77777777" w:rsidR="00AD5EA3" w:rsidRDefault="00252506">
      <w:pPr>
        <w:pStyle w:val="BodyText"/>
        <w:widowControl w:val="0"/>
        <w:numPr>
          <w:ilvl w:val="0"/>
          <w:numId w:val="2"/>
        </w:numPr>
        <w:spacing w:after="0"/>
        <w:ind w:left="630" w:hanging="270"/>
        <w:jc w:val="both"/>
        <w:rPr>
          <w:rFonts w:ascii="Calibri Light" w:cs="Calibri Light"/>
          <w:color w:val="000000"/>
          <w:sz w:val="24"/>
          <w:szCs w:val="24"/>
        </w:rPr>
      </w:pPr>
      <w:commentRangeStart w:id="3"/>
      <w:r>
        <w:rPr>
          <w:rFonts w:ascii="Calibri Light" w:cs="Calibri Light"/>
          <w:color w:val="000000"/>
          <w:sz w:val="24"/>
          <w:szCs w:val="24"/>
        </w:rPr>
        <w:t>The two-chamber parliament model, as defined by Montesquieu, is a check and balance mechanism that involves two houses in a single representative body. 2. At the central level, there is only one representative institution that is composed of two components: the component that directly represents all the people and the component that represents the region. Group messengers are unnecessary. Group interests are represented and disseminated by components that explicitly represent all individuals.</w:t>
      </w:r>
    </w:p>
    <w:p w14:paraId="358419B2" w14:textId="77777777" w:rsidR="00AD5EA3" w:rsidRDefault="00252506">
      <w:pPr>
        <w:pStyle w:val="BodyText"/>
        <w:widowControl w:val="0"/>
        <w:numPr>
          <w:ilvl w:val="0"/>
          <w:numId w:val="2"/>
        </w:numPr>
        <w:spacing w:after="0"/>
        <w:ind w:left="630" w:hanging="270"/>
        <w:jc w:val="both"/>
        <w:rPr>
          <w:rFonts w:ascii="Calibri Light" w:cs="Calibri Light"/>
          <w:color w:val="000000"/>
          <w:sz w:val="24"/>
          <w:szCs w:val="24"/>
        </w:rPr>
      </w:pPr>
      <w:r>
        <w:rPr>
          <w:rFonts w:ascii="Calibri Light" w:cs="Calibri Light"/>
          <w:color w:val="000000"/>
          <w:sz w:val="24"/>
          <w:szCs w:val="24"/>
        </w:rPr>
        <w:t>Regional representatives perform parliamentary functions, including the formation of laws, the supervision of the government, and the preparation of the APBN. Consequently, parliamentary activities can be conducted on a daily basis, and all regional issues are integrated. This is one approach to preserving harmony and averting injury.</w:t>
      </w:r>
      <w:commentRangeEnd w:id="3"/>
      <w:r w:rsidR="00643C82">
        <w:rPr>
          <w:rStyle w:val="CommentReference"/>
        </w:rPr>
        <w:commentReference w:id="3"/>
      </w:r>
    </w:p>
    <w:p w14:paraId="27DA9BE1" w14:textId="77777777" w:rsidR="00AD5EA3" w:rsidRDefault="00252506">
      <w:pPr>
        <w:pStyle w:val="BodyText"/>
        <w:widowControl w:val="0"/>
        <w:numPr>
          <w:ilvl w:val="0"/>
          <w:numId w:val="2"/>
        </w:numPr>
        <w:ind w:left="630" w:hanging="270"/>
        <w:jc w:val="both"/>
        <w:rPr>
          <w:rFonts w:ascii="Calibri Light" w:cs="Calibri Light"/>
          <w:color w:val="000000"/>
          <w:sz w:val="24"/>
          <w:szCs w:val="24"/>
        </w:rPr>
      </w:pPr>
      <w:r>
        <w:rPr>
          <w:rFonts w:ascii="Calibri Light" w:cs="Calibri Light"/>
          <w:color w:val="000000"/>
          <w:sz w:val="24"/>
          <w:szCs w:val="24"/>
        </w:rPr>
        <w:t>A two-chamber system will result in an increase in output. Each component is capable of fulfilling all obligations and obligations. There is no necessity to delay or rely on a single individual at this time.</w:t>
      </w:r>
    </w:p>
    <w:p w14:paraId="089AD4E4"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This perspective contends that the effective execution of lawmaking functions is enhanced by the equal authority of both chambers of parliament, as a result of the distinction between strong and soft bicameralism. Nevertheless, this perspective is not consistently unambiguous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{"citationItems":[{"id":"ITEM-1","itemData":{"ISSN":"0032-3292","author":[{"dropping-particle":"","family":"Malleson","given":"Tom","non-dropping-particle":"","parse-names":false,"suffix":""}],"container-title":"Politics &amp; Society","id":"ITEM-1","issue":"2","issued":{"date-parts":[["2023"]]},"page":"167-187","publisher":"SAGE Publications Sage CA: Los Angeles, CA","title":"The Corporation, Democracy, and The Idea of The Bicameral Firm","type":"article-journal","volume":"51"},"uris":["http://www.mendeley.com/documents/?uuid=52dedb2a-9cbd-4f52-86bc-ddf4b9683ccc"]}],"mendeley":{"formattedCitation":"(Malleson, 2023)","plainTextFormattedCitation":"(Malleson, 2023)","previouslyFormattedCitation":"Tom Malleson, </w:instrText>
      </w:r>
      <w:r>
        <w:rPr>
          <w:rFonts w:ascii="Calibri Light" w:cs="Calibri Light"/>
          <w:sz w:val="24"/>
          <w:szCs w:val="24"/>
        </w:rPr>
        <w:instrText>“</w:instrText>
      </w:r>
      <w:r>
        <w:rPr>
          <w:rFonts w:ascii="Calibri Light" w:cs="Calibri Light"/>
          <w:sz w:val="24"/>
          <w:szCs w:val="24"/>
        </w:rPr>
        <w:instrText>The Corporation, Democracy, and The Idea of The Bicameral Firm,</w:instrText>
      </w:r>
      <w:r>
        <w:rPr>
          <w:rFonts w:ascii="Calibri Light" w:cs="Calibri Light"/>
          <w:sz w:val="24"/>
          <w:szCs w:val="24"/>
        </w:rPr>
        <w:instrText>”</w:instrText>
      </w:r>
      <w:r>
        <w:rPr>
          <w:rFonts w:ascii="Calibri Light" w:cs="Calibri Light"/>
          <w:sz w:val="24"/>
          <w:szCs w:val="24"/>
        </w:rPr>
        <w:instrText xml:space="preserve"> &lt;i&gt;Politics &amp; Society&lt;/i&gt; 51, no. 2 (2023): 167</w:instrText>
      </w:r>
      <w:r>
        <w:rPr>
          <w:rFonts w:ascii="Calibri Light" w:cs="Calibri Light"/>
          <w:sz w:val="24"/>
          <w:szCs w:val="24"/>
        </w:rPr>
        <w:instrText>–</w:instrText>
      </w:r>
      <w:r>
        <w:rPr>
          <w:rFonts w:ascii="Calibri Light" w:cs="Calibri Light"/>
          <w:sz w:val="24"/>
          <w:szCs w:val="24"/>
        </w:rPr>
        <w:instrText>87."},"properties":{"noteIndex":0},"schema":"https://github.com/citation-style-language/schema/raw/master/csl-citation.json"}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(Malleson, 2023)</w:t>
      </w:r>
      <w:r>
        <w:rPr>
          <w:rFonts w:ascii="Calibri Light" w:cs="Calibri Light"/>
          <w:sz w:val="24"/>
          <w:szCs w:val="24"/>
        </w:rPr>
        <w:fldChar w:fldCharType="end"/>
      </w:r>
      <w:r>
        <w:rPr>
          <w:rFonts w:ascii="Calibri Light" w:cs="Calibri Light"/>
          <w:color w:val="000000"/>
          <w:sz w:val="24"/>
          <w:szCs w:val="24"/>
        </w:rPr>
        <w:t xml:space="preserve">. This is evident in numerous countries with robust bicameral systems, including the United States, where the Senate and House of Representatives possess equal authority to assess all proposed laws prior to their submission to the executive. The House of Representatives is required to deliberate on legislation that is intended to increase revenue, as stated in Article 1 Section 7 of the United States Constitution. Nevertheless, the Senate is permitted to suggest or authorize modifications, </w:t>
      </w:r>
      <w:r>
        <w:rPr>
          <w:rFonts w:ascii="Calibri Light" w:cs="Calibri Light"/>
          <w:color w:val="000000"/>
          <w:sz w:val="24"/>
          <w:szCs w:val="24"/>
        </w:rPr>
        <w:lastRenderedPageBreak/>
        <w:t xml:space="preserve">as it is with other bills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{"citationItems":[{"id":"ITEM-1","itemData":{"author":[{"dropping-particle":"","family":"Kaharudin","given":"","non-dropping-particle":"","parse-names":false,"suffix":""}],"container-title":"J. Legal Ethical &amp; Regul. Isses","id":"ITEM-1","issued":{"date-parts":[["2022"]]},"page":"1","publisher":"HeinOnline","title":"Reconstruction of the Legislative Authority of the Regional Representative Council of the Republic of Indonesia in the Indonesian State System","type":"article-journal","volume":"25"},"uris":["http://www.mendeley.com/documents/?uuid=3528c3c5-6ee2-4291-a1c5-7ea7e50b5ef7"]}],"mendeley":{"formattedCitation":"(Kaharudin, 2022)","plainTextFormattedCitation":"(Kaharudin, 2022)","previouslyFormattedCitation":"Kaharudin, </w:instrText>
      </w:r>
      <w:r>
        <w:rPr>
          <w:rFonts w:ascii="Calibri Light" w:cs="Calibri Light"/>
          <w:sz w:val="24"/>
          <w:szCs w:val="24"/>
        </w:rPr>
        <w:instrText>“</w:instrText>
      </w:r>
      <w:r>
        <w:rPr>
          <w:rFonts w:ascii="Calibri Light" w:cs="Calibri Light"/>
          <w:sz w:val="24"/>
          <w:szCs w:val="24"/>
        </w:rPr>
        <w:instrText>Reconstruction of the Legislative Authority of the Regional Representative Council of the Republic of Indonesia in the Indonesian State System,</w:instrText>
      </w:r>
      <w:r>
        <w:rPr>
          <w:rFonts w:ascii="Calibri Light" w:cs="Calibri Light"/>
          <w:sz w:val="24"/>
          <w:szCs w:val="24"/>
        </w:rPr>
        <w:instrText>”</w:instrText>
      </w:r>
      <w:r>
        <w:rPr>
          <w:rFonts w:ascii="Calibri Light" w:cs="Calibri Light"/>
          <w:sz w:val="24"/>
          <w:szCs w:val="24"/>
        </w:rPr>
        <w:instrText xml:space="preserve"> &lt;i&gt;J. Legal Ethical &amp; Regul. Isses&lt;/i&gt; 25 (2022): 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(Kaharudin, 2022)</w:t>
      </w:r>
      <w:r>
        <w:rPr>
          <w:rFonts w:ascii="Calibri Light" w:cs="Calibri Light"/>
          <w:sz w:val="24"/>
          <w:szCs w:val="24"/>
        </w:rPr>
        <w:fldChar w:fldCharType="end"/>
      </w:r>
      <w:r>
        <w:rPr>
          <w:rFonts w:ascii="Calibri Light" w:cs="Calibri Light"/>
          <w:color w:val="000000"/>
          <w:sz w:val="24"/>
          <w:szCs w:val="24"/>
        </w:rPr>
        <w:t>. Legislation that has been enacted by the Senate and House of Representatives must be submitted to the president of the United States prior to becoming law.</w:t>
      </w:r>
    </w:p>
    <w:p w14:paraId="36E5F39D"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Nevertheless, the DPD, which serves as the second chamber, does not constitute bicameralism when compared to the DPR, as evidenced by Article 20 Paragraphs (1) and (2), Article 20A, and Article 22D Paragraphs (1) and (2) of the Constitution. In this scenario, the DPR is permitted to establish laws in accordance with its constitutional obligations in the areas of legislation and budgeting. Despite the fact that the DPD is not considered the second chamber of parliament, each law must be approved by the President and the DPR. This design implies that the DPD's capabilities are significantly diminished in comparison to those of the DPR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{"citationItems":[{"id":"ITEM-1","itemData":{"ISSN":"2615-8809","author":[{"dropping-particle":"","family":"Suryawan","given":"I Gusti Bagus","non-dropping-particle":"","parse-names":false,"suffix":""}],"container-title":"Sociological Jurisprudence Journal","id":"ITEM-1","issue":"2","issued":{"date-parts":[["2018"]]},"page":"95-102","title":"Articulation of Regional Community Interest Through DPD RI","type":"article-journal","volume":"1"},"uris":["http://www.mendeley.com/documents/?uuid=55fa6876-d42f-4061-ae33-4644d8af7abe"]}],"mendeley":{"formattedCitation":"(Suryawan, 2018)","plainTextFormattedCitation":"(Suryawan, 2018)","previouslyFormattedCitation":"I Gusti Bagus Suryawan, </w:instrText>
      </w:r>
      <w:r>
        <w:rPr>
          <w:rFonts w:ascii="Calibri Light" w:cs="Calibri Light"/>
          <w:sz w:val="24"/>
          <w:szCs w:val="24"/>
        </w:rPr>
        <w:instrText>“</w:instrText>
      </w:r>
      <w:r>
        <w:rPr>
          <w:rFonts w:ascii="Calibri Light" w:cs="Calibri Light"/>
          <w:sz w:val="24"/>
          <w:szCs w:val="24"/>
        </w:rPr>
        <w:instrText>Articulation of Regional Community Interest Through DPD RI,</w:instrText>
      </w:r>
      <w:r>
        <w:rPr>
          <w:rFonts w:ascii="Calibri Light" w:cs="Calibri Light"/>
          <w:sz w:val="24"/>
          <w:szCs w:val="24"/>
        </w:rPr>
        <w:instrText>”</w:instrText>
      </w:r>
      <w:r>
        <w:rPr>
          <w:rFonts w:ascii="Calibri Light" w:cs="Calibri Light"/>
          <w:sz w:val="24"/>
          <w:szCs w:val="24"/>
        </w:rPr>
        <w:instrText xml:space="preserve"> &lt;i&gt;Sociological Jurisprudence Journal&lt;/i&gt; 1, no. 2 (2018): 95</w:instrText>
      </w:r>
      <w:r>
        <w:rPr>
          <w:rFonts w:ascii="Calibri Light" w:cs="Calibri Light"/>
          <w:sz w:val="24"/>
          <w:szCs w:val="24"/>
        </w:rPr>
        <w:instrText>–</w:instrText>
      </w:r>
      <w:r>
        <w:rPr>
          <w:rFonts w:ascii="Calibri Light" w:cs="Calibri Light"/>
          <w:sz w:val="24"/>
          <w:szCs w:val="24"/>
        </w:rPr>
        <w:instrText>102."},"properties":{"noteIndex":0},"schema":"https://github.com/citation-style-language/schema/raw/master/csl-citation.json"}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(Suryawan, 2018)</w:t>
      </w:r>
      <w:r>
        <w:rPr>
          <w:rFonts w:ascii="Calibri Light" w:cs="Calibri Light"/>
          <w:sz w:val="24"/>
          <w:szCs w:val="24"/>
        </w:rPr>
        <w:fldChar w:fldCharType="end"/>
      </w:r>
      <w:r>
        <w:rPr>
          <w:rFonts w:ascii="Calibri Light" w:cs="Calibri Light"/>
          <w:color w:val="000000"/>
          <w:sz w:val="24"/>
          <w:szCs w:val="24"/>
        </w:rPr>
        <w:t xml:space="preserve">.  Conversely, the DPD is restricted to employing the phrase "can submit to the DPR" in the context of draft laws that pertain to decentralization, central and regional relations, the formation, expansion, and merger of regions, the management of natural and economic resources, and intergovernmental financial balance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{"citationItems":[{"id":"ITEM-1","itemData":{"ISSN":"2654-5462","author":[{"dropping-particle":"","family":"Sori","given":"Alirman","non-dropping-particle":"","parse-names":false,"suffix":""}],"container-title":"Awang Long Law Review","id":"ITEM-1","issue":"2","issued":{"date-parts":[["2019"]]},"page":"69-84","title":"Bicameral System in The Practice of Organizing The Indonesian Parliament (A Study of The Transformation of The Regional Representative Council Into The Second Chamber in The Parliamentary System in Indonesia)","type":"article-journal","volume":"1"},"uris":["http://www.mendeley.com/documents/?uuid=215d33b3-8195-439f-a699-e8b29e1f51d7"]}],"mendeley":{"formattedCitation":"(Sori, 2019)","plainTextFormattedCitation":"(Sori, 2019)","previouslyFormattedCitation":"Alirman Sori, </w:instrText>
      </w:r>
      <w:r>
        <w:rPr>
          <w:rFonts w:ascii="Calibri Light" w:cs="Calibri Light"/>
          <w:sz w:val="24"/>
          <w:szCs w:val="24"/>
        </w:rPr>
        <w:instrText>“</w:instrText>
      </w:r>
      <w:r>
        <w:rPr>
          <w:rFonts w:ascii="Calibri Light" w:cs="Calibri Light"/>
          <w:sz w:val="24"/>
          <w:szCs w:val="24"/>
        </w:rPr>
        <w:instrText>Bicameral System in The Practice of Organizing The Indonesian Parliament (A Study of The Transformation of The Regional Representative Council Into The Second Chamber in The Parliamentary System in Indonesia),</w:instrText>
      </w:r>
      <w:r>
        <w:rPr>
          <w:rFonts w:ascii="Calibri Light" w:cs="Calibri Light"/>
          <w:sz w:val="24"/>
          <w:szCs w:val="24"/>
        </w:rPr>
        <w:instrText>”</w:instrText>
      </w:r>
      <w:r>
        <w:rPr>
          <w:rFonts w:ascii="Calibri Light" w:cs="Calibri Light"/>
          <w:sz w:val="24"/>
          <w:szCs w:val="24"/>
        </w:rPr>
        <w:instrText xml:space="preserve"> &lt;i&gt;Awang Long Law Review&lt;/i&gt; 1, no. 2 (2019): 69</w:instrText>
      </w:r>
      <w:r>
        <w:rPr>
          <w:rFonts w:ascii="Calibri Light" w:cs="Calibri Light"/>
          <w:sz w:val="24"/>
          <w:szCs w:val="24"/>
        </w:rPr>
        <w:instrText>–</w:instrText>
      </w:r>
      <w:r>
        <w:rPr>
          <w:rFonts w:ascii="Calibri Light" w:cs="Calibri Light"/>
          <w:sz w:val="24"/>
          <w:szCs w:val="24"/>
        </w:rPr>
        <w:instrText>84."},"properties":{"noteIndex":0},"schema":"https://github.com/citation-style-language/schema/raw/master/csl-citation.json"}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(Sori, 2019)</w:t>
      </w:r>
      <w:r>
        <w:rPr>
          <w:rFonts w:ascii="Calibri Light" w:cs="Calibri Light"/>
          <w:sz w:val="24"/>
          <w:szCs w:val="24"/>
        </w:rPr>
        <w:fldChar w:fldCharType="end"/>
      </w:r>
      <w:r>
        <w:rPr>
          <w:rFonts w:ascii="Calibri Light" w:cs="Calibri Light"/>
          <w:color w:val="000000"/>
          <w:sz w:val="24"/>
          <w:szCs w:val="24"/>
        </w:rPr>
        <w:t>.</w:t>
      </w:r>
    </w:p>
    <w:p w14:paraId="2EBF9E23"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This article demonstrates the legislative authority of the DPR (Legislative Executive) surpassing that of the DPD. The DPD's lack of robust legislative authority is evident in the terminology employed, as legislative authority is exclusively determined by the DPR and the executive </w:t>
      </w:r>
      <w:r>
        <w:rPr>
          <w:rFonts w:ascii="Calibri Light" w:cs="Calibri Light"/>
          <w:sz w:val="24"/>
          <w:szCs w:val="24"/>
        </w:rPr>
        <w:fldChar w:fldCharType="begin"/>
      </w:r>
      <w:r>
        <w:rPr>
          <w:rFonts w:ascii="Calibri Light" w:cs="Calibri Light"/>
          <w:sz w:val="24"/>
          <w:szCs w:val="24"/>
        </w:rPr>
        <w:instrText>ADDIN CSL_CITATION {"citationItems":[{"id":"ITEM-1","itemData":{"author":[{"dropping-particle":"","family":"Sherlock","given":"Stephen","non-dropping-particle":"","parse-names":false,"suffix":""}],"container-title":"Centre for Democratic Institutions","id":"ITEM-1","issued":{"date-parts":[["2005"]]},"page":"1-45","title":"Indonesia</w:instrText>
      </w:r>
      <w:r>
        <w:rPr>
          <w:rFonts w:ascii="Calibri Light" w:cs="Calibri Light"/>
          <w:sz w:val="24"/>
          <w:szCs w:val="24"/>
        </w:rPr>
        <w:instrText>’</w:instrText>
      </w:r>
      <w:r>
        <w:rPr>
          <w:rFonts w:ascii="Calibri Light" w:cs="Calibri Light"/>
          <w:sz w:val="24"/>
          <w:szCs w:val="24"/>
        </w:rPr>
        <w:instrText xml:space="preserve">s Regional Assembly: Democracy, Representation and the Regions a Report on the Dewan Perwakilan Daerah (DPD)","type":"article-journal"},"uris":["http://www.mendeley.com/documents/?uuid=010a4e8c-74e6-4879-8bd5-ebedb22ccd1e"]}],"mendeley":{"formattedCitation":"(Sherlock, 2005)","plainTextFormattedCitation":"(Sherlock, 2005)","previouslyFormattedCitation":"Stephen Sherlock, </w:instrText>
      </w:r>
      <w:r>
        <w:rPr>
          <w:rFonts w:ascii="Calibri Light" w:cs="Calibri Light"/>
          <w:sz w:val="24"/>
          <w:szCs w:val="24"/>
        </w:rPr>
        <w:instrText>“</w:instrText>
      </w:r>
      <w:r>
        <w:rPr>
          <w:rFonts w:ascii="Calibri Light" w:cs="Calibri Light"/>
          <w:sz w:val="24"/>
          <w:szCs w:val="24"/>
        </w:rPr>
        <w:instrText>Indonesia</w:instrText>
      </w:r>
      <w:r>
        <w:rPr>
          <w:rFonts w:ascii="Calibri Light" w:cs="Calibri Light"/>
          <w:sz w:val="24"/>
          <w:szCs w:val="24"/>
        </w:rPr>
        <w:instrText>’</w:instrText>
      </w:r>
      <w:r>
        <w:rPr>
          <w:rFonts w:ascii="Calibri Light" w:cs="Calibri Light"/>
          <w:sz w:val="24"/>
          <w:szCs w:val="24"/>
        </w:rPr>
        <w:instrText>s Regional Assembly: Democracy, Representation and the Regions a Report on the Dewan Perwakilan Daerah (DPD),</w:instrText>
      </w:r>
      <w:r>
        <w:rPr>
          <w:rFonts w:ascii="Calibri Light" w:cs="Calibri Light"/>
          <w:sz w:val="24"/>
          <w:szCs w:val="24"/>
        </w:rPr>
        <w:instrText>”</w:instrText>
      </w:r>
      <w:r>
        <w:rPr>
          <w:rFonts w:ascii="Calibri Light" w:cs="Calibri Light"/>
          <w:sz w:val="24"/>
          <w:szCs w:val="24"/>
        </w:rPr>
        <w:instrText xml:space="preserve"> &lt;i&gt;Centre for Democratic Institutions&lt;/i&gt;, 2005, 1</w:instrText>
      </w:r>
      <w:r>
        <w:rPr>
          <w:rFonts w:ascii="Calibri Light" w:cs="Calibri Light"/>
          <w:sz w:val="24"/>
          <w:szCs w:val="24"/>
        </w:rPr>
        <w:instrText>–</w:instrText>
      </w:r>
      <w:r>
        <w:rPr>
          <w:rFonts w:ascii="Calibri Light" w:cs="Calibri Light"/>
          <w:sz w:val="24"/>
          <w:szCs w:val="24"/>
        </w:rPr>
        <w:instrText>45."},"properties":{"noteIndex":0},"schema":"https://github.com/citation-style-language/schema/raw/master/csl-citation.json"}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(Sherlock, 2005)</w:t>
      </w:r>
      <w:r>
        <w:rPr>
          <w:rFonts w:ascii="Calibri Light" w:cs="Calibri Light"/>
          <w:sz w:val="24"/>
          <w:szCs w:val="24"/>
        </w:rPr>
        <w:fldChar w:fldCharType="end"/>
      </w:r>
      <w:r>
        <w:rPr>
          <w:rFonts w:ascii="Calibri Light" w:cs="Calibri Light"/>
          <w:color w:val="000000"/>
          <w:sz w:val="24"/>
          <w:szCs w:val="24"/>
        </w:rPr>
        <w:t xml:space="preserve">. This implies that the measure can be introduced in the second chamber. This is also restricted and does not seem to indicate actual authority. Consequently, any interpretation of the Constitution that includes the phrase "the DPD can submit proposed laws (RUU)" must be submitted to the First Assembly on a limited basis, and the Second Assembly that does so will cease to function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{"citationItems":[{"id":"ITEM-1","itemData":{"ISSN":"2443-0994","author":[{"dropping-particle":"","family":"Nurbaningsih","given":"Enny","non-dropping-particle":"","parse-names":false,"suffix":""}],"container-title":"Mimbar Hukum-Fakultas Hukum Universitas Gadjah Mada","id":"ITEM-1","issue":"1","issued":{"date-parts":[["2015"]]},"page":"1-13","title":"Implikasi Putusan Mahkamah Konstitusi Nomor 92/PUU-X/2012 dan Alternatif Model Hubungan Kelembagaan Terkait Pembentukan Undang-Undang","type":"article-journal","volume":"27"},"uris":["http://www.mendeley.com/documents/?uuid=e4fe7003-7709-4d27-ace7-e2144a9dbc3f"]}],"mendeley":{"formattedCitation":"(Nurbaningsih, 2015)","plainTextFormattedCitation":"(Nurbaningsih, 2015)","previouslyFormattedCitation":"Enny Nurbaningsih, </w:instrText>
      </w:r>
      <w:r>
        <w:rPr>
          <w:rFonts w:ascii="Calibri Light" w:cs="Calibri Light"/>
          <w:sz w:val="24"/>
          <w:szCs w:val="24"/>
        </w:rPr>
        <w:instrText>“</w:instrText>
      </w:r>
      <w:r>
        <w:rPr>
          <w:rFonts w:ascii="Calibri Light" w:cs="Calibri Light"/>
          <w:sz w:val="24"/>
          <w:szCs w:val="24"/>
        </w:rPr>
        <w:instrText>Implikasi Putusan Mahkamah Konstitusi Nomor 92/PUU-X/2012 Dan Alternatif Model Hubungan Kelembagaan Terkait Pembentukan Undang-Undang,</w:instrText>
      </w:r>
      <w:r>
        <w:rPr>
          <w:rFonts w:ascii="Calibri Light" w:cs="Calibri Light"/>
          <w:sz w:val="24"/>
          <w:szCs w:val="24"/>
        </w:rPr>
        <w:instrText>”</w:instrText>
      </w:r>
      <w:r>
        <w:rPr>
          <w:rFonts w:ascii="Calibri Light" w:cs="Calibri Light"/>
          <w:sz w:val="24"/>
          <w:szCs w:val="24"/>
        </w:rPr>
        <w:instrText xml:space="preserve"> &lt;i&gt;Mimbar Hukum-Fakultas Hukum Universitas Gadjah Mada&lt;/i&gt; 27, no. 1 (2015): 1</w:instrText>
      </w:r>
      <w:r>
        <w:rPr>
          <w:rFonts w:ascii="Calibri Light" w:cs="Calibri Light"/>
          <w:sz w:val="24"/>
          <w:szCs w:val="24"/>
        </w:rPr>
        <w:instrText>–</w:instrText>
      </w:r>
      <w:r>
        <w:rPr>
          <w:rFonts w:ascii="Calibri Light" w:cs="Calibri Light"/>
          <w:sz w:val="24"/>
          <w:szCs w:val="24"/>
        </w:rPr>
        <w:instrText>13."},"properties":{"noteIndex":0},"schema":"https://github.com/citation-style-language/schema/raw/master/csl-citation.json"}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(Nurbaningsih, 2015)</w:t>
      </w:r>
      <w:r>
        <w:rPr>
          <w:rFonts w:ascii="Calibri Light" w:cs="Calibri Light"/>
          <w:sz w:val="24"/>
          <w:szCs w:val="24"/>
        </w:rPr>
        <w:fldChar w:fldCharType="end"/>
      </w:r>
      <w:r>
        <w:rPr>
          <w:rFonts w:ascii="Calibri Light" w:cs="Calibri Light"/>
          <w:color w:val="000000"/>
          <w:sz w:val="24"/>
          <w:szCs w:val="24"/>
        </w:rPr>
        <w:t>.</w:t>
      </w:r>
    </w:p>
    <w:p w14:paraId="08225EDD"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The aforementioned bicameral structure will result in the failure to direct regional aspirations through the DPD. The DPD's responsibilities and authority are also exceedingly restricted due to the absence of obligatory norms in Article 22D of the Constitution. Consequently, this second chamber is perceived as a "</w:t>
      </w:r>
      <w:proofErr w:type="spellStart"/>
      <w:r>
        <w:rPr>
          <w:rFonts w:ascii="Calibri Light" w:cs="Calibri Light"/>
          <w:color w:val="000000"/>
          <w:sz w:val="24"/>
          <w:szCs w:val="24"/>
        </w:rPr>
        <w:t>auxillary</w:t>
      </w:r>
      <w:proofErr w:type="spellEnd"/>
      <w:r>
        <w:rPr>
          <w:rFonts w:ascii="Calibri Light" w:cs="Calibri Light"/>
          <w:color w:val="000000"/>
          <w:sz w:val="24"/>
          <w:szCs w:val="24"/>
        </w:rPr>
        <w:t xml:space="preserve"> organ" rather than a primary state institution with accountable functions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{"citationItems":[{"id":"ITEM-1","itemData":{"ISSN":"2580-8109","author":[{"dropping-particle":"","family":"Rohmah","given":"Elva Imeldatur","non-dropping-particle":"","parse-names":false,"suffix":""}],"container-title":"Ummul Qura Jurnal Institut Pesantren Sunan Drajat (INSUD) Lamongan","id":"ITEM-1","issue":"1","issued":{"date-parts":[["2018"]]},"page":"16-33","title":"Fungsi Legislasi DPR dan DPD Perspektif Maslahah Mursalah (Implikasi Putusan Mahkamah Konstitusi Nomor 92/Puu-X/2012)","type":"article-journal","volume":"11"},"uris":["http://www.mendeley.com/documents/?uuid=d4f451a9-4420-4b4c-9899-83a42e722e66"]}],"mendeley":{"formattedCitation":"(Rohmah, 2018)","plainTextFormattedCitation":"(Rohmah, 2018)","previouslyFormattedCitation":"Elva Imeldatur Rohmah, </w:instrText>
      </w:r>
      <w:r>
        <w:rPr>
          <w:rFonts w:ascii="Calibri Light" w:cs="Calibri Light"/>
          <w:sz w:val="24"/>
          <w:szCs w:val="24"/>
        </w:rPr>
        <w:instrText>“</w:instrText>
      </w:r>
      <w:r>
        <w:rPr>
          <w:rFonts w:ascii="Calibri Light" w:cs="Calibri Light"/>
          <w:sz w:val="24"/>
          <w:szCs w:val="24"/>
        </w:rPr>
        <w:instrText>Fungsi Legislasi DPR Dan DPD Perspektif Maslahah Mursalah (Implikasi Putusan Mahkamah Konstitusi Nomor 92/Puu-X/2012),</w:instrText>
      </w:r>
      <w:r>
        <w:rPr>
          <w:rFonts w:ascii="Calibri Light" w:cs="Calibri Light"/>
          <w:sz w:val="24"/>
          <w:szCs w:val="24"/>
        </w:rPr>
        <w:instrText>”</w:instrText>
      </w:r>
      <w:r>
        <w:rPr>
          <w:rFonts w:ascii="Calibri Light" w:cs="Calibri Light"/>
          <w:sz w:val="24"/>
          <w:szCs w:val="24"/>
        </w:rPr>
        <w:instrText xml:space="preserve"> &lt;i&gt;Ummul Qura Jurnal Institut Pesantren Sunan Drajat (INSUD) Lamongan&lt;/i&gt; 11, no. 1 (2018): 16</w:instrText>
      </w:r>
      <w:r>
        <w:rPr>
          <w:rFonts w:ascii="Calibri Light" w:cs="Calibri Light"/>
          <w:sz w:val="24"/>
          <w:szCs w:val="24"/>
        </w:rPr>
        <w:instrText>–</w:instrText>
      </w:r>
      <w:r>
        <w:rPr>
          <w:rFonts w:ascii="Calibri Light" w:cs="Calibri Light"/>
          <w:sz w:val="24"/>
          <w:szCs w:val="24"/>
        </w:rPr>
        <w:instrText>33."},"properties":{"noteIndex":0},"schema":"https://github.com/citation-style-language/schema/raw/master/csl-citation.json"}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(Rohmah, 2018)</w:t>
      </w:r>
      <w:r>
        <w:rPr>
          <w:rFonts w:ascii="Calibri Light" w:cs="Calibri Light"/>
          <w:sz w:val="24"/>
          <w:szCs w:val="24"/>
        </w:rPr>
        <w:fldChar w:fldCharType="end"/>
      </w:r>
      <w:r>
        <w:rPr>
          <w:rFonts w:ascii="Calibri Light" w:cs="Calibri Light"/>
          <w:color w:val="000000"/>
          <w:sz w:val="24"/>
          <w:szCs w:val="24"/>
        </w:rPr>
        <w:t xml:space="preserve">. This influences the way in which constituents evaluate the effectiveness of the two chambers. The Indonesian Political Indicators Survey Institute reported that the level of public trust in the DPD was only 64.6% as of July 2022, while the DPR was 62.3%. Compared to other public institutions, including the Attorney General's Office (74.5%), </w:t>
      </w:r>
      <w:proofErr w:type="spellStart"/>
      <w:r>
        <w:rPr>
          <w:rFonts w:ascii="Calibri Light" w:cs="Calibri Light"/>
          <w:color w:val="000000"/>
          <w:sz w:val="24"/>
          <w:szCs w:val="24"/>
        </w:rPr>
        <w:t>Polri</w:t>
      </w:r>
      <w:proofErr w:type="spellEnd"/>
      <w:r>
        <w:rPr>
          <w:rFonts w:ascii="Calibri Light" w:cs="Calibri Light"/>
          <w:color w:val="000000"/>
          <w:sz w:val="24"/>
          <w:szCs w:val="24"/>
        </w:rPr>
        <w:t xml:space="preserve"> (76.4%), President (84.5%), and TNI (93.3%), this figure is relatively lower. In fact, representative institutions were the public entities with the worst performance scores among 12 other state institutions in the most recent Political Research Consulting (PRC) survey with Indonesian Political Parameters (PPI).</w:t>
      </w:r>
    </w:p>
    <w:p w14:paraId="299DF5F7" w14:textId="77777777" w:rsidR="00AD5EA3" w:rsidRDefault="00252506">
      <w:pPr>
        <w:pStyle w:val="BodyText"/>
        <w:spacing w:after="240"/>
        <w:ind w:left="360"/>
        <w:jc w:val="both"/>
        <w:rPr>
          <w:rFonts w:ascii="Calibri Light" w:cs="Calibri Light"/>
          <w:color w:val="000000"/>
          <w:sz w:val="24"/>
          <w:szCs w:val="24"/>
        </w:rPr>
      </w:pPr>
      <w:commentRangeStart w:id="4"/>
      <w:r>
        <w:rPr>
          <w:rFonts w:ascii="Calibri Light" w:cs="Calibri Light"/>
          <w:color w:val="000000"/>
          <w:sz w:val="24"/>
          <w:szCs w:val="24"/>
        </w:rPr>
        <w:t xml:space="preserve">It is of course crucial to evaluate and propose solutions </w:t>
      </w:r>
      <w:commentRangeEnd w:id="4"/>
      <w:r w:rsidR="00643C82">
        <w:rPr>
          <w:rStyle w:val="CommentReference"/>
        </w:rPr>
        <w:commentReference w:id="4"/>
      </w:r>
      <w:r>
        <w:rPr>
          <w:rFonts w:ascii="Calibri Light" w:cs="Calibri Light"/>
          <w:color w:val="000000"/>
          <w:sz w:val="24"/>
          <w:szCs w:val="24"/>
        </w:rPr>
        <w:t xml:space="preserve">in order to reconstruct the two chambers of law-making power in Indonesia, given this reality. Several previous researchers have conducted a comprehensive survey of the study of representative institutions, particularly in relation to the relationship between the first chamber and the second chamber in terms of law-making power. For instance, </w:t>
      </w:r>
      <w:proofErr w:type="spellStart"/>
      <w:r>
        <w:rPr>
          <w:rFonts w:ascii="Calibri Light" w:cs="Calibri Light"/>
          <w:color w:val="000000"/>
          <w:sz w:val="24"/>
          <w:szCs w:val="24"/>
        </w:rPr>
        <w:t>Fajlurrahman</w:t>
      </w:r>
      <w:proofErr w:type="spellEnd"/>
      <w:r>
        <w:rPr>
          <w:rFonts w:ascii="Calibri Light" w:cs="Calibri Light"/>
          <w:color w:val="000000"/>
          <w:sz w:val="24"/>
          <w:szCs w:val="24"/>
        </w:rPr>
        <w:t xml:space="preserve"> Jurdi's analysis determined that the constitution did not establish the authority of the DPR and DPD in a proportionate manner, with the DPD's authority being restricted to the "DPR Advisory </w:t>
      </w:r>
      <w:r>
        <w:rPr>
          <w:rFonts w:ascii="Calibri Light" w:cs="Calibri Light"/>
          <w:color w:val="000000"/>
          <w:sz w:val="24"/>
          <w:szCs w:val="24"/>
        </w:rPr>
        <w:lastRenderedPageBreak/>
        <w:t xml:space="preserve">Council." He subsequently concluded that the concept of Indonesian representative institutions is consistent with "deterministic </w:t>
      </w:r>
      <w:proofErr w:type="spellStart"/>
      <w:r>
        <w:rPr>
          <w:rFonts w:ascii="Calibri Light" w:cs="Calibri Light"/>
          <w:color w:val="000000"/>
          <w:sz w:val="24"/>
          <w:szCs w:val="24"/>
        </w:rPr>
        <w:t>tricameralism</w:t>
      </w:r>
      <w:proofErr w:type="spellEnd"/>
      <w:r>
        <w:rPr>
          <w:rFonts w:ascii="Calibri Light" w:cs="Calibri Light"/>
          <w:color w:val="000000"/>
          <w:sz w:val="24"/>
          <w:szCs w:val="24"/>
        </w:rPr>
        <w:t xml:space="preserve">," or what is commonly referred to as "half-hearted bicameralism," which leads to a feeble and unbalanced concept of parliament (weak bicameralism)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{"citationItems":[{"id":"ITEM-1","itemData":{"ISSN":"2461-0798","author":[{"dropping-particle":"","family":"Jurdi","given":"Fajlurrahman","non-dropping-particle":"","parse-names":false,"suffix":""}],"container-title":"Jurnal Hukum Staatrechts","id":"ITEM-1","issue":"1","issued":{"date-parts":[["2016"]]},"title":"Eksistensi Parlemen Indonesia Setelah Amandemen Konstitusi","type":"article-journal","volume":"2"},"uris":["http://www.mendeley.com/documents/?uuid=980845f5-2b25-455d-b778-9b056a634433"]}],"mendeley":{"formattedCitation":"(Jurdi, 2016)","plainTextFormattedCitation":"(Jurdi, 2016)","previouslyFormattedCitation":"Jurdi, </w:instrText>
      </w:r>
      <w:r>
        <w:rPr>
          <w:rFonts w:ascii="Calibri Light" w:cs="Calibri Light"/>
          <w:sz w:val="24"/>
          <w:szCs w:val="24"/>
        </w:rPr>
        <w:instrText>“</w:instrText>
      </w:r>
      <w:r>
        <w:rPr>
          <w:rFonts w:ascii="Calibri Light" w:cs="Calibri Light"/>
          <w:sz w:val="24"/>
          <w:szCs w:val="24"/>
        </w:rPr>
        <w:instrText>Eksistensi Parlemen Indonesia Setelah Amandemen Konstitusi.</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(Jurdi, 2016)</w:t>
      </w:r>
      <w:r>
        <w:rPr>
          <w:rFonts w:ascii="Calibri Light" w:cs="Calibri Light"/>
          <w:sz w:val="24"/>
          <w:szCs w:val="24"/>
        </w:rPr>
        <w:fldChar w:fldCharType="end"/>
      </w:r>
      <w:r>
        <w:rPr>
          <w:rFonts w:ascii="Calibri Light" w:cs="Calibri Light"/>
          <w:color w:val="000000"/>
          <w:sz w:val="24"/>
          <w:szCs w:val="24"/>
        </w:rPr>
        <w:t xml:space="preserve">. </w:t>
      </w:r>
      <w:proofErr w:type="spellStart"/>
      <w:r>
        <w:rPr>
          <w:rFonts w:ascii="Calibri Light" w:cs="Calibri Light"/>
          <w:color w:val="000000"/>
          <w:sz w:val="24"/>
          <w:szCs w:val="24"/>
        </w:rPr>
        <w:t>Toding</w:t>
      </w:r>
      <w:proofErr w:type="spellEnd"/>
      <w:r>
        <w:rPr>
          <w:rFonts w:ascii="Calibri Light" w:cs="Calibri Light"/>
          <w:color w:val="000000"/>
          <w:sz w:val="24"/>
          <w:szCs w:val="24"/>
        </w:rPr>
        <w:t xml:space="preserve"> also reached the same conclusion, stating that the synergy between the two chambers in the Indonesian constitutional system must be enhanced by refining the parliamentary structure to reflect strong bicameralism in order to establish a quality and harmonious law-making process </w:t>
      </w:r>
      <w:r>
        <w:rPr>
          <w:rFonts w:ascii="Calibri Light" w:cs="Calibri Light"/>
          <w:sz w:val="24"/>
          <w:szCs w:val="24"/>
        </w:rPr>
        <w:fldChar w:fldCharType="begin"/>
      </w:r>
      <w:r>
        <w:rPr>
          <w:rFonts w:ascii="Calibri Light" w:cs="Calibri Light"/>
          <w:sz w:val="24"/>
          <w:szCs w:val="24"/>
        </w:rPr>
        <w:instrText>ADDIN CSL_CITATION {"citationItems":[{"id":"ITEM-1","itemData":{"ISSN":"2548-1657","author":[{"dropping-particle":"","family":"Toding","given":"Adventus","non-dropping-particle":"","parse-names":false,"suffix":""}],"container-title":"Jurnal Konstitusi","id":"ITEM-1","issue":"2","issued":{"date-parts":[["2017"]]},"page":"295-314","title":"DPD dalam Struktur Parlemen Indonesia: Wacana Pemusnahan Versus Penguatan","type":"article-journal","volume":"14"},"uris":["http://www.mendeley.com/documents/?uuid=95a897ca-95db-4a7b-bbba-098d7dc92814"]},{"id":"ITEM-2","itemData":{"DOI":"10.1017/S0034670518001201","ISSN":"0034-6705","author":[{"dropping-particle":"","family":"Rubinelli","given":"Lucia","non-dropping-particle":"","parse-names":false,"suffix":""}],"container-title":"The Review of Politics","id":"ITEM-2","issue":"2","issued":{"date-parts":[["2019"]]},"page":"255-279","publisher":"Cambridge University Press","title":"Siey</w:instrText>
      </w:r>
      <w:r>
        <w:rPr>
          <w:rFonts w:ascii="Calibri Light" w:cs="Calibri Light"/>
          <w:sz w:val="24"/>
          <w:szCs w:val="24"/>
        </w:rPr>
        <w:instrText>è</w:instrText>
      </w:r>
      <w:r>
        <w:rPr>
          <w:rFonts w:ascii="Calibri Light" w:cs="Calibri Light"/>
          <w:sz w:val="24"/>
          <w:szCs w:val="24"/>
        </w:rPr>
        <w:instrText xml:space="preserve">s Versus Bicameralism","type":"article-journal","volume":"81"},"uris":["http://www.mendeley.com/documents/?uuid=b5f1c819-de17-4787-b4bf-0c5b8e5c540a"]}],"mendeley":{"formattedCitation":"(Rubinelli, 2019; Toding, 2017)","plainTextFormattedCitation":"(Rubinelli, 2019; Toding, 2017)","previouslyFormattedCitation":"Adventus Toding, </w:instrText>
      </w:r>
      <w:r>
        <w:rPr>
          <w:rFonts w:ascii="Calibri Light" w:cs="Calibri Light"/>
          <w:sz w:val="24"/>
          <w:szCs w:val="24"/>
        </w:rPr>
        <w:instrText>“</w:instrText>
      </w:r>
      <w:r>
        <w:rPr>
          <w:rFonts w:ascii="Calibri Light" w:cs="Calibri Light"/>
          <w:sz w:val="24"/>
          <w:szCs w:val="24"/>
        </w:rPr>
        <w:instrText>DPD Dalam Struktur Parlemen Indonesia: Wacana Pemusnahan Versus Penguatan,</w:instrText>
      </w:r>
      <w:r>
        <w:rPr>
          <w:rFonts w:ascii="Calibri Light" w:cs="Calibri Light"/>
          <w:sz w:val="24"/>
          <w:szCs w:val="24"/>
        </w:rPr>
        <w:instrText>”</w:instrText>
      </w:r>
      <w:r>
        <w:rPr>
          <w:rFonts w:ascii="Calibri Light" w:cs="Calibri Light"/>
          <w:sz w:val="24"/>
          <w:szCs w:val="24"/>
        </w:rPr>
        <w:instrText xml:space="preserve"> &lt;i&gt;Jurnal Konstitusi&lt;/i&gt; 14, no. 2 (2017): 295</w:instrText>
      </w:r>
      <w:r>
        <w:rPr>
          <w:rFonts w:ascii="Calibri Light" w:cs="Calibri Light"/>
          <w:sz w:val="24"/>
          <w:szCs w:val="24"/>
        </w:rPr>
        <w:instrText>–</w:instrText>
      </w:r>
      <w:r>
        <w:rPr>
          <w:rFonts w:ascii="Calibri Light" w:cs="Calibri Light"/>
          <w:sz w:val="24"/>
          <w:szCs w:val="24"/>
        </w:rPr>
        <w:instrText xml:space="preserve">314; Lucia Rubinelli, </w:instrText>
      </w:r>
      <w:r>
        <w:rPr>
          <w:rFonts w:ascii="Calibri Light" w:cs="Calibri Light"/>
          <w:sz w:val="24"/>
          <w:szCs w:val="24"/>
        </w:rPr>
        <w:instrText>“</w:instrText>
      </w:r>
      <w:r>
        <w:rPr>
          <w:rFonts w:ascii="Calibri Light" w:cs="Calibri Light"/>
          <w:sz w:val="24"/>
          <w:szCs w:val="24"/>
        </w:rPr>
        <w:instrText>Siey</w:instrText>
      </w:r>
      <w:r>
        <w:rPr>
          <w:rFonts w:ascii="Calibri Light" w:cs="Calibri Light"/>
          <w:sz w:val="24"/>
          <w:szCs w:val="24"/>
        </w:rPr>
        <w:instrText>è</w:instrText>
      </w:r>
      <w:r>
        <w:rPr>
          <w:rFonts w:ascii="Calibri Light" w:cs="Calibri Light"/>
          <w:sz w:val="24"/>
          <w:szCs w:val="24"/>
        </w:rPr>
        <w:instrText>s Versus Bicameralism,</w:instrText>
      </w:r>
      <w:r>
        <w:rPr>
          <w:rFonts w:ascii="Calibri Light" w:cs="Calibri Light"/>
          <w:sz w:val="24"/>
          <w:szCs w:val="24"/>
        </w:rPr>
        <w:instrText>”</w:instrText>
      </w:r>
      <w:r>
        <w:rPr>
          <w:rFonts w:ascii="Calibri Light" w:cs="Calibri Light"/>
          <w:sz w:val="24"/>
          <w:szCs w:val="24"/>
        </w:rPr>
        <w:instrText xml:space="preserve"> &lt;i&gt;The Review of Politics&lt;/i&gt; 81, no. 2 (2019): 255</w:instrText>
      </w:r>
      <w:r>
        <w:rPr>
          <w:rFonts w:ascii="Calibri Light" w:cs="Calibri Light"/>
          <w:sz w:val="24"/>
          <w:szCs w:val="24"/>
        </w:rPr>
        <w:instrText>–</w:instrText>
      </w:r>
      <w:r>
        <w:rPr>
          <w:rFonts w:ascii="Calibri Light" w:cs="Calibri Light"/>
          <w:sz w:val="24"/>
          <w:szCs w:val="24"/>
        </w:rPr>
        <w:instrText>79, https://doi.org/10.1017/S0034670518001201."},"properties":{"noteIndex":0},"schema":"https://github.com/citation-style-language/schema/raw/master/csl-citation.json"}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(Rubinelli, 2019; Toding, 2017)</w:t>
      </w:r>
      <w:r>
        <w:rPr>
          <w:rFonts w:ascii="Calibri Light" w:cs="Calibri Light"/>
          <w:sz w:val="24"/>
          <w:szCs w:val="24"/>
        </w:rPr>
        <w:fldChar w:fldCharType="end"/>
      </w:r>
      <w:r>
        <w:rPr>
          <w:rFonts w:ascii="Calibri Light" w:cs="Calibri Light"/>
          <w:color w:val="000000"/>
          <w:sz w:val="24"/>
          <w:szCs w:val="24"/>
        </w:rPr>
        <w:t xml:space="preserve">.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{"citationItems":[{"id":"ITEM-1","itemData":{"DOI":"10.14710/mmh.48.3.2019.266-274","ISSN":"2527-4716","author":[{"dropping-particle":"","family":"Tinambunan","given":"Hezron Sabar Rotua","non-dropping-particle":"","parse-names":false,"suffix":""},{"dropping-particle":"","family":"Prasetio","given":"Dicky Eko","non-dropping-particle":"","parse-names":false,"suffix":""}],"container-title":"Masalah-Masalah Hukum","id":"ITEM-1","issue":"3","issued":{"date-parts":[["2019"]]},"page":"266-274","title":"Rekonstruksi Konstitusi dalam Regional Representative Dewan Perwakilan Daerah terhadap Fungsi Legislatif","type":"article-journal","volume":"48"},"uris":["http://www.mendeley.com/documents/?uuid=33719dd3-ab55-4766-8c3d-393114161180"]}],"mendeley":{"formattedCitation":"(Tinambunan &amp; Prasetio, 2019)","manualFormatting":"Tinambunan &amp; Prasetio (2019)","plainTextFormattedCitation":"(Tinambunan &amp; Prasetio, 2019)","previouslyFormattedCitation":"Hezron Sabar Rotua Tinambunan and Dicky Eko Prasetio, </w:instrText>
      </w:r>
      <w:r>
        <w:rPr>
          <w:rFonts w:ascii="Calibri Light" w:cs="Calibri Light"/>
          <w:sz w:val="24"/>
          <w:szCs w:val="24"/>
        </w:rPr>
        <w:instrText>“</w:instrText>
      </w:r>
      <w:r>
        <w:rPr>
          <w:rFonts w:ascii="Calibri Light" w:cs="Calibri Light"/>
          <w:sz w:val="24"/>
          <w:szCs w:val="24"/>
        </w:rPr>
        <w:instrText>Rekonstruksi Konstitusi Dalam Regional Representative Dewan Perwakilan Daerah Terhadap Fungsi Legislatif,</w:instrText>
      </w:r>
      <w:r>
        <w:rPr>
          <w:rFonts w:ascii="Calibri Light" w:cs="Calibri Light"/>
          <w:sz w:val="24"/>
          <w:szCs w:val="24"/>
        </w:rPr>
        <w:instrText>”</w:instrText>
      </w:r>
      <w:r>
        <w:rPr>
          <w:rFonts w:ascii="Calibri Light" w:cs="Calibri Light"/>
          <w:sz w:val="24"/>
          <w:szCs w:val="24"/>
        </w:rPr>
        <w:instrText xml:space="preserve"> &lt;i&gt;Masalah-Masalah Hukum&lt;/i&gt; 48, no. 3 (2019): 266</w:instrText>
      </w:r>
      <w:r>
        <w:rPr>
          <w:rFonts w:ascii="Calibri Light" w:cs="Calibri Light"/>
          <w:sz w:val="24"/>
          <w:szCs w:val="24"/>
        </w:rPr>
        <w:instrText>–</w:instrText>
      </w:r>
      <w:r>
        <w:rPr>
          <w:rFonts w:ascii="Calibri Light" w:cs="Calibri Light"/>
          <w:sz w:val="24"/>
          <w:szCs w:val="24"/>
        </w:rPr>
        <w:instrText>74, https://doi.org/10.14710/mmh.48.3.2019.266-274."},"properties":{"noteIndex":0},"schema":"https://github.com/citation-style-language/schema/raw/master/csl-citation.json"}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Tinambunan &amp; Prasetio (2019)</w:t>
      </w:r>
      <w:r>
        <w:rPr>
          <w:rFonts w:ascii="Calibri Light" w:cs="Calibri Light"/>
          <w:sz w:val="24"/>
          <w:szCs w:val="24"/>
        </w:rPr>
        <w:fldChar w:fldCharType="end"/>
      </w:r>
      <w:r>
        <w:rPr>
          <w:rFonts w:ascii="Calibri Light" w:cs="Calibri Light"/>
          <w:color w:val="000000"/>
          <w:sz w:val="24"/>
          <w:szCs w:val="24"/>
        </w:rPr>
        <w:t xml:space="preserve"> also emphasized the necessity of reconstructing the two chambers as representative institutions to ensure that there is a clear division of tasks in law-making powers and that there is equality of position.</w:t>
      </w:r>
    </w:p>
    <w:p w14:paraId="2BF1C89E" w14:textId="77777777" w:rsidR="00AD5EA3" w:rsidRDefault="00252506">
      <w:pPr>
        <w:spacing w:before="120" w:after="120"/>
        <w:ind w:left="360"/>
        <w:jc w:val="both"/>
        <w:rPr>
          <w:rFonts w:ascii="Calibri Light" w:cs="Calibri Light"/>
          <w:color w:val="FF0000"/>
          <w:sz w:val="24"/>
          <w:szCs w:val="24"/>
          <w:lang w:val="id-ID"/>
        </w:rPr>
      </w:pPr>
      <w:r>
        <w:rPr>
          <w:rFonts w:ascii="Calibri Light" w:cs="Calibri Light"/>
          <w:color w:val="000000"/>
          <w:sz w:val="24"/>
          <w:szCs w:val="24"/>
        </w:rPr>
        <w:t>Nevertheless, the aforementioned studies are primarily descriptive research on parliamentary institutions in Indonesia. The objective of this research is to conceptualize normative reconstruction in terms of balancing the roles of the two chambers in the process of making laws, in addition to analyzing the issues that currently exist in the current parliamentary institution, particularly the interaction between the first and second chambers in law-making power, in contrast to previous studies.</w:t>
      </w:r>
    </w:p>
    <w:p w14:paraId="75AA1E9A" w14:textId="77777777" w:rsidR="00AD5EA3" w:rsidRDefault="00AD5EA3">
      <w:pPr>
        <w:spacing w:before="120" w:after="120"/>
        <w:ind w:left="426" w:firstLine="709"/>
        <w:jc w:val="both"/>
        <w:rPr>
          <w:rFonts w:ascii="Calibri Light" w:cs="Calibri Light"/>
          <w:color w:val="FF0000"/>
          <w:sz w:val="24"/>
          <w:szCs w:val="24"/>
          <w:lang w:val="id-ID"/>
        </w:rPr>
      </w:pPr>
    </w:p>
    <w:p w14:paraId="1A64E58C" w14:textId="77777777" w:rsidR="00AD5EA3" w:rsidRDefault="00252506">
      <w:pPr>
        <w:numPr>
          <w:ilvl w:val="0"/>
          <w:numId w:val="1"/>
        </w:numPr>
        <w:autoSpaceDE/>
        <w:autoSpaceDN/>
        <w:spacing w:before="120" w:after="120"/>
        <w:ind w:hanging="180"/>
        <w:rPr>
          <w:rFonts w:ascii="Calibri Light" w:cs="Calibri Light"/>
          <w:b/>
          <w:sz w:val="24"/>
          <w:szCs w:val="24"/>
          <w:lang w:val="id-ID"/>
        </w:rPr>
      </w:pPr>
      <w:r>
        <w:rPr>
          <w:rFonts w:ascii="Calibri Light" w:cs="Calibri Light"/>
          <w:b/>
          <w:sz w:val="24"/>
          <w:szCs w:val="24"/>
          <w:lang w:val="id-ID"/>
        </w:rPr>
        <w:t>METHOD</w:t>
      </w:r>
    </w:p>
    <w:p w14:paraId="2BC6D90B" w14:textId="77777777" w:rsidR="00AD5EA3" w:rsidRDefault="00252506">
      <w:pPr>
        <w:spacing w:before="120" w:after="120"/>
        <w:ind w:left="360"/>
        <w:jc w:val="both"/>
        <w:rPr>
          <w:rFonts w:ascii="Calibri Light" w:cs="Calibri Light"/>
          <w:sz w:val="24"/>
          <w:szCs w:val="24"/>
        </w:rPr>
      </w:pPr>
      <w:r>
        <w:rPr>
          <w:rFonts w:ascii="Calibri Light" w:cs="Calibri Light"/>
          <w:sz w:val="24"/>
          <w:szCs w:val="24"/>
        </w:rPr>
        <w:t>The study of normative legal research is concerned with the discovery, development, and application of legal principles through legal studies and law. The normative research para-</w:t>
      </w:r>
      <w:proofErr w:type="spellStart"/>
      <w:r>
        <w:rPr>
          <w:rFonts w:ascii="Calibri Light" w:cs="Calibri Light"/>
          <w:sz w:val="24"/>
          <w:szCs w:val="24"/>
        </w:rPr>
        <w:t>digm</w:t>
      </w:r>
      <w:proofErr w:type="spellEnd"/>
      <w:r>
        <w:rPr>
          <w:rFonts w:ascii="Calibri Light" w:cs="Calibri Light"/>
          <w:sz w:val="24"/>
          <w:szCs w:val="24"/>
        </w:rPr>
        <w:t xml:space="preserve"> is employed in this study to conduct textual research on primary legal materials (leg-</w:t>
      </w:r>
      <w:proofErr w:type="spellStart"/>
      <w:r>
        <w:rPr>
          <w:rFonts w:ascii="Calibri Light" w:cs="Calibri Light"/>
          <w:sz w:val="24"/>
          <w:szCs w:val="24"/>
        </w:rPr>
        <w:t>islation</w:t>
      </w:r>
      <w:proofErr w:type="spellEnd"/>
      <w:r>
        <w:rPr>
          <w:rFonts w:ascii="Calibri Light" w:cs="Calibri Light"/>
          <w:sz w:val="24"/>
          <w:szCs w:val="24"/>
        </w:rPr>
        <w:t>) and secondary legal materials (</w:t>
      </w:r>
      <w:commentRangeStart w:id="5"/>
      <w:r>
        <w:rPr>
          <w:rFonts w:ascii="Calibri Light" w:cs="Calibri Light"/>
          <w:sz w:val="24"/>
          <w:szCs w:val="24"/>
        </w:rPr>
        <w:t xml:space="preserve">books, journals, and research reports). </w:t>
      </w:r>
      <w:commentRangeEnd w:id="5"/>
      <w:r w:rsidR="005240F8">
        <w:rPr>
          <w:rStyle w:val="CommentReference"/>
        </w:rPr>
        <w:commentReference w:id="5"/>
      </w:r>
      <w:r>
        <w:rPr>
          <w:rFonts w:ascii="Calibri Light" w:cs="Calibri Light"/>
          <w:sz w:val="24"/>
          <w:szCs w:val="24"/>
        </w:rPr>
        <w:t>This research is also a blend of theoretical, legal, and legal approaches. Using qualitative methods that are descriptive in nature, the research findings are presented.</w:t>
      </w:r>
    </w:p>
    <w:p w14:paraId="068142C8" w14:textId="77777777" w:rsidR="00AD5EA3" w:rsidRDefault="00AD5EA3">
      <w:pPr>
        <w:spacing w:before="120" w:after="120"/>
        <w:ind w:left="426"/>
        <w:jc w:val="both"/>
        <w:rPr>
          <w:rFonts w:ascii="Calibri Light" w:cs="Calibri Light"/>
          <w:color w:val="FF0000"/>
          <w:sz w:val="24"/>
          <w:szCs w:val="24"/>
          <w:lang w:val="id-ID"/>
        </w:rPr>
      </w:pPr>
    </w:p>
    <w:p w14:paraId="27EBA695" w14:textId="77777777" w:rsidR="00AD5EA3" w:rsidRDefault="00252506">
      <w:pPr>
        <w:spacing w:before="120" w:after="120"/>
        <w:rPr>
          <w:rFonts w:ascii="Calibri Light" w:cs="Calibri Light"/>
          <w:b/>
          <w:sz w:val="24"/>
          <w:szCs w:val="24"/>
          <w:lang w:val="id-ID"/>
        </w:rPr>
      </w:pPr>
      <w:r>
        <w:rPr>
          <w:rFonts w:ascii="Calibri Light" w:cs="Calibri Light"/>
          <w:b/>
          <w:sz w:val="24"/>
          <w:szCs w:val="24"/>
          <w:lang w:val="id-ID"/>
        </w:rPr>
        <w:t>I</w:t>
      </w:r>
      <w:r>
        <w:rPr>
          <w:rFonts w:ascii="Calibri Light" w:cs="Calibri Light"/>
          <w:b/>
          <w:sz w:val="24"/>
          <w:szCs w:val="24"/>
        </w:rPr>
        <w:t>II</w:t>
      </w:r>
      <w:r>
        <w:rPr>
          <w:rFonts w:ascii="Calibri Light" w:cs="Calibri Light"/>
          <w:b/>
          <w:sz w:val="24"/>
          <w:szCs w:val="24"/>
          <w:lang w:val="id-ID"/>
        </w:rPr>
        <w:t>.  RESULT AND DISCUSSION</w:t>
      </w:r>
    </w:p>
    <w:p w14:paraId="16627740" w14:textId="77777777" w:rsidR="00AD5EA3" w:rsidRDefault="00252506">
      <w:pPr>
        <w:pStyle w:val="ListParagraph"/>
        <w:widowControl w:val="0"/>
        <w:autoSpaceDE w:val="0"/>
        <w:autoSpaceDN w:val="0"/>
        <w:spacing w:before="240" w:after="0" w:line="240" w:lineRule="auto"/>
        <w:ind w:left="360"/>
        <w:jc w:val="both"/>
        <w:rPr>
          <w:rFonts w:ascii="Calibri Light" w:cs="Calibri Light"/>
          <w:b/>
          <w:color w:val="000000"/>
          <w:sz w:val="24"/>
          <w:szCs w:val="24"/>
        </w:rPr>
      </w:pPr>
      <w:r>
        <w:rPr>
          <w:rFonts w:ascii="Calibri Light" w:cs="Calibri Light"/>
          <w:b/>
          <w:color w:val="000000"/>
          <w:w w:val="105"/>
          <w:sz w:val="24"/>
          <w:szCs w:val="24"/>
        </w:rPr>
        <w:t xml:space="preserve">Constitutionality </w:t>
      </w:r>
      <w:r>
        <w:rPr>
          <w:rFonts w:ascii="Calibri Light" w:cs="Calibri Light"/>
          <w:b/>
          <w:color w:val="000000"/>
          <w:w w:val="105"/>
          <w:sz w:val="24"/>
          <w:szCs w:val="24"/>
          <w:lang w:val="en-US" w:eastAsia="en-ID"/>
        </w:rPr>
        <w:t>o</w:t>
      </w:r>
      <w:r>
        <w:rPr>
          <w:rFonts w:ascii="Calibri Light" w:cs="Calibri Light"/>
          <w:b/>
          <w:color w:val="000000"/>
          <w:w w:val="105"/>
          <w:sz w:val="24"/>
          <w:szCs w:val="24"/>
        </w:rPr>
        <w:t xml:space="preserve">f </w:t>
      </w:r>
      <w:r>
        <w:rPr>
          <w:rFonts w:ascii="Calibri Light" w:cs="Calibri Light"/>
          <w:b/>
          <w:color w:val="000000"/>
          <w:w w:val="105"/>
          <w:sz w:val="24"/>
          <w:szCs w:val="24"/>
          <w:lang w:val="en-US" w:eastAsia="en-ID"/>
        </w:rPr>
        <w:t>t</w:t>
      </w:r>
      <w:r>
        <w:rPr>
          <w:rFonts w:ascii="Calibri Light" w:cs="Calibri Light"/>
          <w:b/>
          <w:color w:val="000000"/>
          <w:w w:val="105"/>
          <w:sz w:val="24"/>
          <w:szCs w:val="24"/>
        </w:rPr>
        <w:t>he Bicameral Sy</w:t>
      </w:r>
      <w:r>
        <w:rPr>
          <w:rFonts w:ascii="Calibri Light" w:cs="Calibri Light"/>
          <w:b/>
          <w:color w:val="000000"/>
          <w:w w:val="105"/>
          <w:sz w:val="24"/>
          <w:szCs w:val="24"/>
          <w:lang w:val="en-US" w:eastAsia="en-ID"/>
        </w:rPr>
        <w:t>s</w:t>
      </w:r>
      <w:r>
        <w:rPr>
          <w:rFonts w:ascii="Calibri Light" w:cs="Calibri Light"/>
          <w:b/>
          <w:color w:val="000000"/>
          <w:w w:val="105"/>
          <w:sz w:val="24"/>
          <w:szCs w:val="24"/>
        </w:rPr>
        <w:t xml:space="preserve">tem </w:t>
      </w:r>
      <w:r>
        <w:rPr>
          <w:rFonts w:ascii="Calibri Light" w:cs="Calibri Light"/>
          <w:b/>
          <w:color w:val="000000"/>
          <w:w w:val="105"/>
          <w:sz w:val="24"/>
          <w:szCs w:val="24"/>
          <w:lang w:val="en-US" w:eastAsia="en-ID"/>
        </w:rPr>
        <w:t>i</w:t>
      </w:r>
      <w:r>
        <w:rPr>
          <w:rFonts w:ascii="Calibri Light" w:cs="Calibri Light"/>
          <w:b/>
          <w:color w:val="000000"/>
          <w:w w:val="105"/>
          <w:sz w:val="24"/>
          <w:szCs w:val="24"/>
        </w:rPr>
        <w:t xml:space="preserve">n Parliamentary Power </w:t>
      </w:r>
      <w:r>
        <w:rPr>
          <w:rFonts w:ascii="Calibri Light" w:cs="Calibri Light"/>
          <w:b/>
          <w:color w:val="000000"/>
          <w:w w:val="105"/>
          <w:sz w:val="24"/>
          <w:szCs w:val="24"/>
          <w:lang w:val="en-US" w:eastAsia="en-ID"/>
        </w:rPr>
        <w:t>i</w:t>
      </w:r>
      <w:r>
        <w:rPr>
          <w:rFonts w:ascii="Calibri Light" w:cs="Calibri Light"/>
          <w:b/>
          <w:color w:val="000000"/>
          <w:w w:val="105"/>
          <w:sz w:val="24"/>
          <w:szCs w:val="24"/>
        </w:rPr>
        <w:t>n Indonesia</w:t>
      </w:r>
    </w:p>
    <w:p w14:paraId="5A8592E9"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The 1945 Constitution formed a new structure in the DPR RI by establishing the Constituent Assembly (DPD) as the second chamber and the DPR as the first chamber, following the third amendment. DPD members are elected directly by individuals in general elections, with a maximum of four representatives per province, based on a district (provincial) system. The DPD is unable to fulfill the anticipated functions and authorities due to the constitutional authority. This is elucidated by the provisions of Article 22 D of the 1945 Constitution, which are as follows:</w:t>
      </w:r>
    </w:p>
    <w:p w14:paraId="5161EB7B" w14:textId="77777777" w:rsidR="00AD5EA3" w:rsidRDefault="00252506">
      <w:pPr>
        <w:pStyle w:val="Heading1"/>
        <w:ind w:left="450"/>
        <w:jc w:val="center"/>
        <w:rPr>
          <w:rFonts w:ascii="Calibri Light" w:cs="Calibri Light"/>
          <w:sz w:val="24"/>
          <w:szCs w:val="24"/>
        </w:rPr>
      </w:pPr>
      <w:r>
        <w:rPr>
          <w:rFonts w:ascii="Calibri Light" w:cs="Calibri Light"/>
          <w:sz w:val="24"/>
          <w:szCs w:val="24"/>
        </w:rPr>
        <w:t>Table 1. Disparity in Lawmaking Authority Between the DPD and the DPR in the 1945 Constitution</w:t>
      </w:r>
    </w:p>
    <w:tbl>
      <w:tblPr>
        <w:tblW w:w="8730"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10"/>
        <w:gridCol w:w="4520"/>
      </w:tblGrid>
      <w:tr w:rsidR="00AD5EA3" w14:paraId="52F8627E" w14:textId="77777777">
        <w:trPr>
          <w:trHeight w:val="370"/>
        </w:trPr>
        <w:tc>
          <w:tcPr>
            <w:tcW w:w="4210" w:type="dxa"/>
            <w:shd w:val="clear" w:color="auto" w:fill="EEECE1"/>
          </w:tcPr>
          <w:p w14:paraId="3493AAAC" w14:textId="77777777" w:rsidR="00AD5EA3" w:rsidRDefault="00252506">
            <w:pPr>
              <w:ind w:left="29"/>
              <w:jc w:val="center"/>
              <w:rPr>
                <w:rFonts w:ascii="Calibri Light" w:cs="Calibri Light"/>
                <w:b/>
                <w:color w:val="000000"/>
                <w:sz w:val="24"/>
                <w:szCs w:val="24"/>
              </w:rPr>
            </w:pPr>
            <w:r>
              <w:rPr>
                <w:rFonts w:ascii="Calibri Light" w:cs="Calibri Light"/>
                <w:b/>
                <w:color w:val="000000"/>
                <w:sz w:val="24"/>
                <w:szCs w:val="24"/>
              </w:rPr>
              <w:t>Regional Representative Council</w:t>
            </w:r>
          </w:p>
        </w:tc>
        <w:tc>
          <w:tcPr>
            <w:tcW w:w="4520" w:type="dxa"/>
            <w:shd w:val="clear" w:color="auto" w:fill="EEECE1"/>
          </w:tcPr>
          <w:p w14:paraId="20074BEC" w14:textId="77777777" w:rsidR="00AD5EA3" w:rsidRDefault="00252506">
            <w:pPr>
              <w:ind w:left="29"/>
              <w:jc w:val="center"/>
              <w:rPr>
                <w:rFonts w:ascii="Calibri Light" w:cs="Calibri Light"/>
                <w:b/>
                <w:color w:val="000000"/>
                <w:sz w:val="24"/>
                <w:szCs w:val="24"/>
              </w:rPr>
            </w:pPr>
            <w:r>
              <w:rPr>
                <w:rFonts w:ascii="Calibri Light" w:cs="Calibri Light"/>
                <w:b/>
                <w:color w:val="000000"/>
                <w:sz w:val="24"/>
                <w:szCs w:val="24"/>
              </w:rPr>
              <w:t>People's Representative Council</w:t>
            </w:r>
          </w:p>
        </w:tc>
      </w:tr>
      <w:tr w:rsidR="00AD5EA3" w14:paraId="4533CD0E" w14:textId="77777777">
        <w:trPr>
          <w:trHeight w:val="1408"/>
        </w:trPr>
        <w:tc>
          <w:tcPr>
            <w:tcW w:w="4210" w:type="dxa"/>
          </w:tcPr>
          <w:p w14:paraId="1DE759BC"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lastRenderedPageBreak/>
              <w:t>Paragraph (1) Article 22D: The Second Chamber (DPD) has the authority to propose to the First Chamber (DPR) model laws relating to division, relations between countries, creation, expansion and consolidation of territories, natural and economic management. resource. Other resources and economic balance between countries.</w:t>
            </w:r>
          </w:p>
          <w:p w14:paraId="4F6A5298"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t>Paragraph (2) of Article 22D: The Second Chamber is also granted the opportunity to deliberate and evaluate model laws that pertain to the structure, expansion, and consolidation of borders, as well as environmental management, life resources, and other economic resources. and the economic equilibrium between the central region and the regions. In addition, the second chamber is the first chamber to address proposed bills related to the federal budget and spending bills, as well as laws pertaining to taxation, education, and trust.</w:t>
            </w:r>
          </w:p>
          <w:p w14:paraId="3CEF6E21"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t>Paragraph (3) of Article 22D: The Second Chamber is authorized to oversee the implementation of laws and regulations that pertain to the management of natural resources, the formation, expansion, and consolidation of regions, the balance of funds between central and regional levels, budget implementation and government spending, taxation, education, and religion. The Public Communications Commission will receive the monitoring results for further evaluation.</w:t>
            </w:r>
          </w:p>
        </w:tc>
        <w:tc>
          <w:tcPr>
            <w:tcW w:w="4520" w:type="dxa"/>
          </w:tcPr>
          <w:p w14:paraId="4860CAD2"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(1) Article 20: The People's Representative Council (DPR) has the right to form laws.</w:t>
            </w:r>
          </w:p>
          <w:p w14:paraId="4451A42B"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(2) Article 20: Every plan proposed for approval must be discussed and evaluated in the Assembly and the Executive.</w:t>
            </w:r>
          </w:p>
          <w:p w14:paraId="0B13E336"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 xml:space="preserve">Paragraph (1) Article 20 A: DPR has the right to make laws, finance and conduct audits. Article 21: Members of the first assembly have the power to formulate legislative </w:t>
            </w:r>
            <w:commentRangeStart w:id="6"/>
            <w:r>
              <w:rPr>
                <w:rFonts w:ascii="Calibri Light" w:cs="Calibri Light"/>
                <w:color w:val="000000"/>
                <w:sz w:val="24"/>
                <w:szCs w:val="24"/>
                <w:lang w:val="zh-CN" w:eastAsia="en-ID"/>
              </w:rPr>
              <w:t>plans</w:t>
            </w:r>
            <w:commentRangeEnd w:id="6"/>
            <w:r w:rsidR="002019C5">
              <w:rPr>
                <w:rStyle w:val="CommentReference"/>
                <w:rFonts w:ascii="Times New Roman" w:cs="Times New Roman"/>
                <w:lang w:val="en-US" w:eastAsia="en-GB"/>
              </w:rPr>
              <w:commentReference w:id="6"/>
            </w:r>
            <w:r>
              <w:rPr>
                <w:rFonts w:ascii="Calibri Light" w:cs="Calibri Light"/>
                <w:color w:val="000000"/>
                <w:sz w:val="24"/>
                <w:szCs w:val="24"/>
                <w:lang w:val="zh-CN" w:eastAsia="en-ID"/>
              </w:rPr>
              <w:t>.</w:t>
            </w:r>
          </w:p>
          <w:p w14:paraId="15003D13" w14:textId="77777777" w:rsidR="00AD5EA3" w:rsidRDefault="00AD5EA3">
            <w:pPr>
              <w:ind w:left="89" w:right="187"/>
              <w:jc w:val="both"/>
              <w:rPr>
                <w:rFonts w:ascii="Calibri Light" w:cs="Calibri Light"/>
                <w:color w:val="000000"/>
                <w:sz w:val="24"/>
                <w:szCs w:val="24"/>
                <w:lang w:val="zh-CN"/>
              </w:rPr>
            </w:pPr>
          </w:p>
        </w:tc>
      </w:tr>
    </w:tbl>
    <w:p w14:paraId="6F4E730A" w14:textId="77777777" w:rsidR="00AD5EA3" w:rsidRDefault="00252506">
      <w:pPr>
        <w:ind w:left="360"/>
        <w:rPr>
          <w:rFonts w:ascii="Calibri Light" w:cs="Calibri Light"/>
          <w:color w:val="000000"/>
          <w:sz w:val="24"/>
          <w:szCs w:val="24"/>
        </w:rPr>
      </w:pPr>
      <w:r>
        <w:rPr>
          <w:rFonts w:ascii="Calibri Light" w:cs="Calibri Light"/>
          <w:color w:val="000000"/>
          <w:sz w:val="24"/>
          <w:szCs w:val="24"/>
        </w:rPr>
        <w:t>Source: Primary Legal Materials</w:t>
      </w:r>
    </w:p>
    <w:p w14:paraId="2FA0487C"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lastRenderedPageBreak/>
        <w:t xml:space="preserve">In this context, when it comes to legal rights, the terms used for the other chambers are </w:t>
      </w:r>
      <w:r>
        <w:rPr>
          <w:rFonts w:ascii="Calibri Light" w:cs="Calibri Light"/>
          <w:color w:val="000000"/>
          <w:sz w:val="24"/>
          <w:szCs w:val="24"/>
        </w:rPr>
        <w:t>“</w:t>
      </w:r>
      <w:r>
        <w:rPr>
          <w:rFonts w:ascii="Calibri Light" w:cs="Calibri Light"/>
          <w:color w:val="000000"/>
          <w:sz w:val="24"/>
          <w:szCs w:val="24"/>
        </w:rPr>
        <w:t>legislative</w:t>
      </w:r>
      <w:r>
        <w:rPr>
          <w:rFonts w:ascii="Calibri Light" w:cs="Calibri Light"/>
          <w:color w:val="000000"/>
          <w:sz w:val="24"/>
          <w:szCs w:val="24"/>
        </w:rPr>
        <w:t>”</w:t>
      </w:r>
      <w:r>
        <w:rPr>
          <w:rFonts w:ascii="Calibri Light" w:cs="Calibri Light"/>
          <w:color w:val="000000"/>
          <w:sz w:val="24"/>
          <w:szCs w:val="24"/>
        </w:rPr>
        <w:t xml:space="preserve"> and </w:t>
      </w:r>
      <w:r>
        <w:rPr>
          <w:rFonts w:ascii="Calibri Light" w:cs="Calibri Light"/>
          <w:color w:val="000000"/>
          <w:sz w:val="24"/>
          <w:szCs w:val="24"/>
        </w:rPr>
        <w:t>“</w:t>
      </w:r>
      <w:r>
        <w:rPr>
          <w:rFonts w:ascii="Calibri Light" w:cs="Calibri Light"/>
          <w:color w:val="000000"/>
          <w:sz w:val="24"/>
          <w:szCs w:val="24"/>
        </w:rPr>
        <w:t>participating in discussions</w:t>
      </w:r>
      <w:r>
        <w:rPr>
          <w:rFonts w:ascii="Calibri Light" w:cs="Calibri Light"/>
          <w:color w:val="000000"/>
          <w:sz w:val="24"/>
          <w:szCs w:val="24"/>
        </w:rPr>
        <w:t>”</w:t>
      </w:r>
      <w:r>
        <w:rPr>
          <w:rFonts w:ascii="Calibri Light" w:cs="Calibri Light"/>
          <w:color w:val="000000"/>
          <w:sz w:val="24"/>
          <w:szCs w:val="24"/>
        </w:rPr>
        <w:t>. This literally means that the second chamber does not have legislative power and is not directly involved in passing draft laws, thus indicating that this power is ineffective. This is contrary to paragraph (1) of Article 20 which states that the First Assembly, apart from financial and administrative powers, has the power to make laws (paragraph (1) of Article 20A).</w:t>
      </w:r>
    </w:p>
    <w:p w14:paraId="33098EA5"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framework governing law-making powers as delineated in the constitution is inextricably linked to the amendment process of the 1945 Constitution, which has been executed through addendums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{"citationItems":[{"id":"ITEM-1","itemData":{"ISSN":"2337-5418","author":[{"dropping-particle":"","family":"Akbarrudin","given":"Adika","non-dropping-particle":"","parse-names":false,"suffix":""}],"container-title":"Pandecta Research Law Journal","id":"ITEM-1","issue":"1","issued":{"date-parts":[["2013"]]},"page":"52-66","title":"Pelaksanaan Fungsi Legislasi DPR RI dan DPD RI Pasca Amandemen UUD 1945","type":"article-journal","volume":"8"},"uris":["http://www.mendeley.com/documents/?uuid=f8bf965e-f5b9-4d00-8b15-72ab15564ed6"]}],"mendeley":{"formattedCitation":"(Akbarrudin, 2013)","plainTextFormattedCitation":"(Akbarrudin, 2013)","previouslyFormattedCitation":"Adika Akbarrudin, </w:instrText>
      </w:r>
      <w:r>
        <w:rPr>
          <w:rFonts w:ascii="Calibri Light" w:cs="Calibri Light"/>
          <w:sz w:val="24"/>
          <w:szCs w:val="24"/>
        </w:rPr>
        <w:instrText>“</w:instrText>
      </w:r>
      <w:r>
        <w:rPr>
          <w:rFonts w:ascii="Calibri Light" w:cs="Calibri Light"/>
          <w:sz w:val="24"/>
          <w:szCs w:val="24"/>
        </w:rPr>
        <w:instrText>Pelaksanaan Fungsi Legislasi DPR RI Dan DPD RI Pasca Amandemen UUD 1945,</w:instrText>
      </w:r>
      <w:r>
        <w:rPr>
          <w:rFonts w:ascii="Calibri Light" w:cs="Calibri Light"/>
          <w:sz w:val="24"/>
          <w:szCs w:val="24"/>
        </w:rPr>
        <w:instrText>”</w:instrText>
      </w:r>
      <w:r>
        <w:rPr>
          <w:rFonts w:ascii="Calibri Light" w:cs="Calibri Light"/>
          <w:sz w:val="24"/>
          <w:szCs w:val="24"/>
        </w:rPr>
        <w:instrText xml:space="preserve"> &lt;i&gt;Pandecta Research Law Journal&lt;/i&gt; 8, no. 1 (2013): 52</w:instrText>
      </w:r>
      <w:r>
        <w:rPr>
          <w:rFonts w:ascii="Calibri Light" w:cs="Calibri Light"/>
          <w:sz w:val="24"/>
          <w:szCs w:val="24"/>
        </w:rPr>
        <w:instrText>–</w:instrText>
      </w:r>
      <w:r>
        <w:rPr>
          <w:rFonts w:ascii="Calibri Light" w:cs="Calibri Light"/>
          <w:sz w:val="24"/>
          <w:szCs w:val="24"/>
        </w:rPr>
        <w:instrText>66."},"properties":{"noteIndex":0},"schema":"https://github.com/citation-style-language/schema/raw/master/csl-citation.json"}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(Akbarrudin, 2013)</w:t>
      </w:r>
      <w:r>
        <w:rPr>
          <w:rFonts w:ascii="Calibri Light" w:cs="Calibri Light"/>
          <w:sz w:val="24"/>
          <w:szCs w:val="24"/>
        </w:rPr>
        <w:fldChar w:fldCharType="end"/>
      </w:r>
      <w:r>
        <w:rPr>
          <w:rFonts w:ascii="Calibri Light" w:cs="Calibri Light"/>
          <w:color w:val="000000"/>
          <w:sz w:val="24"/>
          <w:szCs w:val="24"/>
        </w:rPr>
        <w:t xml:space="preserve">, thereby preserving the integrity of the original text. Consequently, the modifications to the 1945 Constitution are inherently linked to the original text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{"citationItems":[{"id":"ITEM-1","itemData":{"DOI":"10.31078/jk1526","ISSN":"2548-1657","author":[{"dropping-particle":"","family":"Yani","given":"Ahmad","non-dropping-particle":"","parse-names":false,"suffix":""}],"container-title":"Jurnal Konstitusi","id":"ITEM-1","issue":"2","issued":{"date-parts":[["2018"]]},"page":"348-368","title":"Analisis Kontruksi Struktural dan Kewenangan DPR dalam Fungsi Legislasi Berdasarkan Undang-Undang Dasar 1945","type":"article-journal","volume":"15"},"uris":["http://www.mendeley.com/documents/?uuid=214e2af0-d53a-4c71-998c-295b6876f3d7"]}],"mendeley":{"formattedCitation":"(Yani, 2018)","plainTextFormattedCitation":"(Yani, 2018)","previouslyFormattedCitation":"Ahmad Yani, </w:instrText>
      </w:r>
      <w:r>
        <w:rPr>
          <w:rFonts w:ascii="Calibri Light" w:cs="Calibri Light"/>
          <w:sz w:val="24"/>
          <w:szCs w:val="24"/>
        </w:rPr>
        <w:instrText>“</w:instrText>
      </w:r>
      <w:r>
        <w:rPr>
          <w:rFonts w:ascii="Calibri Light" w:cs="Calibri Light"/>
          <w:sz w:val="24"/>
          <w:szCs w:val="24"/>
        </w:rPr>
        <w:instrText>Analisis Kontruksi Struktural Dan Kewenangan DPR Dalam Fungsi Legislasi Berdasarkan Undang-Undang Dasar 1945,</w:instrText>
      </w:r>
      <w:r>
        <w:rPr>
          <w:rFonts w:ascii="Calibri Light" w:cs="Calibri Light"/>
          <w:sz w:val="24"/>
          <w:szCs w:val="24"/>
        </w:rPr>
        <w:instrText>”</w:instrText>
      </w:r>
      <w:r>
        <w:rPr>
          <w:rFonts w:ascii="Calibri Light" w:cs="Calibri Light"/>
          <w:sz w:val="24"/>
          <w:szCs w:val="24"/>
        </w:rPr>
        <w:instrText xml:space="preserve"> &lt;i&gt;Jurnal Konstitusi&lt;/i&gt; 15, no. 2 (2018): 348</w:instrText>
      </w:r>
      <w:r>
        <w:rPr>
          <w:rFonts w:ascii="Calibri Light" w:cs="Calibri Light"/>
          <w:sz w:val="24"/>
          <w:szCs w:val="24"/>
        </w:rPr>
        <w:instrText>–</w:instrText>
      </w:r>
      <w:r>
        <w:rPr>
          <w:rFonts w:ascii="Calibri Light" w:cs="Calibri Light"/>
          <w:sz w:val="24"/>
          <w:szCs w:val="24"/>
        </w:rPr>
        <w:instrText>68, https://doi.org/10.31078/jk1526."},"properties":{"noteIndex":0},"schema":"https://github.com/citation-style-language/schema/raw/master/csl-citation.json"}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(Yani, 2018)</w:t>
      </w:r>
      <w:r>
        <w:rPr>
          <w:rFonts w:ascii="Calibri Light" w:cs="Calibri Light"/>
          <w:sz w:val="24"/>
          <w:szCs w:val="24"/>
        </w:rPr>
        <w:fldChar w:fldCharType="end"/>
      </w:r>
      <w:r>
        <w:rPr>
          <w:rFonts w:ascii="Calibri Light" w:cs="Calibri Light"/>
          <w:color w:val="000000"/>
          <w:sz w:val="24"/>
          <w:szCs w:val="24"/>
        </w:rPr>
        <w:t xml:space="preserve">. This approach delineates the rights and powers of the initial assembly as articulated in the First and Second Amendments, reflecting the prevailing political intentions of the majority of the framers who sought to avoid the establishment of a robust bicameral system within the parliamentary framework. The DPD is designed not to serve as a second chamber; instead, it aims to enhance the regional representation that was established in the Constitution prior to the amendment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{"citationItems":[{"id":"ITEM-1","itemData":{"ISSN":"2614-2228","author":[{"dropping-particle":"","family":"Susilowati","given":"Eny","non-dropping-particle":"","parse-names":false,"suffix":""}],"container-title":"MORALITY: Jurnal Ilmu Hukum","id":"ITEM-1","issue":"2","issued":{"date-parts":[["2017"]]},"page":"193-206","title":"Kelumpuhan Dewan Perwakilan Daerah dalam Proses Legislasi di Indonesia","type":"article-journal","volume":"2"},"uris":["http://www.mendeley.com/documents/?uuid=80fe2234-1f98-420c-92fc-4d26f811bc29"]}],"mendeley":{"formattedCitation":"(Susilowati, 2017)","plainTextFormattedCitation":"(Susilowati, 2017)","previouslyFormattedCitation":"Eny Susilowati, </w:instrText>
      </w:r>
      <w:r>
        <w:rPr>
          <w:rFonts w:ascii="Calibri Light" w:cs="Calibri Light"/>
          <w:sz w:val="24"/>
          <w:szCs w:val="24"/>
        </w:rPr>
        <w:instrText>“</w:instrText>
      </w:r>
      <w:r>
        <w:rPr>
          <w:rFonts w:ascii="Calibri Light" w:cs="Calibri Light"/>
          <w:sz w:val="24"/>
          <w:szCs w:val="24"/>
        </w:rPr>
        <w:instrText>Kelumpuhan Dewan Perwakilan Daerah Dalam Proses Legislasi Di Indonesia,</w:instrText>
      </w:r>
      <w:r>
        <w:rPr>
          <w:rFonts w:ascii="Calibri Light" w:cs="Calibri Light"/>
          <w:sz w:val="24"/>
          <w:szCs w:val="24"/>
        </w:rPr>
        <w:instrText>”</w:instrText>
      </w:r>
      <w:r>
        <w:rPr>
          <w:rFonts w:ascii="Calibri Light" w:cs="Calibri Light"/>
          <w:sz w:val="24"/>
          <w:szCs w:val="24"/>
        </w:rPr>
        <w:instrText xml:space="preserve"> &lt;i&gt;MORALITY: Jurnal Ilmu Hukum&lt;/i&gt; 2, no. 2 (2017): 193</w:instrText>
      </w:r>
      <w:r>
        <w:rPr>
          <w:rFonts w:ascii="Calibri Light" w:cs="Calibri Light"/>
          <w:sz w:val="24"/>
          <w:szCs w:val="24"/>
        </w:rPr>
        <w:instrText>–</w:instrText>
      </w:r>
      <w:r>
        <w:rPr>
          <w:rFonts w:ascii="Calibri Light" w:cs="Calibri Light"/>
          <w:sz w:val="24"/>
          <w:szCs w:val="24"/>
        </w:rPr>
        <w:instrText>206."},"properties":{"noteIndex":0},"schema":"https://github.com/citation-style-language/schema/raw/master/csl-citation.json"}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(Susilowati, 2017)</w:t>
      </w:r>
      <w:r>
        <w:rPr>
          <w:rFonts w:ascii="Calibri Light" w:cs="Calibri Light"/>
          <w:sz w:val="24"/>
          <w:szCs w:val="24"/>
        </w:rPr>
        <w:fldChar w:fldCharType="end"/>
      </w:r>
      <w:r>
        <w:rPr>
          <w:rFonts w:ascii="Calibri Light" w:cs="Calibri Light"/>
          <w:color w:val="000000"/>
          <w:sz w:val="24"/>
          <w:szCs w:val="24"/>
        </w:rPr>
        <w:t>.</w:t>
      </w:r>
    </w:p>
    <w:p w14:paraId="10B2225E"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Examining the records of the 1945 constitutional reform debate, conducted between 1999 and 2002, provides insight into the ideological dynamics of each faction within the MPR during that period. Certain factions advocate for a balanced bicameral system, positioning the DPD as a counterweight to the DPR, whereas other factions prefer the DPR to retain its status as the preeminent legislative authority. Nonetheless, the predominant sentiment among the PAH I MPR-RI faction during the 1999-2004 period was one of hesitance regarding the allocation of equal authority to both houses, stemming from concerns that the DPD might disrupt the legislative proceedings of the DPR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{"citationItems":[{"id":"ITEM-1","itemData":{"DOI":"10.20885/iustum.vol15.iss1.art7","ISSN":"2527-502X","author":[{"dropping-particle":"","family":"Marzuki","given":"Masnur","non-dropping-particle":"","parse-names":false,"suffix":""}],"container-title":"Jurnal Hukum Ius Quia Iustum","id":"ITEM-1","issue":"1","issued":{"date-parts":[["2008"]]},"page":"81-100","title":"Analisis Kontestasi Kelembagaan DPD dan Upaya Mengefektifkan Keberadaannya","type":"article-journal","volume":"15"},"uris":["http://www.mendeley.com/documents/?uuid=08292f79-a6db-4457-baa7-92f06d173680"]}],"mendeley":{"formattedCitation":"(Marzuki, 2008)","plainTextFormattedCitation":"(Marzuki, 2008)","previouslyFormattedCitation":"Masnur Marzuki, </w:instrText>
      </w:r>
      <w:r>
        <w:rPr>
          <w:rFonts w:ascii="Calibri Light" w:cs="Calibri Light"/>
          <w:sz w:val="24"/>
          <w:szCs w:val="24"/>
        </w:rPr>
        <w:instrText>“</w:instrText>
      </w:r>
      <w:r>
        <w:rPr>
          <w:rFonts w:ascii="Calibri Light" w:cs="Calibri Light"/>
          <w:sz w:val="24"/>
          <w:szCs w:val="24"/>
        </w:rPr>
        <w:instrText>Analisis Kontestasi Kelembagaan DPD Dan Upaya Mengefektifkan Keberadaannya,</w:instrText>
      </w:r>
      <w:r>
        <w:rPr>
          <w:rFonts w:ascii="Calibri Light" w:cs="Calibri Light"/>
          <w:sz w:val="24"/>
          <w:szCs w:val="24"/>
        </w:rPr>
        <w:instrText>”</w:instrText>
      </w:r>
      <w:r>
        <w:rPr>
          <w:rFonts w:ascii="Calibri Light" w:cs="Calibri Light"/>
          <w:sz w:val="24"/>
          <w:szCs w:val="24"/>
        </w:rPr>
        <w:instrText xml:space="preserve"> &lt;i&gt;Jurnal Hukum Ius Quia Iustum&lt;/i&gt; 15, no. 1 (2008): 81</w:instrText>
      </w:r>
      <w:r>
        <w:rPr>
          <w:rFonts w:ascii="Calibri Light" w:cs="Calibri Light"/>
          <w:sz w:val="24"/>
          <w:szCs w:val="24"/>
        </w:rPr>
        <w:instrText>–</w:instrText>
      </w:r>
      <w:r>
        <w:rPr>
          <w:rFonts w:ascii="Calibri Light" w:cs="Calibri Light"/>
          <w:sz w:val="24"/>
          <w:szCs w:val="24"/>
        </w:rPr>
        <w:instrText>100, https://doi.org/10.20885/iustum.vol15.iss1.art7."},"properties":{"noteIndex":0},"schema":"https://github.com/citation-style-language/schema/raw/master/csl-citation.json"}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(Marzuki, 2008)</w:t>
      </w:r>
      <w:r>
        <w:rPr>
          <w:rFonts w:ascii="Calibri Light" w:cs="Calibri Light"/>
          <w:sz w:val="24"/>
          <w:szCs w:val="24"/>
        </w:rPr>
        <w:fldChar w:fldCharType="end"/>
      </w:r>
      <w:r>
        <w:rPr>
          <w:rFonts w:ascii="Calibri Light" w:cs="Calibri Light"/>
          <w:color w:val="000000"/>
          <w:sz w:val="24"/>
          <w:szCs w:val="24"/>
        </w:rPr>
        <w:t xml:space="preserve">. The legislative framework, as delineated in Law Number 22 of 2003, reveals the limited authority of the Second Chamber, indicating that its role in the formulation of statutory regulations is predominantly one of adherence to constitutional provisions. In the context of legislative discussions regarding a bill, their function is confined to Level I debate, wherein they are permitted solely to express perspectives and provide responses that serve as preliminary contributions to the DPR and the Government, as stipulated in UU No. 22 of 2003 (Articles 42 and 43). On the other hand, Law No. 27 In 2009, the debate was slightly strengthened by allowing </w:t>
      </w:r>
      <w:commentRangeStart w:id="7"/>
      <w:r>
        <w:rPr>
          <w:rFonts w:ascii="Calibri Light" w:cs="Calibri Light"/>
          <w:color w:val="000000"/>
          <w:sz w:val="24"/>
          <w:szCs w:val="24"/>
        </w:rPr>
        <w:t>the Second Chamber to participate in discussions until the completion of the Level I debate</w:t>
      </w:r>
      <w:commentRangeEnd w:id="7"/>
      <w:r w:rsidR="002019C5">
        <w:rPr>
          <w:rStyle w:val="CommentReference"/>
        </w:rPr>
        <w:commentReference w:id="7"/>
      </w:r>
      <w:r>
        <w:rPr>
          <w:rFonts w:ascii="Calibri Light" w:cs="Calibri Light"/>
          <w:color w:val="000000"/>
          <w:sz w:val="24"/>
          <w:szCs w:val="24"/>
        </w:rPr>
        <w:t>, and the Second Chamber could not participate in Level II discussions with the First Chamber.</w:t>
      </w:r>
    </w:p>
    <w:p w14:paraId="1CDD1C22"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Chamber may offer a succinct opinion that has received approval from the Executive.  This matter will be deliberated upon.  The identical content is present in Law Number 12 of 2011 regarding the Preparation of Legislative Regulations, which articulates that the authority of the Second Chamber in deliberating on draft laws is confined solely to level I discussions and permits only succinct comments during the discourse. This pertains to the jurisdiction of parliament and does not necessitate ongoing consultations between parliament and the executive (Article 150 of Law No.27 of 2009). Law Number 2 of 2018, which serves as the second amendment to Law Number 17 of 2014 regarding </w:t>
      </w:r>
      <w:r>
        <w:rPr>
          <w:rFonts w:ascii="Calibri Light" w:cs="Calibri Light"/>
          <w:color w:val="000000"/>
          <w:sz w:val="24"/>
          <w:szCs w:val="24"/>
        </w:rPr>
        <w:lastRenderedPageBreak/>
        <w:t>Representative Bodies, presents a comparative analysis of the authority held by the two chambers within the legislative process, as illustrated in the table below:</w:t>
      </w:r>
    </w:p>
    <w:p w14:paraId="698D0FBA" w14:textId="77777777" w:rsidR="00AD5EA3" w:rsidRDefault="00252506">
      <w:pPr>
        <w:pStyle w:val="Heading1"/>
        <w:ind w:left="360"/>
        <w:jc w:val="center"/>
        <w:rPr>
          <w:rFonts w:ascii="Calibri Light" w:cs="Calibri Light"/>
          <w:sz w:val="24"/>
          <w:szCs w:val="24"/>
        </w:rPr>
      </w:pPr>
      <w:r>
        <w:rPr>
          <w:rFonts w:ascii="Calibri Light" w:cs="Calibri Light"/>
          <w:spacing w:val="-1"/>
          <w:sz w:val="24"/>
          <w:szCs w:val="24"/>
        </w:rPr>
        <w:t>Table 2. Comparison of Law-Making Power Between Two Chambers on Law No. 2 of 2018</w:t>
      </w:r>
    </w:p>
    <w:tbl>
      <w:tblPr>
        <w:tblW w:w="8730"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18"/>
        <w:gridCol w:w="4412"/>
      </w:tblGrid>
      <w:tr w:rsidR="00AD5EA3" w14:paraId="575FA36C" w14:textId="77777777">
        <w:trPr>
          <w:trHeight w:val="433"/>
        </w:trPr>
        <w:tc>
          <w:tcPr>
            <w:tcW w:w="4318" w:type="dxa"/>
            <w:shd w:val="clear" w:color="auto" w:fill="EEECE1"/>
          </w:tcPr>
          <w:p w14:paraId="63A1486E" w14:textId="77777777" w:rsidR="00AD5EA3" w:rsidRDefault="00252506">
            <w:pPr>
              <w:pStyle w:val="TableParagraph"/>
              <w:ind w:left="142"/>
              <w:jc w:val="center"/>
              <w:rPr>
                <w:rFonts w:ascii="Calibri Light" w:cs="Calibri Light"/>
                <w:b/>
                <w:color w:val="000000"/>
                <w:sz w:val="24"/>
                <w:szCs w:val="24"/>
              </w:rPr>
            </w:pPr>
            <w:r>
              <w:rPr>
                <w:rFonts w:ascii="Calibri Light" w:cs="Calibri Light"/>
                <w:b/>
                <w:color w:val="000000"/>
                <w:sz w:val="24"/>
                <w:szCs w:val="24"/>
              </w:rPr>
              <w:t>Regional Representative Council</w:t>
            </w:r>
          </w:p>
        </w:tc>
        <w:tc>
          <w:tcPr>
            <w:tcW w:w="4412" w:type="dxa"/>
            <w:shd w:val="clear" w:color="auto" w:fill="EEECE1"/>
          </w:tcPr>
          <w:p w14:paraId="3D649973" w14:textId="77777777" w:rsidR="00AD5EA3" w:rsidRDefault="00252506">
            <w:pPr>
              <w:pStyle w:val="TableParagraph"/>
              <w:ind w:left="142"/>
              <w:jc w:val="center"/>
              <w:rPr>
                <w:rFonts w:ascii="Calibri Light" w:cs="Calibri Light"/>
                <w:b/>
                <w:color w:val="000000"/>
                <w:sz w:val="24"/>
                <w:szCs w:val="24"/>
              </w:rPr>
            </w:pPr>
            <w:r>
              <w:rPr>
                <w:rFonts w:ascii="Calibri Light" w:cs="Calibri Light"/>
                <w:b/>
                <w:color w:val="000000"/>
                <w:sz w:val="24"/>
                <w:szCs w:val="24"/>
              </w:rPr>
              <w:t>People's Representative Council</w:t>
            </w:r>
          </w:p>
        </w:tc>
      </w:tr>
      <w:tr w:rsidR="00AD5EA3" w14:paraId="2BBB9A33" w14:textId="77777777">
        <w:trPr>
          <w:trHeight w:val="277"/>
        </w:trPr>
        <w:tc>
          <w:tcPr>
            <w:tcW w:w="4318" w:type="dxa"/>
          </w:tcPr>
          <w:p w14:paraId="0B0D4D7D" w14:textId="77777777" w:rsidR="00AD5EA3" w:rsidRDefault="00252506">
            <w:pPr>
              <w:ind w:left="142"/>
              <w:jc w:val="both"/>
              <w:rPr>
                <w:rFonts w:ascii="Calibri Light" w:cs="Calibri Light"/>
                <w:color w:val="000000"/>
                <w:sz w:val="24"/>
                <w:szCs w:val="24"/>
              </w:rPr>
            </w:pPr>
            <w:r>
              <w:rPr>
                <w:rFonts w:ascii="Calibri Light" w:cs="Calibri Light"/>
                <w:color w:val="000000"/>
                <w:sz w:val="24"/>
                <w:szCs w:val="24"/>
              </w:rPr>
              <w:t>Article 249 paragraph (1): DPD has the following powers and duties:</w:t>
            </w:r>
          </w:p>
          <w:p w14:paraId="1862736D"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Decentralization, inter-governmental relations, regional formation, expansion and merger, management of natural resources and other economic resources, inter-governmental relations; to the First Congress.</w:t>
            </w:r>
          </w:p>
          <w:p w14:paraId="13F2ED39"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SM Take part in the debate on draft laws covering the topics listed in point a.</w:t>
            </w:r>
          </w:p>
          <w:p w14:paraId="69836844"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Prepare and submit an inventory of matters relating to legislation of the First Congress or the Executive Branch relating to matters referred to in paragraph (a).</w:t>
            </w:r>
          </w:p>
          <w:p w14:paraId="7143DA42"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Recommend to the First Congress the Regional Revenue and Expenditure Budget Bill (APBN), the Tax, Education and Religion Bill.</w:t>
            </w:r>
          </w:p>
          <w:p w14:paraId="531902D9" w14:textId="77777777" w:rsidR="00AD5EA3" w:rsidRDefault="00AD5EA3">
            <w:pPr>
              <w:pStyle w:val="ListParagraph"/>
              <w:ind w:left="142"/>
              <w:rPr>
                <w:rFonts w:ascii="Calibri Light" w:cs="Calibri Light"/>
                <w:color w:val="000000"/>
                <w:sz w:val="24"/>
                <w:szCs w:val="24"/>
                <w:lang w:val="zh-CN" w:eastAsia="en-ID"/>
              </w:rPr>
            </w:pPr>
          </w:p>
        </w:tc>
        <w:tc>
          <w:tcPr>
            <w:tcW w:w="4412" w:type="dxa"/>
          </w:tcPr>
          <w:p w14:paraId="018F15D4" w14:textId="77777777" w:rsidR="00AD5EA3" w:rsidRDefault="00252506">
            <w:pPr>
              <w:ind w:left="142"/>
              <w:jc w:val="both"/>
              <w:rPr>
                <w:rFonts w:ascii="Calibri Light" w:cs="Calibri Light"/>
                <w:color w:val="000000"/>
                <w:sz w:val="24"/>
                <w:szCs w:val="24"/>
              </w:rPr>
            </w:pPr>
            <w:r>
              <w:rPr>
                <w:rFonts w:ascii="Calibri Light" w:cs="Calibri Light"/>
                <w:color w:val="000000"/>
                <w:sz w:val="24"/>
                <w:szCs w:val="24"/>
              </w:rPr>
              <w:t>Article 71: The DPR has the following authorities:</w:t>
            </w:r>
          </w:p>
          <w:p w14:paraId="69451512"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Article 71: The drafting of laws must be discussed together with the Executive to obtain mutual approval.</w:t>
            </w:r>
          </w:p>
          <w:p w14:paraId="1A463014"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SM Approval or rejection of government regulations in lieu of laws proposed by the president as law.</w:t>
            </w:r>
          </w:p>
          <w:p w14:paraId="11AF3AB9"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Discussion of draft laws proposed by the President or DPR.</w:t>
            </w:r>
          </w:p>
          <w:p w14:paraId="0A6C7B51"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Discussing legislation in the second chamber regarding the management of natural resources and other economic resources, including decentralization, inter-governmental relations, regional formation, expansion and merger, as well as fiscal balance between governments.</w:t>
            </w:r>
          </w:p>
          <w:p w14:paraId="7EC37710"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Based on the opinion of the second chamber, it consults with the president and approves the draft national income and appropriations law proposed by the president.</w:t>
            </w:r>
          </w:p>
        </w:tc>
      </w:tr>
    </w:tbl>
    <w:p w14:paraId="571753E4" w14:textId="77777777" w:rsidR="00AD5EA3" w:rsidRDefault="00252506">
      <w:pPr>
        <w:ind w:left="360"/>
        <w:rPr>
          <w:rFonts w:ascii="Calibri Light" w:cs="Calibri Light"/>
          <w:color w:val="000000"/>
          <w:sz w:val="24"/>
          <w:szCs w:val="24"/>
        </w:rPr>
      </w:pPr>
      <w:r>
        <w:rPr>
          <w:rFonts w:ascii="Calibri Light" w:cs="Calibri Light"/>
          <w:color w:val="000000"/>
          <w:sz w:val="24"/>
          <w:szCs w:val="24"/>
        </w:rPr>
        <w:t>Source:</w:t>
      </w:r>
      <w:r>
        <w:rPr>
          <w:rFonts w:ascii="Calibri Light" w:cs="Calibri Light"/>
          <w:color w:val="000000"/>
          <w:spacing w:val="-4"/>
          <w:sz w:val="24"/>
          <w:szCs w:val="24"/>
        </w:rPr>
        <w:t xml:space="preserve"> </w:t>
      </w:r>
      <w:r>
        <w:rPr>
          <w:rFonts w:ascii="Calibri Light" w:cs="Calibri Light"/>
          <w:color w:val="000000"/>
          <w:sz w:val="24"/>
          <w:szCs w:val="24"/>
        </w:rPr>
        <w:t>Primary</w:t>
      </w:r>
      <w:r>
        <w:rPr>
          <w:rFonts w:ascii="Calibri Light" w:cs="Calibri Light"/>
          <w:color w:val="000000"/>
          <w:spacing w:val="-5"/>
          <w:sz w:val="24"/>
          <w:szCs w:val="24"/>
        </w:rPr>
        <w:t xml:space="preserve"> </w:t>
      </w:r>
      <w:r>
        <w:rPr>
          <w:rFonts w:ascii="Calibri Light" w:cs="Calibri Light"/>
          <w:color w:val="000000"/>
          <w:sz w:val="24"/>
          <w:szCs w:val="24"/>
        </w:rPr>
        <w:t>legal</w:t>
      </w:r>
      <w:r>
        <w:rPr>
          <w:rFonts w:ascii="Calibri Light" w:cs="Calibri Light"/>
          <w:color w:val="000000"/>
          <w:spacing w:val="-6"/>
          <w:sz w:val="24"/>
          <w:szCs w:val="24"/>
        </w:rPr>
        <w:t xml:space="preserve"> </w:t>
      </w:r>
      <w:r>
        <w:rPr>
          <w:rFonts w:ascii="Calibri Light" w:cs="Calibri Light"/>
          <w:color w:val="000000"/>
          <w:sz w:val="24"/>
          <w:szCs w:val="24"/>
        </w:rPr>
        <w:t>materials</w:t>
      </w:r>
    </w:p>
    <w:p w14:paraId="34FA48F7"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bicameral provisions in the law's formulation, as outlined in Law Number 15 of 2019 regarding amendments to Law Number 12 of 2011 and Law Number 2 of 2018, maintain a sense of balance. The existing legislation positions the Second Chamber as a participant alongside the President in the legislative process, though its function is constrained. The role of the second chamber in the legislative process is limited to the type of bill material and does not extend to the final approval stage. Nonetheless, the second chamber has demonstrated notable effectiveness in formulating a range of strategic policies. From its inception until 2015, the II assembly has made 518 decisions, which encompass 57 proposed bills and 148 monitoring results. Out of all the proposed bills, 25 have successfully become law. DPD's performance in the realm of legislation is improving; out of the 160 bills in the 2015-2019 </w:t>
      </w:r>
      <w:proofErr w:type="spellStart"/>
      <w:r>
        <w:rPr>
          <w:rFonts w:ascii="Calibri Light" w:cs="Calibri Light"/>
          <w:color w:val="000000"/>
          <w:sz w:val="24"/>
          <w:szCs w:val="24"/>
        </w:rPr>
        <w:t>Prolegnas</w:t>
      </w:r>
      <w:proofErr w:type="spellEnd"/>
      <w:r>
        <w:rPr>
          <w:rFonts w:ascii="Calibri Light" w:cs="Calibri Light"/>
          <w:color w:val="000000"/>
          <w:sz w:val="24"/>
          <w:szCs w:val="24"/>
        </w:rPr>
        <w:t xml:space="preserve">, 52 bills, or 32%, align with DPD's proposals. By 2018, the count rose to 87 bills along with several additional recommendations. Despite some progress, the DPD still faces challenges due to its limited authority, hindering its ability to effectively drive regional community aspirations and compete with the political influence of the first assembly, particularly regarding law formation. The second assembly currently serves </w:t>
      </w:r>
      <w:r>
        <w:rPr>
          <w:rFonts w:ascii="Calibri Light" w:cs="Calibri Light"/>
          <w:color w:val="000000"/>
          <w:sz w:val="24"/>
          <w:szCs w:val="24"/>
        </w:rPr>
        <w:lastRenderedPageBreak/>
        <w:t xml:space="preserve">merely as a representative body, rather than an effective advocate for regional aspirations at the central level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{"citationItems":[{"id":"ITEM-1","itemData":{"ISSN":"2809-8587","author":[{"dropping-particle":"","family":"Akili","given":"Rustam H S","non-dropping-particle":"","parse-names":false,"suffix":""}],"container-title":"Jurnal Multidisiplin Sahombu","id":"ITEM-1","issue":"01","issued":{"date-parts":[["2023"]]},"page":"77-85","title":"The Role of The Legislature, in Maintaining the Balance of Power in The Constitutional Legal System","type":"article-journal","volume":"3"},"uris":["http://www.mendeley.com/documents/?uuid=185e7e97-c0fb-4fe1-ad33-ae8535a771c5"]}],"mendeley":{"formattedCitation":"(Akili, 2023)","plainTextFormattedCitation":"(Akili, 2023)","previouslyFormattedCitation":"Rustam H S Akili, </w:instrText>
      </w:r>
      <w:r>
        <w:rPr>
          <w:rFonts w:ascii="Calibri Light" w:cs="Calibri Light"/>
          <w:sz w:val="24"/>
          <w:szCs w:val="24"/>
        </w:rPr>
        <w:instrText>“</w:instrText>
      </w:r>
      <w:r>
        <w:rPr>
          <w:rFonts w:ascii="Calibri Light" w:cs="Calibri Light"/>
          <w:sz w:val="24"/>
          <w:szCs w:val="24"/>
        </w:rPr>
        <w:instrText>The Role of The Legislature, in Maintaining the Balance of Power in The Constitutional Legal System,</w:instrText>
      </w:r>
      <w:r>
        <w:rPr>
          <w:rFonts w:ascii="Calibri Light" w:cs="Calibri Light"/>
          <w:sz w:val="24"/>
          <w:szCs w:val="24"/>
        </w:rPr>
        <w:instrText>”</w:instrText>
      </w:r>
      <w:r>
        <w:rPr>
          <w:rFonts w:ascii="Calibri Light" w:cs="Calibri Light"/>
          <w:sz w:val="24"/>
          <w:szCs w:val="24"/>
        </w:rPr>
        <w:instrText xml:space="preserve"> &lt;i&gt;Jurnal Multidisiplin Sahombu&lt;/i&gt; 3, no. 01 (2023): 77</w:instrText>
      </w:r>
      <w:r>
        <w:rPr>
          <w:rFonts w:ascii="Calibri Light" w:cs="Calibri Light"/>
          <w:sz w:val="24"/>
          <w:szCs w:val="24"/>
        </w:rPr>
        <w:instrText>–</w:instrText>
      </w:r>
      <w:r>
        <w:rPr>
          <w:rFonts w:ascii="Calibri Light" w:cs="Calibri Light"/>
          <w:sz w:val="24"/>
          <w:szCs w:val="24"/>
        </w:rPr>
        <w:instrText>85."},"properties":{"noteIndex":0},"schema":"https://github.com/citation-style-language/schema/raw/master/csl-citation.json"}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(Akili, 2023)</w:t>
      </w:r>
      <w:r>
        <w:rPr>
          <w:rFonts w:ascii="Calibri Light" w:cs="Calibri Light"/>
          <w:sz w:val="24"/>
          <w:szCs w:val="24"/>
        </w:rPr>
        <w:fldChar w:fldCharType="end"/>
      </w:r>
      <w:r>
        <w:rPr>
          <w:rFonts w:ascii="Calibri Light" w:cs="Calibri Light"/>
          <w:color w:val="000000"/>
          <w:sz w:val="24"/>
          <w:szCs w:val="24"/>
        </w:rPr>
        <w:t>.</w:t>
      </w:r>
    </w:p>
    <w:p w14:paraId="00CDFE3B" w14:textId="77777777" w:rsidR="00AD5EA3" w:rsidRDefault="00252506">
      <w:pPr>
        <w:pStyle w:val="BodyText"/>
        <w:widowControl w:val="0"/>
        <w:spacing w:before="240" w:after="0"/>
        <w:ind w:left="360"/>
        <w:jc w:val="both"/>
        <w:rPr>
          <w:rFonts w:ascii="Calibri Light" w:cs="Calibri Light"/>
          <w:b/>
          <w:color w:val="000000"/>
          <w:sz w:val="24"/>
          <w:szCs w:val="24"/>
        </w:rPr>
      </w:pPr>
      <w:commentRangeStart w:id="8"/>
      <w:r>
        <w:rPr>
          <w:rFonts w:ascii="Calibri Light" w:cs="Calibri Light"/>
          <w:b/>
          <w:color w:val="000000"/>
          <w:sz w:val="24"/>
          <w:szCs w:val="24"/>
        </w:rPr>
        <w:t>Division of Legislative Power in Parliamentary Systems: Comparison in Several Countries</w:t>
      </w:r>
      <w:commentRangeEnd w:id="8"/>
      <w:r w:rsidR="002019C5">
        <w:rPr>
          <w:rStyle w:val="CommentReference"/>
        </w:rPr>
        <w:commentReference w:id="8"/>
      </w:r>
    </w:p>
    <w:p w14:paraId="799ED062"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parliamentary system is a form of government that is widely used in many countries in the world. In this system, administrative and legal authorities interact and depend on each other </w:t>
      </w:r>
      <w:r>
        <w:rPr>
          <w:rFonts w:ascii="Calibri Light" w:cs="Calibri Light"/>
          <w:sz w:val="24"/>
          <w:szCs w:val="24"/>
        </w:rPr>
        <w:fldChar w:fldCharType="begin"/>
      </w:r>
      <w:r>
        <w:rPr>
          <w:rFonts w:ascii="Calibri Light" w:cs="Calibri Light"/>
          <w:sz w:val="24"/>
          <w:szCs w:val="24"/>
        </w:rPr>
        <w:instrText>ADDIN CSL_CITATION {"citationItems":[{"id":"ITEM-1","itemData":{"author":[{"dropping-particle":"","family":"Cheibub","given":"Jos</w:instrText>
      </w:r>
      <w:r>
        <w:rPr>
          <w:rFonts w:ascii="Calibri Light" w:cs="Calibri Light"/>
          <w:sz w:val="24"/>
          <w:szCs w:val="24"/>
        </w:rPr>
        <w:instrText>é</w:instrText>
      </w:r>
      <w:r>
        <w:rPr>
          <w:rFonts w:ascii="Calibri Light" w:cs="Calibri Light"/>
          <w:sz w:val="24"/>
          <w:szCs w:val="24"/>
        </w:rPr>
        <w:instrText xml:space="preserve"> Antonio","non-dropping-particle":"","parse-names":false,"suffix":""},{"dropping-particle":"","family":"Martin","given":"Shane","non-dropping-particle":"","parse-names":false,"suffix":""},{"dropping-particle":"","family":"Rasch","given":"Bj</w:instrText>
      </w:r>
      <w:r>
        <w:rPr>
          <w:rFonts w:ascii="Calibri Light" w:cs="Calibri Light"/>
          <w:sz w:val="24"/>
          <w:szCs w:val="24"/>
        </w:rPr>
        <w:instrText>ø</w:instrText>
      </w:r>
      <w:r>
        <w:rPr>
          <w:rFonts w:ascii="Calibri Light" w:cs="Calibri Light"/>
          <w:sz w:val="24"/>
          <w:szCs w:val="24"/>
        </w:rPr>
        <w:instrText>rn Erik","non-dropping-particle":"","parse-names":false,"suffix":""}],"container-title":"Parliaments and Government Termination","id":"ITEM-1","issued":{"date-parts":[["2023"]]},"page":"208-235","publisher":"London: Routledge","title":"Government Selection and Executive Powers: Constitutional Design in Parliamentary Democracies","type":"chapter"},"uris":["http://www.mendeley.com/documents/?uuid=dabdb236-794e-4e9b-869c-11f0b05c17fb"]}],"mendeley":{"formattedCitation":"(Cheibub et al., 2023)","plainTextFormattedCitation":"(Cheibub et al., 2023)","previouslyFormattedCitation":"Jos</w:instrText>
      </w:r>
      <w:r>
        <w:rPr>
          <w:rFonts w:ascii="Calibri Light" w:cs="Calibri Light"/>
          <w:sz w:val="24"/>
          <w:szCs w:val="24"/>
        </w:rPr>
        <w:instrText>é</w:instrText>
      </w:r>
      <w:r>
        <w:rPr>
          <w:rFonts w:ascii="Calibri Light" w:cs="Calibri Light"/>
          <w:sz w:val="24"/>
          <w:szCs w:val="24"/>
        </w:rPr>
        <w:instrText xml:space="preserve"> Antonio Cheibub, Shane Martin, and Bj</w:instrText>
      </w:r>
      <w:r>
        <w:rPr>
          <w:rFonts w:ascii="Calibri Light" w:cs="Calibri Light"/>
          <w:sz w:val="24"/>
          <w:szCs w:val="24"/>
        </w:rPr>
        <w:instrText>ø</w:instrText>
      </w:r>
      <w:r>
        <w:rPr>
          <w:rFonts w:ascii="Calibri Light" w:cs="Calibri Light"/>
          <w:sz w:val="24"/>
          <w:szCs w:val="24"/>
        </w:rPr>
        <w:instrText xml:space="preserve">rn Erik Rasch, </w:instrText>
      </w:r>
      <w:r>
        <w:rPr>
          <w:rFonts w:ascii="Calibri Light" w:cs="Calibri Light"/>
          <w:sz w:val="24"/>
          <w:szCs w:val="24"/>
        </w:rPr>
        <w:instrText>“</w:instrText>
      </w:r>
      <w:r>
        <w:rPr>
          <w:rFonts w:ascii="Calibri Light" w:cs="Calibri Light"/>
          <w:sz w:val="24"/>
          <w:szCs w:val="24"/>
        </w:rPr>
        <w:instrText>Government Selection and Executive Powers: Constitutional Design in Parliamentary Democracies,</w:instrText>
      </w:r>
      <w:r>
        <w:rPr>
          <w:rFonts w:ascii="Calibri Light" w:cs="Calibri Light"/>
          <w:sz w:val="24"/>
          <w:szCs w:val="24"/>
        </w:rPr>
        <w:instrText>”</w:instrText>
      </w:r>
      <w:r>
        <w:rPr>
          <w:rFonts w:ascii="Calibri Light" w:cs="Calibri Light"/>
          <w:sz w:val="24"/>
          <w:szCs w:val="24"/>
        </w:rPr>
        <w:instrText xml:space="preserve"> in &lt;i&gt;Parliaments and Government Termination&lt;/i&gt; (London: Routledge, 2023), 208</w:instrText>
      </w:r>
      <w:r>
        <w:rPr>
          <w:rFonts w:ascii="Calibri Light" w:cs="Calibri Light"/>
          <w:sz w:val="24"/>
          <w:szCs w:val="24"/>
        </w:rPr>
        <w:instrText>–</w:instrText>
      </w:r>
      <w:r>
        <w:rPr>
          <w:rFonts w:ascii="Calibri Light" w:cs="Calibri Light"/>
          <w:sz w:val="24"/>
          <w:szCs w:val="24"/>
        </w:rPr>
        <w:instrText>35."},"properties":{"noteIndex":0},"schema":"https://github.com/citation-style-language/schema/raw/master/csl-citation.json"}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(Cheibub et al., 2023)</w:t>
      </w:r>
      <w:r>
        <w:rPr>
          <w:rFonts w:ascii="Calibri Light" w:cs="Calibri Light"/>
          <w:sz w:val="24"/>
          <w:szCs w:val="24"/>
        </w:rPr>
        <w:fldChar w:fldCharType="end"/>
      </w:r>
      <w:r>
        <w:rPr>
          <w:rFonts w:ascii="Calibri Light" w:cs="Calibri Light"/>
          <w:color w:val="000000"/>
          <w:sz w:val="24"/>
          <w:szCs w:val="24"/>
        </w:rPr>
        <w:t>. The government, prime minister and cabinet are accountable to the bicameral parliament. This division aims to create a balance of power, provide better representation, and ensure a more transparent and accountable legislative process for all people.</w:t>
      </w:r>
    </w:p>
    <w:p w14:paraId="5CAD2D39" w14:textId="77777777" w:rsidR="00AD5EA3" w:rsidRDefault="00252506">
      <w:pPr>
        <w:pStyle w:val="BodyText"/>
        <w:widowControl w:val="0"/>
        <w:numPr>
          <w:ilvl w:val="1"/>
          <w:numId w:val="7"/>
        </w:numPr>
        <w:spacing w:before="240" w:after="0"/>
        <w:ind w:left="720" w:hanging="360"/>
        <w:rPr>
          <w:rFonts w:ascii="Calibri Light" w:cs="Calibri Light"/>
          <w:b/>
          <w:color w:val="000000"/>
          <w:sz w:val="24"/>
          <w:szCs w:val="24"/>
        </w:rPr>
      </w:pPr>
      <w:r>
        <w:rPr>
          <w:rFonts w:ascii="Calibri Light" w:cs="Calibri Light"/>
          <w:b/>
          <w:color w:val="000000"/>
          <w:sz w:val="24"/>
          <w:szCs w:val="24"/>
        </w:rPr>
        <w:t>Low Chamber (House of Commons)</w:t>
      </w:r>
    </w:p>
    <w:p w14:paraId="7AACBF31" w14:textId="77777777" w:rsidR="00AD5EA3" w:rsidRDefault="00252506">
      <w:pPr>
        <w:pStyle w:val="BodyText"/>
        <w:spacing w:before="240"/>
        <w:ind w:left="360"/>
        <w:jc w:val="both"/>
        <w:rPr>
          <w:rFonts w:ascii="Calibri Light" w:cs="Calibri Light"/>
          <w:b/>
          <w:color w:val="000000"/>
          <w:sz w:val="24"/>
          <w:szCs w:val="24"/>
        </w:rPr>
      </w:pPr>
      <w:r>
        <w:rPr>
          <w:rFonts w:ascii="Calibri Light" w:cs="Calibri Light"/>
          <w:color w:val="000000"/>
          <w:sz w:val="24"/>
          <w:szCs w:val="24"/>
        </w:rPr>
        <w:t xml:space="preserve">The lower chamber, often referred to as the house of the people, generally consists of members directly elected by the people. In many parliamentary systems, this chamber holds the greatest power in decision-making, including passing laws, passing budgets, and oversight of the government. With a direct election system, the lower chamber tends to be more responsive to the needs and aspirations of the people </w:t>
      </w:r>
      <w:r>
        <w:rPr>
          <w:rFonts w:ascii="Calibri Light" w:cs="Calibri Light"/>
          <w:sz w:val="24"/>
          <w:szCs w:val="24"/>
        </w:rPr>
        <w:fldChar w:fldCharType="begin"/>
      </w:r>
      <w:r>
        <w:rPr>
          <w:rFonts w:ascii="Calibri Light" w:cs="Calibri Light"/>
          <w:sz w:val="24"/>
          <w:szCs w:val="24"/>
        </w:rPr>
        <w:instrText>ADDIN CSL_CITATION {"citationItems":[{"id":"ITEM-1","itemData":{"ISSN":"0031-2290","author":[{"dropping-particle":"","family":"Alem</w:instrText>
      </w:r>
      <w:r>
        <w:rPr>
          <w:rFonts w:ascii="Calibri Light" w:cs="Calibri Light"/>
          <w:sz w:val="24"/>
          <w:szCs w:val="24"/>
        </w:rPr>
        <w:instrText>á</w:instrText>
      </w:r>
      <w:r>
        <w:rPr>
          <w:rFonts w:ascii="Calibri Light" w:cs="Calibri Light"/>
          <w:sz w:val="24"/>
          <w:szCs w:val="24"/>
        </w:rPr>
        <w:instrText>n","given":"Eduardo","non-dropping-particle":"","parse-names":false,"suffix":""},{"dropping-particle":"","family":"Mimica","given":"Nicol</w:instrText>
      </w:r>
      <w:r>
        <w:rPr>
          <w:rFonts w:ascii="Calibri Light" w:cs="Calibri Light"/>
          <w:sz w:val="24"/>
          <w:szCs w:val="24"/>
        </w:rPr>
        <w:instrText>á</w:instrText>
      </w:r>
      <w:r>
        <w:rPr>
          <w:rFonts w:ascii="Calibri Light" w:cs="Calibri Light"/>
          <w:sz w:val="24"/>
          <w:szCs w:val="24"/>
        </w:rPr>
        <w:instrText>s","non-dropping-particle":"","parse-names":false,"suffix":""},{"dropping-particle":"","family":"Navia","given":"Patricio","non-dropping-particle":"","parse-names":false,"suffix":""}],"container-title":"Parliamentary Affairs","id":"ITEM-1","issue":"2","issued":{"date-parts":[["2022"]]},"page":"362-381","publisher":"Oxford University Press","title":"Bicameral Lawmaking: Analysing the Choices of Revising Chambers","type":"article-journal","volume":"75"},"uris":["http://www.mendeley.com/documents/?uuid=0779f3ba-c99c-49b1-87eb-301c0a81d877"]}],"mendeley":{"formattedCitation":"(Alem</w:instrText>
      </w:r>
      <w:r>
        <w:rPr>
          <w:rFonts w:ascii="Calibri Light" w:cs="Calibri Light"/>
          <w:sz w:val="24"/>
          <w:szCs w:val="24"/>
        </w:rPr>
        <w:instrText>á</w:instrText>
      </w:r>
      <w:r>
        <w:rPr>
          <w:rFonts w:ascii="Calibri Light" w:cs="Calibri Light"/>
          <w:sz w:val="24"/>
          <w:szCs w:val="24"/>
        </w:rPr>
        <w:instrText>n et al., 2022)","plainTextFormattedCitation":"(Alem</w:instrText>
      </w:r>
      <w:r>
        <w:rPr>
          <w:rFonts w:ascii="Calibri Light" w:cs="Calibri Light"/>
          <w:sz w:val="24"/>
          <w:szCs w:val="24"/>
        </w:rPr>
        <w:instrText>á</w:instrText>
      </w:r>
      <w:r>
        <w:rPr>
          <w:rFonts w:ascii="Calibri Light" w:cs="Calibri Light"/>
          <w:sz w:val="24"/>
          <w:szCs w:val="24"/>
        </w:rPr>
        <w:instrText>n et al., 2022)","previouslyFormattedCitation":"Eduardo Alem</w:instrText>
      </w:r>
      <w:r>
        <w:rPr>
          <w:rFonts w:ascii="Calibri Light" w:cs="Calibri Light"/>
          <w:sz w:val="24"/>
          <w:szCs w:val="24"/>
        </w:rPr>
        <w:instrText>á</w:instrText>
      </w:r>
      <w:r>
        <w:rPr>
          <w:rFonts w:ascii="Calibri Light" w:cs="Calibri Light"/>
          <w:sz w:val="24"/>
          <w:szCs w:val="24"/>
        </w:rPr>
        <w:instrText>n, Nicol</w:instrText>
      </w:r>
      <w:r>
        <w:rPr>
          <w:rFonts w:ascii="Calibri Light" w:cs="Calibri Light"/>
          <w:sz w:val="24"/>
          <w:szCs w:val="24"/>
        </w:rPr>
        <w:instrText>á</w:instrText>
      </w:r>
      <w:r>
        <w:rPr>
          <w:rFonts w:ascii="Calibri Light" w:cs="Calibri Light"/>
          <w:sz w:val="24"/>
          <w:szCs w:val="24"/>
        </w:rPr>
        <w:instrText xml:space="preserve">s Mimica, and Patricio Navia, </w:instrText>
      </w:r>
      <w:r>
        <w:rPr>
          <w:rFonts w:ascii="Calibri Light" w:cs="Calibri Light"/>
          <w:sz w:val="24"/>
          <w:szCs w:val="24"/>
        </w:rPr>
        <w:instrText>“</w:instrText>
      </w:r>
      <w:r>
        <w:rPr>
          <w:rFonts w:ascii="Calibri Light" w:cs="Calibri Light"/>
          <w:sz w:val="24"/>
          <w:szCs w:val="24"/>
        </w:rPr>
        <w:instrText>Bicameral Lawmaking: Analysing the Choices of Revising Chambers,</w:instrText>
      </w:r>
      <w:r>
        <w:rPr>
          <w:rFonts w:ascii="Calibri Light" w:cs="Calibri Light"/>
          <w:sz w:val="24"/>
          <w:szCs w:val="24"/>
        </w:rPr>
        <w:instrText>”</w:instrText>
      </w:r>
      <w:r>
        <w:rPr>
          <w:rFonts w:ascii="Calibri Light" w:cs="Calibri Light"/>
          <w:sz w:val="24"/>
          <w:szCs w:val="24"/>
        </w:rPr>
        <w:instrText xml:space="preserve"> &lt;i&gt;Parliamentary Affairs&lt;/i&gt; 75, no. 2 (2022): 362</w:instrText>
      </w:r>
      <w:r>
        <w:rPr>
          <w:rFonts w:ascii="Calibri Light" w:cs="Calibri Light"/>
          <w:sz w:val="24"/>
          <w:szCs w:val="24"/>
        </w:rPr>
        <w:instrText>–</w:instrText>
      </w:r>
      <w:r>
        <w:rPr>
          <w:rFonts w:ascii="Calibri Light" w:cs="Calibri Light"/>
          <w:sz w:val="24"/>
          <w:szCs w:val="24"/>
        </w:rPr>
        <w:instrText>81."},"properties":{"noteIndex":0},"schema":"https://github.com/citation-style-language/schema/raw/master/csl-citation.json"}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(Alem</w:t>
      </w:r>
      <w:r>
        <w:rPr>
          <w:rFonts w:ascii="Calibri Light" w:cs="Calibri Light"/>
          <w:sz w:val="24"/>
          <w:szCs w:val="24"/>
          <w:lang w:val="en-ID" w:eastAsia="en-ID"/>
        </w:rPr>
        <w:t>á</w:t>
      </w:r>
      <w:r>
        <w:rPr>
          <w:rFonts w:ascii="Calibri Light" w:cs="Calibri Light"/>
          <w:sz w:val="24"/>
          <w:szCs w:val="24"/>
          <w:lang w:val="en-ID" w:eastAsia="en-ID"/>
        </w:rPr>
        <w:t>n et al., 2022)</w:t>
      </w:r>
      <w:r>
        <w:rPr>
          <w:rFonts w:ascii="Calibri Light" w:cs="Calibri Light"/>
          <w:sz w:val="24"/>
          <w:szCs w:val="24"/>
        </w:rPr>
        <w:fldChar w:fldCharType="end"/>
      </w:r>
      <w:r>
        <w:rPr>
          <w:rFonts w:ascii="Calibri Light" w:cs="Calibri Light"/>
          <w:color w:val="000000"/>
          <w:sz w:val="24"/>
          <w:szCs w:val="24"/>
        </w:rPr>
        <w:t xml:space="preserve">. For example, in England, the House of Commons has 650 members who are elected in general elections held every five years. The chamber has the power to initiate most legislation and serves as the main body overseeing government actions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{"citationItems":[{"id":"ITEM-1","itemData":{"ISSN":"1357-2334","author":[{"dropping-particle":"","family":"Wegmann","given":"Simone","non-dropping-particle":"","parse-names":false,"suffix":""}],"container-title":"The Journal of Legislative Studies","id":"ITEM-1","issue":"1","issued":{"date-parts":[["2022"]]},"page":"1-25","publisher":"Taylor &amp; Francis","title":"Policy-Making Power of Opposition Players: A Comparative Institutional Perspective","type":"article-journal","volume":"28"},"uris":["http://www.mendeley.com/documents/?uuid=2628d945-8294-46a9-85e3-d1388a22deb3"]}],"mendeley":{"formattedCitation":"(Wegmann, 2022)","plainTextFormattedCitation":"(Wegmann, 2022)","previouslyFormattedCitation":"Simone Wegmann, </w:instrText>
      </w:r>
      <w:r>
        <w:rPr>
          <w:rFonts w:ascii="Calibri Light" w:cs="Calibri Light"/>
          <w:sz w:val="24"/>
          <w:szCs w:val="24"/>
        </w:rPr>
        <w:instrText>“</w:instrText>
      </w:r>
      <w:r>
        <w:rPr>
          <w:rFonts w:ascii="Calibri Light" w:cs="Calibri Light"/>
          <w:sz w:val="24"/>
          <w:szCs w:val="24"/>
        </w:rPr>
        <w:instrText>Policy-Making Power of Opposition Players: A Comparative Institutional Perspective,</w:instrText>
      </w:r>
      <w:r>
        <w:rPr>
          <w:rFonts w:ascii="Calibri Light" w:cs="Calibri Light"/>
          <w:sz w:val="24"/>
          <w:szCs w:val="24"/>
        </w:rPr>
        <w:instrText>”</w:instrText>
      </w:r>
      <w:r>
        <w:rPr>
          <w:rFonts w:ascii="Calibri Light" w:cs="Calibri Light"/>
          <w:sz w:val="24"/>
          <w:szCs w:val="24"/>
        </w:rPr>
        <w:instrText xml:space="preserve"> &lt;i&gt;The Journal of Legislative Studies&lt;/i&gt; 28, no. 1 (2022): 1</w:instrText>
      </w:r>
      <w:r>
        <w:rPr>
          <w:rFonts w:ascii="Calibri Light" w:cs="Calibri Light"/>
          <w:sz w:val="24"/>
          <w:szCs w:val="24"/>
        </w:rPr>
        <w:instrText>–</w:instrText>
      </w:r>
      <w:r>
        <w:rPr>
          <w:rFonts w:ascii="Calibri Light" w:cs="Calibri Light"/>
          <w:sz w:val="24"/>
          <w:szCs w:val="24"/>
        </w:rPr>
        <w:instrText>25."},"properties":{"noteIndex":0},"schema":"https://github.com/citation-style-language/schema/raw/master/csl-citation.json"}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(Wegmann, 2022)</w:t>
      </w:r>
      <w:r>
        <w:rPr>
          <w:rFonts w:ascii="Calibri Light" w:cs="Calibri Light"/>
          <w:sz w:val="24"/>
          <w:szCs w:val="24"/>
        </w:rPr>
        <w:fldChar w:fldCharType="end"/>
      </w:r>
      <w:r>
        <w:rPr>
          <w:rFonts w:ascii="Calibri Light" w:cs="Calibri Light"/>
          <w:color w:val="000000"/>
          <w:sz w:val="24"/>
          <w:szCs w:val="24"/>
        </w:rPr>
        <w:t xml:space="preserve">. Members of these chambers often engage in insightful debates on important issues, and they have a responsibility to convey the voices of their constituents. This electoral process allows the people to elect their representatives directly, giving members of parliament the legitimacy to represent the interests of the people </w:t>
      </w:r>
      <w:r>
        <w:rPr>
          <w:rFonts w:ascii="Calibri Light" w:cs="Calibri Light"/>
          <w:sz w:val="24"/>
          <w:szCs w:val="24"/>
        </w:rPr>
        <w:fldChar w:fldCharType="begin"/>
      </w:r>
      <w:r>
        <w:rPr>
          <w:rFonts w:ascii="Calibri Light" w:cs="Calibri Light"/>
          <w:sz w:val="24"/>
          <w:szCs w:val="24"/>
        </w:rPr>
        <w:instrText>ADDIN CSL_CITATION {"citationItems":[{"id":"ITEM-1","itemData":{"ISBN":"1071822152","author":[{"dropping-particle":"","family":"Epstein","given":"Lee","non-dropping-particle":"","parse-names":false,"suffix":""},{"dropping-particle":"","family":"McGuire","given":"Kevin T","non-dropping-particle":"","parse-names":false,"suffix":""},{"dropping-particle":"","family":"Walker","given":"Thomas G","non-dropping-particle":"","parse-names":false,"suffix":""}],"id":"ITEM-1","issued":{"date-parts":[["2022"]]},"publisher":"Washington, DC: CQ Press","title":"Constitutional Law for a Changing America: Institutional Powers and Constraints","type":"book"},"uris":["http://www.mendeley.com/documents/?uuid=6a0f4dbb-cd4b-4409-bf2b-2e75023e4c88"]}],"mendeley":{"formattedCitation":"(Epstein et al., 2022)","plainTextFormattedCitation":"(Epstein et al., 2022)","previouslyFormattedCitation":"Lee Epstein, Kevin T McGuire, and Thomas G Walker, &lt;i&gt;Constitutional Law for a Changing America: Institutional Powers and Constraints&lt;/i&gt; (Washington, DC: CQ Press, 2022)."},"properties":{"noteIndex":0},"schema":"https://github.com/citation-style-language/schema/raw/master/csl-citation.json"}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(Epstein et al., 2022)</w:t>
      </w:r>
      <w:r>
        <w:rPr>
          <w:rFonts w:ascii="Calibri Light" w:cs="Calibri Light"/>
          <w:sz w:val="24"/>
          <w:szCs w:val="24"/>
        </w:rPr>
        <w:fldChar w:fldCharType="end"/>
      </w:r>
      <w:r>
        <w:rPr>
          <w:rFonts w:ascii="Calibri Light" w:cs="Calibri Light"/>
          <w:color w:val="000000"/>
          <w:sz w:val="24"/>
          <w:szCs w:val="24"/>
        </w:rPr>
        <w:t>. The lower chamber also has a key role in the legislative process that regulates various aspects of public life, from education, health, to foreign policy. With elections held periodically, the chamber can reflect changes in public opinion and societal needs.</w:t>
      </w:r>
    </w:p>
    <w:p w14:paraId="502FB2AF" w14:textId="77777777" w:rsidR="00AD5EA3" w:rsidRDefault="00252506">
      <w:pPr>
        <w:pStyle w:val="BodyText"/>
        <w:widowControl w:val="0"/>
        <w:numPr>
          <w:ilvl w:val="1"/>
          <w:numId w:val="7"/>
        </w:numPr>
        <w:spacing w:before="240" w:after="0"/>
        <w:ind w:left="720" w:hanging="360"/>
        <w:jc w:val="both"/>
        <w:rPr>
          <w:rFonts w:ascii="Calibri Light" w:cs="Calibri Light"/>
          <w:b/>
          <w:color w:val="000000"/>
          <w:sz w:val="24"/>
          <w:szCs w:val="24"/>
        </w:rPr>
      </w:pPr>
      <w:r>
        <w:rPr>
          <w:rFonts w:ascii="Calibri Light" w:cs="Calibri Light"/>
          <w:b/>
          <w:color w:val="000000"/>
          <w:sz w:val="24"/>
          <w:szCs w:val="24"/>
        </w:rPr>
        <w:t xml:space="preserve">Upper </w:t>
      </w:r>
      <w:proofErr w:type="spellStart"/>
      <w:r>
        <w:rPr>
          <w:rFonts w:ascii="Calibri Light" w:cs="Calibri Light"/>
          <w:b/>
          <w:color w:val="000000"/>
          <w:sz w:val="24"/>
          <w:szCs w:val="24"/>
        </w:rPr>
        <w:t>Chambaer</w:t>
      </w:r>
      <w:proofErr w:type="spellEnd"/>
      <w:r>
        <w:rPr>
          <w:rFonts w:ascii="Calibri Light" w:cs="Calibri Light"/>
          <w:b/>
          <w:color w:val="000000"/>
          <w:sz w:val="24"/>
          <w:szCs w:val="24"/>
        </w:rPr>
        <w:t xml:space="preserve"> (House of Lords)</w:t>
      </w:r>
    </w:p>
    <w:p w14:paraId="50E6D564" w14:textId="77777777" w:rsidR="00AD5EA3" w:rsidRDefault="00252506">
      <w:pPr>
        <w:pStyle w:val="BodyText"/>
        <w:spacing w:before="240"/>
        <w:ind w:left="360"/>
        <w:jc w:val="both"/>
        <w:rPr>
          <w:rFonts w:ascii="Calibri Light" w:cs="Calibri Light"/>
          <w:b/>
          <w:color w:val="000000"/>
          <w:sz w:val="24"/>
          <w:szCs w:val="24"/>
        </w:rPr>
      </w:pPr>
      <w:r>
        <w:rPr>
          <w:rFonts w:ascii="Calibri Light" w:cs="Calibri Light"/>
          <w:color w:val="000000"/>
          <w:sz w:val="24"/>
          <w:szCs w:val="24"/>
        </w:rPr>
        <w:t xml:space="preserve">The upper chamber, often serving as a review body, gives second consideration to legislation proposed by the lower chamber. Members of these chambers can come from a variety of backgrounds, including appointed individuals, representatives of certain groups, or even experts in certain fields. The upper chamber aims to bring a broader and deeper perspective to the legislative process. In England, the House of Lords consists of appointed members, including nobles, bishops, and members representing various organizations. Although these chambers do not have the power to block budgets, they do have the ability to review and revise laws </w:t>
      </w:r>
      <w:r>
        <w:rPr>
          <w:rFonts w:ascii="Calibri Light" w:cs="Calibri Light"/>
          <w:sz w:val="24"/>
          <w:szCs w:val="24"/>
        </w:rPr>
        <w:fldChar w:fldCharType="begin"/>
      </w:r>
      <w:r>
        <w:rPr>
          <w:rFonts w:ascii="Calibri Light" w:cs="Calibri Light"/>
          <w:sz w:val="24"/>
          <w:szCs w:val="24"/>
        </w:rPr>
        <w:instrText>ADDIN CSL_CITATION {"citationItems":[{"id":"ITEM-1","itemData":{"ISSN":"1357-2334","author":[{"dropping-particle":"","family":"Hru</w:instrText>
      </w:r>
      <w:r>
        <w:rPr>
          <w:rFonts w:ascii="Calibri Light" w:cs="Calibri Light"/>
          <w:sz w:val="24"/>
          <w:szCs w:val="24"/>
        </w:rPr>
        <w:instrText>š</w:instrText>
      </w:r>
      <w:r>
        <w:rPr>
          <w:rFonts w:ascii="Calibri Light" w:cs="Calibri Light"/>
          <w:sz w:val="24"/>
          <w:szCs w:val="24"/>
        </w:rPr>
        <w:instrText>ka","given":"Jan","non-dropping-particle":"","parse-names":false,"suffix":""},{"dropping-particle":"","family":"Bal</w:instrText>
      </w:r>
      <w:r>
        <w:rPr>
          <w:rFonts w:ascii="Calibri Light" w:cs="Calibri Light"/>
          <w:sz w:val="24"/>
          <w:szCs w:val="24"/>
        </w:rPr>
        <w:instrText>í</w:instrText>
      </w:r>
      <w:r>
        <w:rPr>
          <w:rFonts w:ascii="Calibri Light" w:cs="Calibri Light"/>
          <w:sz w:val="24"/>
          <w:szCs w:val="24"/>
        </w:rPr>
        <w:instrText>k","given":"Stanislav","non-dropping-particle":"","parse-names":false,"suffix":""}],"container-title":"The Journal of Legislative Studies","id":"ITEM-1","issued":{"date-parts":[["2024"]]},"page":"1-20","publisher":"Taylor &amp; Francis","title":"Control Body, Representative of Regions, or Elitist Chamber of Wisdom? The Perceived Roles of Upper Chambers and the Case of the Czech Senate","type":"article-journal"},"uris":["http://www.mendeley.com/documents/?uuid=aec20f38-a9c0-4877-a94a-17f090d61c6a"]}],"mendeley":{"formattedCitation":"(Hru</w:instrText>
      </w:r>
      <w:r>
        <w:rPr>
          <w:rFonts w:ascii="Calibri Light" w:cs="Calibri Light"/>
          <w:sz w:val="24"/>
          <w:szCs w:val="24"/>
        </w:rPr>
        <w:instrText>š</w:instrText>
      </w:r>
      <w:r>
        <w:rPr>
          <w:rFonts w:ascii="Calibri Light" w:cs="Calibri Light"/>
          <w:sz w:val="24"/>
          <w:szCs w:val="24"/>
        </w:rPr>
        <w:instrText>ka &amp; Bal</w:instrText>
      </w:r>
      <w:r>
        <w:rPr>
          <w:rFonts w:ascii="Calibri Light" w:cs="Calibri Light"/>
          <w:sz w:val="24"/>
          <w:szCs w:val="24"/>
        </w:rPr>
        <w:instrText>í</w:instrText>
      </w:r>
      <w:r>
        <w:rPr>
          <w:rFonts w:ascii="Calibri Light" w:cs="Calibri Light"/>
          <w:sz w:val="24"/>
          <w:szCs w:val="24"/>
        </w:rPr>
        <w:instrText>k, 2024)","plainTextFormattedCitation":"(Hru</w:instrText>
      </w:r>
      <w:r>
        <w:rPr>
          <w:rFonts w:ascii="Calibri Light" w:cs="Calibri Light"/>
          <w:sz w:val="24"/>
          <w:szCs w:val="24"/>
        </w:rPr>
        <w:instrText>š</w:instrText>
      </w:r>
      <w:r>
        <w:rPr>
          <w:rFonts w:ascii="Calibri Light" w:cs="Calibri Light"/>
          <w:sz w:val="24"/>
          <w:szCs w:val="24"/>
        </w:rPr>
        <w:instrText>ka &amp; Bal</w:instrText>
      </w:r>
      <w:r>
        <w:rPr>
          <w:rFonts w:ascii="Calibri Light" w:cs="Calibri Light"/>
          <w:sz w:val="24"/>
          <w:szCs w:val="24"/>
        </w:rPr>
        <w:instrText>í</w:instrText>
      </w:r>
      <w:r>
        <w:rPr>
          <w:rFonts w:ascii="Calibri Light" w:cs="Calibri Light"/>
          <w:sz w:val="24"/>
          <w:szCs w:val="24"/>
        </w:rPr>
        <w:instrText>k, 2024)","previouslyFormattedCitation":"Jan Hru</w:instrText>
      </w:r>
      <w:r>
        <w:rPr>
          <w:rFonts w:ascii="Calibri Light" w:cs="Calibri Light"/>
          <w:sz w:val="24"/>
          <w:szCs w:val="24"/>
        </w:rPr>
        <w:instrText>š</w:instrText>
      </w:r>
      <w:r>
        <w:rPr>
          <w:rFonts w:ascii="Calibri Light" w:cs="Calibri Light"/>
          <w:sz w:val="24"/>
          <w:szCs w:val="24"/>
        </w:rPr>
        <w:instrText>ka and Stanislav Bal</w:instrText>
      </w:r>
      <w:r>
        <w:rPr>
          <w:rFonts w:ascii="Calibri Light" w:cs="Calibri Light"/>
          <w:sz w:val="24"/>
          <w:szCs w:val="24"/>
        </w:rPr>
        <w:instrText>í</w:instrText>
      </w:r>
      <w:r>
        <w:rPr>
          <w:rFonts w:ascii="Calibri Light" w:cs="Calibri Light"/>
          <w:sz w:val="24"/>
          <w:szCs w:val="24"/>
        </w:rPr>
        <w:instrText xml:space="preserve">k, </w:instrText>
      </w:r>
      <w:r>
        <w:rPr>
          <w:rFonts w:ascii="Calibri Light" w:cs="Calibri Light"/>
          <w:sz w:val="24"/>
          <w:szCs w:val="24"/>
        </w:rPr>
        <w:instrText>“</w:instrText>
      </w:r>
      <w:r>
        <w:rPr>
          <w:rFonts w:ascii="Calibri Light" w:cs="Calibri Light"/>
          <w:sz w:val="24"/>
          <w:szCs w:val="24"/>
        </w:rPr>
        <w:instrText>Control Body, Representative of Regions, or Elitist Chamber of Wisdom? The Perceived Roles of Upper Chambers and the Case of the Czech Senate,</w:instrText>
      </w:r>
      <w:r>
        <w:rPr>
          <w:rFonts w:ascii="Calibri Light" w:cs="Calibri Light"/>
          <w:sz w:val="24"/>
          <w:szCs w:val="24"/>
        </w:rPr>
        <w:instrText>”</w:instrText>
      </w:r>
      <w:r>
        <w:rPr>
          <w:rFonts w:ascii="Calibri Light" w:cs="Calibri Light"/>
          <w:sz w:val="24"/>
          <w:szCs w:val="24"/>
        </w:rPr>
        <w:instrText xml:space="preserve"> &lt;i&gt;The Journal of Legislative Studies&lt;/i&gt;, 2024, 1</w:instrText>
      </w:r>
      <w:r>
        <w:rPr>
          <w:rFonts w:ascii="Calibri Light" w:cs="Calibri Light"/>
          <w:sz w:val="24"/>
          <w:szCs w:val="24"/>
        </w:rPr>
        <w:instrText>–</w:instrText>
      </w:r>
      <w:r>
        <w:rPr>
          <w:rFonts w:ascii="Calibri Light" w:cs="Calibri Light"/>
          <w:sz w:val="24"/>
          <w:szCs w:val="24"/>
        </w:rPr>
        <w:instrText>20."},"properties":{"noteIndex":0},"schema":"https://github.com/citation-style-language/schema/raw/master/csl-citation.json"}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(Hru</w:t>
      </w:r>
      <w:r>
        <w:rPr>
          <w:rFonts w:ascii="Calibri Light" w:cs="Calibri Light"/>
          <w:sz w:val="24"/>
          <w:szCs w:val="24"/>
          <w:lang w:val="en-ID" w:eastAsia="en-ID"/>
        </w:rPr>
        <w:t>š</w:t>
      </w:r>
      <w:r>
        <w:rPr>
          <w:rFonts w:ascii="Calibri Light" w:cs="Calibri Light"/>
          <w:sz w:val="24"/>
          <w:szCs w:val="24"/>
          <w:lang w:val="en-ID" w:eastAsia="en-ID"/>
        </w:rPr>
        <w:t>ka &amp; Bal</w:t>
      </w:r>
      <w:r>
        <w:rPr>
          <w:rFonts w:ascii="Calibri Light" w:cs="Calibri Light"/>
          <w:sz w:val="24"/>
          <w:szCs w:val="24"/>
          <w:lang w:val="en-ID" w:eastAsia="en-ID"/>
        </w:rPr>
        <w:t>í</w:t>
      </w:r>
      <w:r>
        <w:rPr>
          <w:rFonts w:ascii="Calibri Light" w:cs="Calibri Light"/>
          <w:sz w:val="24"/>
          <w:szCs w:val="24"/>
          <w:lang w:val="en-ID" w:eastAsia="en-ID"/>
        </w:rPr>
        <w:t>k, 2024)</w:t>
      </w:r>
      <w:r>
        <w:rPr>
          <w:rFonts w:ascii="Calibri Light" w:cs="Calibri Light"/>
          <w:sz w:val="24"/>
          <w:szCs w:val="24"/>
        </w:rPr>
        <w:fldChar w:fldCharType="end"/>
      </w:r>
      <w:r>
        <w:rPr>
          <w:rFonts w:ascii="Calibri Light" w:cs="Calibri Light"/>
          <w:color w:val="000000"/>
          <w:sz w:val="24"/>
          <w:szCs w:val="24"/>
        </w:rPr>
        <w:t xml:space="preserve">. This process allows for a more in-depth discussion of the implications of the law, as well as providing an opportunity for members to express opinions based on their experience and expertise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{"citationItems":[{"id":"ITEM-1","itemData":{"author":[{"dropping-particle":"","family":"Lascelles","given":"Francis","non-dropping-particle":"","parse-names":false,"suffix":""}],"container-title":"Parliament as an Export","id":"ITEM-1","issued":{"date-parts":[["2023"]]},"page":"166-189","publisher":"London: Routledge","title":"The Second Chamber in Parliaments of the Commonwealth","type":"chapter"},"uris":["http://www.mendeley.com/documents/?uuid=91bdc2de-0864-4d01-b1c5-d853eda702f4"]}],"mendeley":{"formattedCitation":"(Lascelles, 2023)","plainTextFormattedCitation":"(Lascelles, 2023)","previouslyFormattedCitation":"Francis Lascelles, </w:instrText>
      </w:r>
      <w:r>
        <w:rPr>
          <w:rFonts w:ascii="Calibri Light" w:cs="Calibri Light"/>
          <w:sz w:val="24"/>
          <w:szCs w:val="24"/>
        </w:rPr>
        <w:instrText>“</w:instrText>
      </w:r>
      <w:r>
        <w:rPr>
          <w:rFonts w:ascii="Calibri Light" w:cs="Calibri Light"/>
          <w:sz w:val="24"/>
          <w:szCs w:val="24"/>
        </w:rPr>
        <w:instrText>The Second Chamber in Parliaments of the Commonwealth,</w:instrText>
      </w:r>
      <w:r>
        <w:rPr>
          <w:rFonts w:ascii="Calibri Light" w:cs="Calibri Light"/>
          <w:sz w:val="24"/>
          <w:szCs w:val="24"/>
        </w:rPr>
        <w:instrText>”</w:instrText>
      </w:r>
      <w:r>
        <w:rPr>
          <w:rFonts w:ascii="Calibri Light" w:cs="Calibri Light"/>
          <w:sz w:val="24"/>
          <w:szCs w:val="24"/>
        </w:rPr>
        <w:instrText xml:space="preserve"> in &lt;i&gt;Parliament as an Export&lt;/i&gt; (London: Routledge, 2023), 166</w:instrText>
      </w:r>
      <w:r>
        <w:rPr>
          <w:rFonts w:ascii="Calibri Light" w:cs="Calibri Light"/>
          <w:sz w:val="24"/>
          <w:szCs w:val="24"/>
        </w:rPr>
        <w:instrText>–</w:instrText>
      </w:r>
      <w:r>
        <w:rPr>
          <w:rFonts w:ascii="Calibri Light" w:cs="Calibri Light"/>
          <w:sz w:val="24"/>
          <w:szCs w:val="24"/>
        </w:rPr>
        <w:instrText>89."},"properties":{"noteIndex":0},"schema":"https://github.com/citation-style-language/schema/raw/master/csl-citation.json"}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(Lascelles, 2023)</w:t>
      </w:r>
      <w:r>
        <w:rPr>
          <w:rFonts w:ascii="Calibri Light" w:cs="Calibri Light"/>
          <w:sz w:val="24"/>
          <w:szCs w:val="24"/>
        </w:rPr>
        <w:fldChar w:fldCharType="end"/>
      </w:r>
      <w:r>
        <w:rPr>
          <w:rFonts w:ascii="Calibri Light" w:cs="Calibri Light"/>
          <w:color w:val="000000"/>
          <w:sz w:val="24"/>
          <w:szCs w:val="24"/>
        </w:rPr>
        <w:t xml:space="preserve">. The upper chamber also serves as an additional watchdog that can provide constructive criticism of proposed laws, thereby helping to ensure that the policies adopted are in the best interests of society. The upper chamber also often has committees tasked with investigating particular issues, hearing witnesses, and produce reports that provide recommendations </w:t>
      </w:r>
      <w:r>
        <w:rPr>
          <w:rFonts w:ascii="Calibri Light" w:cs="Calibri Light"/>
          <w:color w:val="000000"/>
          <w:sz w:val="24"/>
          <w:szCs w:val="24"/>
        </w:rPr>
        <w:lastRenderedPageBreak/>
        <w:t xml:space="preserve">for improvement </w:t>
      </w:r>
      <w:r>
        <w:rPr>
          <w:rFonts w:ascii="Calibri Light" w:cs="Calibri Light"/>
          <w:sz w:val="24"/>
          <w:szCs w:val="24"/>
        </w:rPr>
        <w:fldChar w:fldCharType="begin"/>
      </w:r>
      <w:r>
        <w:rPr>
          <w:rFonts w:ascii="Calibri Light" w:cs="Calibri Light"/>
          <w:sz w:val="24"/>
          <w:szCs w:val="24"/>
        </w:rPr>
        <w:instrText>ADDIN CSL_CITATION {"citationItems":[{"id":"ITEM-1","itemData":{"ISSN":"2071-8322","author":[{"dropping-particle":"","family":"Satrio","given":"Abdurrachman","non-dropping-particle":"","parse-names":false,"suffix":""}],"container-title":"German Law Journal","id":"ITEM-1","issue":"2","issued":{"date-parts":[["2023"]]},"page":"402-416","title":"Restoring Indonesia</w:instrText>
      </w:r>
      <w:r>
        <w:rPr>
          <w:rFonts w:ascii="Calibri Light" w:cs="Calibri Light"/>
          <w:sz w:val="24"/>
          <w:szCs w:val="24"/>
        </w:rPr>
        <w:instrText>’</w:instrText>
      </w:r>
      <w:r>
        <w:rPr>
          <w:rFonts w:ascii="Calibri Light" w:cs="Calibri Light"/>
          <w:sz w:val="24"/>
          <w:szCs w:val="24"/>
        </w:rPr>
        <w:instrText>s (Un) Constitutional Constitution: Soepomo</w:instrText>
      </w:r>
      <w:r>
        <w:rPr>
          <w:rFonts w:ascii="Calibri Light" w:cs="Calibri Light"/>
          <w:sz w:val="24"/>
          <w:szCs w:val="24"/>
        </w:rPr>
        <w:instrText>’</w:instrText>
      </w:r>
      <w:r>
        <w:rPr>
          <w:rFonts w:ascii="Calibri Light" w:cs="Calibri Light"/>
          <w:sz w:val="24"/>
          <w:szCs w:val="24"/>
        </w:rPr>
        <w:instrText xml:space="preserve">s Authoritarian Constitution","type":"article-journal","volume":"24"},"uris":["http://www.mendeley.com/documents/?uuid=a1dd7e66-8d1a-4445-ad28-5d213de39f23"]}],"mendeley":{"formattedCitation":"(Satrio, 2023)","plainTextFormattedCitation":"(Satrio, 2023)","previouslyFormattedCitation":"Abdurrachman Satrio, </w:instrText>
      </w:r>
      <w:r>
        <w:rPr>
          <w:rFonts w:ascii="Calibri Light" w:cs="Calibri Light"/>
          <w:sz w:val="24"/>
          <w:szCs w:val="24"/>
        </w:rPr>
        <w:instrText>“</w:instrText>
      </w:r>
      <w:r>
        <w:rPr>
          <w:rFonts w:ascii="Calibri Light" w:cs="Calibri Light"/>
          <w:sz w:val="24"/>
          <w:szCs w:val="24"/>
        </w:rPr>
        <w:instrText>Restoring Indonesia</w:instrText>
      </w:r>
      <w:r>
        <w:rPr>
          <w:rFonts w:ascii="Calibri Light" w:cs="Calibri Light"/>
          <w:sz w:val="24"/>
          <w:szCs w:val="24"/>
        </w:rPr>
        <w:instrText>’</w:instrText>
      </w:r>
      <w:r>
        <w:rPr>
          <w:rFonts w:ascii="Calibri Light" w:cs="Calibri Light"/>
          <w:sz w:val="24"/>
          <w:szCs w:val="24"/>
        </w:rPr>
        <w:instrText>s (Un) Constitutional Constitution: Soepomo</w:instrText>
      </w:r>
      <w:r>
        <w:rPr>
          <w:rFonts w:ascii="Calibri Light" w:cs="Calibri Light"/>
          <w:sz w:val="24"/>
          <w:szCs w:val="24"/>
        </w:rPr>
        <w:instrText>’</w:instrText>
      </w:r>
      <w:r>
        <w:rPr>
          <w:rFonts w:ascii="Calibri Light" w:cs="Calibri Light"/>
          <w:sz w:val="24"/>
          <w:szCs w:val="24"/>
        </w:rPr>
        <w:instrText>s Authoritarian Constitution,</w:instrText>
      </w:r>
      <w:r>
        <w:rPr>
          <w:rFonts w:ascii="Calibri Light" w:cs="Calibri Light"/>
          <w:sz w:val="24"/>
          <w:szCs w:val="24"/>
        </w:rPr>
        <w:instrText>”</w:instrText>
      </w:r>
      <w:r>
        <w:rPr>
          <w:rFonts w:ascii="Calibri Light" w:cs="Calibri Light"/>
          <w:sz w:val="24"/>
          <w:szCs w:val="24"/>
        </w:rPr>
        <w:instrText xml:space="preserve"> &lt;i&gt;German Law Journal&lt;/i&gt; 24, no. 2 (2023): 402</w:instrText>
      </w:r>
      <w:r>
        <w:rPr>
          <w:rFonts w:ascii="Calibri Light" w:cs="Calibri Light"/>
          <w:sz w:val="24"/>
          <w:szCs w:val="24"/>
        </w:rPr>
        <w:instrText>–</w:instrText>
      </w:r>
      <w:r>
        <w:rPr>
          <w:rFonts w:ascii="Calibri Light" w:cs="Calibri Light"/>
          <w:sz w:val="24"/>
          <w:szCs w:val="24"/>
        </w:rPr>
        <w:instrText>16."},"properties":{"noteIndex":0},"schema":"https://github.com/citation-style-language/schema/raw/master/csl-citation.json"}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(Satrio, 2023)</w:t>
      </w:r>
      <w:r>
        <w:rPr>
          <w:rFonts w:ascii="Calibri Light" w:cs="Calibri Light"/>
          <w:sz w:val="24"/>
          <w:szCs w:val="24"/>
        </w:rPr>
        <w:fldChar w:fldCharType="end"/>
      </w:r>
      <w:r>
        <w:rPr>
          <w:rFonts w:ascii="Calibri Light" w:cs="Calibri Light"/>
          <w:color w:val="000000"/>
          <w:sz w:val="24"/>
          <w:szCs w:val="24"/>
        </w:rPr>
        <w:t>. This adds an analytical dimension to the legislative process, which is essential for creating effective and relevant Laws.</w:t>
      </w:r>
    </w:p>
    <w:p w14:paraId="429533CC" w14:textId="77777777" w:rsidR="00AD5EA3" w:rsidRDefault="00252506">
      <w:pPr>
        <w:pStyle w:val="Heading1"/>
        <w:numPr>
          <w:ilvl w:val="1"/>
          <w:numId w:val="7"/>
        </w:numPr>
        <w:ind w:left="720" w:hanging="360"/>
        <w:rPr>
          <w:rFonts w:ascii="Calibri Light" w:cs="Calibri Light"/>
          <w:sz w:val="24"/>
          <w:szCs w:val="24"/>
        </w:rPr>
      </w:pPr>
      <w:r>
        <w:rPr>
          <w:rFonts w:ascii="Calibri Light" w:cs="Calibri Light"/>
          <w:sz w:val="24"/>
          <w:szCs w:val="24"/>
        </w:rPr>
        <w:t>Comparison In Several Countries</w:t>
      </w:r>
    </w:p>
    <w:p w14:paraId="70F0E41C" w14:textId="77777777" w:rsidR="00AD5EA3" w:rsidRDefault="00252506">
      <w:pPr>
        <w:pStyle w:val="Heading1"/>
        <w:numPr>
          <w:ilvl w:val="2"/>
          <w:numId w:val="8"/>
        </w:numPr>
        <w:ind w:left="720" w:hanging="360"/>
        <w:rPr>
          <w:rFonts w:ascii="Calibri Light" w:cs="Calibri Light"/>
          <w:b w:val="0"/>
          <w:sz w:val="24"/>
          <w:szCs w:val="24"/>
        </w:rPr>
      </w:pPr>
      <w:r>
        <w:rPr>
          <w:rFonts w:ascii="Calibri Light" w:cs="Calibri Light"/>
          <w:b w:val="0"/>
          <w:sz w:val="24"/>
          <w:szCs w:val="24"/>
        </w:rPr>
        <w:t>Jerman</w:t>
      </w:r>
    </w:p>
    <w:p w14:paraId="646BFF8E" w14:textId="77777777" w:rsidR="00AD5EA3" w:rsidRDefault="00252506">
      <w:pPr>
        <w:pStyle w:val="ListParagraph"/>
        <w:numPr>
          <w:ilvl w:val="0"/>
          <w:numId w:val="9"/>
        </w:numPr>
        <w:spacing w:before="240" w:after="0" w:line="240" w:lineRule="auto"/>
        <w:jc w:val="both"/>
        <w:rPr>
          <w:rFonts w:ascii="Calibri Light" w:cs="Calibri Light"/>
          <w:color w:val="000000"/>
          <w:sz w:val="24"/>
          <w:szCs w:val="24"/>
        </w:rPr>
      </w:pPr>
      <w:r>
        <w:rPr>
          <w:rFonts w:ascii="Calibri Light" w:cs="Calibri Light"/>
          <w:color w:val="000000"/>
          <w:sz w:val="24"/>
          <w:szCs w:val="24"/>
        </w:rPr>
        <w:t>The bundestag (lower chamber) is the main legislative body whose members are elected through general elections. this chamber is responsible for proposing and passing laws. bundestag members have an obligation to represent the interests of society and engage in an active legislative process the chamber also has the power to monitor the government through periodic inquiries and debates.</w:t>
      </w:r>
    </w:p>
    <w:p w14:paraId="1E37CE51" w14:textId="77777777" w:rsidR="00AD5EA3" w:rsidRDefault="00252506">
      <w:pPr>
        <w:pStyle w:val="ListParagraph"/>
        <w:numPr>
          <w:ilvl w:val="0"/>
          <w:numId w:val="9"/>
        </w:numPr>
        <w:spacing w:before="240" w:after="0" w:line="240" w:lineRule="auto"/>
        <w:jc w:val="both"/>
        <w:rPr>
          <w:rFonts w:ascii="Calibri Light" w:cs="Calibri Light"/>
          <w:color w:val="000000"/>
          <w:sz w:val="24"/>
          <w:szCs w:val="24"/>
        </w:rPr>
      </w:pPr>
      <w:r>
        <w:rPr>
          <w:rFonts w:ascii="Calibri Light" w:cs="Calibri Light"/>
          <w:sz w:val="24"/>
          <w:szCs w:val="24"/>
          <w:lang w:val="fi-FI" w:eastAsia="en-ID"/>
        </w:rPr>
        <w:t>The bundesrat (high chamber) consists of representatives from the states (l</w:t>
      </w:r>
      <w:r>
        <w:rPr>
          <w:rFonts w:ascii="Calibri Light" w:cs="Calibri Light"/>
          <w:sz w:val="24"/>
          <w:szCs w:val="24"/>
          <w:lang w:val="fi-FI" w:eastAsia="en-ID"/>
        </w:rPr>
        <w:t>ä</w:t>
      </w:r>
      <w:r>
        <w:rPr>
          <w:rFonts w:ascii="Calibri Light" w:cs="Calibri Light"/>
          <w:sz w:val="24"/>
          <w:szCs w:val="24"/>
          <w:lang w:val="fi-FI" w:eastAsia="en-ID"/>
        </w:rPr>
        <w:t xml:space="preserve">nder) and has the power to give opinions and influence legislation, especially those relating to the interests of the states. the chamber functions to maintain balance between the federal and state governments, ensuring that the voices and needs of each region are represented in the legislative process. in this way, the bundesrat helps prevent the federal government's domination of the states and creates better cooperation between different levels of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0022-3816","author":[{"dropping-particle":"","family":"Chiou","given":"Fang-Yi","non-dropping-particle":"","parse-names":false,"suffix":""},{"dropping-particle":"","family":"Goplerud","given":"Max","non-dropping-particle":"","parse-names":false,"suffix":""}],"container-title":"The Journal of Politics","id":"ITEM-1","issue":"3","issued":{"date-parts":[["2024"]]},"page":"997-1012","publisher":"The University of Chicago Press Chicago, IL","title":"Effective Lawmaking across Congressional Eras","type":"article-journal","volume":"86"},"uris":["http://www.mendeley.com/documents/?uuid=dc80e928-a1d4-49b5-81fe-d4c896277d6d"]}],"mendeley":{"formattedCitation":"(Chiou &amp; Goplerud, 2024)","plainTextFormattedCitation":"(Chiou &amp; Goplerud, 2024)","previouslyFormattedCitation":"Fang-Yi Chiou and Max Goplerud, </w:instrText>
      </w:r>
      <w:r>
        <w:rPr>
          <w:rFonts w:ascii="Calibri Light" w:cs="Calibri Light"/>
          <w:sz w:val="24"/>
          <w:szCs w:val="24"/>
        </w:rPr>
        <w:instrText>“</w:instrText>
      </w:r>
      <w:r>
        <w:rPr>
          <w:rFonts w:ascii="Calibri Light" w:cs="Calibri Light"/>
          <w:sz w:val="24"/>
          <w:szCs w:val="24"/>
        </w:rPr>
        <w:instrText>Effective Lawmaking across Congressional Eras,</w:instrText>
      </w:r>
      <w:r>
        <w:rPr>
          <w:rFonts w:ascii="Calibri Light" w:cs="Calibri Light"/>
          <w:sz w:val="24"/>
          <w:szCs w:val="24"/>
        </w:rPr>
        <w:instrText>”</w:instrText>
      </w:r>
      <w:r>
        <w:rPr>
          <w:rFonts w:ascii="Calibri Light" w:cs="Calibri Light"/>
          <w:sz w:val="24"/>
          <w:szCs w:val="24"/>
        </w:rPr>
        <w:instrText xml:space="preserve"> &lt;i&gt;The Journal of Politics&lt;/i&gt; 86, no. 3 (2024): 997</w:instrText>
      </w:r>
      <w:r>
        <w:rPr>
          <w:rFonts w:ascii="Calibri Light" w:cs="Calibri Light"/>
          <w:sz w:val="24"/>
          <w:szCs w:val="24"/>
        </w:rPr>
        <w:instrText>–</w:instrText>
      </w:r>
      <w:r>
        <w:rPr>
          <w:rFonts w:ascii="Calibri Light" w:cs="Calibri Light"/>
          <w:sz w:val="24"/>
          <w:szCs w:val="24"/>
        </w:rPr>
        <w:instrText>1012."},"properties":{"noteIndex":0},"schema":"https://github.com/citation-style-language/schema/raw/master/csl-citation.json"}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(Chiou &amp; Goplerud, 2024)</w:t>
      </w:r>
      <w:r>
        <w:rPr>
          <w:rFonts w:ascii="Calibri Light" w:cs="Calibri Light"/>
          <w:sz w:val="24"/>
          <w:szCs w:val="24"/>
        </w:rPr>
        <w:fldChar w:fldCharType="end"/>
      </w:r>
      <w:r>
        <w:rPr>
          <w:rFonts w:ascii="Calibri Light" w:cs="Calibri Light"/>
          <w:sz w:val="24"/>
          <w:szCs w:val="24"/>
          <w:lang w:val="fi-FI" w:eastAsia="en-ID"/>
        </w:rPr>
        <w:t xml:space="preserve">. in germany, the importance of the bundesrat is seen in legislative processes involving issues related to the states, such as education and environmental policy. by having representatives from each state, the bundesrat ensures that local interests are not ignored by the federal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{"citationItems":[{"id":"ITEM-1","itemData":{"ISSN":"2717-7564","author":[{"dropping-particle":"","family":"Rullyandi","given":"Muhammad","non-dropping-particle":"","parse-names":false,"suffix":""},{"dropping-particle":"","family":"Astawa","given":"I Gede Pantja","non-dropping-particle":"","parse-names":false,"suffix":""},{"dropping-particle":"","family":"Sugiharti","given":"Dewi Kania","non-dropping-particle":"","parse-names":false,"suffix":""},{"dropping-particle":"","family":"Muttaqin","given":"Zainal","non-dropping-particle":"","parse-names":false,"suffix":""}],"container-title":"Journal of Positive School Psychology","id":"ITEM-1","issue":"9","issued":{"date-parts":[["2022"]]},"page":"191-199","title":"Law-Making Power In Indonesia: Beyond General Practices or Uniqueness of Constitutional System?","type":"article-journal","volume":"6"},"uris":["http://www.mendeley.com/documents/?uuid=8dbd8111-c8b2-49c2-8a3b-34d0f138773d"]}],"mendeley":{"formattedCitation":"(Rullyandi et al., 2022)","plainTextFormattedCitation":"(Rullyandi et al., 2022)","previouslyFormattedCitation":"Muhammad Rullyandi et al., </w:instrText>
      </w:r>
      <w:r>
        <w:rPr>
          <w:rFonts w:ascii="Calibri Light" w:cs="Calibri Light"/>
          <w:sz w:val="24"/>
          <w:szCs w:val="24"/>
        </w:rPr>
        <w:instrText>“</w:instrText>
      </w:r>
      <w:r>
        <w:rPr>
          <w:rFonts w:ascii="Calibri Light" w:cs="Calibri Light"/>
          <w:sz w:val="24"/>
          <w:szCs w:val="24"/>
        </w:rPr>
        <w:instrText>Law-Making Power In Indonesia: Beyond General Practices or Uniqueness of Constitutional System?,</w:instrText>
      </w:r>
      <w:r>
        <w:rPr>
          <w:rFonts w:ascii="Calibri Light" w:cs="Calibri Light"/>
          <w:sz w:val="24"/>
          <w:szCs w:val="24"/>
        </w:rPr>
        <w:instrText>”</w:instrText>
      </w:r>
      <w:r>
        <w:rPr>
          <w:rFonts w:ascii="Calibri Light" w:cs="Calibri Light"/>
          <w:sz w:val="24"/>
          <w:szCs w:val="24"/>
        </w:rPr>
        <w:instrText xml:space="preserve"> &lt;i&gt;Journal of Positive School Psychology&lt;/i&gt; 6, no. 9 (2022): 191</w:instrText>
      </w:r>
      <w:r>
        <w:rPr>
          <w:rFonts w:ascii="Calibri Light" w:cs="Calibri Light"/>
          <w:sz w:val="24"/>
          <w:szCs w:val="24"/>
        </w:rPr>
        <w:instrText>–</w:instrText>
      </w:r>
      <w:r>
        <w:rPr>
          <w:rFonts w:ascii="Calibri Light" w:cs="Calibri Light"/>
          <w:sz w:val="24"/>
          <w:szCs w:val="24"/>
        </w:rPr>
        <w:instrText>99."},"properties":{"noteIndex":0},"schema":"https://github.com/citation-style-language/schema/raw/master/csl-citation.json"}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(Rullyandi et al., 2022)</w:t>
      </w:r>
      <w:r>
        <w:rPr>
          <w:rFonts w:ascii="Calibri Light" w:cs="Calibri Light"/>
          <w:sz w:val="24"/>
          <w:szCs w:val="24"/>
        </w:rPr>
        <w:fldChar w:fldCharType="end"/>
      </w:r>
      <w:r>
        <w:rPr>
          <w:rFonts w:ascii="Calibri Light" w:cs="Calibri Light"/>
          <w:sz w:val="24"/>
          <w:szCs w:val="24"/>
          <w:lang w:val="fi-FI" w:eastAsia="en-ID"/>
        </w:rPr>
        <w:t>.</w:t>
      </w:r>
    </w:p>
    <w:p w14:paraId="5DF2CA32" w14:textId="77777777" w:rsidR="00AD5EA3" w:rsidRDefault="00252506">
      <w:pPr>
        <w:pStyle w:val="Heading1"/>
        <w:numPr>
          <w:ilvl w:val="2"/>
          <w:numId w:val="8"/>
        </w:numPr>
        <w:ind w:left="720" w:hanging="360"/>
        <w:rPr>
          <w:rFonts w:ascii="Calibri Light" w:cs="Calibri Light"/>
          <w:b w:val="0"/>
          <w:sz w:val="24"/>
          <w:szCs w:val="24"/>
        </w:rPr>
      </w:pPr>
      <w:r>
        <w:rPr>
          <w:rFonts w:ascii="Calibri Light" w:cs="Calibri Light"/>
          <w:b w:val="0"/>
          <w:sz w:val="24"/>
          <w:szCs w:val="24"/>
        </w:rPr>
        <w:t>Australia</w:t>
      </w:r>
    </w:p>
    <w:p w14:paraId="4643D906" w14:textId="77777777" w:rsidR="00AD5EA3" w:rsidRDefault="00252506">
      <w:pPr>
        <w:pStyle w:val="ListParagraph"/>
        <w:numPr>
          <w:ilvl w:val="0"/>
          <w:numId w:val="10"/>
        </w:numPr>
        <w:spacing w:before="240" w:after="0" w:line="240" w:lineRule="auto"/>
        <w:ind w:left="720"/>
        <w:jc w:val="both"/>
        <w:rPr>
          <w:rFonts w:ascii="Calibri Light" w:cs="Calibri Light"/>
          <w:color w:val="000000"/>
          <w:sz w:val="24"/>
          <w:szCs w:val="24"/>
        </w:rPr>
      </w:pPr>
      <w:r>
        <w:rPr>
          <w:rFonts w:ascii="Calibri Light" w:cs="Calibri Light"/>
          <w:color w:val="000000"/>
          <w:sz w:val="24"/>
          <w:szCs w:val="24"/>
        </w:rPr>
        <w:t>The House of Representatives (lower chamber) members are also elected through general elections. This chamber has the power to propose and pass laws, as well as influence government policy. Members of the House of Representatives frequently engage in discussions regarding local and national issues that are important to their constituents. With direct elections, members can be more responsive to the needs and aspirations of the community.</w:t>
      </w:r>
    </w:p>
    <w:p w14:paraId="22F29365" w14:textId="3156AF64" w:rsidR="00AD5EA3" w:rsidRPr="003B4C71" w:rsidRDefault="00252506" w:rsidP="003B4C71">
      <w:pPr>
        <w:pStyle w:val="ListParagraph"/>
        <w:numPr>
          <w:ilvl w:val="0"/>
          <w:numId w:val="10"/>
        </w:numPr>
        <w:spacing w:before="240" w:after="0" w:line="240" w:lineRule="auto"/>
        <w:ind w:left="720"/>
        <w:jc w:val="both"/>
        <w:rPr>
          <w:rFonts w:ascii="Calibri Light" w:cs="Calibri Light"/>
          <w:color w:val="000000"/>
          <w:sz w:val="24"/>
          <w:szCs w:val="24"/>
        </w:rPr>
      </w:pPr>
      <w:r>
        <w:rPr>
          <w:rFonts w:ascii="Calibri Light" w:cs="Calibri Light"/>
          <w:color w:val="000000"/>
          <w:sz w:val="24"/>
          <w:szCs w:val="24"/>
        </w:rPr>
        <w:t>The Senate (upper chamber) is elected using a proportional system, which allows fairer representation for various political parties. The Senate has an important role in reviewing laws and can reject or amend them, providing additional power in the legislative process. In this way, the Senate functions as an independent watchdog and plays a role in ensuring that proposed legislation takes all points of view into account. This chamber also has the power to examine and assess government policies, thereby creating greater accountability. In Australia, the Senate plays an important role in maintaining the balance of power, especially in the context of a coalition government. When no party holds an absolute majority in the House of Representatives, the Senate can serve as a counterweight that gives votes to smaller parties and independents, creating a more democratic legislative process.</w:t>
      </w:r>
    </w:p>
    <w:p w14:paraId="4F0D5990" w14:textId="77777777" w:rsidR="00AD5EA3" w:rsidRDefault="00252506">
      <w:pPr>
        <w:pStyle w:val="ListParagraph"/>
        <w:numPr>
          <w:ilvl w:val="2"/>
          <w:numId w:val="8"/>
        </w:numPr>
        <w:spacing w:before="240" w:after="0" w:line="240" w:lineRule="auto"/>
        <w:ind w:left="720" w:hanging="360"/>
        <w:rPr>
          <w:rFonts w:ascii="Calibri Light" w:cs="Calibri Light"/>
          <w:color w:val="000000"/>
          <w:sz w:val="24"/>
          <w:szCs w:val="24"/>
        </w:rPr>
      </w:pPr>
      <w:r>
        <w:rPr>
          <w:rFonts w:ascii="Calibri Light" w:cs="Calibri Light"/>
          <w:color w:val="000000"/>
          <w:sz w:val="24"/>
          <w:szCs w:val="24"/>
          <w:lang w:val="fi-FI" w:eastAsia="en-ID"/>
        </w:rPr>
        <w:lastRenderedPageBreak/>
        <w:t>India</w:t>
      </w:r>
    </w:p>
    <w:p w14:paraId="4E31DB47" w14:textId="77777777" w:rsidR="00AD5EA3" w:rsidRDefault="00252506">
      <w:pPr>
        <w:pStyle w:val="NoSpacing"/>
        <w:numPr>
          <w:ilvl w:val="0"/>
          <w:numId w:val="11"/>
        </w:numPr>
        <w:spacing w:before="240"/>
        <w:jc w:val="both"/>
        <w:rPr>
          <w:rFonts w:ascii="Calibri Light" w:cs="Calibri Light"/>
        </w:rPr>
      </w:pPr>
      <w:r>
        <w:rPr>
          <w:rFonts w:ascii="Calibri Light" w:cs="Calibri Light"/>
        </w:rPr>
        <w:t>The lok sabha (lower house) has members who are directly elected by the people. this chamber has the power to pass laws and supervise the executive branch. As the body that represents the voice of the people, the lok sabha works to enact laws that reflect the needs and aspirations of india's diverse society. The chamber also has a role in approving the budget and selecting the prime minister.</w:t>
      </w:r>
    </w:p>
    <w:p w14:paraId="69B61732" w14:textId="77777777" w:rsidR="00AD5EA3" w:rsidRDefault="00252506">
      <w:pPr>
        <w:pStyle w:val="NoSpacing"/>
        <w:numPr>
          <w:ilvl w:val="0"/>
          <w:numId w:val="11"/>
        </w:numPr>
        <w:jc w:val="both"/>
        <w:rPr>
          <w:rFonts w:ascii="Calibri Light" w:cs="Calibri Light"/>
          <w:color w:val="000000"/>
        </w:rPr>
      </w:pPr>
      <w:r>
        <w:rPr>
          <w:rFonts w:ascii="Calibri Light" w:cs="Calibri Light"/>
        </w:rPr>
        <w:t>The rajya sabha (upper chamber) consists of appointed members and representatives from the states. The chamber functions as a review body that considers laws proposed by the lok sabha. The rajya sabha also has an important role in maintaining stability and fairness in the legislative process, ensuring that the interests of states and minority groups are represented. In this way, the rajya sabha helps create a legislative system that is more inclusive and takes into account the pluralism that exists in india. in the indian context, the importance of the Rajya Sabha Is Seen In The legislative process relating to policies affecting various states. the chamber provides a platform for state representatives to voice their regional concerns and aspirations, resulting in more balanced and fair policies</w:t>
      </w:r>
    </w:p>
    <w:p w14:paraId="09A4C24B" w14:textId="77777777" w:rsidR="00AD5EA3" w:rsidRDefault="00252506">
      <w:pPr>
        <w:pStyle w:val="Heading1"/>
        <w:numPr>
          <w:ilvl w:val="1"/>
          <w:numId w:val="7"/>
        </w:numPr>
        <w:ind w:left="720" w:hanging="360"/>
        <w:rPr>
          <w:rFonts w:ascii="Calibri Light" w:cs="Calibri Light"/>
          <w:sz w:val="24"/>
          <w:szCs w:val="24"/>
        </w:rPr>
      </w:pPr>
      <w:r>
        <w:rPr>
          <w:rFonts w:ascii="Calibri Light" w:cs="Calibri Light"/>
          <w:sz w:val="24"/>
          <w:szCs w:val="24"/>
        </w:rPr>
        <w:t>The Role And Function Of The Chamber In Legislation</w:t>
      </w:r>
    </w:p>
    <w:p w14:paraId="10BE64A8" w14:textId="77777777" w:rsidR="00AD5EA3" w:rsidRDefault="00252506">
      <w:pPr>
        <w:pStyle w:val="Heading1"/>
        <w:ind w:left="360"/>
        <w:jc w:val="both"/>
        <w:rPr>
          <w:rFonts w:ascii="Calibri Light" w:cs="Calibri Light"/>
          <w:b w:val="0"/>
          <w:sz w:val="24"/>
          <w:szCs w:val="24"/>
        </w:rPr>
      </w:pPr>
      <w:r>
        <w:rPr>
          <w:rFonts w:ascii="Calibri Light" w:cs="Calibri Light"/>
          <w:b w:val="0"/>
          <w:sz w:val="24"/>
          <w:szCs w:val="24"/>
        </w:rPr>
        <w:t>Both chambers in the parliamentary system have an important role in the legislative process. The lower chamber often has primary power in proposing laws and deciding the budget. instead, the high chamber functions as a supervisory body that provides review and input on legislation.</w:t>
      </w:r>
    </w:p>
    <w:p w14:paraId="7328375A" w14:textId="77777777" w:rsidR="00AD5EA3" w:rsidRDefault="00252506">
      <w:pPr>
        <w:pStyle w:val="NoSpacing"/>
        <w:numPr>
          <w:ilvl w:val="0"/>
          <w:numId w:val="12"/>
        </w:numPr>
        <w:spacing w:before="240"/>
        <w:jc w:val="both"/>
        <w:rPr>
          <w:rFonts w:ascii="Calibri Light" w:cs="Calibri Light"/>
          <w:color w:val="000000"/>
        </w:rPr>
      </w:pPr>
      <w:r>
        <w:rPr>
          <w:rFonts w:ascii="Calibri Light" w:cs="Calibri Light"/>
        </w:rPr>
        <w:t xml:space="preserve">Passage </w:t>
      </w:r>
      <w:r>
        <w:rPr>
          <w:rFonts w:ascii="Calibri Light" w:cs="Calibri Light"/>
          <w:lang w:val="en-US"/>
        </w:rPr>
        <w:t>o</w:t>
      </w:r>
      <w:r>
        <w:rPr>
          <w:rFonts w:ascii="Calibri Light" w:cs="Calibri Light"/>
        </w:rPr>
        <w:t>f Laws: the lower chamber usually initiates the legislative process. once a law is approved, the upper chamber conducts a review to ensure that the law serves broader interests and that there are no policies that harm specific groups. this process creates space for discussion and debate, which is essential in a democracy. the upper chamber can also propose amendments or changes to the law that are deemed necessary, thereby enriching the substance of the legislation.</w:t>
      </w:r>
    </w:p>
    <w:p w14:paraId="049B78CB" w14:textId="06E21268" w:rsidR="00AD5EA3" w:rsidRPr="003B4C71" w:rsidRDefault="00252506" w:rsidP="003B4C71">
      <w:pPr>
        <w:pStyle w:val="NoSpacing"/>
        <w:numPr>
          <w:ilvl w:val="0"/>
          <w:numId w:val="12"/>
        </w:numPr>
        <w:jc w:val="both"/>
        <w:rPr>
          <w:rFonts w:ascii="Calibri Light" w:cs="Calibri Light"/>
        </w:rPr>
      </w:pPr>
      <w:r>
        <w:rPr>
          <w:rFonts w:ascii="Calibri Light" w:cs="Calibri Light"/>
        </w:rPr>
        <w:t>Executive Oversight: both chambers play a role in overseeing government actions and ensuring that the government carries out its duties properly. the lower chamber is more active in demanding accountability from the government, while the upper chamber can function as a balance by providing different points of view. this is important to prevent abuse of power and ensure that decisions taken by the government are always in the interests of the people. this process also allows for checks and balances in government, which is a basic principle of democracy.</w:t>
      </w:r>
    </w:p>
    <w:p w14:paraId="5B75B9D8" w14:textId="77777777" w:rsidR="00AD5EA3" w:rsidRDefault="00252506">
      <w:pPr>
        <w:pStyle w:val="Heading1"/>
        <w:numPr>
          <w:ilvl w:val="1"/>
          <w:numId w:val="7"/>
        </w:numPr>
        <w:ind w:left="720" w:hanging="360"/>
        <w:rPr>
          <w:rFonts w:ascii="Calibri Light" w:cs="Calibri Light"/>
          <w:sz w:val="24"/>
          <w:szCs w:val="24"/>
          <w:lang w:val="fi-FI"/>
        </w:rPr>
      </w:pPr>
      <w:r>
        <w:rPr>
          <w:rFonts w:ascii="Calibri Light" w:cs="Calibri Light"/>
          <w:sz w:val="24"/>
          <w:szCs w:val="24"/>
          <w:lang w:val="fi-FI"/>
        </w:rPr>
        <w:t>Impact And Implications Of Room Division</w:t>
      </w:r>
    </w:p>
    <w:p w14:paraId="4E6772DA" w14:textId="77777777" w:rsidR="00AD5EA3" w:rsidRDefault="00252506">
      <w:pPr>
        <w:spacing w:before="240"/>
        <w:ind w:left="360"/>
        <w:jc w:val="both"/>
        <w:rPr>
          <w:rFonts w:ascii="Calibri Light" w:cs="Calibri Light"/>
          <w:sz w:val="24"/>
          <w:szCs w:val="24"/>
          <w:lang w:val="fi-FI" w:eastAsia="fi-FI"/>
        </w:rPr>
      </w:pPr>
      <w:r>
        <w:rPr>
          <w:rFonts w:ascii="Calibri Light" w:cs="Calibri Light"/>
          <w:color w:val="000000"/>
          <w:sz w:val="24"/>
          <w:szCs w:val="24"/>
          <w:lang w:val="fi-FI"/>
        </w:rPr>
        <w:t>The division of chambers in a parliamentary system is not just a formal structure, but has a significant impact on the decision-making process. With two chambers, there are mechanisms to facilitate dialogue and consensus, which is vital in a diverse society. the review process conducted by the upper chamber can help identify potential problems or shortcomings in proposed legislation, thereby reducing the risk of flawed policies.</w:t>
      </w:r>
    </w:p>
    <w:p w14:paraId="71ADF7CC" w14:textId="77777777" w:rsidR="00AD5EA3" w:rsidRDefault="00252506">
      <w:pPr>
        <w:pStyle w:val="Heading1"/>
        <w:ind w:left="360"/>
        <w:jc w:val="both"/>
        <w:rPr>
          <w:rFonts w:ascii="Calibri Light" w:cs="Calibri Light"/>
          <w:b w:val="0"/>
          <w:sz w:val="24"/>
          <w:szCs w:val="24"/>
          <w:lang w:val="fi-FI"/>
        </w:rPr>
      </w:pPr>
      <w:r>
        <w:rPr>
          <w:rFonts w:ascii="Calibri Light" w:cs="Calibri Light"/>
          <w:b w:val="0"/>
          <w:sz w:val="24"/>
          <w:szCs w:val="24"/>
          <w:lang w:val="fi-FI"/>
        </w:rPr>
        <w:lastRenderedPageBreak/>
        <w:t xml:space="preserve">Apart from that, the division of chambers also plays a role in ensuring that the voices of minorities or underrepresented groups are still heard in the legislative process. the upper chamber often consists of individuals with diverse backgrounds, who bring different perspectives and experiences to legislative discussions. this helps create policies that are more inclusive and diverse, and reflect the complex realities of society </w:t>
      </w:r>
      <w:r>
        <w:rPr>
          <w:rFonts w:ascii="Calibri Light" w:cs="Calibri Light"/>
          <w:b w:val="0"/>
          <w:sz w:val="24"/>
          <w:szCs w:val="24"/>
        </w:rPr>
        <w:fldChar w:fldCharType="begin"/>
      </w:r>
      <w:r>
        <w:rPr>
          <w:rFonts w:ascii="Calibri Light" w:cs="Calibri Light"/>
          <w:b w:val="0"/>
          <w:sz w:val="24"/>
          <w:szCs w:val="24"/>
        </w:rPr>
        <w:instrText xml:space="preserve">ADDIN CSL_CITATION {"citationItems":[{"id":"ITEM-1","itemData":{"author":[{"dropping-particle":"","family":"Mutawalli","given":"Muhammad","non-dropping-particle":"","parse-names":false,"suffix":""}],"container-title":"Repository STAIN Majene","id":"ITEM-1","issued":{"date-parts":[["2024"]]},"title":"Penegakan Hukum Deforestasi: Upaya Perbaikan dan Penanganannya di Indonesia","type":"article-journal"},"uris":["http://www.mendeley.com/documents/?uuid=fbce1d49-85fe-4a19-aa48-807fda8c5284"]}],"mendeley":{"formattedCitation":"(Mutawalli, 2024)","plainTextFormattedCitation":"(Mutawalli, 2024)","previouslyFormattedCitation":"Muhammad Mutawalli, </w:instrText>
      </w:r>
      <w:r>
        <w:rPr>
          <w:rFonts w:ascii="Calibri Light" w:cs="Calibri Light"/>
          <w:b w:val="0"/>
          <w:sz w:val="24"/>
          <w:szCs w:val="24"/>
        </w:rPr>
        <w:instrText>“</w:instrText>
      </w:r>
      <w:r>
        <w:rPr>
          <w:rFonts w:ascii="Calibri Light" w:cs="Calibri Light"/>
          <w:b w:val="0"/>
          <w:sz w:val="24"/>
          <w:szCs w:val="24"/>
        </w:rPr>
        <w:instrText>Penegakan Hukum Deforestasi: Upaya Perbaikan Dan Penanganannya Di Indonesia,</w:instrText>
      </w:r>
      <w:r>
        <w:rPr>
          <w:rFonts w:ascii="Calibri Light" w:cs="Calibri Light"/>
          <w:b w:val="0"/>
          <w:sz w:val="24"/>
          <w:szCs w:val="24"/>
        </w:rPr>
        <w:instrText>”</w:instrText>
      </w:r>
      <w:r>
        <w:rPr>
          <w:rFonts w:ascii="Calibri Light" w:cs="Calibri Light"/>
          <w:b w:val="0"/>
          <w:sz w:val="24"/>
          <w:szCs w:val="24"/>
        </w:rPr>
        <w:instrText xml:space="preserve"> &lt;i&gt;Repository STAIN Majene&lt;/i&gt;, 2024."},"properties":{"noteIndex":0},"schema":"https://github.com/citation-style-language/schema/raw/master/csl-citation.json"}</w:instrText>
      </w:r>
      <w:r>
        <w:rPr>
          <w:rFonts w:ascii="Calibri Light" w:cs="Calibri Light"/>
          <w:b w:val="0"/>
          <w:sz w:val="24"/>
          <w:szCs w:val="24"/>
        </w:rPr>
        <w:fldChar w:fldCharType="separate"/>
      </w:r>
      <w:r>
        <w:rPr>
          <w:rFonts w:ascii="Calibri Light" w:cs="Calibri Light"/>
          <w:b w:val="0"/>
          <w:sz w:val="24"/>
          <w:szCs w:val="24"/>
          <w:lang w:val="en-ID" w:eastAsia="en-ID"/>
        </w:rPr>
        <w:t>(Mutawalli, 2024)</w:t>
      </w:r>
      <w:r>
        <w:rPr>
          <w:rFonts w:ascii="Calibri Light" w:cs="Calibri Light"/>
          <w:b w:val="0"/>
          <w:sz w:val="24"/>
          <w:szCs w:val="24"/>
        </w:rPr>
        <w:fldChar w:fldCharType="end"/>
      </w:r>
      <w:r>
        <w:rPr>
          <w:rFonts w:ascii="Calibri Light" w:cs="Calibri Light"/>
          <w:b w:val="0"/>
          <w:sz w:val="24"/>
          <w:szCs w:val="24"/>
          <w:lang w:val="fi-FI"/>
        </w:rPr>
        <w:t>.</w:t>
      </w:r>
    </w:p>
    <w:p w14:paraId="3A084ED0" w14:textId="77777777" w:rsidR="00AD5EA3" w:rsidRDefault="00252506">
      <w:pPr>
        <w:pStyle w:val="Heading1"/>
        <w:ind w:left="360"/>
        <w:jc w:val="both"/>
        <w:rPr>
          <w:rFonts w:ascii="Calibri Light" w:cs="Calibri Light"/>
          <w:b w:val="0"/>
          <w:sz w:val="24"/>
          <w:szCs w:val="24"/>
          <w:lang w:val="fi-FI"/>
        </w:rPr>
      </w:pPr>
      <w:r>
        <w:rPr>
          <w:rFonts w:ascii="Calibri Light" w:cs="Calibri Light"/>
          <w:b w:val="0"/>
          <w:sz w:val="24"/>
          <w:szCs w:val="24"/>
          <w:lang w:val="fi-FI"/>
        </w:rPr>
        <w:t>The social impact of this division of rooms is also seen in increased political participation among the community. With two rooms functioning as channels for expressing opinions and aspirations, the community feels better represented in the decision-making process. This can increase public trust in political institutions and strengthen government legitimacy.</w:t>
      </w:r>
    </w:p>
    <w:p w14:paraId="6BC44538" w14:textId="77777777" w:rsidR="00AD5EA3" w:rsidRDefault="00252506">
      <w:pPr>
        <w:pStyle w:val="Heading1"/>
        <w:numPr>
          <w:ilvl w:val="1"/>
          <w:numId w:val="7"/>
        </w:numPr>
        <w:ind w:left="720" w:hanging="360"/>
        <w:rPr>
          <w:rFonts w:ascii="Calibri Light" w:cs="Calibri Light"/>
          <w:sz w:val="24"/>
          <w:szCs w:val="24"/>
          <w:lang w:val="fi-FI"/>
        </w:rPr>
      </w:pPr>
      <w:commentRangeStart w:id="9"/>
      <w:r>
        <w:rPr>
          <w:rFonts w:ascii="Calibri Light" w:cs="Calibri Light"/>
          <w:sz w:val="24"/>
          <w:szCs w:val="24"/>
          <w:lang w:val="fi-FI"/>
        </w:rPr>
        <w:t>Case Studies And Examples Of Chamber Performance</w:t>
      </w:r>
    </w:p>
    <w:p w14:paraId="63A0765E" w14:textId="77777777" w:rsidR="00AD5EA3" w:rsidRDefault="00252506">
      <w:pPr>
        <w:pStyle w:val="ListParagraph"/>
        <w:numPr>
          <w:ilvl w:val="0"/>
          <w:numId w:val="13"/>
        </w:numPr>
        <w:spacing w:before="240" w:after="0" w:line="240" w:lineRule="auto"/>
        <w:jc w:val="both"/>
        <w:rPr>
          <w:rFonts w:ascii="Calibri Light" w:cs="Calibri Light"/>
          <w:color w:val="000000"/>
          <w:sz w:val="24"/>
          <w:szCs w:val="24"/>
        </w:rPr>
      </w:pPr>
      <w:r>
        <w:rPr>
          <w:rFonts w:ascii="Calibri Light" w:cs="Calibri Light"/>
          <w:color w:val="000000"/>
          <w:sz w:val="24"/>
          <w:szCs w:val="24"/>
        </w:rPr>
        <w:t>Uk: In Recent Years, The House Of Lords Has Played An Important Role In Reviewing legislation relating to health and education policy. for example, when the government proposes major changes to the health system, the house of lords sets up a committee to review the proposals and put forward recommendations that it deems better for society. this process shows how the upper chamber can make a constructive contribution to legislative debate.</w:t>
      </w:r>
    </w:p>
    <w:p w14:paraId="1DE9EC43" w14:textId="77777777" w:rsidR="00AD5EA3" w:rsidRDefault="00252506">
      <w:pPr>
        <w:pStyle w:val="ListParagraph"/>
        <w:numPr>
          <w:ilvl w:val="0"/>
          <w:numId w:val="13"/>
        </w:numPr>
        <w:spacing w:after="0" w:line="240" w:lineRule="auto"/>
        <w:jc w:val="both"/>
        <w:rPr>
          <w:rFonts w:ascii="Calibri Light" w:cs="Calibri Light"/>
          <w:color w:val="000000"/>
          <w:sz w:val="24"/>
          <w:szCs w:val="24"/>
        </w:rPr>
      </w:pPr>
      <w:r>
        <w:rPr>
          <w:rFonts w:ascii="Calibri Light" w:cs="Calibri Light"/>
          <w:color w:val="000000"/>
          <w:sz w:val="24"/>
          <w:szCs w:val="24"/>
        </w:rPr>
        <w:t>germany: in the context of environmental policy, the bundesrat often rejects legislation deemed detrimental to the interests of certain states. for example, when the federal government proposed a new law on reducing emissions, the bundesrat was successful in influencing the details of the law to better take local needs into account. this shows how the role of the upper chamber can help create more balanced and fair policies.</w:t>
      </w:r>
    </w:p>
    <w:p w14:paraId="32198056" w14:textId="77777777" w:rsidR="00AD5EA3" w:rsidRDefault="00252506">
      <w:pPr>
        <w:pStyle w:val="Heading1"/>
        <w:keepLines/>
        <w:numPr>
          <w:ilvl w:val="0"/>
          <w:numId w:val="13"/>
        </w:numPr>
        <w:autoSpaceDE/>
        <w:autoSpaceDN/>
        <w:spacing w:after="240"/>
        <w:rPr>
          <w:rFonts w:ascii="Calibri Light" w:cs="Calibri Light"/>
          <w:b w:val="0"/>
          <w:sz w:val="24"/>
          <w:szCs w:val="24"/>
        </w:rPr>
      </w:pPr>
      <w:proofErr w:type="spellStart"/>
      <w:r>
        <w:rPr>
          <w:rFonts w:ascii="Calibri Light" w:cs="Calibri Light"/>
          <w:b w:val="0"/>
          <w:sz w:val="24"/>
          <w:szCs w:val="24"/>
        </w:rPr>
        <w:t>india</w:t>
      </w:r>
      <w:proofErr w:type="spellEnd"/>
      <w:r>
        <w:rPr>
          <w:rFonts w:ascii="Calibri Light" w:cs="Calibri Light"/>
          <w:b w:val="0"/>
          <w:sz w:val="24"/>
          <w:szCs w:val="24"/>
        </w:rPr>
        <w:t xml:space="preserve">: the </w:t>
      </w:r>
      <w:proofErr w:type="spellStart"/>
      <w:r>
        <w:rPr>
          <w:rFonts w:ascii="Calibri Light" w:cs="Calibri Light"/>
          <w:b w:val="0"/>
          <w:sz w:val="24"/>
          <w:szCs w:val="24"/>
        </w:rPr>
        <w:t>rajya</w:t>
      </w:r>
      <w:proofErr w:type="spellEnd"/>
      <w:r>
        <w:rPr>
          <w:rFonts w:ascii="Calibri Light" w:cs="Calibri Light"/>
          <w:b w:val="0"/>
          <w:sz w:val="24"/>
          <w:szCs w:val="24"/>
        </w:rPr>
        <w:t xml:space="preserve"> </w:t>
      </w:r>
      <w:proofErr w:type="spellStart"/>
      <w:r>
        <w:rPr>
          <w:rFonts w:ascii="Calibri Light" w:cs="Calibri Light"/>
          <w:b w:val="0"/>
          <w:sz w:val="24"/>
          <w:szCs w:val="24"/>
        </w:rPr>
        <w:t>sabha</w:t>
      </w:r>
      <w:proofErr w:type="spellEnd"/>
      <w:r>
        <w:rPr>
          <w:rFonts w:ascii="Calibri Light" w:cs="Calibri Light"/>
          <w:b w:val="0"/>
          <w:sz w:val="24"/>
          <w:szCs w:val="24"/>
        </w:rPr>
        <w:t xml:space="preserve"> has been instrumental in ensuring that policies proposed by the </w:t>
      </w:r>
      <w:proofErr w:type="spellStart"/>
      <w:r>
        <w:rPr>
          <w:rFonts w:ascii="Calibri Light" w:cs="Calibri Light"/>
          <w:b w:val="0"/>
          <w:sz w:val="24"/>
          <w:szCs w:val="24"/>
        </w:rPr>
        <w:t>lok</w:t>
      </w:r>
      <w:proofErr w:type="spellEnd"/>
      <w:r>
        <w:rPr>
          <w:rFonts w:ascii="Calibri Light" w:cs="Calibri Light"/>
          <w:b w:val="0"/>
          <w:sz w:val="24"/>
          <w:szCs w:val="24"/>
        </w:rPr>
        <w:t xml:space="preserve"> </w:t>
      </w:r>
      <w:proofErr w:type="spellStart"/>
      <w:r>
        <w:rPr>
          <w:rFonts w:ascii="Calibri Light" w:cs="Calibri Light"/>
          <w:b w:val="0"/>
          <w:sz w:val="24"/>
          <w:szCs w:val="24"/>
        </w:rPr>
        <w:t>sabha</w:t>
      </w:r>
      <w:proofErr w:type="spellEnd"/>
      <w:r>
        <w:rPr>
          <w:rFonts w:ascii="Calibri Light" w:cs="Calibri Light"/>
          <w:b w:val="0"/>
          <w:sz w:val="24"/>
          <w:szCs w:val="24"/>
        </w:rPr>
        <w:t xml:space="preserve"> take into account the interests of various minority groups. in several cases, the </w:t>
      </w:r>
      <w:proofErr w:type="spellStart"/>
      <w:r>
        <w:rPr>
          <w:rFonts w:ascii="Calibri Light" w:cs="Calibri Light"/>
          <w:b w:val="0"/>
          <w:sz w:val="24"/>
          <w:szCs w:val="24"/>
        </w:rPr>
        <w:t>rajya</w:t>
      </w:r>
      <w:proofErr w:type="spellEnd"/>
      <w:r>
        <w:rPr>
          <w:rFonts w:ascii="Calibri Light" w:cs="Calibri Light"/>
          <w:b w:val="0"/>
          <w:sz w:val="24"/>
          <w:szCs w:val="24"/>
        </w:rPr>
        <w:t xml:space="preserve"> </w:t>
      </w:r>
      <w:proofErr w:type="spellStart"/>
      <w:r>
        <w:rPr>
          <w:rFonts w:ascii="Calibri Light" w:cs="Calibri Light"/>
          <w:b w:val="0"/>
          <w:sz w:val="24"/>
          <w:szCs w:val="24"/>
        </w:rPr>
        <w:t>sabha</w:t>
      </w:r>
      <w:proofErr w:type="spellEnd"/>
      <w:r>
        <w:rPr>
          <w:rFonts w:ascii="Calibri Light" w:cs="Calibri Light"/>
          <w:b w:val="0"/>
          <w:sz w:val="24"/>
          <w:szCs w:val="24"/>
        </w:rPr>
        <w:t xml:space="preserve"> successfully proposed amendments to laws deemed detrimental to the rights of certain groups, demonstrating its important oversight function.</w:t>
      </w:r>
      <w:commentRangeEnd w:id="9"/>
      <w:r w:rsidR="002019C5">
        <w:rPr>
          <w:rStyle w:val="CommentReference"/>
          <w:rFonts w:ascii="Times New Roman" w:cs="Times New Roman"/>
          <w:b w:val="0"/>
          <w:kern w:val="0"/>
        </w:rPr>
        <w:commentReference w:id="9"/>
      </w:r>
    </w:p>
    <w:p w14:paraId="175D2D59" w14:textId="77777777" w:rsidR="00AD5EA3" w:rsidRDefault="00252506">
      <w:pPr>
        <w:pStyle w:val="Heading1"/>
        <w:ind w:left="360"/>
        <w:rPr>
          <w:rFonts w:ascii="Calibri Light" w:cs="Calibri Light"/>
          <w:sz w:val="24"/>
          <w:szCs w:val="24"/>
        </w:rPr>
      </w:pPr>
      <w:r>
        <w:rPr>
          <w:rFonts w:ascii="Calibri Light" w:cs="Calibri Light"/>
          <w:sz w:val="24"/>
          <w:szCs w:val="24"/>
        </w:rPr>
        <w:t>Proportional Bicameralism Model in The Parliamentary System in Indonesia</w:t>
      </w:r>
    </w:p>
    <w:p w14:paraId="6CA17B75"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rPr>
        <w:t xml:space="preserve">The bicameral proportional model in Indonesia is a constitutional structure with two main chambers, namely the People's Representative Council (DPR) and the Regional Representative Council (DPD). Each room has a different role and function, but complements each other in an effort to reflect the needs of the community and region. The DPR represents the people in making laws, overseeing government, and preparing the state budget. Consisting of 575 members elected through parliamentary elections every five years, the DPR has significant influence in the legislative process and policy making at the national level. Structurally, DPR members are elected through an open economic voting system, meaning that voters can directly choose political parties and candidates legislative. This gives voters the opportunity to make their choice based on criteria they consider important, such as the vision, mission and track record of the candidate concerned. In this way, voters are not only tied to political parties, but can also elect individuals they deem worthy to represent them in parliament. This creates better representation for various groups in society </w:t>
      </w:r>
      <w:r>
        <w:rPr>
          <w:rFonts w:ascii="Calibri Light" w:cs="Calibri Light"/>
        </w:rPr>
        <w:fldChar w:fldCharType="begin"/>
      </w:r>
      <w:r>
        <w:rPr>
          <w:rFonts w:ascii="Calibri Light" w:cs="Calibri Light"/>
        </w:rPr>
        <w:instrText>ADDIN CSL_CITATION {"citationItems":[{"id":"ITEM-1","itemData":{"ISSN":"0192698176","author":[{"dropping-particle":"","family":"Aman","given":"Adhy","non-dropping-particle":"","parse-names":false,"suffix":""},{"dropping-particle":"","family":"Tomsa","given":"Dirk","non-dropping-particle":"","parse-names":false,"suffix":""}],"container-title":"Constitutional Democracy in Indonesia","id":"ITEM-1","issued":{"date-parts":[["2022"]]},"page":"133","publisher":"Oxford: Oxford University Press","title":"The Constitutional and Legislative Foundations of Indonesia</w:instrText>
      </w:r>
      <w:r>
        <w:rPr>
          <w:rFonts w:ascii="Calibri Light" w:cs="Calibri Light"/>
        </w:rPr>
        <w:instrText>’</w:instrText>
      </w:r>
      <w:r>
        <w:rPr>
          <w:rFonts w:ascii="Calibri Light" w:cs="Calibri Light"/>
        </w:rPr>
        <w:instrText xml:space="preserve">s Electoral Regime","type":"chapter"},"uris":["http://www.mendeley.com/documents/?uuid=a5275523-646b-4859-ac66-cd56539dd56e"]}],"mendeley":{"formattedCitation":"(Aman &amp; Tomsa, 2022)","plainTextFormattedCitation":"(Aman &amp; Tomsa, 2022)","previouslyFormattedCitation":"Adhy Aman and Dirk Tomsa, </w:instrText>
      </w:r>
      <w:r>
        <w:rPr>
          <w:rFonts w:ascii="Calibri Light" w:cs="Calibri Light"/>
        </w:rPr>
        <w:instrText>“</w:instrText>
      </w:r>
      <w:r>
        <w:rPr>
          <w:rFonts w:ascii="Calibri Light" w:cs="Calibri Light"/>
        </w:rPr>
        <w:instrText>The Constitutional and Legislative Foundations of Indonesia</w:instrText>
      </w:r>
      <w:r>
        <w:rPr>
          <w:rFonts w:ascii="Calibri Light" w:cs="Calibri Light"/>
        </w:rPr>
        <w:instrText>’</w:instrText>
      </w:r>
      <w:r>
        <w:rPr>
          <w:rFonts w:ascii="Calibri Light" w:cs="Calibri Light"/>
        </w:rPr>
        <w:instrText>s Electoral Regime,</w:instrText>
      </w:r>
      <w:r>
        <w:rPr>
          <w:rFonts w:ascii="Calibri Light" w:cs="Calibri Light"/>
        </w:rPr>
        <w:instrText>”</w:instrText>
      </w:r>
      <w:r>
        <w:rPr>
          <w:rFonts w:ascii="Calibri Light" w:cs="Calibri Light"/>
        </w:rPr>
        <w:instrText xml:space="preserve"> in &lt;i&gt;Constitutional Democracy in Indonesia&lt;/i&gt; (Oxford: Oxford University Press, 2022), 133."},"properties":{"noteIndex":0},"schema":"https://github.com/citation-style-language/schema/raw/master/csl-citation.json"}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(Aman &amp; Tomsa, 2022)</w:t>
      </w:r>
      <w:r>
        <w:rPr>
          <w:rFonts w:ascii="Calibri Light" w:cs="Calibri Light"/>
        </w:rPr>
        <w:fldChar w:fldCharType="end"/>
      </w:r>
      <w:r>
        <w:rPr>
          <w:rFonts w:ascii="Calibri Light" w:cs="Calibri Light"/>
          <w:color w:val="000000"/>
          <w:lang w:val="en-US"/>
        </w:rPr>
        <w:t>.</w:t>
      </w:r>
    </w:p>
    <w:p w14:paraId="0A0A2654" w14:textId="77777777" w:rsidR="00AD5EA3" w:rsidRDefault="00252506">
      <w:pPr>
        <w:pStyle w:val="NormalWeb"/>
        <w:spacing w:before="240" w:after="0"/>
        <w:ind w:left="360"/>
        <w:jc w:val="both"/>
        <w:rPr>
          <w:rFonts w:ascii="Calibri Light" w:cs="Calibri Light"/>
          <w:color w:val="000000"/>
        </w:rPr>
      </w:pPr>
      <w:commentRangeStart w:id="10"/>
      <w:r>
        <w:rPr>
          <w:rFonts w:ascii="Calibri Light" w:cs="Calibri Light"/>
          <w:color w:val="000000"/>
        </w:rPr>
        <w:lastRenderedPageBreak/>
        <w:t>On the other hand, DPD functions as regional representation in the national legislative structure</w:t>
      </w:r>
      <w:commentRangeEnd w:id="10"/>
      <w:r w:rsidR="002019C5">
        <w:rPr>
          <w:rStyle w:val="CommentReference"/>
          <w:lang w:val="en-US" w:eastAsia="en-GB"/>
        </w:rPr>
        <w:commentReference w:id="10"/>
      </w:r>
      <w:r>
        <w:rPr>
          <w:rFonts w:ascii="Calibri Light" w:cs="Calibri Light"/>
          <w:color w:val="000000"/>
        </w:rPr>
        <w:t xml:space="preserve">. The DPD consists of 136 members, where each province is represented by four members without regard to political party affiliation. The function of the DPD is very important to ensure that regional interests can be represented and heard in decision making that takes place at the central level. DPD has a role in providing input and suggestions on draft laws relating to regional autonomy, natural resources and other issues that have a direct impact on society at the local level </w:t>
      </w:r>
      <w:r>
        <w:rPr>
          <w:rFonts w:ascii="Calibri Light" w:cs="Calibri Light"/>
        </w:rPr>
        <w:fldChar w:fldCharType="begin"/>
      </w:r>
      <w:r>
        <w:rPr>
          <w:rFonts w:ascii="Calibri Light" w:cs="Calibri Light"/>
        </w:rPr>
        <w:instrText xml:space="preserve">ADDIN CSL_CITATION {"citationItems":[{"id":"ITEM-1","itemData":{"ISSN":"2656-3797","author":[{"dropping-particle":"","family":"Perbawa","given":"I Ketut Sukawati Lanang Putra","non-dropping-particle":"","parse-names":false,"suffix":""},{"dropping-particle":"","family":"Kusumaningtyas","given":"Reza Octavia","non-dropping-particle":"","parse-names":false,"suffix":""},{"dropping-particle":"","family":"Jailani","given":"Abdul Kadir","non-dropping-particle":"","parse-names":false,"suffix":""}],"container-title":"Wacana Hukum","id":"ITEM-1","issue":"2","issued":{"date-parts":[["2022"]]},"page":"38-53","title":"The Reform of the Parliamentary Threshold System Based on Human Rights: Evidence from the United States","type":"article-journal","volume":"28"},"uris":["http://www.mendeley.com/documents/?uuid=988f0ee7-66ac-4bd9-b893-9a6f256e5c67"]}],"mendeley":{"formattedCitation":"(Perbawa et al., 2022)","plainTextFormattedCitation":"(Perbawa et al., 2022)","previouslyFormattedCitation":"I Ketut Sukawati Lanang Putra Perbawa, Reza Octavia Kusumaningtyas, and Abdul Kadir Jailani, </w:instrText>
      </w:r>
      <w:r>
        <w:rPr>
          <w:rFonts w:ascii="Calibri Light" w:cs="Calibri Light"/>
        </w:rPr>
        <w:instrText>“</w:instrText>
      </w:r>
      <w:r>
        <w:rPr>
          <w:rFonts w:ascii="Calibri Light" w:cs="Calibri Light"/>
        </w:rPr>
        <w:instrText>The Reform of the Parliamentary Threshold System Based on Human Rights: Evidence from the United States,</w:instrText>
      </w:r>
      <w:r>
        <w:rPr>
          <w:rFonts w:ascii="Calibri Light" w:cs="Calibri Light"/>
        </w:rPr>
        <w:instrText>”</w:instrText>
      </w:r>
      <w:r>
        <w:rPr>
          <w:rFonts w:ascii="Calibri Light" w:cs="Calibri Light"/>
        </w:rPr>
        <w:instrText xml:space="preserve"> &lt;i&gt;Wacana Hukum&lt;/i&gt; 28, no. 2 (2022): 38</w:instrText>
      </w:r>
      <w:r>
        <w:rPr>
          <w:rFonts w:ascii="Calibri Light" w:cs="Calibri Light"/>
        </w:rPr>
        <w:instrText>–</w:instrText>
      </w:r>
      <w:r>
        <w:rPr>
          <w:rFonts w:ascii="Calibri Light" w:cs="Calibri Light"/>
        </w:rPr>
        <w:instrText>53."},"properties":{"noteIndex":0},"schema":"https://github.com/citation-style-language/schema/raw/master/csl-citation.json"}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(Perbawa et al., 2022)</w:t>
      </w:r>
      <w:r>
        <w:rPr>
          <w:rFonts w:ascii="Calibri Light" w:cs="Calibri Light"/>
        </w:rPr>
        <w:fldChar w:fldCharType="end"/>
      </w:r>
      <w:r>
        <w:rPr>
          <w:rFonts w:ascii="Calibri Light" w:cs="Calibri Light"/>
          <w:color w:val="000000"/>
          <w:lang w:val="en-US"/>
        </w:rPr>
        <w:t>.</w:t>
      </w:r>
    </w:p>
    <w:p w14:paraId="426D0A81"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The principle of proportionality in the bicameralism system is clearly visible from the way members of the DPR and DPD are elected. With an open proportional system, it is hoped that fairer and more balanced representation can be created for all elements of society. This is very important in the context of Indonesia which has very diverse cultures, ethnicities and interests. The existence of DPD also provides an opportunity for regions to express their aspirations and needs before the central government, so that the policies taken do not only benefit certain groups but also take into account the interests of the wider community </w:t>
      </w:r>
      <w:r>
        <w:rPr>
          <w:rFonts w:ascii="Calibri Light" w:cs="Calibri Light"/>
        </w:rPr>
        <w:fldChar w:fldCharType="begin"/>
      </w:r>
      <w:r>
        <w:rPr>
          <w:rFonts w:ascii="Calibri Light" w:cs="Calibri Light"/>
        </w:rPr>
        <w:instrText>ADDIN CSL_CITATION {"citationItems":[{"id":"ITEM-1","itemData":{"ISSN":"2309-8678","author":[{"dropping-particle":"","family":"Mutawalli","given":"Muhammad","non-dropping-particle":"","parse-names":false,"suffix":""},{"dropping-particle":"","family":"Wahab","given":"Harlida Abdul","non-dropping-particle":"","parse-names":false,"suffix":""},{"dropping-particle":"","family":"Ayub","given":"Zainal Amin","non-dropping-particle":"","parse-names":false,"suffix":""}],"container-title":"Russian Law Journal","id":"ITEM-1","issue":"3S","issued":{"date-parts":[["2023"]]},"page":"132-142","publisher":"</w:instrText>
      </w:r>
      <w:r>
        <w:rPr>
          <w:rFonts w:ascii="Calibri Light" w:cs="Calibri Light"/>
        </w:rPr>
        <w:instrText>Фонд</w:instrText>
      </w:r>
      <w:r>
        <w:rPr>
          <w:rFonts w:ascii="Calibri Light" w:cs="Calibri Light"/>
        </w:rPr>
        <w:instrText xml:space="preserve"> </w:instrText>
      </w:r>
      <w:r>
        <w:rPr>
          <w:rFonts w:ascii="Calibri Light" w:cs="Calibri Light"/>
        </w:rPr>
        <w:instrText>поддержки</w:instrText>
      </w:r>
      <w:r>
        <w:rPr>
          <w:rFonts w:ascii="Calibri Light" w:cs="Calibri Light"/>
        </w:rPr>
        <w:instrText xml:space="preserve"> </w:instrText>
      </w:r>
      <w:r>
        <w:rPr>
          <w:rFonts w:ascii="Calibri Light" w:cs="Calibri Light"/>
        </w:rPr>
        <w:instrText>академических</w:instrText>
      </w:r>
      <w:r>
        <w:rPr>
          <w:rFonts w:ascii="Calibri Light" w:cs="Calibri Light"/>
        </w:rPr>
        <w:instrText xml:space="preserve"> </w:instrText>
      </w:r>
      <w:r>
        <w:rPr>
          <w:rFonts w:ascii="Calibri Light" w:cs="Calibri Light"/>
        </w:rPr>
        <w:instrText>инициатив</w:instrText>
      </w:r>
      <w:r>
        <w:rPr>
          <w:rFonts w:ascii="Calibri Light" w:cs="Calibri Light"/>
        </w:rPr>
        <w:instrText xml:space="preserve">","title":"Constitutional Complaint: A Comparative Study of The Authority of The Constitutional Courts of The Republic of Indonesia and Croatia","type":"article-journal","volume":"11"},"uris":["http://www.mendeley.com/documents/?uuid=e1f45c2c-b998-492f-bd8a-a06cce0fef0c"]}],"mendeley":{"formattedCitation":"(Mutawalli, Wahab, et al., 2023)","plainTextFormattedCitation":"(Mutawalli, Wahab, et al., 2023)","previouslyFormattedCitation":"Muhammad Mutawalli, Harlida Abdul Wahab, and Zainal Amin Ayub, </w:instrText>
      </w:r>
      <w:r>
        <w:rPr>
          <w:rFonts w:ascii="Calibri Light" w:cs="Calibri Light"/>
        </w:rPr>
        <w:instrText>“</w:instrText>
      </w:r>
      <w:r>
        <w:rPr>
          <w:rFonts w:ascii="Calibri Light" w:cs="Calibri Light"/>
        </w:rPr>
        <w:instrText>Constitutional Complaint: A Comparative Study of The Authority of The Constitutional Courts of The Republic of Indonesia and Croatia,</w:instrText>
      </w:r>
      <w:r>
        <w:rPr>
          <w:rFonts w:ascii="Calibri Light" w:cs="Calibri Light"/>
        </w:rPr>
        <w:instrText>”</w:instrText>
      </w:r>
      <w:r>
        <w:rPr>
          <w:rFonts w:ascii="Calibri Light" w:cs="Calibri Light"/>
        </w:rPr>
        <w:instrText xml:space="preserve"> &lt;i&gt;Russian Law Journal&lt;/i&gt; 11, no. 3S (2023): 132</w:instrText>
      </w:r>
      <w:r>
        <w:rPr>
          <w:rFonts w:ascii="Calibri Light" w:cs="Calibri Light"/>
        </w:rPr>
        <w:instrText>–</w:instrText>
      </w:r>
      <w:r>
        <w:rPr>
          <w:rFonts w:ascii="Calibri Light" w:cs="Calibri Light"/>
        </w:rPr>
        <w:instrText>42."},"properties":{"noteIndex":0},"schema":"https://github.com/citation-style-language/schema/raw/master/csl-citation.json"}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Wahab, et al., 2023)</w:t>
      </w:r>
      <w:r>
        <w:rPr>
          <w:rFonts w:ascii="Calibri Light" w:cs="Calibri Light"/>
        </w:rPr>
        <w:fldChar w:fldCharType="end"/>
      </w:r>
      <w:r>
        <w:rPr>
          <w:rFonts w:ascii="Calibri Light" w:cs="Calibri Light"/>
          <w:color w:val="000000"/>
          <w:lang w:val="en-US"/>
        </w:rPr>
        <w:t>.</w:t>
      </w:r>
    </w:p>
    <w:p w14:paraId="6C38D439"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However, although this proportional bicameralism model has many advantages, such as increased representation and more effective monitoring of government policies, this system also faces several challenges that need to be considered. One of the main challenges is the potential for conflict that could arise between the DPR and DPD. Sometimes, there are differences in views and interests between the two chambers which can cause deadlock in the legislative process. This misalignment can slow down decisions that should be taken quickly, especially in emergency situations or when an immediate response to problems that arise is required </w:t>
      </w:r>
      <w:r>
        <w:rPr>
          <w:rFonts w:ascii="Calibri Light" w:cs="Calibri Light"/>
        </w:rPr>
        <w:fldChar w:fldCharType="begin"/>
      </w:r>
      <w:r>
        <w:rPr>
          <w:rFonts w:ascii="Calibri Light" w:cs="Calibri Light"/>
        </w:rPr>
        <w:instrText xml:space="preserve">ADDIN CSL_CITATION {"citationItems":[{"id":"ITEM-1","itemData":{"ISSN":"2684-9658","author":[{"dropping-particle":"","family":"Handoyo","given":"Trio","non-dropping-particle":"","parse-names":false,"suffix":""}],"container-title":"Journal of Law Science","id":"ITEM-1","issue":"4","issued":{"date-parts":[["2022"]]},"page":"188-196","title":"The Role of the Vice President in the Republic of Indonesia's Administrative System (Post Amendment to the 1945 Constitution)","type":"article-journal","volume":"4"},"uris":["http://www.mendeley.com/documents/?uuid=10b31772-1de9-41c0-8339-e0d13ca74e43"]}],"mendeley":{"formattedCitation":"(Handoyo, 2022)","plainTextFormattedCitation":"(Handoyo, 2022)","previouslyFormattedCitation":"Trio Handoyo, </w:instrText>
      </w:r>
      <w:r>
        <w:rPr>
          <w:rFonts w:ascii="Calibri Light" w:cs="Calibri Light"/>
        </w:rPr>
        <w:instrText>“</w:instrText>
      </w:r>
      <w:r>
        <w:rPr>
          <w:rFonts w:ascii="Calibri Light" w:cs="Calibri Light"/>
        </w:rPr>
        <w:instrText>The Role of the Vice President in the Republic of Indonesia</w:instrText>
      </w:r>
      <w:r>
        <w:rPr>
          <w:rFonts w:ascii="Calibri Light" w:cs="Calibri Light"/>
        </w:rPr>
        <w:instrText>’</w:instrText>
      </w:r>
      <w:r>
        <w:rPr>
          <w:rFonts w:ascii="Calibri Light" w:cs="Calibri Light"/>
        </w:rPr>
        <w:instrText>s Administrative System (Post Amendment to the 1945 Constitution),</w:instrText>
      </w:r>
      <w:r>
        <w:rPr>
          <w:rFonts w:ascii="Calibri Light" w:cs="Calibri Light"/>
        </w:rPr>
        <w:instrText>”</w:instrText>
      </w:r>
      <w:r>
        <w:rPr>
          <w:rFonts w:ascii="Calibri Light" w:cs="Calibri Light"/>
        </w:rPr>
        <w:instrText xml:space="preserve"> &lt;i&gt;Journal of Law Science&lt;/i&gt; 4, no. 4 (2022): 188</w:instrText>
      </w:r>
      <w:r>
        <w:rPr>
          <w:rFonts w:ascii="Calibri Light" w:cs="Calibri Light"/>
        </w:rPr>
        <w:instrText>–</w:instrText>
      </w:r>
      <w:r>
        <w:rPr>
          <w:rFonts w:ascii="Calibri Light" w:cs="Calibri Light"/>
        </w:rPr>
        <w:instrText>96."},"properties":{"noteIndex":0},"schema":"https://github.com/citation-style-language/schema/raw/master/csl-citation.json"}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(Handoyo, 2022)</w:t>
      </w:r>
      <w:r>
        <w:rPr>
          <w:rFonts w:ascii="Calibri Light" w:cs="Calibri Light"/>
        </w:rPr>
        <w:fldChar w:fldCharType="end"/>
      </w:r>
      <w:r>
        <w:rPr>
          <w:rFonts w:ascii="Calibri Light" w:cs="Calibri Light"/>
          <w:color w:val="000000"/>
          <w:lang w:val="en-US"/>
        </w:rPr>
        <w:t>.</w:t>
      </w:r>
    </w:p>
    <w:p w14:paraId="5B3274FC"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rPr>
        <w:t xml:space="preserve">The complexity of the legislative process is also an obstacle in this bicameralism system. The process of passing a law becomes more complicated and time consuming because it involves two chambers that must collaborate. This could result in delays in implementing policies that are urgently needed by society. Apart from that, the DPD has limited legislative powers, where its role is more to provide input and recommendations, without having the power to pass laws. This can reduce the effectiveness of the DPD in influencing policies that impact the region, considering that the DPD cannot make final decisions in the legislative process </w:t>
      </w:r>
      <w:r>
        <w:rPr>
          <w:rFonts w:ascii="Calibri Light" w:cs="Calibri Light"/>
        </w:rPr>
        <w:fldChar w:fldCharType="begin"/>
      </w:r>
      <w:r>
        <w:rPr>
          <w:rFonts w:ascii="Calibri Light" w:cs="Calibri Light"/>
        </w:rPr>
        <w:instrText xml:space="preserve">ADDIN CSL_CITATION {"citationItems":[{"id":"ITEM-1","itemData":{"author":[{"dropping-particle":"","family":"Mutawalli","given":"Muhammad","non-dropping-particle":"","parse-names":false,"suffix":""},{"dropping-particle":"","family":"Yeyeng","given":"Andi Tenri","non-dropping-particle":"","parse-names":false,"suffix":""},{"dropping-particle":"","family":"Balebo","given":"Piaget Mpoto","non-dropping-particle":"","parse-names":false,"suffix":""},{"dropping-particle":"","family":"Lulo","given":"Lourenco de Deus Mau","non-dropping-particle":"","parse-names":false,"suffix":""}],"container-title":"Jurnal Politik Profetik","id":"ITEM-1","issue":"2","issued":{"date-parts":[["2023"]]},"page":"146-168","title":"Cancellation of Regional Regulations in Indonesian: An Overview of the Conception of Constitutional Democracy","type":"article-journal","volume":"11"},"uris":["http://www.mendeley.com/documents/?uuid=aebbb273-5055-4d45-856b-916b6b567483"]}],"mendeley":{"formattedCitation":"(Mutawalli, Yeyeng, et al., 2023)","plainTextFormattedCitation":"(Mutawalli, Yeyeng, et al., 2023)","previouslyFormattedCitation":"Muhammad Mutawalli et al., </w:instrText>
      </w:r>
      <w:r>
        <w:rPr>
          <w:rFonts w:ascii="Calibri Light" w:cs="Calibri Light"/>
        </w:rPr>
        <w:instrText>“</w:instrText>
      </w:r>
      <w:r>
        <w:rPr>
          <w:rFonts w:ascii="Calibri Light" w:cs="Calibri Light"/>
        </w:rPr>
        <w:instrText>Cancellation of Regional Regulations in Indonesian: An Overview of the Conception of Constitutional Democracy,</w:instrText>
      </w:r>
      <w:r>
        <w:rPr>
          <w:rFonts w:ascii="Calibri Light" w:cs="Calibri Light"/>
        </w:rPr>
        <w:instrText>”</w:instrText>
      </w:r>
      <w:r>
        <w:rPr>
          <w:rFonts w:ascii="Calibri Light" w:cs="Calibri Light"/>
        </w:rPr>
        <w:instrText xml:space="preserve"> &lt;i&gt;Jurnal Politik Profetik&lt;/i&gt; 11, no. 2 (2023): 146</w:instrText>
      </w:r>
      <w:r>
        <w:rPr>
          <w:rFonts w:ascii="Calibri Light" w:cs="Calibri Light"/>
        </w:rPr>
        <w:instrText>–</w:instrText>
      </w:r>
      <w:r>
        <w:rPr>
          <w:rFonts w:ascii="Calibri Light" w:cs="Calibri Light"/>
        </w:rPr>
        <w:instrText>68, https://journal.uin-alauddin.ac.id/index.php/jpp/article/view/38656."},"properties":{"noteIndex":0},"schema":"https://github.com/citation-style-language/schema/raw/master/csl-citation.json"}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Yeyeng, et al., 2023)</w:t>
      </w:r>
      <w:r>
        <w:rPr>
          <w:rFonts w:ascii="Calibri Light" w:cs="Calibri Light"/>
        </w:rPr>
        <w:fldChar w:fldCharType="end"/>
      </w:r>
      <w:r>
        <w:rPr>
          <w:rFonts w:ascii="Calibri Light" w:cs="Calibri Light"/>
          <w:color w:val="000000"/>
        </w:rPr>
        <w:t>.</w:t>
      </w:r>
    </w:p>
    <w:p w14:paraId="39BEBF24"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lang w:val="fi-FI"/>
        </w:rPr>
        <w:t>Another challenge is the issue of identity politics which often arises in the election of members of the DPR and DPD. Elections that are oriented towards ethnic, religious or particular group identities can create polarization among society. This has the potential to disrupt national unity and integrity, as well as reduce public trust in legislative institutions. In addition, a lack of public involvement in the political process and low understanding of the role of the DPR and DPD can reduce support for these institutions. People who do not understand the function and role of the DPD may pay less attention to the issues proposed by this council.</w:t>
      </w:r>
    </w:p>
    <w:p w14:paraId="65B78884"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lang w:val="fi-FI"/>
        </w:rPr>
        <w:lastRenderedPageBreak/>
        <w:t>To improve the proportional bicameralism system in Indonesia, several strategic steps are needed. First, increasing community involvement in the political process is very important. Public education about the functions and roles of the DPR and DPD can encourage more active participation from the community. With a more educated public, it is hoped that they will be able to cast higher quality votes during the general election. Second, reforms in the legislative process need to be carried out to facilitate collaboration between the DPR and DPD. A more transparent and efficient process will help reduce conflict and speed up decision making.</w:t>
      </w:r>
    </w:p>
    <w:p w14:paraId="4CFD11E2"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Empowering the DPD is also an important recommendation in improving this system. Increasing the power and role of the DPD in the legislative decision-making process can have a greater impact on the policies taken, especially those relating to regional interests. In this way, the DPD can function more effectively as a bridge between the central government and regional communities.</w:t>
      </w:r>
    </w:p>
    <w:p w14:paraId="23A3F474"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Overall, the proportional bicameralism model in Indonesia offers great potential for creating a legislative system that is more representative, accountable and responsive to the needs of the people. With appropriate improvements and attention to existing challenges, this system can contribute significantly to the development of democracy and national development. An actively involved society and optimally functioning legislative institutions will create a healthy and productive political climate, which will ultimately benefit all Indonesian people </w:t>
      </w:r>
      <w:r>
        <w:rPr>
          <w:rFonts w:ascii="Calibri Light" w:cs="Calibri Light"/>
        </w:rPr>
        <w:fldChar w:fldCharType="begin"/>
      </w:r>
      <w:r>
        <w:rPr>
          <w:rFonts w:ascii="Calibri Light" w:cs="Calibri Light"/>
        </w:rPr>
        <w:instrText>ADDIN CSL_CITATION {"citationItems":[{"id":"ITEM-1","itemData":{"author":[{"dropping-particle":"","family":"Mutawalli","given":"Muhammad","non-dropping-particle":"","parse-names":false,"suffix":""}],"id":"ITEM-1","issued":{"date-parts":[["2023"]]},"publisher":"Surabaya: Pustaka Aksara","title":"Negara Hukum Kedaulatan dan Demokrasi (Konsepsi Teori dan Perkembangannya)","type":"book"},"uris":["http://www.mendeley.com/documents/?uuid=dc62ebaa-aa7b-4a27-89cb-dae207ac4bb7"]}],"mendeley":{"formattedCitation":"(Mutawalli, 2023)","plainTextFormattedCitation":"(Mutawalli, 2023)","previouslyFormattedCitation":"Muhammad Mutawalli, &lt;i&gt;Negara Hukum Kedaulatan Dan Demokrasi (Konsepsi Teori Dan Perkembangannya)&lt;/i&gt; (Surabaya: Pustaka Aksara, 2023)."},"properties":{"noteIndex":0},"schema":"https://github.com/citation-style-language/schema/raw/master/csl-citation.json"}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2023)</w:t>
      </w:r>
      <w:r>
        <w:rPr>
          <w:rFonts w:ascii="Calibri Light" w:cs="Calibri Light"/>
        </w:rPr>
        <w:fldChar w:fldCharType="end"/>
      </w:r>
      <w:r>
        <w:rPr>
          <w:rFonts w:ascii="Calibri Light" w:cs="Calibri Light"/>
          <w:color w:val="000000"/>
          <w:lang w:val="en-US"/>
        </w:rPr>
        <w:t>.</w:t>
      </w:r>
    </w:p>
    <w:p w14:paraId="63E5C873" w14:textId="77777777" w:rsidR="00AD5EA3" w:rsidRDefault="00252506">
      <w:pPr>
        <w:pStyle w:val="NormalWeb"/>
        <w:spacing w:before="240" w:after="0"/>
        <w:ind w:left="360"/>
        <w:jc w:val="both"/>
        <w:rPr>
          <w:rFonts w:ascii="Calibri Light" w:cs="Calibri Light"/>
          <w:color w:val="000000"/>
          <w:lang w:val="en-US"/>
        </w:rPr>
      </w:pPr>
      <w:r>
        <w:rPr>
          <w:rFonts w:ascii="Calibri Light" w:cs="Calibri Light"/>
          <w:color w:val="000000"/>
          <w:lang w:val="en-US"/>
        </w:rPr>
        <w:t xml:space="preserve">In the midst of the ever-changing dynamics of political and social developments, it is important for all parties, including the government, legislature and society, to collaborate in creating a better system. Active community involvement in political monitoring and participation, as well as a commitment to maintaining integrity and transparency in the legislative process, will be the key to the success of this bicameral system </w:t>
      </w:r>
      <w:r>
        <w:rPr>
          <w:rFonts w:ascii="Calibri Light" w:cs="Calibri Light"/>
        </w:rPr>
        <w:fldChar w:fldCharType="begin"/>
      </w:r>
      <w:r>
        <w:rPr>
          <w:rFonts w:ascii="Calibri Light" w:cs="Calibri Light"/>
        </w:rPr>
        <w:instrText xml:space="preserve">ADDIN CSL_CITATION {"citationItems":[{"id":"ITEM-1","itemData":{"ISSN":"2583-0031","author":[{"dropping-particle":"","family":"Malik","given":"Ausaf Ahmad","non-dropping-particle":"","parse-names":false,"suffix":""}],"container-title":"Revista Review Index Journal of Multidisciplinary","id":"ITEM-1","issue":"4","issued":{"date-parts":[["2023"]]},"page":"1-9","title":"Parliamentary Democracy: Mechanisms, Challenges, and the Quest for Effective Governance","type":"article-journal","volume":"3"},"uris":["http://www.mendeley.com/documents/?uuid=2bb0e33f-854f-4366-9022-1bafee7647d4"]}],"mendeley":{"formattedCitation":"(Malik, 2023)","plainTextFormattedCitation":"(Malik, 2023)","previouslyFormattedCitation":"Ausaf Ahmad Malik, </w:instrText>
      </w:r>
      <w:r>
        <w:rPr>
          <w:rFonts w:ascii="Calibri Light" w:cs="Calibri Light"/>
        </w:rPr>
        <w:instrText>“</w:instrText>
      </w:r>
      <w:r>
        <w:rPr>
          <w:rFonts w:ascii="Calibri Light" w:cs="Calibri Light"/>
        </w:rPr>
        <w:instrText>Parliamentary Democracy: Mechanisms, Challenges, and the Quest for Effective Governance,</w:instrText>
      </w:r>
      <w:r>
        <w:rPr>
          <w:rFonts w:ascii="Calibri Light" w:cs="Calibri Light"/>
        </w:rPr>
        <w:instrText>”</w:instrText>
      </w:r>
      <w:r>
        <w:rPr>
          <w:rFonts w:ascii="Calibri Light" w:cs="Calibri Light"/>
        </w:rPr>
        <w:instrText xml:space="preserve"> &lt;i&gt;Revista Review Index Journal of Multidisciplinary&lt;/i&gt; 3, no. 4 (2023): 1</w:instrText>
      </w:r>
      <w:r>
        <w:rPr>
          <w:rFonts w:ascii="Calibri Light" w:cs="Calibri Light"/>
        </w:rPr>
        <w:instrText>–</w:instrText>
      </w:r>
      <w:r>
        <w:rPr>
          <w:rFonts w:ascii="Calibri Light" w:cs="Calibri Light"/>
        </w:rPr>
        <w:instrText>9."},"properties":{"noteIndex":0},"schema":"https://github.com/citation-style-language/schema/raw/master/csl-citation.json"}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(Malik, 2023)</w:t>
      </w:r>
      <w:r>
        <w:rPr>
          <w:rFonts w:ascii="Calibri Light" w:cs="Calibri Light"/>
        </w:rPr>
        <w:fldChar w:fldCharType="end"/>
      </w:r>
      <w:r>
        <w:rPr>
          <w:rFonts w:ascii="Calibri Light" w:cs="Calibri Light"/>
          <w:color w:val="000000"/>
          <w:lang w:val="en-US"/>
        </w:rPr>
        <w:t xml:space="preserve">. With the strategic steps taken, it is hoped that Indonesia can achieve its ideals of becoming a just and prosperous democratic country, where every voice is respected and every interest is represented proportionally </w:t>
      </w:r>
      <w:r>
        <w:rPr>
          <w:rFonts w:ascii="Calibri Light" w:cs="Calibri Light"/>
        </w:rPr>
        <w:fldChar w:fldCharType="begin"/>
      </w:r>
      <w:r>
        <w:rPr>
          <w:rFonts w:ascii="Calibri Light" w:cs="Calibri Light"/>
        </w:rPr>
        <w:instrText xml:space="preserve">ADDIN CSL_CITATION {"citationItems":[{"id":"ITEM-1","itemData":{"author":[{"dropping-particle":"","family":"Utami","given":"Nofi Sri","non-dropping-particle":"","parse-names":false,"suffix":""}],"container-title":"Proceedings of the 2nd International Conference on Multidisciplinary Sciences for Humanity in Society 5.0 Era (ICOMSH 2022)","id":"ITEM-1","issued":{"date-parts":[["2023"]]},"page":"498-502","title":"Dynamics of The Parliamentary System in The Indonesian State System","type":"paper-conference"},"uris":["http://www.mendeley.com/documents/?uuid=d68a028f-82dc-4ee7-88a6-ade7493c59ee"]}],"mendeley":{"formattedCitation":"(Utami, 2023)","plainTextFormattedCitation":"(Utami, 2023)","previouslyFormattedCitation":"Nofi Sri Utami, </w:instrText>
      </w:r>
      <w:r>
        <w:rPr>
          <w:rFonts w:ascii="Calibri Light" w:cs="Calibri Light"/>
        </w:rPr>
        <w:instrText>“</w:instrText>
      </w:r>
      <w:r>
        <w:rPr>
          <w:rFonts w:ascii="Calibri Light" w:cs="Calibri Light"/>
        </w:rPr>
        <w:instrText>Dynamics of The Parliamentary System in The Indonesian State System,</w:instrText>
      </w:r>
      <w:r>
        <w:rPr>
          <w:rFonts w:ascii="Calibri Light" w:cs="Calibri Light"/>
        </w:rPr>
        <w:instrText>”</w:instrText>
      </w:r>
      <w:r>
        <w:rPr>
          <w:rFonts w:ascii="Calibri Light" w:cs="Calibri Light"/>
        </w:rPr>
        <w:instrText xml:space="preserve"> in &lt;i&gt;Proceedings of the 2nd International Conference on Multidisciplinary Sciences for Humanity in Society 5.0 Era (ICOMSH 2022)&lt;/i&gt;, 2023, 498</w:instrText>
      </w:r>
      <w:r>
        <w:rPr>
          <w:rFonts w:ascii="Calibri Light" w:cs="Calibri Light"/>
        </w:rPr>
        <w:instrText>–</w:instrText>
      </w:r>
      <w:r>
        <w:rPr>
          <w:rFonts w:ascii="Calibri Light" w:cs="Calibri Light"/>
        </w:rPr>
        <w:instrText>502."},"properties":{"noteIndex":0},"schema":"https://github.com/citation-style-language/schema/raw/master/csl-citation.json"}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(Utami, 2023)</w:t>
      </w:r>
      <w:r>
        <w:rPr>
          <w:rFonts w:ascii="Calibri Light" w:cs="Calibri Light"/>
        </w:rPr>
        <w:fldChar w:fldCharType="end"/>
      </w:r>
      <w:r>
        <w:rPr>
          <w:rFonts w:ascii="Calibri Light" w:cs="Calibri Light"/>
          <w:color w:val="000000"/>
          <w:lang w:val="en-US"/>
        </w:rPr>
        <w:t xml:space="preserve">. Furthermore, the role of political education cannot be ignored. The public needs to be given a deep understanding of legislative mechanisms and the importance of their participation in the democratic process. Through effective political education programs, people can better understand their rights and obligations as citizens </w:t>
      </w:r>
      <w:r>
        <w:rPr>
          <w:rFonts w:ascii="Calibri Light" w:cs="Calibri Light"/>
        </w:rPr>
        <w:fldChar w:fldCharType="begin"/>
      </w:r>
      <w:r>
        <w:rPr>
          <w:rFonts w:ascii="Calibri Light" w:cs="Calibri Light"/>
        </w:rPr>
        <w:instrText xml:space="preserve">ADDIN CSL_CITATION {"citationItems":[{"id":"ITEM-1","itemData":{"ISSN":"2685-550X","author":[{"dropping-particle":"","family":"Rohmah","given":"Elva Imeldatur","non-dropping-particle":"","parse-names":false,"suffix":""},{"dropping-particle":"","family":"Huroirah","given":"Ernawati","non-dropping-particle":"","parse-names":false,"suffix":""},{"dropping-particle":"","family":"Prasetya","given":"Jean Arya Putra","non-dropping-particle":"","parse-names":false,"suffix":""}],"container-title":"Al-Adalah: Jurnal Hukum dan Politik Islam","id":"ITEM-1","issue":"1","issued":{"date-parts":[["2024"]]},"page":"1-23","publisher":"Program Studi Hukum Tata Negara, Fakultas Syariah dan Hukum Islam IAIN Bone","title":"Parliamentary Systems in Continental European Countries and its Relationship to the Effectiveness of Legislative Institutions","type":"article-journal","volume":"9"},"uris":["http://www.mendeley.com/documents/?uuid=e4b5a8c3-9e51-4117-8971-c3a33542fb11"]}],"mendeley":{"formattedCitation":"(Rohmah et al., 2024)","plainTextFormattedCitation":"(Rohmah et al., 2024)","previouslyFormattedCitation":"Elva Imeldatur Rohmah, Ernawati Huroirah, and Jean Arya Putra Prasetya, </w:instrText>
      </w:r>
      <w:r>
        <w:rPr>
          <w:rFonts w:ascii="Calibri Light" w:cs="Calibri Light"/>
        </w:rPr>
        <w:instrText>“</w:instrText>
      </w:r>
      <w:r>
        <w:rPr>
          <w:rFonts w:ascii="Calibri Light" w:cs="Calibri Light"/>
        </w:rPr>
        <w:instrText>Parliamentary Systems in Continental European Countries and Its Relationship to the Effectiveness of Legislative Institutions,</w:instrText>
      </w:r>
      <w:r>
        <w:rPr>
          <w:rFonts w:ascii="Calibri Light" w:cs="Calibri Light"/>
        </w:rPr>
        <w:instrText>”</w:instrText>
      </w:r>
      <w:r>
        <w:rPr>
          <w:rFonts w:ascii="Calibri Light" w:cs="Calibri Light"/>
        </w:rPr>
        <w:instrText xml:space="preserve"> &lt;i&gt;Al-Adalah: Jurnal Hukum Dan Politik Islam&lt;/i&gt; 9, no. 1 (2024): 1</w:instrText>
      </w:r>
      <w:r>
        <w:rPr>
          <w:rFonts w:ascii="Calibri Light" w:cs="Calibri Light"/>
        </w:rPr>
        <w:instrText>–</w:instrText>
      </w:r>
      <w:r>
        <w:rPr>
          <w:rFonts w:ascii="Calibri Light" w:cs="Calibri Light"/>
        </w:rPr>
        <w:instrText>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(Rohmah et al., 2024)</w:t>
      </w:r>
      <w:r>
        <w:rPr>
          <w:rFonts w:ascii="Calibri Light" w:cs="Calibri Light"/>
        </w:rPr>
        <w:fldChar w:fldCharType="end"/>
      </w:r>
      <w:r>
        <w:rPr>
          <w:rFonts w:ascii="Calibri Light" w:cs="Calibri Light"/>
          <w:color w:val="000000"/>
          <w:lang w:val="en-US"/>
        </w:rPr>
        <w:t xml:space="preserve">. This will strengthen collective awareness of the importance of involvement in decision making, as well as encourage the younger generation to participate actively in politics. In this way, the mission to create a better and more democratic legislative system will be closer to reality, producing a government that truly reflects the voices and aspirations of all Indonesian people </w:t>
      </w:r>
      <w:r>
        <w:rPr>
          <w:rFonts w:ascii="Calibri Light" w:cs="Calibri Light"/>
        </w:rPr>
        <w:fldChar w:fldCharType="begin"/>
      </w:r>
      <w:r>
        <w:rPr>
          <w:rFonts w:ascii="Calibri Light" w:cs="Calibri Light"/>
        </w:rPr>
        <w:instrText>ADDIN CSL_CITATION {"citationItems":[{"id":"ITEM-1","itemData":{"ISSN":"2158-2440","author":[{"dropping-particle":"","family":"Faiz","given":"Pan Mohamad","non-dropping-particle":"","parse-names":false,"suffix":""},{"dropping-particle":"","family":"Isra","given":"Saldi","non-dropping-particle":"","parse-names":false,"suffix":""},{"dropping-particle":"","family":"Agustine","given":"Oly Viana","non-dropping-particle":"","parse-names":false,"suffix":""}],"container-title":"SAGE Open","id":"ITEM-1","issue":"4","issued":{"date-parts":[["2023"]]},"publisher":"SAGE Publications Sage CA: Los Angeles, CA","title":"Strengthening Indonesia</w:instrText>
      </w:r>
      <w:r>
        <w:rPr>
          <w:rFonts w:ascii="Calibri Light" w:cs="Calibri Light"/>
        </w:rPr>
        <w:instrText>’</w:instrText>
      </w:r>
      <w:r>
        <w:rPr>
          <w:rFonts w:ascii="Calibri Light" w:cs="Calibri Light"/>
        </w:rPr>
        <w:instrText xml:space="preserve">s Regional Representative Council Through Judicial Review by the Constitutional Court","type":"article-journal","volume":"13"},"uris":["http://www.mendeley.com/documents/?uuid=be73530c-11ce-4c74-8f95-0be03a263ee8"]}],"mendeley":{"formattedCitation":"(Faiz et al., 2023)","plainTextFormattedCitation":"(Faiz et al., 2023)","previouslyFormattedCitation":"Pan Mohamad Faiz, Saldi Isra, and Oly Viana Agustine, </w:instrText>
      </w:r>
      <w:r>
        <w:rPr>
          <w:rFonts w:ascii="Calibri Light" w:cs="Calibri Light"/>
        </w:rPr>
        <w:instrText>“</w:instrText>
      </w:r>
      <w:r>
        <w:rPr>
          <w:rFonts w:ascii="Calibri Light" w:cs="Calibri Light"/>
        </w:rPr>
        <w:instrText>Strengthening Indonesia</w:instrText>
      </w:r>
      <w:r>
        <w:rPr>
          <w:rFonts w:ascii="Calibri Light" w:cs="Calibri Light"/>
        </w:rPr>
        <w:instrText>’</w:instrText>
      </w:r>
      <w:r>
        <w:rPr>
          <w:rFonts w:ascii="Calibri Light" w:cs="Calibri Light"/>
        </w:rPr>
        <w:instrText>s Regional Representative Council Through Judicial Review by the Constitutional Court,</w:instrText>
      </w:r>
      <w:r>
        <w:rPr>
          <w:rFonts w:ascii="Calibri Light" w:cs="Calibri Light"/>
        </w:rPr>
        <w:instrText>”</w:instrText>
      </w:r>
      <w:r>
        <w:rPr>
          <w:rFonts w:ascii="Calibri Light" w:cs="Calibri Light"/>
        </w:rPr>
        <w:instrText xml:space="preserve"> &lt;i&gt;SAGE Open&lt;/i&gt; 13, no. 4 (2023)."},"properties":{"noteIndex":0},"schema":"https://github.com/citation-style-language/schema/raw/master/csl-citation.json"}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(Faiz et al., 2023)</w:t>
      </w:r>
      <w:r>
        <w:rPr>
          <w:rFonts w:ascii="Calibri Light" w:cs="Calibri Light"/>
        </w:rPr>
        <w:fldChar w:fldCharType="end"/>
      </w:r>
      <w:r>
        <w:rPr>
          <w:rFonts w:ascii="Calibri Light" w:cs="Calibri Light"/>
          <w:color w:val="000000"/>
          <w:lang w:val="en-US"/>
        </w:rPr>
        <w:t>.</w:t>
      </w:r>
    </w:p>
    <w:p w14:paraId="0147DA78" w14:textId="77777777" w:rsidR="00AD5EA3" w:rsidRDefault="00252506">
      <w:pPr>
        <w:pStyle w:val="Heading1"/>
        <w:ind w:left="360"/>
        <w:rPr>
          <w:rFonts w:ascii="Calibri Light" w:cs="Calibri Light"/>
          <w:b w:val="0"/>
          <w:sz w:val="24"/>
          <w:szCs w:val="24"/>
        </w:rPr>
      </w:pPr>
      <w:r>
        <w:rPr>
          <w:rFonts w:ascii="Calibri Light" w:cs="Calibri Light"/>
          <w:sz w:val="24"/>
          <w:szCs w:val="24"/>
        </w:rPr>
        <w:t>Balanced Bicameral Reconstruction of Lawmaking Power</w:t>
      </w:r>
    </w:p>
    <w:p w14:paraId="3C94D64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condition of representative offices in Indonesia shows that both chambers need to be reformed so that they can carry out their legal duties in the interests of society, the nation and the government. In the opinion of the Constitutional Court, all public institutions are </w:t>
      </w:r>
      <w:r>
        <w:rPr>
          <w:rFonts w:ascii="Calibri Light" w:cs="Calibri Light"/>
          <w:color w:val="000000"/>
          <w:sz w:val="24"/>
          <w:szCs w:val="24"/>
        </w:rPr>
        <w:lastRenderedPageBreak/>
        <w:t>part of the overall government administration system, this can be seen from the Constitutional Court Decision Number 92/PUU-X/2012 dated 27 March 2013. This means that working conditions and procedures between government agencies must be part of the implementation of authority government and empowering public institutions to achieve these goals.</w:t>
      </w:r>
    </w:p>
    <w:p w14:paraId="34ED53D6"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As institutions regulated by the constitution, the two representative chambers must operate in accordance with the authority they have, within the framework of a system of checks and balances </w:t>
      </w:r>
      <w:r>
        <w:rPr>
          <w:rFonts w:ascii="Calibri Light" w:cs="Calibri Light"/>
          <w:sz w:val="24"/>
          <w:szCs w:val="24"/>
        </w:rPr>
        <w:fldChar w:fldCharType="begin"/>
      </w:r>
      <w:r>
        <w:rPr>
          <w:rFonts w:ascii="Calibri Light" w:cs="Calibri Light"/>
          <w:sz w:val="24"/>
          <w:szCs w:val="24"/>
        </w:rPr>
        <w:instrText>ADDIN CSL_CITATION {"citationItems":[{"id":"ITEM-1","itemData":{"ISSN":"1731-6375","author":[{"dropping-particle":"","family":"Patyra","given":"S</w:instrText>
      </w:r>
      <w:r>
        <w:rPr>
          <w:rFonts w:ascii="Calibri Light" w:cs="Calibri Light"/>
          <w:sz w:val="24"/>
          <w:szCs w:val="24"/>
        </w:rPr>
        <w:instrText>ł</w:instrText>
      </w:r>
      <w:r>
        <w:rPr>
          <w:rFonts w:ascii="Calibri Light" w:cs="Calibri Light"/>
          <w:sz w:val="24"/>
          <w:szCs w:val="24"/>
        </w:rPr>
        <w:instrText>awomir","non-dropping-particle":"","parse-names":false,"suffix":""}],"container-title":"Studia Iuridica Lublinensia","id":"ITEM-1","issue":"5","issued":{"date-parts":[["2022"]]},"page":"187-199","publisher":"Wydawnictwo Naukowe Uniwersytetu Marii Curie-Sklodowskiej","title":"Participation of the Polish Senate in the Legislative Process: Towards Equal Bicameralism?","type":"article-journal","volume":"31"},"uris":["http://www.mendeley.com/documents/?uuid=ac0243a6-8a57-4f10-9496-55fe1efdf094"]}],"mendeley":{"formattedCitation":"(Patyra, 2022)","plainTextFormattedCitation":"(Patyra, 2022)","previouslyFormattedCitation":"S</w:instrText>
      </w:r>
      <w:r>
        <w:rPr>
          <w:rFonts w:ascii="Calibri Light" w:cs="Calibri Light"/>
          <w:sz w:val="24"/>
          <w:szCs w:val="24"/>
        </w:rPr>
        <w:instrText>ł</w:instrText>
      </w:r>
      <w:r>
        <w:rPr>
          <w:rFonts w:ascii="Calibri Light" w:cs="Calibri Light"/>
          <w:sz w:val="24"/>
          <w:szCs w:val="24"/>
        </w:rPr>
        <w:instrText xml:space="preserve">awomir Patyra, </w:instrText>
      </w:r>
      <w:r>
        <w:rPr>
          <w:rFonts w:ascii="Calibri Light" w:cs="Calibri Light"/>
          <w:sz w:val="24"/>
          <w:szCs w:val="24"/>
        </w:rPr>
        <w:instrText>“</w:instrText>
      </w:r>
      <w:r>
        <w:rPr>
          <w:rFonts w:ascii="Calibri Light" w:cs="Calibri Light"/>
          <w:sz w:val="24"/>
          <w:szCs w:val="24"/>
        </w:rPr>
        <w:instrText>Participation of the Polish Senate in the Legislative Process: Towards Equal Bicameralism?,</w:instrText>
      </w:r>
      <w:r>
        <w:rPr>
          <w:rFonts w:ascii="Calibri Light" w:cs="Calibri Light"/>
          <w:sz w:val="24"/>
          <w:szCs w:val="24"/>
        </w:rPr>
        <w:instrText>”</w:instrText>
      </w:r>
      <w:r>
        <w:rPr>
          <w:rFonts w:ascii="Calibri Light" w:cs="Calibri Light"/>
          <w:sz w:val="24"/>
          <w:szCs w:val="24"/>
        </w:rPr>
        <w:instrText xml:space="preserve"> &lt;i&gt;Studia Iuridica Lublinensia&lt;/i&gt; 31, no. 5 (2022): 187</w:instrText>
      </w:r>
      <w:r>
        <w:rPr>
          <w:rFonts w:ascii="Calibri Light" w:cs="Calibri Light"/>
          <w:sz w:val="24"/>
          <w:szCs w:val="24"/>
        </w:rPr>
        <w:instrText>–</w:instrText>
      </w:r>
      <w:r>
        <w:rPr>
          <w:rFonts w:ascii="Calibri Light" w:cs="Calibri Light"/>
          <w:sz w:val="24"/>
          <w:szCs w:val="24"/>
        </w:rPr>
        <w:instrText>99."},"properties":{"noteIndex":0},"schema":"https://github.com/citation-style-language/schema/raw/master/csl-citation.json"}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(Patyra, 2022)</w:t>
      </w:r>
      <w:r>
        <w:rPr>
          <w:rFonts w:ascii="Calibri Light" w:cs="Calibri Light"/>
          <w:sz w:val="24"/>
          <w:szCs w:val="24"/>
        </w:rPr>
        <w:fldChar w:fldCharType="end"/>
      </w:r>
      <w:r>
        <w:rPr>
          <w:rFonts w:ascii="Calibri Light" w:cs="Calibri Light"/>
          <w:color w:val="000000"/>
          <w:sz w:val="24"/>
          <w:szCs w:val="24"/>
        </w:rPr>
        <w:t xml:space="preserve">. This ensures that no public institution is in a subordinate position, but rather has an equal relationship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{"citationItems":[{"id":"ITEM-1","itemData":{"DOI":"10.15294/jllr.vol5i1.3125","author":[{"dropping-particle":"","family":"Mukhlis","given":"Muhammad Mutawalli","non-dropping-particle":"","parse-names":false,"suffix":""},{"dropping-particle":"","family":"Maskun","given":"Maskun","non-dropping-particle":"","parse-names":false,"suffix":""},{"dropping-particle":"","family":"Tajuddin","given":"Muhammad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Reform","id":"ITEM-1","issue":"2","issued":{"date-parts":[["2024"]]},"title":"Regional Government According to the 1945 Constitution: Ideas Refinements and Law Reform","type":"article-journal","volume":"5"},"uris":["http://www.mendeley.com/documents/?uuid=a5450564-8a52-4086-9d8e-303d2ddabd22"]}],"mendeley":{"formattedCitation":"(Mukhlis et al., 2024)","plainTextFormattedCitation":"(Mukhlis et al., 2024)","previouslyFormattedCitation":"Muhammad Mutawalli Mukhlis et al., </w:instrText>
      </w:r>
      <w:r>
        <w:rPr>
          <w:rFonts w:ascii="Calibri Light" w:cs="Calibri Light"/>
          <w:sz w:val="24"/>
          <w:szCs w:val="24"/>
        </w:rPr>
        <w:instrText>“</w:instrText>
      </w:r>
      <w:r>
        <w:rPr>
          <w:rFonts w:ascii="Calibri Light" w:cs="Calibri Light"/>
          <w:sz w:val="24"/>
          <w:szCs w:val="24"/>
        </w:rPr>
        <w:instrText>Regional Government According to the 1945 Constitution: Ideas Refinements and Law Reform,</w:instrText>
      </w:r>
      <w:r>
        <w:rPr>
          <w:rFonts w:ascii="Calibri Light" w:cs="Calibri Light"/>
          <w:sz w:val="24"/>
          <w:szCs w:val="24"/>
        </w:rPr>
        <w:instrText>”</w:instrText>
      </w:r>
      <w:r>
        <w:rPr>
          <w:rFonts w:ascii="Calibri Light" w:cs="Calibri Light"/>
          <w:sz w:val="24"/>
          <w:szCs w:val="24"/>
        </w:rPr>
        <w:instrText xml:space="preserve"> &lt;i&gt;Journal of Law and Legal Reform&lt;/i&gt; 5, no. 2 (2024), https://doi.org/10.15294/jllr.vol5i1.3125."},"properties":{"noteIndex":0},"schema":"https://github.com/citation-style-language/schema/raw/master/csl-citation.json"}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(Mukhlis et al., 2024)</w:t>
      </w:r>
      <w:r>
        <w:rPr>
          <w:rFonts w:ascii="Calibri Light" w:cs="Calibri Light"/>
          <w:sz w:val="24"/>
          <w:szCs w:val="24"/>
        </w:rPr>
        <w:fldChar w:fldCharType="end"/>
      </w:r>
      <w:r>
        <w:rPr>
          <w:rFonts w:ascii="Calibri Light" w:cs="Calibri Light"/>
          <w:color w:val="000000"/>
          <w:sz w:val="24"/>
          <w:szCs w:val="24"/>
        </w:rPr>
        <w:t xml:space="preserve">. The balance of power mechanism is very important, especially in lawmaking by parliament which has a bicameral structure. According to R. Hogue and Martin Harrop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{"citationItems":[{"id":"ITEM-1","itemData":{"DOI":"10.24246/alethea.vol4.no1.p75-94","ISSN":"2723-2298","author":[{"dropping-particle":"","family":"Chidqi","given":"Achmad Labib","non-dropping-particle":"","parse-names":false,"suffix":""}],"container-title":"Jurnal Ilmu Hukum: ALETHEA","id":"ITEM-1","issue":"1","issued":{"date-parts":[["2020"]]},"page":"75-94","title":"Perluasan Kewenangan Dewan Perwakilan Daerah Ditinjau dari Bikameral yang Ideal","type":"article-journal","volume":"4"},"uris":["http://www.mendeley.com/documents/?uuid=70ccd107-427f-4d3e-aa0d-05d5459a2a42"]}],"mendeley":{"formattedCitation":"(Chidqi, 2020)","plainTextFormattedCitation":"(Chidqi, 2020)","previouslyFormattedCitation":"Achmad Labib Chidqi, </w:instrText>
      </w:r>
      <w:r>
        <w:rPr>
          <w:rFonts w:ascii="Calibri Light" w:cs="Calibri Light"/>
          <w:sz w:val="24"/>
          <w:szCs w:val="24"/>
        </w:rPr>
        <w:instrText>“</w:instrText>
      </w:r>
      <w:r>
        <w:rPr>
          <w:rFonts w:ascii="Calibri Light" w:cs="Calibri Light"/>
          <w:sz w:val="24"/>
          <w:szCs w:val="24"/>
        </w:rPr>
        <w:instrText>Perluasan Kewenangan Dewan Perwakilan Daerah Ditinjau Dari Bikameral Yang Ideal,</w:instrText>
      </w:r>
      <w:r>
        <w:rPr>
          <w:rFonts w:ascii="Calibri Light" w:cs="Calibri Light"/>
          <w:sz w:val="24"/>
          <w:szCs w:val="24"/>
        </w:rPr>
        <w:instrText>”</w:instrText>
      </w:r>
      <w:r>
        <w:rPr>
          <w:rFonts w:ascii="Calibri Light" w:cs="Calibri Light"/>
          <w:sz w:val="24"/>
          <w:szCs w:val="24"/>
        </w:rPr>
        <w:instrText xml:space="preserve"> &lt;i&gt;Jurnal Ilmu Hukum: ALETHEA&lt;/i&gt; 4, no. 1 (2020): 75</w:instrText>
      </w:r>
      <w:r>
        <w:rPr>
          <w:rFonts w:ascii="Calibri Light" w:cs="Calibri Light"/>
          <w:sz w:val="24"/>
          <w:szCs w:val="24"/>
        </w:rPr>
        <w:instrText>–</w:instrText>
      </w:r>
      <w:r>
        <w:rPr>
          <w:rFonts w:ascii="Calibri Light" w:cs="Calibri Light"/>
          <w:sz w:val="24"/>
          <w:szCs w:val="24"/>
        </w:rPr>
        <w:instrText>94, https://doi.org/10.24246/alethea.vol4.no1.p75-94."},"properties":{"noteIndex":0},"schema":"https://github.com/citation-style-language/schema/raw/master/csl-citation.json"}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(Chidqi, 2020)</w:t>
      </w:r>
      <w:r>
        <w:rPr>
          <w:rFonts w:ascii="Calibri Light" w:cs="Calibri Light"/>
          <w:sz w:val="24"/>
          <w:szCs w:val="24"/>
        </w:rPr>
        <w:fldChar w:fldCharType="end"/>
      </w:r>
      <w:r>
        <w:rPr>
          <w:rFonts w:ascii="Calibri Light" w:cs="Calibri Light"/>
          <w:color w:val="000000"/>
          <w:sz w:val="24"/>
          <w:szCs w:val="24"/>
        </w:rPr>
        <w:t>, the main aim of establishing a dual-chamber system is to represent diverse interests in society and provide a checks and balances mechanism between legislative institutions.</w:t>
      </w:r>
    </w:p>
    <w:p w14:paraId="0FB6093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While the bicameral system is prevalent in federal governments, it does not preclude the possibility of its adoption by a unitary government. The assertion that a bicameral system may jeopardize national unity has become increasingly untenable. A balanced bicameral parliament has been established in various unitary nations, including England, France, the Netherlands, and Italy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{"citationItems":[{"id":"ITEM-1","itemData":{"DOI":"10.14710/mmh.48.3.2019.266-274","ISSN":"2527-4716","author":[{"dropping-particle":"","family":"Tinambunan","given":"Hezron Sabar Rotua","non-dropping-particle":"","parse-names":false,"suffix":""},{"dropping-particle":"","family":"Prasetio","given":"Dicky Eko","non-dropping-particle":"","parse-names":false,"suffix":""}],"container-title":"Masalah-Masalah Hukum","id":"ITEM-1","issue":"3","issued":{"date-parts":[["2019"]]},"page":"266-274","title":"Rekonstruksi Konstitusi dalam Regional Representative Dewan Perwakilan Daerah terhadap Fungsi Legislatif","type":"article-journal","volume":"48"},"uris":["http://www.mendeley.com/documents/?uuid=33719dd3-ab55-4766-8c3d-393114161180"]}],"mendeley":{"formattedCitation":"(Tinambunan &amp; Prasetio, 2019)","plainTextFormattedCitation":"(Tinambunan &amp; Prasetio, 2019)","previouslyFormattedCitation":"Tinambunan and Prasetio, </w:instrText>
      </w:r>
      <w:r>
        <w:rPr>
          <w:rFonts w:ascii="Calibri Light" w:cs="Calibri Light"/>
          <w:sz w:val="24"/>
          <w:szCs w:val="24"/>
        </w:rPr>
        <w:instrText>“</w:instrText>
      </w:r>
      <w:r>
        <w:rPr>
          <w:rFonts w:ascii="Calibri Light" w:cs="Calibri Light"/>
          <w:sz w:val="24"/>
          <w:szCs w:val="24"/>
        </w:rPr>
        <w:instrText>Rekonstruksi Konstitusi Dalam Regional Representative Dewan Perwakilan Daerah Terhadap Fungsi Legislatif.</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(Tinambunan &amp; Prasetio, 2019)</w:t>
      </w:r>
      <w:r>
        <w:rPr>
          <w:rFonts w:ascii="Calibri Light" w:cs="Calibri Light"/>
          <w:sz w:val="24"/>
          <w:szCs w:val="24"/>
        </w:rPr>
        <w:fldChar w:fldCharType="end"/>
      </w:r>
      <w:r>
        <w:rPr>
          <w:rFonts w:ascii="Calibri Light" w:cs="Calibri Light"/>
          <w:color w:val="000000"/>
          <w:sz w:val="24"/>
          <w:szCs w:val="24"/>
        </w:rPr>
        <w:t xml:space="preserve">. In the Netherlands, the legislative body, referred to as "the whole country," consists of two chambers: the </w:t>
      </w:r>
      <w:proofErr w:type="spellStart"/>
      <w:r>
        <w:rPr>
          <w:rFonts w:ascii="Calibri Light" w:cs="Calibri Light"/>
          <w:color w:val="000000"/>
          <w:sz w:val="24"/>
          <w:szCs w:val="24"/>
        </w:rPr>
        <w:t>Eerste</w:t>
      </w:r>
      <w:proofErr w:type="spellEnd"/>
      <w:r>
        <w:rPr>
          <w:rFonts w:ascii="Calibri Light" w:cs="Calibri Light"/>
          <w:color w:val="000000"/>
          <w:sz w:val="24"/>
          <w:szCs w:val="24"/>
        </w:rPr>
        <w:t xml:space="preserve"> Kamer (upper house) and the Tweede Kamer (lower house). The </w:t>
      </w:r>
      <w:proofErr w:type="spellStart"/>
      <w:r>
        <w:rPr>
          <w:rFonts w:ascii="Calibri Light" w:cs="Calibri Light"/>
          <w:color w:val="000000"/>
          <w:sz w:val="24"/>
          <w:szCs w:val="24"/>
        </w:rPr>
        <w:t>Eerste</w:t>
      </w:r>
      <w:proofErr w:type="spellEnd"/>
      <w:r>
        <w:rPr>
          <w:rFonts w:ascii="Calibri Light" w:cs="Calibri Light"/>
          <w:color w:val="000000"/>
          <w:sz w:val="24"/>
          <w:szCs w:val="24"/>
        </w:rPr>
        <w:t xml:space="preserve"> Kamer serves a function akin to that of the Second Chamber in Indonesia, with its members embodying the interests of their respective regions. The two assemblies possess equivalent authority to enact legislation, endorse or disapprove proposed laws from the Prime Minister or the Council of Ministers, and to appoint or remove the Prime Minister and Chief Justice.</w:t>
      </w:r>
    </w:p>
    <w:p w14:paraId="558C5FF7"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During the establishment of the British Parliament, the House of Commons and the House of Lords possessed equivalent powers, particularly concerning legislative matters, as elucidated in The Role of the House of Lords: The functions, responsibilities, and authorities it encompasses. The House of Lords, serving as the upper chamber, assumes a pivotal function in the reform of legislation and the oversight of the government by meticulously examining all its policies and procedures. The House of Lords, akin to the House of Commons, serves as a platform for the examination and discourse surrounding executive policy </w:t>
      </w:r>
      <w:r>
        <w:rPr>
          <w:rFonts w:ascii="Calibri Light" w:cs="Calibri Light"/>
          <w:sz w:val="24"/>
          <w:szCs w:val="24"/>
        </w:rPr>
        <w:fldChar w:fldCharType="begin"/>
      </w:r>
      <w:r>
        <w:rPr>
          <w:rFonts w:ascii="Calibri Light" w:cs="Calibri Light"/>
          <w:sz w:val="24"/>
          <w:szCs w:val="24"/>
        </w:rPr>
        <w:instrText>ADDIN CSL_CITATION {"citationItems":[{"id":"ITEM-1","itemData":{"DOI":"10.1111/lsq.12267","ISSN":"0362-9805","author":[{"dropping-particle":"","family":"Ryan","given":"Josh M","non-dropping-particle":"","parse-names":false,"suffix":""}],"container-title":"Legislative Studies Quarterly","id":"ITEM-1","issue":"3","issued":{"date-parts":[["2020"]]},"page":"365-396","publisher":"Wiley Online Library","title":"Bicameralism and Minority</w:instrText>
      </w:r>
      <w:r>
        <w:rPr>
          <w:rFonts w:ascii="Calibri Light" w:cs="Calibri Light"/>
          <w:sz w:val="24"/>
          <w:szCs w:val="24"/>
        </w:rPr>
        <w:instrText>‐</w:instrText>
      </w:r>
      <w:r>
        <w:rPr>
          <w:rFonts w:ascii="Calibri Light" w:cs="Calibri Light"/>
          <w:sz w:val="24"/>
          <w:szCs w:val="24"/>
        </w:rPr>
        <w:instrText xml:space="preserve">Party Influence on Legislative Development: Evidence from House Standing Committee Votes","type":"article-journal","volume":"45"},"uris":["http://www.mendeley.com/documents/?uuid=3256de50-b66b-4ad6-9816-a214b9e914a4"]}],"mendeley":{"formattedCitation":"(Ryan, 2020)","plainTextFormattedCitation":"(Ryan, 2020)","previouslyFormattedCitation":"Josh M Ryan, </w:instrText>
      </w:r>
      <w:r>
        <w:rPr>
          <w:rFonts w:ascii="Calibri Light" w:cs="Calibri Light"/>
          <w:sz w:val="24"/>
          <w:szCs w:val="24"/>
        </w:rPr>
        <w:instrText>“</w:instrText>
      </w:r>
      <w:r>
        <w:rPr>
          <w:rFonts w:ascii="Calibri Light" w:cs="Calibri Light"/>
          <w:sz w:val="24"/>
          <w:szCs w:val="24"/>
        </w:rPr>
        <w:instrText>Bicameralism and Minority</w:instrText>
      </w:r>
      <w:r>
        <w:rPr>
          <w:rFonts w:ascii="Calibri Light" w:cs="Calibri Light"/>
          <w:sz w:val="24"/>
          <w:szCs w:val="24"/>
        </w:rPr>
        <w:instrText>‐</w:instrText>
      </w:r>
      <w:r>
        <w:rPr>
          <w:rFonts w:ascii="Calibri Light" w:cs="Calibri Light"/>
          <w:sz w:val="24"/>
          <w:szCs w:val="24"/>
        </w:rPr>
        <w:instrText>Party Influence on Legislative Development: Evidence from House Standing Committee Votes,</w:instrText>
      </w:r>
      <w:r>
        <w:rPr>
          <w:rFonts w:ascii="Calibri Light" w:cs="Calibri Light"/>
          <w:sz w:val="24"/>
          <w:szCs w:val="24"/>
        </w:rPr>
        <w:instrText>”</w:instrText>
      </w:r>
      <w:r>
        <w:rPr>
          <w:rFonts w:ascii="Calibri Light" w:cs="Calibri Light"/>
          <w:sz w:val="24"/>
          <w:szCs w:val="24"/>
        </w:rPr>
        <w:instrText xml:space="preserve"> &lt;i&gt;Legislative Studies Quarterly&lt;/i&gt; 45, no. 3 (2020): 365</w:instrText>
      </w:r>
      <w:r>
        <w:rPr>
          <w:rFonts w:ascii="Calibri Light" w:cs="Calibri Light"/>
          <w:sz w:val="24"/>
          <w:szCs w:val="24"/>
        </w:rPr>
        <w:instrText>–</w:instrText>
      </w:r>
      <w:r>
        <w:rPr>
          <w:rFonts w:ascii="Calibri Light" w:cs="Calibri Light"/>
          <w:sz w:val="24"/>
          <w:szCs w:val="24"/>
        </w:rPr>
        <w:instrText>96, https://doi.org/10.1111/lsq.12267."},"properties":{"noteIndex":0},"schema":"https://github.com/citation-style-language/schema/raw/master/csl-citation.json"}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(Ryan, 2020)</w:t>
      </w:r>
      <w:r>
        <w:rPr>
          <w:rFonts w:ascii="Calibri Light" w:cs="Calibri Light"/>
          <w:sz w:val="24"/>
          <w:szCs w:val="24"/>
        </w:rPr>
        <w:fldChar w:fldCharType="end"/>
      </w:r>
      <w:r>
        <w:rPr>
          <w:rFonts w:ascii="Calibri Light" w:cs="Calibri Light"/>
          <w:color w:val="000000"/>
          <w:sz w:val="24"/>
          <w:szCs w:val="24"/>
        </w:rPr>
        <w:t xml:space="preserve">. Typically, all legislative measures require approval from both chambers prior to their enactment, with the initiation of the submission process occurring within each chamber. Typically, the endorsement of the House of Lords is necessary prior to the ratification of an Act of Parliament, and the Lords possess the authority to modify all legislation, with the exception of those pertaining to taxation, which fall under the jurisdiction of the Commons. Approval from both houses is requisite for the changes to be enacted. The House of Lords engages in the meticulous process of amending draft laws, dedicating two-thirds of its time to the revision of these legislative texts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{"citationItems":[{"id":"ITEM-1","itemData":{"DOI":"10.4324/9781315193496-12","author":[{"dropping-particle":"","family":"Mochtar","given":"Zaenal Ariffin","non-dropping-particle":"","parse-names":false,"suffix":""}],"container-title":"Kelompok DPD di MPR RI","id":"ITEM-1","issued":{"date-parts":[["2009"]]},"title":"Jalan Berliku Amandemen Komprehensif dari Pakar, Politisi, Hingga Selebriti","type":"article-journal","volume":"7"},"uris":["http://www.mendeley.com/documents/?uuid=9914d06c-cecc-4ca1-b29f-5816fe78a19e"]}],"mendeley":{"formattedCitation":"(Mochtar, 2009)","plainTextFormattedCitation":"(Mochtar, 2009)","previouslyFormattedCitation":"Zaenal Ariffin Mochtar, </w:instrText>
      </w:r>
      <w:r>
        <w:rPr>
          <w:rFonts w:ascii="Calibri Light" w:cs="Calibri Light"/>
          <w:sz w:val="24"/>
          <w:szCs w:val="24"/>
        </w:rPr>
        <w:instrText>“</w:instrText>
      </w:r>
      <w:r>
        <w:rPr>
          <w:rFonts w:ascii="Calibri Light" w:cs="Calibri Light"/>
          <w:sz w:val="24"/>
          <w:szCs w:val="24"/>
        </w:rPr>
        <w:instrText>Jalan Berliku Amandemen Komprehensif Dari Pakar, Politisi, Hingga Selebriti,</w:instrText>
      </w:r>
      <w:r>
        <w:rPr>
          <w:rFonts w:ascii="Calibri Light" w:cs="Calibri Light"/>
          <w:sz w:val="24"/>
          <w:szCs w:val="24"/>
        </w:rPr>
        <w:instrText>”</w:instrText>
      </w:r>
      <w:r>
        <w:rPr>
          <w:rFonts w:ascii="Calibri Light" w:cs="Calibri Light"/>
          <w:sz w:val="24"/>
          <w:szCs w:val="24"/>
        </w:rPr>
        <w:instrText xml:space="preserve"> &lt;i&gt;Kelompok DPD Di MPR RI&lt;/i&gt; 7 (2009), https://doi.org/10.4324/9781315193496-12."},"properties":{"noteIndex":0},"schema":"https://github.com/citation-style-language/schema/raw/master/csl-citation.json"}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(Mochtar, 2009)</w:t>
      </w:r>
      <w:r>
        <w:rPr>
          <w:rFonts w:ascii="Calibri Light" w:cs="Calibri Light"/>
          <w:sz w:val="24"/>
          <w:szCs w:val="24"/>
        </w:rPr>
        <w:fldChar w:fldCharType="end"/>
      </w:r>
      <w:r>
        <w:rPr>
          <w:rFonts w:ascii="Calibri Light" w:cs="Calibri Light"/>
          <w:color w:val="000000"/>
          <w:sz w:val="24"/>
          <w:szCs w:val="24"/>
        </w:rPr>
        <w:t>.</w:t>
      </w:r>
    </w:p>
    <w:p w14:paraId="054A708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notion of equality in legislative authority suggests a necessity for the reformation of the Indonesian parliament towards a more balanced or robust bicameral framework. This reconstruction aimed not merely to establish equilibrium between the two assemblies, but </w:t>
      </w:r>
      <w:r>
        <w:rPr>
          <w:rFonts w:ascii="Calibri Light" w:cs="Calibri Light"/>
          <w:color w:val="000000"/>
          <w:sz w:val="24"/>
          <w:szCs w:val="24"/>
        </w:rPr>
        <w:lastRenderedPageBreak/>
        <w:t xml:space="preserve">also, as articulated by </w:t>
      </w:r>
      <w:commentRangeStart w:id="11"/>
      <w:r>
        <w:rPr>
          <w:rFonts w:ascii="Calibri Light" w:cs="Calibri Light"/>
          <w:color w:val="000000"/>
          <w:sz w:val="24"/>
          <w:szCs w:val="24"/>
        </w:rPr>
        <w:t xml:space="preserve">C.F. Strong, bicameralism serves to avert the precipitous enactment of legislation by a single chamber. </w:t>
      </w:r>
      <w:proofErr w:type="spellStart"/>
      <w:r>
        <w:rPr>
          <w:rFonts w:ascii="Calibri Light" w:cs="Calibri Light"/>
          <w:color w:val="000000"/>
          <w:sz w:val="24"/>
          <w:szCs w:val="24"/>
        </w:rPr>
        <w:t>Jimly</w:t>
      </w:r>
      <w:proofErr w:type="spellEnd"/>
      <w:r>
        <w:rPr>
          <w:rFonts w:ascii="Calibri Light" w:cs="Calibri Light"/>
          <w:color w:val="000000"/>
          <w:sz w:val="24"/>
          <w:szCs w:val="24"/>
        </w:rPr>
        <w:t xml:space="preserve"> </w:t>
      </w:r>
      <w:proofErr w:type="spellStart"/>
      <w:r>
        <w:rPr>
          <w:rFonts w:ascii="Calibri Light" w:cs="Calibri Light"/>
          <w:color w:val="000000"/>
          <w:sz w:val="24"/>
          <w:szCs w:val="24"/>
        </w:rPr>
        <w:t>Asshiddiqie</w:t>
      </w:r>
      <w:proofErr w:type="spellEnd"/>
      <w:r>
        <w:rPr>
          <w:rFonts w:ascii="Calibri Light" w:cs="Calibri Light"/>
          <w:color w:val="000000"/>
          <w:sz w:val="24"/>
          <w:szCs w:val="24"/>
        </w:rPr>
        <w:t xml:space="preserve"> </w:t>
      </w:r>
      <w:commentRangeEnd w:id="11"/>
      <w:r w:rsidR="002019C5">
        <w:rPr>
          <w:rStyle w:val="CommentReference"/>
        </w:rPr>
        <w:commentReference w:id="11"/>
      </w:r>
      <w:r>
        <w:rPr>
          <w:rFonts w:ascii="Calibri Light" w:cs="Calibri Light"/>
          <w:color w:val="000000"/>
          <w:sz w:val="24"/>
          <w:szCs w:val="24"/>
        </w:rPr>
        <w:t xml:space="preserve">posited that robust bicameralism has the potential to foster a more stable dynamic between the executive and the legislature. Consequently, a well-structured or robust bicameral system can mitigate legislative mistakes from a single assembly and establish a reciprocal oversight mechanism within parliament, ensuring that the resultant policies garner supermajority backing and achieve greater acceptance and stability </w:t>
      </w:r>
      <w:r>
        <w:rPr>
          <w:rFonts w:ascii="Calibri Light" w:cs="Calibri Light"/>
          <w:sz w:val="24"/>
          <w:szCs w:val="24"/>
        </w:rPr>
        <w:fldChar w:fldCharType="begin"/>
      </w:r>
      <w:r>
        <w:rPr>
          <w:rFonts w:ascii="Calibri Light" w:cs="Calibri Light"/>
          <w:sz w:val="24"/>
          <w:szCs w:val="24"/>
        </w:rPr>
        <w:instrText>ADDIN CSL_CITATION {"citationItems":[{"id":"ITEM-1","itemData":{"DOI":"10.1111/dome.12217","ISSN":"1060-4367","author":[{"dropping-particle":"","family":"Badran","given":"Simon","non-dropping-particle":"","parse-names":false,"suffix":""}],"container-title":"Digest of Middle East Studies","id":"ITEM-1","issue":"2","issued":{"date-parts":[["2020"]]},"page":"200-214","publisher":"Wiley Online Library","title":"The Dissolution of The Lebanese Parliament: A Perverted Application of The Parliamentary System","type":"article-journal","volume":"29"},"uris":["http://www.mendeley.com/documents/?uuid=fce7cf42-0770-46ba-ae6d-52131b59bdcb"]},{"id":"ITEM-2","itemData":{"DOI":"10.1111/jcms.13026","ISSN":"0021-9886","author":[{"dropping-particle":"","family":"Theodoro Luciano","given":"Bruno","non-dropping-particle":"","parse-names":false,"suffix":""}],"container-title":"JCMS: Journal of Common Market Studies","id":"ITEM-2","issue":"5","issued":{"date-parts":[["2020"]]},"page":"1182-1198","publisher":"Wiley Online Library","title":"A Clash between Creature and Creator? Contemporary Relations between the Pan</w:instrText>
      </w:r>
      <w:r>
        <w:rPr>
          <w:rFonts w:ascii="Calibri Light" w:cs="Calibri Light"/>
          <w:sz w:val="24"/>
          <w:szCs w:val="24"/>
        </w:rPr>
        <w:instrText>‐</w:instrText>
      </w:r>
      <w:r>
        <w:rPr>
          <w:rFonts w:ascii="Calibri Light" w:cs="Calibri Light"/>
          <w:sz w:val="24"/>
          <w:szCs w:val="24"/>
        </w:rPr>
        <w:instrText xml:space="preserve">African Parliament and the European Parliament","type":"article-journal","volume":"58"},"uris":["http://www.mendeley.com/documents/?uuid=c8054277-b548-4260-af43-e174111af925"]}],"mendeley":{"formattedCitation":"(Badran, 2020; Theodoro Luciano, 2020)","plainTextFormattedCitation":"(Badran, 2020; Theodoro Luciano, 2020)","previouslyFormattedCitation":"Simon Badran, </w:instrText>
      </w:r>
      <w:r>
        <w:rPr>
          <w:rFonts w:ascii="Calibri Light" w:cs="Calibri Light"/>
          <w:sz w:val="24"/>
          <w:szCs w:val="24"/>
        </w:rPr>
        <w:instrText>“</w:instrText>
      </w:r>
      <w:r>
        <w:rPr>
          <w:rFonts w:ascii="Calibri Light" w:cs="Calibri Light"/>
          <w:sz w:val="24"/>
          <w:szCs w:val="24"/>
        </w:rPr>
        <w:instrText>The Dissolution of The Lebanese Parliament: A Perverted Application of The Parliamentary System,</w:instrText>
      </w:r>
      <w:r>
        <w:rPr>
          <w:rFonts w:ascii="Calibri Light" w:cs="Calibri Light"/>
          <w:sz w:val="24"/>
          <w:szCs w:val="24"/>
        </w:rPr>
        <w:instrText>”</w:instrText>
      </w:r>
      <w:r>
        <w:rPr>
          <w:rFonts w:ascii="Calibri Light" w:cs="Calibri Light"/>
          <w:sz w:val="24"/>
          <w:szCs w:val="24"/>
        </w:rPr>
        <w:instrText xml:space="preserve"> &lt;i&gt;Digest of Middle East Studies&lt;/i&gt; 29, no. 2 (2020): 200</w:instrText>
      </w:r>
      <w:r>
        <w:rPr>
          <w:rFonts w:ascii="Calibri Light" w:cs="Calibri Light"/>
          <w:sz w:val="24"/>
          <w:szCs w:val="24"/>
        </w:rPr>
        <w:instrText>–</w:instrText>
      </w:r>
      <w:r>
        <w:rPr>
          <w:rFonts w:ascii="Calibri Light" w:cs="Calibri Light"/>
          <w:sz w:val="24"/>
          <w:szCs w:val="24"/>
        </w:rPr>
        <w:instrText xml:space="preserve">214, https://doi.org/10.1111/dome.12217; Bruno Theodoro Luciano, </w:instrText>
      </w:r>
      <w:r>
        <w:rPr>
          <w:rFonts w:ascii="Calibri Light" w:cs="Calibri Light"/>
          <w:sz w:val="24"/>
          <w:szCs w:val="24"/>
        </w:rPr>
        <w:instrText>“</w:instrText>
      </w:r>
      <w:r>
        <w:rPr>
          <w:rFonts w:ascii="Calibri Light" w:cs="Calibri Light"/>
          <w:sz w:val="24"/>
          <w:szCs w:val="24"/>
        </w:rPr>
        <w:instrText>A Clash between Creature and Creator? Contemporary Relations between the Pan</w:instrText>
      </w:r>
      <w:r>
        <w:rPr>
          <w:rFonts w:ascii="Calibri Light" w:cs="Calibri Light"/>
          <w:sz w:val="24"/>
          <w:szCs w:val="24"/>
        </w:rPr>
        <w:instrText>‐</w:instrText>
      </w:r>
      <w:r>
        <w:rPr>
          <w:rFonts w:ascii="Calibri Light" w:cs="Calibri Light"/>
          <w:sz w:val="24"/>
          <w:szCs w:val="24"/>
        </w:rPr>
        <w:instrText>African Parliament and the European Parliament,</w:instrText>
      </w:r>
      <w:r>
        <w:rPr>
          <w:rFonts w:ascii="Calibri Light" w:cs="Calibri Light"/>
          <w:sz w:val="24"/>
          <w:szCs w:val="24"/>
        </w:rPr>
        <w:instrText>”</w:instrText>
      </w:r>
      <w:r>
        <w:rPr>
          <w:rFonts w:ascii="Calibri Light" w:cs="Calibri Light"/>
          <w:sz w:val="24"/>
          <w:szCs w:val="24"/>
        </w:rPr>
        <w:instrText xml:space="preserve"> &lt;i&gt;JCMS: Journal of Common Market Studies&lt;/i&gt; 58, no. 5 (2020): 1182</w:instrText>
      </w:r>
      <w:r>
        <w:rPr>
          <w:rFonts w:ascii="Calibri Light" w:cs="Calibri Light"/>
          <w:sz w:val="24"/>
          <w:szCs w:val="24"/>
        </w:rPr>
        <w:instrText>–</w:instrText>
      </w:r>
      <w:r>
        <w:rPr>
          <w:rFonts w:ascii="Calibri Light" w:cs="Calibri Light"/>
          <w:sz w:val="24"/>
          <w:szCs w:val="24"/>
        </w:rPr>
        <w:instrText>98, https://doi.org/10.1111/jcms.13026."},"properties":{"noteIndex":0},"schema":"https://github.com/citation-style-language/schema/raw/master/csl-citation.json"}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(Badran, 2020; Theodoro Luciano, 2020)</w:t>
      </w:r>
      <w:r>
        <w:rPr>
          <w:rFonts w:ascii="Calibri Light" w:cs="Calibri Light"/>
          <w:sz w:val="24"/>
          <w:szCs w:val="24"/>
        </w:rPr>
        <w:fldChar w:fldCharType="end"/>
      </w:r>
      <w:r>
        <w:rPr>
          <w:rFonts w:ascii="Calibri Light" w:cs="Calibri Light"/>
          <w:color w:val="000000"/>
          <w:sz w:val="24"/>
          <w:szCs w:val="24"/>
        </w:rPr>
        <w:t>.</w:t>
      </w:r>
    </w:p>
    <w:p w14:paraId="13CBD72B"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It is difficult to achieve this condition in an unbalanced or weak two-chamber system. The main criterion in determining the strength of this system is that if the status of the two houses is different </w:t>
      </w:r>
      <w:proofErr w:type="spellStart"/>
      <w:r>
        <w:rPr>
          <w:rFonts w:ascii="Calibri Light" w:cs="Calibri Light"/>
          <w:color w:val="000000"/>
          <w:sz w:val="24"/>
          <w:szCs w:val="24"/>
        </w:rPr>
        <w:t>then</w:t>
      </w:r>
      <w:proofErr w:type="spellEnd"/>
      <w:r>
        <w:rPr>
          <w:rFonts w:ascii="Calibri Light" w:cs="Calibri Light"/>
          <w:color w:val="000000"/>
          <w:sz w:val="24"/>
          <w:szCs w:val="24"/>
        </w:rPr>
        <w:t xml:space="preserve"> the system is considered weak. Article 22D shows that the Indonesian constitution adheres to a weak bicameral system where one body has greater power than the other. As a result, the DPD is in a weak position as a secondary chamber that has limited authority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{"citationItems":[{"id":"ITEM-1","itemData":{"author":[{"dropping-particle":"","family":"Jackson","given":"Katharine","non-dropping-particle":"","parse-names":false,"suffix":""}],"container-title":"Conn. L. Rev.","id":"ITEM-1","issued":{"date-parts":[["2023"]]},"page":"1","publisher":"HeinOnline","title":"The Public Trust: Administrative Legitimacy and Democratic Lawmaking","type":"article-journal","volume":"56"},"uris":["http://www.mendeley.com/documents/?uuid=cff296f5-af02-48e6-b65c-dee18039444c"]}],"mendeley":{"formattedCitation":"(Jackson, 2023)","plainTextFormattedCitation":"(Jackson, 2023)","previouslyFormattedCitation":"Katharine Jackson, </w:instrText>
      </w:r>
      <w:r>
        <w:rPr>
          <w:rFonts w:ascii="Calibri Light" w:cs="Calibri Light"/>
          <w:sz w:val="24"/>
          <w:szCs w:val="24"/>
        </w:rPr>
        <w:instrText>“</w:instrText>
      </w:r>
      <w:r>
        <w:rPr>
          <w:rFonts w:ascii="Calibri Light" w:cs="Calibri Light"/>
          <w:sz w:val="24"/>
          <w:szCs w:val="24"/>
        </w:rPr>
        <w:instrText>The Public Trust: Administrative Legitimacy and Democratic Lawmaking,</w:instrText>
      </w:r>
      <w:r>
        <w:rPr>
          <w:rFonts w:ascii="Calibri Light" w:cs="Calibri Light"/>
          <w:sz w:val="24"/>
          <w:szCs w:val="24"/>
        </w:rPr>
        <w:instrText>”</w:instrText>
      </w:r>
      <w:r>
        <w:rPr>
          <w:rFonts w:ascii="Calibri Light" w:cs="Calibri Light"/>
          <w:sz w:val="24"/>
          <w:szCs w:val="24"/>
        </w:rPr>
        <w:instrText xml:space="preserve"> &lt;i&gt;Conn. L. Rev.&lt;/i&gt; 56 (2023): 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(Jackson, 2023)</w:t>
      </w:r>
      <w:r>
        <w:rPr>
          <w:rFonts w:ascii="Calibri Light" w:cs="Calibri Light"/>
          <w:sz w:val="24"/>
          <w:szCs w:val="24"/>
        </w:rPr>
        <w:fldChar w:fldCharType="end"/>
      </w:r>
      <w:r>
        <w:rPr>
          <w:rFonts w:ascii="Calibri Light" w:cs="Calibri Light"/>
          <w:color w:val="000000"/>
          <w:sz w:val="24"/>
          <w:szCs w:val="24"/>
        </w:rPr>
        <w:t xml:space="preserve">. This power structure does not reflect the authority of institutions in the constitution and is contrary to the government's position in the legal field and has an impact on the budget, protocols and other facilities which are not much different from the first incident. Apart from that, the challenges of being a DPD member are greater than being a member of the first assembly, even though the DPD's authority is smaller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Akbal","given":"Muhammad","non-dropping-particle":"","parse-names":false,"suffix":""},{"dropping-particle":"","family":"Amin","given":"Muhammad","non-dropping-particle":"","parse-names":false,"suffix":""},{"dropping-particle":"","family":"Bakhtiar","given":"Bakhtiar","non-dropping-particle":"","parse-names":false,"suffix":""}],"container-title":"SUPREMASI: Jurnal Pemikiran, Penelitian Ilmu-ilmu Sosial, Hukum dan Pengajarannya","id":"ITEM-1","issue":"1","issued":{"date-parts":[["2022"]]},"page":"031-043","title":"Kewenangan Dewan Perwakilan Daerah dalam Sistem Bikameral Berdasarkan Prinsip Check and Balances","type":"article-journal","volume":"17"},"uris":["http://www.mendeley.com/documents/?uuid=f4abe721-cfd0-4ea7-9bcd-2d52f5e861b9"]}],"mendeley":{"formattedCitation":"(Akbal et al., 2022)","plainTextFormattedCitation":"(Akbal et al., 2022)","previouslyFormattedCitation":"Muhammad Akbal, Muhammad Amin, and Bakhtiar Bakhtiar, </w:instrText>
      </w:r>
      <w:r>
        <w:rPr>
          <w:rFonts w:ascii="Calibri Light" w:cs="Calibri Light"/>
          <w:sz w:val="24"/>
          <w:szCs w:val="24"/>
        </w:rPr>
        <w:instrText>“</w:instrText>
      </w:r>
      <w:r>
        <w:rPr>
          <w:rFonts w:ascii="Calibri Light" w:cs="Calibri Light"/>
          <w:sz w:val="24"/>
          <w:szCs w:val="24"/>
        </w:rPr>
        <w:instrText>Kewenangan Dewan Perwakilan Daerah Dalam Sistem Bikameral Berdasarkan Prinsip Check and Balances,</w:instrText>
      </w:r>
      <w:r>
        <w:rPr>
          <w:rFonts w:ascii="Calibri Light" w:cs="Calibri Light"/>
          <w:sz w:val="24"/>
          <w:szCs w:val="24"/>
        </w:rPr>
        <w:instrText>”</w:instrText>
      </w:r>
      <w:r>
        <w:rPr>
          <w:rFonts w:ascii="Calibri Light" w:cs="Calibri Light"/>
          <w:sz w:val="24"/>
          <w:szCs w:val="24"/>
        </w:rPr>
        <w:instrText xml:space="preserve"> &lt;i&gt;SUPREMASI: Jurnal Pemikiran, Penelitian Ilmu-Ilmu Sosial, Hukum Dan Pengajarannya&lt;/i&gt; 17, no. 1 (2022): 031</w:instrText>
      </w:r>
      <w:r>
        <w:rPr>
          <w:rFonts w:ascii="Calibri Light" w:cs="Calibri Light"/>
          <w:sz w:val="24"/>
          <w:szCs w:val="24"/>
        </w:rPr>
        <w:instrText>–</w:instrText>
      </w:r>
      <w:r>
        <w:rPr>
          <w:rFonts w:ascii="Calibri Light" w:cs="Calibri Light"/>
          <w:sz w:val="24"/>
          <w:szCs w:val="24"/>
        </w:rPr>
        <w:instrText>043."},"properties":{"noteIndex":0},"schema":"https://github.com/citation-style-language/schema/raw/master/csl-citation.json"}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(Akbal et al., 2022)</w:t>
      </w:r>
      <w:r>
        <w:rPr>
          <w:rFonts w:ascii="Calibri Light" w:cs="Calibri Light"/>
          <w:sz w:val="24"/>
          <w:szCs w:val="24"/>
        </w:rPr>
        <w:fldChar w:fldCharType="end"/>
      </w:r>
      <w:r>
        <w:rPr>
          <w:rFonts w:ascii="Calibri Light" w:cs="Calibri Light"/>
          <w:color w:val="000000"/>
          <w:sz w:val="24"/>
          <w:szCs w:val="24"/>
        </w:rPr>
        <w:t>.</w:t>
      </w:r>
    </w:p>
    <w:p w14:paraId="0E0A4439"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The necessity for a well-structured bicameral parliamentary system, grounded in the tenets of robust bicameralism, holds significant importance for tourism matters in Indonesia. In this context, the DPD, established to represent regional interests following the amendments to the 1945 Constitution, is required to fulfill a balanced function in both accommodating and articulating regional aspirations, in conjunction with the DPR, which serves as the political representative. Three primary justifications exist for the reconstruction of the bicameral system in Indonesia: Initially, a well-structured bicameral system possesses the capacity to encapsulate a diverse array of voter perspectives, thereby enhancing its representational efficacy. Secondly, an analytical approach in formulating regulations serves as a manifestation of the fourth principle of Pancasila. Third, as a proactive measure to enhance the quality of legislative outputs, thereby ensuring that the legislative process operates with greater effectiveness and efficiency, while simultaneously minimizing the likelihood of judicial review by the Constitutional Court. Fourth, to enhance oversight of executive institutions and achieve integrity in governance and effective administration.</w:t>
      </w:r>
    </w:p>
    <w:p w14:paraId="3AE7E9A4"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rPr>
        <w:t>In Decision Number 92/PUU-X/2012, the Constitutional Court implemented responsive and progressive reforms by restoring the authority of the DPD, especially in the legislative sector.</w:t>
      </w:r>
    </w:p>
    <w:p w14:paraId="6DFB157D"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 xml:space="preserve">In its decision, the court emphasized the following five points: </w:t>
      </w:r>
    </w:p>
    <w:p w14:paraId="54743F3D"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DPD RI is involved in preparing the national legislation program (Prolegnas).</w:t>
      </w:r>
    </w:p>
    <w:p w14:paraId="0AAAF77B"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 xml:space="preserve">The DPD RI has the right, based on Article 22 D paragraph (1) of the 1945 Constitution, alone or together with the DPR and the President, to propose legislative regulations, including statutory regulations regarding the repeal of substitute government </w:t>
      </w:r>
      <w:r>
        <w:rPr>
          <w:rFonts w:ascii="Calibri Light" w:cs="Calibri Light"/>
          <w:color w:val="000000"/>
          <w:sz w:val="24"/>
          <w:szCs w:val="24"/>
          <w:lang w:val="fi-FI"/>
        </w:rPr>
        <w:lastRenderedPageBreak/>
        <w:t>regulations About the law.</w:t>
      </w:r>
    </w:p>
    <w:p w14:paraId="5BE4E7DF"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DPD RI has the right to discuss draft laws within the framework of Article 22 paragraph D (2) of the Constitution.</w:t>
      </w:r>
    </w:p>
    <w:p w14:paraId="77A04D12"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 xml:space="preserve">Discussion of this bill takes place in a triangular relationship: DPR, DPD, and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BN":"2355-6781","author":[{"dropping-particle":"","family":"Hidayat","given":"Taufik","non-dropping-particle":"","parse-names":false,"suffix":""},{"dropping-particle":"","family":"Haryono","given":"Dodi","non-dropping-particle":"","parse-names":false,"suffix":""},{"dropping-particle":"","family":"Ghafur","given":"Abdul","non-dropping-particle":"","parse-names":false,"suffix":""}],"container-title":"Jurnal Online Mahasiswa Fakultas Hukum Universitas Riau","id":"ITEM-1","issue":"2","issued":{"date-parts":[["2015"]]},"page":"1-14","title":"Penerapan Sistem Soft Bikameral dalam Parlemen di Indonesia","type":"article-journal","volume":"2"},"uris":["http://www.mendeley.com/documents/?uuid=9fbcf812-88d3-458d-9449-56fbd13e338c"]}],"mendeley":{"formattedCitation":"(Hidayat et al., 2015)","plainTextFormattedCitation":"(Hidayat et al., 2015)","previouslyFormattedCitation":"Taufik Hidayat, Dodi Haryono, and Abdul Ghafur, </w:instrText>
      </w:r>
      <w:r>
        <w:rPr>
          <w:rFonts w:ascii="Calibri Light" w:cs="Calibri Light"/>
          <w:sz w:val="24"/>
          <w:szCs w:val="24"/>
        </w:rPr>
        <w:instrText>“</w:instrText>
      </w:r>
      <w:r>
        <w:rPr>
          <w:rFonts w:ascii="Calibri Light" w:cs="Calibri Light"/>
          <w:sz w:val="24"/>
          <w:szCs w:val="24"/>
        </w:rPr>
        <w:instrText>Penerapan Sistem Soft Bikameral Dalam Parlemen Di Indonesia,</w:instrText>
      </w:r>
      <w:r>
        <w:rPr>
          <w:rFonts w:ascii="Calibri Light" w:cs="Calibri Light"/>
          <w:sz w:val="24"/>
          <w:szCs w:val="24"/>
        </w:rPr>
        <w:instrText>”</w:instrText>
      </w:r>
      <w:r>
        <w:rPr>
          <w:rFonts w:ascii="Calibri Light" w:cs="Calibri Light"/>
          <w:sz w:val="24"/>
          <w:szCs w:val="24"/>
        </w:rPr>
        <w:instrText xml:space="preserve"> &lt;i&gt;Jurnal Online Mahasiswa Fakultas Hukum Universitas Riau&lt;/i&gt; 2, no. 2 (2015): 1</w:instrText>
      </w:r>
      <w:r>
        <w:rPr>
          <w:rFonts w:ascii="Calibri Light" w:cs="Calibri Light"/>
          <w:sz w:val="24"/>
          <w:szCs w:val="24"/>
        </w:rPr>
        <w:instrText>–</w:instrText>
      </w:r>
      <w:r>
        <w:rPr>
          <w:rFonts w:ascii="Calibri Light" w:cs="Calibri Light"/>
          <w:sz w:val="24"/>
          <w:szCs w:val="24"/>
        </w:rPr>
        <w:instrText>14."},"properties":{"noteIndex":0},"schema":"https://github.com/citation-style-language/schema/raw/master/csl-citation.json"}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(Hidayat et al., 2015)</w:t>
      </w:r>
      <w:r>
        <w:rPr>
          <w:rFonts w:ascii="Calibri Light" w:cs="Calibri Light"/>
          <w:sz w:val="24"/>
          <w:szCs w:val="24"/>
        </w:rPr>
        <w:fldChar w:fldCharType="end"/>
      </w:r>
      <w:r>
        <w:rPr>
          <w:rFonts w:ascii="Calibri Light" w:cs="Calibri Light"/>
          <w:color w:val="000000"/>
          <w:sz w:val="24"/>
          <w:szCs w:val="24"/>
          <w:lang w:val="fi-FI"/>
        </w:rPr>
        <w:t>.</w:t>
      </w:r>
    </w:p>
    <w:p w14:paraId="5BB99D6E"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It is anticipated that legal norms will be established to enhance the execution of the DPD's legislative authority, encompassing the formulation of plans and proposals as well as facilitating deliberations and debates in accordance with Article 22D of the 1945 Constitution, while considering the following aspects: There exist a multitude of perspectives. The decision rendered by the Constitutional Court was perceived as lacking conviction, as the DPD was not endowed with the authority to endorse it. The legislation is enacted. In this instance, the Constitutional Court notably reinforces the standing of the Second Chamber. To date, the Second Chamber has engaged solely in the discourse surrounding the Bill during Level II plenary meetings by providing a succinct report (Letter a Article 69 of the Law). (No. 12, 2011).</w:t>
      </w:r>
    </w:p>
    <w:p w14:paraId="7AD96265"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 xml:space="preserve"> On the other hand, the Constitutional Court has emphasized that the first assembly and the executive branch are the only institutions authorized to approve all draft laws, so that Article 20(2) does not reflect the aspects that were originally intended. We are considering ratifying the bill from this perspective. On the other hand, the authority of the Second Chamber under Article 22D(2) of the Constitution only confirms participation in the debate without giving approval. This brings the level of the second chamber a step closer to the first chamber, which the authors argue is insufficient to achieve the idealized balanced bicameral parliamentary structure with a strong bicameral system. Therefore, further efforts are needed to develop more strategic rebuilding procedures.</w:t>
      </w:r>
    </w:p>
    <w:p w14:paraId="00A0A9F1"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It is inevitable that the two chambers will be rearranged or reconstructed into a balanced two-chamber representative institution (strong bicameralism) in order to effectuate a process of formulating laws that is harmonious, balanced, and democratic. This can only be accomplished through a resolute commitment and a political will that is not tepid. The following provisions can be implemented to achieve a proportionate bicameral reconstruction, as determined by the analysis of the current state of the Indonesian parliament:</w:t>
      </w:r>
    </w:p>
    <w:p w14:paraId="2EA42FBC" w14:textId="77777777" w:rsidR="00AD5EA3" w:rsidRDefault="00252506">
      <w:pPr>
        <w:pStyle w:val="ListParagraph"/>
        <w:widowControl w:val="0"/>
        <w:numPr>
          <w:ilvl w:val="0"/>
          <w:numId w:val="15"/>
        </w:numPr>
        <w:autoSpaceDE w:val="0"/>
        <w:autoSpaceDN w:val="0"/>
        <w:spacing w:before="240" w:after="0" w:line="240" w:lineRule="auto"/>
        <w:jc w:val="both"/>
        <w:rPr>
          <w:rFonts w:ascii="Calibri Light" w:cs="Calibri Light"/>
          <w:color w:val="000000"/>
          <w:sz w:val="24"/>
          <w:szCs w:val="24"/>
        </w:rPr>
      </w:pPr>
      <w:r>
        <w:rPr>
          <w:rFonts w:ascii="Calibri Light" w:cs="Calibri Light"/>
          <w:color w:val="000000"/>
          <w:sz w:val="24"/>
          <w:szCs w:val="24"/>
        </w:rPr>
        <w:t xml:space="preserve">Grant equal authority to both legislatures in the introduction of legislation. This is a consequence of the inequality issue, which involves the allocation of all legislative authority to the first chamber when enacting legislation. Conversely, the second chamber is restricted to proposing legislation that pertains to specific sectors or disciplines. The ability to submit draft laws to the DPD should ideally not be restricted to matters relating to autonomy and central-regional relations, given that the DPR and DPD are institutions that have a constitutional interest in the Constitution. Furthermore, the two chambers have distinct objectives and electoral districts. The first chamber is a reflection of political representation, while the second room is a reflection of territorial/regional representation. Their presence is intended to more effectively consider the aspirations of national and regional communities in the formulation of </w:t>
      </w:r>
      <w:r>
        <w:rPr>
          <w:rFonts w:ascii="Calibri Light" w:cs="Calibri Light"/>
          <w:color w:val="000000"/>
          <w:sz w:val="24"/>
          <w:szCs w:val="24"/>
        </w:rPr>
        <w:lastRenderedPageBreak/>
        <w:t>national and state policies. As a result, both parties should have equal rights when introducing legislation.</w:t>
      </w:r>
    </w:p>
    <w:p w14:paraId="6BC80714"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Despite the fact that it has been established as a statutory authority/right, the constitutional basis in Article 22D paragraph (1) continues to employ the word "can" in order to avoid establishing binding norms regarding the second assembly's ability to submit draft legislation. As a result, reconstruction must continue to be implemented through modifications to paragraph (1) of Article 22D. This is designed to strengthen the legal position of the second assembly and prevent the implementation of legal regulations that are inconsistent with constitutional standards. In this instance, the editorial of the article may be amended to read as follows: "The DPD has the authority to submit draft laws to the DPD."</w:t>
      </w:r>
    </w:p>
    <w:p w14:paraId="73C4700E"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 xml:space="preserve">The establishment of a secondary parliament within the Indonesian People's Representative Council is intended to enhance regional connections within a unitary state and to fortify national unity and integrity across all regions. Enhanced consolidation. It is essential to take into account the aspirations and interests of various regions when developing national policies for states and regions, while also promoting the advancement of democracy and fostering harmonious and balanced regional development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Akbal","given":"Muhammad","non-dropping-particle":"","parse-names":false,"suffix":""},{"dropping-particle":"","family":"Amin","given":"Muhammad","non-dropping-particle":"","parse-names":false,"suffix":""},{"dropping-particle":"","family":"Bakhtiar","given":"Bakhtiar","non-dropping-particle":"","parse-names":false,"suffix":""}],"container-title":"SUPREMASI: Jurnal Pemikiran, Penelitian Ilmu-ilmu Sosial, Hukum dan Pengajarannya","id":"ITEM-1","issue":"1","issued":{"date-parts":[["2022"]]},"page":"031-043","title":"Kewenangan Dewan Perwakilan Daerah dalam Sistem Bikameral Berdasarkan Prinsip Check and Balances","type":"article-journal","volume":"17"},"uris":["http://www.mendeley.com/documents/?uuid=f4abe721-cfd0-4ea7-9bcd-2d52f5e861b9"]}],"mendeley":{"formattedCitation":"(Akbal et al., 2022)","plainTextFormattedCitation":"(Akbal et al., 2022)","previouslyFormattedCitation":"Akbal, Amin, and Bakhtiar, </w:instrText>
      </w:r>
      <w:r>
        <w:rPr>
          <w:rFonts w:ascii="Calibri Light" w:cs="Calibri Light"/>
          <w:sz w:val="24"/>
          <w:szCs w:val="24"/>
        </w:rPr>
        <w:instrText>“</w:instrText>
      </w:r>
      <w:r>
        <w:rPr>
          <w:rFonts w:ascii="Calibri Light" w:cs="Calibri Light"/>
          <w:sz w:val="24"/>
          <w:szCs w:val="24"/>
        </w:rPr>
        <w:instrText>Kewenangan Dewan Perwakilan Daerah Dalam Sistem Bikameral Berdasarkan Prinsip Check and Balances.</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(Akbal et al., 2022)</w:t>
      </w:r>
      <w:r>
        <w:rPr>
          <w:rFonts w:ascii="Calibri Light" w:cs="Calibri Light"/>
          <w:sz w:val="24"/>
          <w:szCs w:val="24"/>
        </w:rPr>
        <w:fldChar w:fldCharType="end"/>
      </w:r>
      <w:r>
        <w:rPr>
          <w:rFonts w:ascii="Calibri Light" w:cs="Calibri Light"/>
          <w:color w:val="000000"/>
          <w:sz w:val="24"/>
          <w:szCs w:val="24"/>
        </w:rPr>
        <w:t>. In the context of regional autonomy and the equilibrium of power between central and regional governments, it is imperative that the second chamber is endowed with legislative authority equivalent to that of the first chamber. In this instance, the reconstruction is executed by amending the stipulations of Article 22D paragraph (1) to read: "Inter-governmental relations, education, regional expansion and consolidation, management of natural resources and other economic assets, fiscal equilibrium among governments, execution of the APBN, taxation, education, and religion.</w:t>
      </w:r>
      <w:r>
        <w:rPr>
          <w:rFonts w:ascii="Calibri Light" w:cs="Calibri Light"/>
          <w:color w:val="000000"/>
          <w:sz w:val="24"/>
          <w:szCs w:val="24"/>
        </w:rPr>
        <w:t>”</w:t>
      </w:r>
      <w:r>
        <w:rPr>
          <w:rFonts w:ascii="Calibri Light" w:cs="Calibri Light"/>
          <w:color w:val="000000"/>
          <w:sz w:val="24"/>
          <w:szCs w:val="24"/>
        </w:rPr>
        <w:t xml:space="preserve"> This provision is likewise encompassed within the statutory framework of the Constitution, specifically Law No. 2 of 2018, among others that require validation.</w:t>
      </w:r>
    </w:p>
    <w:p w14:paraId="520BACF7"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However, the second chamber's responsibilities are not restricted to the enforcement of laws that impact regional autonomy or interstate relations. In general, all laws are general in nature and should, as a result, affect and impact all society in the region. The DPD, as representatives of the people in a balanced bicameral system, must also be able to engage in discussions on other legal fields on that basis. In this instance, both Article 22D paragraph (1) and Law Number 2 of 2018 must include provisions that stipulate that "The People's Representative Council participates in the discussion of the bill."</w:t>
      </w:r>
    </w:p>
    <w:p w14:paraId="24F75E84" w14:textId="77777777" w:rsidR="00AD5EA3" w:rsidRDefault="00252506">
      <w:pPr>
        <w:pStyle w:val="ListParagraph"/>
        <w:spacing w:before="120" w:after="120" w:line="240" w:lineRule="auto"/>
        <w:ind w:left="360" w:right="-1"/>
        <w:jc w:val="both"/>
        <w:rPr>
          <w:rFonts w:ascii="Calibri Light" w:cs="Calibri Light"/>
          <w:color w:val="FF0000"/>
          <w:sz w:val="24"/>
          <w:szCs w:val="24"/>
        </w:rPr>
      </w:pPr>
      <w:r>
        <w:rPr>
          <w:rFonts w:ascii="Calibri Light" w:cs="Calibri Light"/>
          <w:color w:val="000000"/>
          <w:sz w:val="24"/>
          <w:szCs w:val="24"/>
        </w:rPr>
        <w:t xml:space="preserve">It is anticipated that the reconstruction formulation above will enable both chambers to exercise a proportionate role in the formation of laws, in accordance with the principle of checks and balances. Additionally, the aforementioned provisions have the potential to eliminate the stigma associated with the second chamber as an auxiliary or co-legislator </w:t>
      </w:r>
      <w:commentRangeStart w:id="12"/>
      <w:r>
        <w:rPr>
          <w:rFonts w:ascii="Calibri Light" w:cs="Calibri Light"/>
          <w:color w:val="000000"/>
          <w:sz w:val="24"/>
          <w:szCs w:val="24"/>
        </w:rPr>
        <w:t xml:space="preserve">institution that is overshadowed by the first chamber. Marzuki has stated that the only way to legitimate the two chambers in a balanced and effective manner is to incorporate this substantive formulation into a constitutional amendment. Additionally, it is feasible to modify the constitution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{"citationItems":[{"id":"ITEM-1","itemData":{"DOI":"10.20885/iustum.vol15.iss1.art7","ISSN":"2527-502X","author":[{"dropping-particle":"","family":"Marzuki","given":"Masnur","non-dropping-particle":"","parse-names":false,"suffix":""}],"container-title":"Jurnal Hukum Ius Quia Iustum","id":"ITEM-1","issue":"1","issued":{"date-parts":[["2008"]]},"page":"81-100","title":"Analisis Kontestasi Kelembagaan DPD dan Upaya Mengefektifkan Keberadaannya","type":"article-journal","volume":"15"},"uris":["http://www.mendeley.com/documents/?uuid=08292f79-a6db-4457-baa7-92f06d173680"]}],"mendeley":{"formattedCitation":"(Marzuki, 2008)","plainTextFormattedCitation":"(Marzuki, 2008)","previouslyFormattedCitation":"Marzuki, </w:instrText>
      </w:r>
      <w:r>
        <w:rPr>
          <w:rFonts w:ascii="Calibri Light" w:cs="Calibri Light"/>
          <w:sz w:val="24"/>
          <w:szCs w:val="24"/>
        </w:rPr>
        <w:instrText>“</w:instrText>
      </w:r>
      <w:r>
        <w:rPr>
          <w:rFonts w:ascii="Calibri Light" w:cs="Calibri Light"/>
          <w:sz w:val="24"/>
          <w:szCs w:val="24"/>
        </w:rPr>
        <w:instrText>Analisis Kontestasi Kelembagaan DPD Dan Upaya Mengefektifkan Keberadaannya.</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(Marzuki, 2008)</w:t>
      </w:r>
      <w:r>
        <w:rPr>
          <w:rFonts w:ascii="Calibri Light" w:cs="Calibri Light"/>
          <w:sz w:val="24"/>
          <w:szCs w:val="24"/>
        </w:rPr>
        <w:fldChar w:fldCharType="end"/>
      </w:r>
      <w:r>
        <w:rPr>
          <w:rFonts w:ascii="Calibri Light" w:cs="Calibri Light"/>
          <w:color w:val="000000"/>
          <w:sz w:val="24"/>
          <w:szCs w:val="24"/>
        </w:rPr>
        <w:t>.</w:t>
      </w:r>
      <w:commentRangeEnd w:id="12"/>
      <w:r w:rsidR="002019C5">
        <w:rPr>
          <w:rStyle w:val="CommentReference"/>
          <w:rFonts w:ascii="Times New Roman" w:cs="Times New Roman"/>
          <w:lang w:val="en-US" w:eastAsia="en-GB"/>
        </w:rPr>
        <w:commentReference w:id="12"/>
      </w:r>
    </w:p>
    <w:p w14:paraId="40F1BF2D" w14:textId="77777777" w:rsidR="00AD5EA3" w:rsidRDefault="00AD5EA3">
      <w:pPr>
        <w:pStyle w:val="ListParagraph"/>
        <w:spacing w:before="120" w:after="120" w:line="240" w:lineRule="auto"/>
        <w:ind w:left="440" w:right="-1" w:firstLine="677"/>
        <w:jc w:val="both"/>
        <w:rPr>
          <w:rFonts w:ascii="Calibri Light" w:cs="Calibri Light"/>
          <w:color w:val="FF0000"/>
          <w:sz w:val="24"/>
          <w:szCs w:val="24"/>
        </w:rPr>
      </w:pPr>
    </w:p>
    <w:p w14:paraId="153FF74B" w14:textId="77777777" w:rsidR="00AD5EA3" w:rsidRDefault="00252506">
      <w:pPr>
        <w:numPr>
          <w:ilvl w:val="0"/>
          <w:numId w:val="16"/>
        </w:numPr>
        <w:autoSpaceDE/>
        <w:autoSpaceDN/>
        <w:spacing w:line="240" w:lineRule="atLeast"/>
        <w:ind w:left="360" w:hanging="360"/>
        <w:rPr>
          <w:rFonts w:ascii="Calibri Light" w:cs="Calibri Light"/>
          <w:b/>
          <w:color w:val="A6A6A6"/>
          <w:sz w:val="24"/>
          <w:szCs w:val="24"/>
        </w:rPr>
      </w:pPr>
      <w:r>
        <w:rPr>
          <w:rFonts w:ascii="Calibri Light" w:cs="Calibri Light"/>
          <w:b/>
          <w:sz w:val="24"/>
          <w:szCs w:val="24"/>
        </w:rPr>
        <w:t>CONCLUSION</w:t>
      </w:r>
    </w:p>
    <w:p w14:paraId="51FEB8D5" w14:textId="77777777" w:rsidR="00AD5EA3" w:rsidRDefault="00252506">
      <w:pPr>
        <w:pStyle w:val="ListParagraph"/>
        <w:spacing w:before="120" w:after="120" w:line="240" w:lineRule="auto"/>
        <w:ind w:left="360" w:right="-1"/>
        <w:jc w:val="both"/>
        <w:rPr>
          <w:rFonts w:ascii="Calibri Light" w:cs="Calibri Light"/>
          <w:color w:val="FF0000"/>
          <w:sz w:val="24"/>
          <w:szCs w:val="24"/>
        </w:rPr>
      </w:pPr>
      <w:r>
        <w:rPr>
          <w:rFonts w:ascii="Calibri Light" w:cs="Calibri Light"/>
          <w:sz w:val="24"/>
          <w:szCs w:val="24"/>
        </w:rPr>
        <w:lastRenderedPageBreak/>
        <w:t xml:space="preserve">The legal structure of the DPD, which is the second chamber with the authority to create laws in the construction of the Constitution and statutory regulations, is still not propor-tional due to the limited scope of authority in proposing and discussing draft laws, which also fail to receive final approval. The political bid for the second chamber has been lifted by the Constitutional Court's progressive decision; however, it is insufficient to completely balance the power of the DPR as the first chamber. Consequently, it remains imperative to reestablish the relationship between the two legislatures in the capacity to establish laws based on a system of balanced bicameralism or strong bicameralism. By revising the edito-rial provisions of Article 22D paragraph (1) in the Constitution and making modifications to a variety of other statutory regulations, reconstruction efforts must be implemented. </w:t>
      </w:r>
      <w:commentRangeStart w:id="13"/>
      <w:r>
        <w:rPr>
          <w:rFonts w:ascii="Calibri Light" w:cs="Calibri Light"/>
          <w:sz w:val="24"/>
          <w:szCs w:val="24"/>
        </w:rPr>
        <w:t xml:space="preserve">It is anticipated that the second chamber will be established as the primary state institution </w:t>
      </w:r>
      <w:commentRangeEnd w:id="13"/>
      <w:r w:rsidR="002019C5">
        <w:rPr>
          <w:rStyle w:val="CommentReference"/>
          <w:rFonts w:ascii="Times New Roman" w:cs="Times New Roman"/>
          <w:lang w:val="en-US" w:eastAsia="en-GB"/>
        </w:rPr>
        <w:commentReference w:id="13"/>
      </w:r>
      <w:r>
        <w:rPr>
          <w:rFonts w:ascii="Calibri Light" w:cs="Calibri Light"/>
          <w:sz w:val="24"/>
          <w:szCs w:val="24"/>
        </w:rPr>
        <w:t>in harmony with the first chamber through the reconstruction of the balanced bicameral sys-tem proposed by the author. This will enable the two chambers to collaborate in a synergis-tic manner through the principle of checks and balances.</w:t>
      </w:r>
    </w:p>
    <w:p w14:paraId="3405B33F" w14:textId="77777777" w:rsidR="00AD5EA3" w:rsidRDefault="00AD5EA3">
      <w:pPr>
        <w:pStyle w:val="ListParagraph"/>
        <w:spacing w:before="120" w:after="120" w:line="240" w:lineRule="auto"/>
        <w:ind w:left="440" w:right="-1" w:firstLine="677"/>
        <w:jc w:val="both"/>
        <w:rPr>
          <w:rFonts w:ascii="Calibri Light" w:cs="Calibri Light"/>
          <w:color w:val="FF0000"/>
          <w:sz w:val="23"/>
        </w:rPr>
      </w:pPr>
    </w:p>
    <w:p w14:paraId="59BA58FE" w14:textId="77777777" w:rsidR="00AD5EA3" w:rsidRDefault="00252506">
      <w:pPr>
        <w:numPr>
          <w:ilvl w:val="0"/>
          <w:numId w:val="16"/>
        </w:numPr>
        <w:spacing w:after="240" w:line="240" w:lineRule="atLeast"/>
        <w:ind w:left="360" w:hanging="360"/>
        <w:jc w:val="both"/>
        <w:rPr>
          <w:rFonts w:ascii="Calibri Light" w:cs="Calibri Light"/>
          <w:b/>
          <w:color w:val="A6A6A6"/>
          <w:sz w:val="24"/>
          <w:szCs w:val="24"/>
          <w:lang w:val="id-ID"/>
        </w:rPr>
      </w:pPr>
      <w:commentRangeStart w:id="14"/>
      <w:r>
        <w:rPr>
          <w:rFonts w:ascii="Calibri Light" w:cs="Calibri Light"/>
          <w:b/>
          <w:sz w:val="24"/>
          <w:szCs w:val="24"/>
        </w:rPr>
        <w:t>REFERENCES</w:t>
      </w:r>
      <w:commentRangeEnd w:id="14"/>
      <w:r w:rsidR="002019C5">
        <w:rPr>
          <w:rStyle w:val="CommentReference"/>
        </w:rPr>
        <w:commentReference w:id="14"/>
      </w:r>
    </w:p>
    <w:p w14:paraId="5CF4F1B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color w:val="000000"/>
          <w:sz w:val="24"/>
          <w:szCs w:val="24"/>
        </w:rPr>
        <w:t xml:space="preserve">  </w:t>
      </w:r>
      <w:r>
        <w:rPr>
          <w:rFonts w:ascii="Calibri Light" w:cs="Calibri Light"/>
          <w:color w:val="000000"/>
          <w:sz w:val="24"/>
          <w:szCs w:val="24"/>
          <w:highlight w:val="yellow"/>
        </w:rPr>
        <w:fldChar w:fldCharType="begin"/>
      </w:r>
      <w:r>
        <w:rPr>
          <w:rFonts w:ascii="Calibri Light" w:cs="Calibri Light"/>
          <w:color w:val="000000"/>
          <w:sz w:val="24"/>
          <w:szCs w:val="24"/>
          <w:highlight w:val="yellow"/>
        </w:rPr>
        <w:instrText xml:space="preserve">ADDIN Mendeley Bibliography CSL_BIBLIOGRAPHY </w:instrText>
      </w:r>
      <w:r>
        <w:rPr>
          <w:rFonts w:ascii="Calibri Light" w:cs="Calibri Light"/>
          <w:color w:val="000000"/>
          <w:sz w:val="24"/>
          <w:szCs w:val="24"/>
          <w:highlight w:val="yellow"/>
        </w:rPr>
        <w:fldChar w:fldCharType="separate"/>
      </w:r>
      <w:r>
        <w:rPr>
          <w:rFonts w:ascii="Calibri Light" w:cs="Calibri Light"/>
          <w:sz w:val="24"/>
          <w:lang w:val="en-ID" w:eastAsia="en-ID"/>
        </w:rPr>
        <w:t xml:space="preserve">Akbal, M., Amin, M., &amp; Bakhtiar, B. (2022). Kewenangan Dewan Perwakilan Daerah dalam Sistem Bikameral Berdasarkan Prinsip Check and Balances. </w:t>
      </w:r>
      <w:r>
        <w:rPr>
          <w:rFonts w:ascii="Calibri Light" w:cs="Calibri Light"/>
          <w:i/>
          <w:sz w:val="24"/>
          <w:lang w:val="en-ID" w:eastAsia="en-ID"/>
        </w:rPr>
        <w:t>SUPREMASI: Jurnal Pemikiran, Penelitian Ilmu-Ilmu Sosial, Hukum Dan Pengajarannya</w:t>
      </w:r>
      <w:r>
        <w:rPr>
          <w:rFonts w:ascii="Calibri Light" w:cs="Calibri Light"/>
          <w:sz w:val="24"/>
          <w:lang w:val="en-ID" w:eastAsia="en-ID"/>
        </w:rPr>
        <w:t xml:space="preserve">, </w:t>
      </w:r>
      <w:r>
        <w:rPr>
          <w:rFonts w:ascii="Calibri Light" w:cs="Calibri Light"/>
          <w:i/>
          <w:sz w:val="24"/>
          <w:lang w:val="en-ID" w:eastAsia="en-ID"/>
        </w:rPr>
        <w:t>17</w:t>
      </w:r>
      <w:r>
        <w:rPr>
          <w:rFonts w:ascii="Calibri Light" w:cs="Calibri Light"/>
          <w:sz w:val="24"/>
          <w:lang w:val="en-ID" w:eastAsia="en-ID"/>
        </w:rPr>
        <w:t>(1), 031</w:t>
      </w:r>
      <w:r>
        <w:rPr>
          <w:rFonts w:ascii="Calibri Light" w:cs="Calibri Light"/>
          <w:sz w:val="24"/>
          <w:lang w:val="en-ID" w:eastAsia="en-ID"/>
        </w:rPr>
        <w:t>–</w:t>
      </w:r>
      <w:r>
        <w:rPr>
          <w:rFonts w:ascii="Calibri Light" w:cs="Calibri Light"/>
          <w:sz w:val="24"/>
          <w:lang w:val="en-ID" w:eastAsia="en-ID"/>
        </w:rPr>
        <w:t>043.</w:t>
      </w:r>
    </w:p>
    <w:p w14:paraId="3BE9294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Akbarrudin, A. (2013). Pelaksanaan Fungsi Legislasi DPR RI dan DPD RI Pasca Amandemen UUD 1945. </w:t>
      </w:r>
      <w:r>
        <w:rPr>
          <w:rFonts w:ascii="Calibri Light" w:cs="Calibri Light"/>
          <w:i/>
          <w:sz w:val="24"/>
          <w:lang w:val="en-ID" w:eastAsia="en-ID"/>
        </w:rPr>
        <w:t>Pandecta Research Law Journal</w:t>
      </w:r>
      <w:r>
        <w:rPr>
          <w:rFonts w:ascii="Calibri Light" w:cs="Calibri Light"/>
          <w:sz w:val="24"/>
          <w:lang w:val="en-ID" w:eastAsia="en-ID"/>
        </w:rPr>
        <w:t xml:space="preserve">, </w:t>
      </w:r>
      <w:r>
        <w:rPr>
          <w:rFonts w:ascii="Calibri Light" w:cs="Calibri Light"/>
          <w:i/>
          <w:sz w:val="24"/>
          <w:lang w:val="en-ID" w:eastAsia="en-ID"/>
        </w:rPr>
        <w:t>8</w:t>
      </w:r>
      <w:r>
        <w:rPr>
          <w:rFonts w:ascii="Calibri Light" w:cs="Calibri Light"/>
          <w:sz w:val="24"/>
          <w:lang w:val="en-ID" w:eastAsia="en-ID"/>
        </w:rPr>
        <w:t>(1), 52</w:t>
      </w:r>
      <w:r>
        <w:rPr>
          <w:rFonts w:ascii="Calibri Light" w:cs="Calibri Light"/>
          <w:sz w:val="24"/>
          <w:lang w:val="en-ID" w:eastAsia="en-ID"/>
        </w:rPr>
        <w:t>–</w:t>
      </w:r>
      <w:r>
        <w:rPr>
          <w:rFonts w:ascii="Calibri Light" w:cs="Calibri Light"/>
          <w:sz w:val="24"/>
          <w:lang w:val="en-ID" w:eastAsia="en-ID"/>
        </w:rPr>
        <w:t>66.</w:t>
      </w:r>
    </w:p>
    <w:p w14:paraId="7AE287E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Akili, R. H. S. (2023). The Role of The Legislature, in Maintaining the Balance of Power in The Constitutional Legal System. </w:t>
      </w:r>
      <w:r>
        <w:rPr>
          <w:rFonts w:ascii="Calibri Light" w:cs="Calibri Light"/>
          <w:i/>
          <w:sz w:val="24"/>
          <w:lang w:val="en-ID" w:eastAsia="en-ID"/>
        </w:rPr>
        <w:t>Jurnal Multidisiplin Sahombu</w:t>
      </w:r>
      <w:r>
        <w:rPr>
          <w:rFonts w:ascii="Calibri Light" w:cs="Calibri Light"/>
          <w:sz w:val="24"/>
          <w:lang w:val="en-ID" w:eastAsia="en-ID"/>
        </w:rPr>
        <w:t xml:space="preserve">, </w:t>
      </w:r>
      <w:r>
        <w:rPr>
          <w:rFonts w:ascii="Calibri Light" w:cs="Calibri Light"/>
          <w:i/>
          <w:sz w:val="24"/>
          <w:lang w:val="en-ID" w:eastAsia="en-ID"/>
        </w:rPr>
        <w:t>3</w:t>
      </w:r>
      <w:r>
        <w:rPr>
          <w:rFonts w:ascii="Calibri Light" w:cs="Calibri Light"/>
          <w:sz w:val="24"/>
          <w:lang w:val="en-ID" w:eastAsia="en-ID"/>
        </w:rPr>
        <w:t>(01), 77</w:t>
      </w:r>
      <w:r>
        <w:rPr>
          <w:rFonts w:ascii="Calibri Light" w:cs="Calibri Light"/>
          <w:sz w:val="24"/>
          <w:lang w:val="en-ID" w:eastAsia="en-ID"/>
        </w:rPr>
        <w:t>–</w:t>
      </w:r>
      <w:r>
        <w:rPr>
          <w:rFonts w:ascii="Calibri Light" w:cs="Calibri Light"/>
          <w:sz w:val="24"/>
          <w:lang w:val="en-ID" w:eastAsia="en-ID"/>
        </w:rPr>
        <w:t>85.</w:t>
      </w:r>
    </w:p>
    <w:p w14:paraId="5F84785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Alem</w:t>
      </w:r>
      <w:r>
        <w:rPr>
          <w:rFonts w:ascii="Calibri Light" w:cs="Calibri Light"/>
          <w:sz w:val="24"/>
          <w:lang w:val="en-ID" w:eastAsia="en-ID"/>
        </w:rPr>
        <w:t>á</w:t>
      </w:r>
      <w:r>
        <w:rPr>
          <w:rFonts w:ascii="Calibri Light" w:cs="Calibri Light"/>
          <w:sz w:val="24"/>
          <w:lang w:val="en-ID" w:eastAsia="en-ID"/>
        </w:rPr>
        <w:t xml:space="preserve">n, E., Mimica, N., &amp; Navia, P. (2022). Bicameral Lawmaking: Analysing the Choices of Revising Chambers. </w:t>
      </w:r>
      <w:r>
        <w:rPr>
          <w:rFonts w:ascii="Calibri Light" w:cs="Calibri Light"/>
          <w:i/>
          <w:sz w:val="24"/>
          <w:lang w:val="en-ID" w:eastAsia="en-ID"/>
        </w:rPr>
        <w:t>Parliamentary Affairs</w:t>
      </w:r>
      <w:r>
        <w:rPr>
          <w:rFonts w:ascii="Calibri Light" w:cs="Calibri Light"/>
          <w:sz w:val="24"/>
          <w:lang w:val="en-ID" w:eastAsia="en-ID"/>
        </w:rPr>
        <w:t xml:space="preserve">, </w:t>
      </w:r>
      <w:r>
        <w:rPr>
          <w:rFonts w:ascii="Calibri Light" w:cs="Calibri Light"/>
          <w:i/>
          <w:sz w:val="24"/>
          <w:lang w:val="en-ID" w:eastAsia="en-ID"/>
        </w:rPr>
        <w:t>75</w:t>
      </w:r>
      <w:r>
        <w:rPr>
          <w:rFonts w:ascii="Calibri Light" w:cs="Calibri Light"/>
          <w:sz w:val="24"/>
          <w:lang w:val="en-ID" w:eastAsia="en-ID"/>
        </w:rPr>
        <w:t>(2), 362</w:t>
      </w:r>
      <w:r>
        <w:rPr>
          <w:rFonts w:ascii="Calibri Light" w:cs="Calibri Light"/>
          <w:sz w:val="24"/>
          <w:lang w:val="en-ID" w:eastAsia="en-ID"/>
        </w:rPr>
        <w:t>–</w:t>
      </w:r>
      <w:r>
        <w:rPr>
          <w:rFonts w:ascii="Calibri Light" w:cs="Calibri Light"/>
          <w:sz w:val="24"/>
          <w:lang w:val="en-ID" w:eastAsia="en-ID"/>
        </w:rPr>
        <w:t>381.</w:t>
      </w:r>
    </w:p>
    <w:p w14:paraId="7809901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Aman, A., &amp; Tomsa, D. (2022). The Constitutional and Legislative Foundations of Indonesia</w:t>
      </w:r>
      <w:r>
        <w:rPr>
          <w:rFonts w:ascii="Calibri Light" w:cs="Calibri Light"/>
          <w:sz w:val="24"/>
          <w:lang w:val="en-ID" w:eastAsia="en-ID"/>
        </w:rPr>
        <w:t>’</w:t>
      </w:r>
      <w:r>
        <w:rPr>
          <w:rFonts w:ascii="Calibri Light" w:cs="Calibri Light"/>
          <w:sz w:val="24"/>
          <w:lang w:val="en-ID" w:eastAsia="en-ID"/>
        </w:rPr>
        <w:t xml:space="preserve">s Electoral Regime. In </w:t>
      </w:r>
      <w:r>
        <w:rPr>
          <w:rFonts w:ascii="Calibri Light" w:cs="Calibri Light"/>
          <w:i/>
          <w:sz w:val="24"/>
          <w:lang w:val="en-ID" w:eastAsia="en-ID"/>
        </w:rPr>
        <w:t>Constitutional Democracy in Indonesia</w:t>
      </w:r>
      <w:r>
        <w:rPr>
          <w:rFonts w:ascii="Calibri Light" w:cs="Calibri Light"/>
          <w:sz w:val="24"/>
          <w:lang w:val="en-ID" w:eastAsia="en-ID"/>
        </w:rPr>
        <w:t xml:space="preserve"> (p. 133). Oxford: Oxford University Press.</w:t>
      </w:r>
    </w:p>
    <w:p w14:paraId="21EAF26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Badran, S. (2020). The Dissolution of The Lebanese Parliament: A Perverted Application of The Parliamentary System. </w:t>
      </w:r>
      <w:r>
        <w:rPr>
          <w:rFonts w:ascii="Calibri Light" w:cs="Calibri Light"/>
          <w:i/>
          <w:sz w:val="24"/>
          <w:lang w:val="en-ID" w:eastAsia="en-ID"/>
        </w:rPr>
        <w:t>Digest of Middle East Studies</w:t>
      </w:r>
      <w:r>
        <w:rPr>
          <w:rFonts w:ascii="Calibri Light" w:cs="Calibri Light"/>
          <w:sz w:val="24"/>
          <w:lang w:val="en-ID" w:eastAsia="en-ID"/>
        </w:rPr>
        <w:t xml:space="preserve">, </w:t>
      </w:r>
      <w:r>
        <w:rPr>
          <w:rFonts w:ascii="Calibri Light" w:cs="Calibri Light"/>
          <w:i/>
          <w:sz w:val="24"/>
          <w:lang w:val="en-ID" w:eastAsia="en-ID"/>
        </w:rPr>
        <w:t>29</w:t>
      </w:r>
      <w:r>
        <w:rPr>
          <w:rFonts w:ascii="Calibri Light" w:cs="Calibri Light"/>
          <w:sz w:val="24"/>
          <w:lang w:val="en-ID" w:eastAsia="en-ID"/>
        </w:rPr>
        <w:t>(2), 200</w:t>
      </w:r>
      <w:r>
        <w:rPr>
          <w:rFonts w:ascii="Calibri Light" w:cs="Calibri Light"/>
          <w:sz w:val="24"/>
          <w:lang w:val="en-ID" w:eastAsia="en-ID"/>
        </w:rPr>
        <w:t>–</w:t>
      </w:r>
      <w:r>
        <w:rPr>
          <w:rFonts w:ascii="Calibri Light" w:cs="Calibri Light"/>
          <w:sz w:val="24"/>
          <w:lang w:val="en-ID" w:eastAsia="en-ID"/>
        </w:rPr>
        <w:t>214. https://doi.org/10.1111/dome.12217</w:t>
      </w:r>
    </w:p>
    <w:p w14:paraId="4D61CD5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Cheibub, J. A., Martin, S., &amp; Rasch, B. E. (2023). Government Selection and Executive Powers: Constitutional Design in Parliamentary Democracies. In </w:t>
      </w:r>
      <w:r>
        <w:rPr>
          <w:rFonts w:ascii="Calibri Light" w:cs="Calibri Light"/>
          <w:i/>
          <w:sz w:val="24"/>
          <w:lang w:val="en-ID" w:eastAsia="en-ID"/>
        </w:rPr>
        <w:t>Parliaments and Government Termination</w:t>
      </w:r>
      <w:r>
        <w:rPr>
          <w:rFonts w:ascii="Calibri Light" w:cs="Calibri Light"/>
          <w:sz w:val="24"/>
          <w:lang w:val="en-ID" w:eastAsia="en-ID"/>
        </w:rPr>
        <w:t xml:space="preserve"> (pp. 208</w:t>
      </w:r>
      <w:r>
        <w:rPr>
          <w:rFonts w:ascii="Calibri Light" w:cs="Calibri Light"/>
          <w:sz w:val="24"/>
          <w:lang w:val="en-ID" w:eastAsia="en-ID"/>
        </w:rPr>
        <w:t>–</w:t>
      </w:r>
      <w:r>
        <w:rPr>
          <w:rFonts w:ascii="Calibri Light" w:cs="Calibri Light"/>
          <w:sz w:val="24"/>
          <w:lang w:val="en-ID" w:eastAsia="en-ID"/>
        </w:rPr>
        <w:t>235). London: Routledge.</w:t>
      </w:r>
    </w:p>
    <w:p w14:paraId="3C0FEC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Chidqi, A. L. (2020). Perluasan Kewenangan Dewan Perwakilan Daerah Ditinjau dari Bikameral yang Ideal. </w:t>
      </w:r>
      <w:r>
        <w:rPr>
          <w:rFonts w:ascii="Calibri Light" w:cs="Calibri Light"/>
          <w:i/>
          <w:sz w:val="24"/>
          <w:lang w:val="en-ID" w:eastAsia="en-ID"/>
        </w:rPr>
        <w:t>Jurnal Ilmu Hukum: ALETHEA</w:t>
      </w:r>
      <w:r>
        <w:rPr>
          <w:rFonts w:ascii="Calibri Light" w:cs="Calibri Light"/>
          <w:sz w:val="24"/>
          <w:lang w:val="en-ID" w:eastAsia="en-ID"/>
        </w:rPr>
        <w:t xml:space="preserve">, </w:t>
      </w:r>
      <w:r>
        <w:rPr>
          <w:rFonts w:ascii="Calibri Light" w:cs="Calibri Light"/>
          <w:i/>
          <w:sz w:val="24"/>
          <w:lang w:val="en-ID" w:eastAsia="en-ID"/>
        </w:rPr>
        <w:t>4</w:t>
      </w:r>
      <w:r>
        <w:rPr>
          <w:rFonts w:ascii="Calibri Light" w:cs="Calibri Light"/>
          <w:sz w:val="24"/>
          <w:lang w:val="en-ID" w:eastAsia="en-ID"/>
        </w:rPr>
        <w:t>(1), 75</w:t>
      </w:r>
      <w:r>
        <w:rPr>
          <w:rFonts w:ascii="Calibri Light" w:cs="Calibri Light"/>
          <w:sz w:val="24"/>
          <w:lang w:val="en-ID" w:eastAsia="en-ID"/>
        </w:rPr>
        <w:t>–</w:t>
      </w:r>
      <w:r>
        <w:rPr>
          <w:rFonts w:ascii="Calibri Light" w:cs="Calibri Light"/>
          <w:sz w:val="24"/>
          <w:lang w:val="en-ID" w:eastAsia="en-ID"/>
        </w:rPr>
        <w:t>94. https://doi.org/10.24246/alethea.vol4.no1.p75-94</w:t>
      </w:r>
    </w:p>
    <w:p w14:paraId="49F1FA6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Chiou, F.-Y., &amp; Goplerud, M. (2024). Effective Lawmaking across Congressional Eras. </w:t>
      </w:r>
      <w:r>
        <w:rPr>
          <w:rFonts w:ascii="Calibri Light" w:cs="Calibri Light"/>
          <w:i/>
          <w:sz w:val="24"/>
          <w:lang w:val="en-ID" w:eastAsia="en-ID"/>
        </w:rPr>
        <w:t>The Journal of Politics</w:t>
      </w:r>
      <w:r>
        <w:rPr>
          <w:rFonts w:ascii="Calibri Light" w:cs="Calibri Light"/>
          <w:sz w:val="24"/>
          <w:lang w:val="en-ID" w:eastAsia="en-ID"/>
        </w:rPr>
        <w:t xml:space="preserve">, </w:t>
      </w:r>
      <w:r>
        <w:rPr>
          <w:rFonts w:ascii="Calibri Light" w:cs="Calibri Light"/>
          <w:i/>
          <w:sz w:val="24"/>
          <w:lang w:val="en-ID" w:eastAsia="en-ID"/>
        </w:rPr>
        <w:t>86</w:t>
      </w:r>
      <w:r>
        <w:rPr>
          <w:rFonts w:ascii="Calibri Light" w:cs="Calibri Light"/>
          <w:sz w:val="24"/>
          <w:lang w:val="en-ID" w:eastAsia="en-ID"/>
        </w:rPr>
        <w:t>(3), 997</w:t>
      </w:r>
      <w:r>
        <w:rPr>
          <w:rFonts w:ascii="Calibri Light" w:cs="Calibri Light"/>
          <w:sz w:val="24"/>
          <w:lang w:val="en-ID" w:eastAsia="en-ID"/>
        </w:rPr>
        <w:t>–</w:t>
      </w:r>
      <w:r>
        <w:rPr>
          <w:rFonts w:ascii="Calibri Light" w:cs="Calibri Light"/>
          <w:sz w:val="24"/>
          <w:lang w:val="en-ID" w:eastAsia="en-ID"/>
        </w:rPr>
        <w:t>1012.</w:t>
      </w:r>
    </w:p>
    <w:p w14:paraId="631FB82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Epstein, L., McGuire, K. T., &amp; Walker, T. G. (2022). </w:t>
      </w:r>
      <w:r>
        <w:rPr>
          <w:rFonts w:ascii="Calibri Light" w:cs="Calibri Light"/>
          <w:i/>
          <w:sz w:val="24"/>
          <w:lang w:val="en-ID" w:eastAsia="en-ID"/>
        </w:rPr>
        <w:t>Constitutional Law for a Changing America: Institutional Powers and Constraints</w:t>
      </w:r>
      <w:r>
        <w:rPr>
          <w:rFonts w:ascii="Calibri Light" w:cs="Calibri Light"/>
          <w:sz w:val="24"/>
          <w:lang w:val="en-ID" w:eastAsia="en-ID"/>
        </w:rPr>
        <w:t>. Washington, DC: CQ Press.</w:t>
      </w:r>
    </w:p>
    <w:p w14:paraId="52E78FB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Faiz, P. M., Isra, S., &amp; Agustine, O. V. (2023). Strengthening Indonesia</w:t>
      </w:r>
      <w:r>
        <w:rPr>
          <w:rFonts w:ascii="Calibri Light" w:cs="Calibri Light"/>
          <w:sz w:val="24"/>
          <w:lang w:val="en-ID" w:eastAsia="en-ID"/>
        </w:rPr>
        <w:t>’</w:t>
      </w:r>
      <w:r>
        <w:rPr>
          <w:rFonts w:ascii="Calibri Light" w:cs="Calibri Light"/>
          <w:sz w:val="24"/>
          <w:lang w:val="en-ID" w:eastAsia="en-ID"/>
        </w:rPr>
        <w:t xml:space="preserve">s Regional Representative Council Through Judicial Review by the Constitutional Court. </w:t>
      </w:r>
      <w:r>
        <w:rPr>
          <w:rFonts w:ascii="Calibri Light" w:cs="Calibri Light"/>
          <w:i/>
          <w:sz w:val="24"/>
          <w:lang w:val="en-ID" w:eastAsia="en-ID"/>
        </w:rPr>
        <w:t xml:space="preserve">SAGE </w:t>
      </w:r>
      <w:r>
        <w:rPr>
          <w:rFonts w:ascii="Calibri Light" w:cs="Calibri Light"/>
          <w:i/>
          <w:sz w:val="24"/>
          <w:lang w:val="en-ID" w:eastAsia="en-ID"/>
        </w:rPr>
        <w:lastRenderedPageBreak/>
        <w:t>Open</w:t>
      </w:r>
      <w:r>
        <w:rPr>
          <w:rFonts w:ascii="Calibri Light" w:cs="Calibri Light"/>
          <w:sz w:val="24"/>
          <w:lang w:val="en-ID" w:eastAsia="en-ID"/>
        </w:rPr>
        <w:t xml:space="preserve">, </w:t>
      </w:r>
      <w:r>
        <w:rPr>
          <w:rFonts w:ascii="Calibri Light" w:cs="Calibri Light"/>
          <w:i/>
          <w:sz w:val="24"/>
          <w:lang w:val="en-ID" w:eastAsia="en-ID"/>
        </w:rPr>
        <w:t>13</w:t>
      </w:r>
      <w:r>
        <w:rPr>
          <w:rFonts w:ascii="Calibri Light" w:cs="Calibri Light"/>
          <w:sz w:val="24"/>
          <w:lang w:val="en-ID" w:eastAsia="en-ID"/>
        </w:rPr>
        <w:t>(4).</w:t>
      </w:r>
    </w:p>
    <w:p w14:paraId="1882705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Handoyo, T. (2022). The Role of the Vice President in the Republic of Indonesia</w:t>
      </w:r>
      <w:r>
        <w:rPr>
          <w:rFonts w:ascii="Calibri Light" w:cs="Calibri Light"/>
          <w:sz w:val="24"/>
          <w:lang w:val="en-ID" w:eastAsia="en-ID"/>
        </w:rPr>
        <w:t>’</w:t>
      </w:r>
      <w:r>
        <w:rPr>
          <w:rFonts w:ascii="Calibri Light" w:cs="Calibri Light"/>
          <w:sz w:val="24"/>
          <w:lang w:val="en-ID" w:eastAsia="en-ID"/>
        </w:rPr>
        <w:t xml:space="preserve">s Administrative System (Post Amendment to the 1945 Constitution). </w:t>
      </w:r>
      <w:r>
        <w:rPr>
          <w:rFonts w:ascii="Calibri Light" w:cs="Calibri Light"/>
          <w:i/>
          <w:sz w:val="24"/>
          <w:lang w:val="en-ID" w:eastAsia="en-ID"/>
        </w:rPr>
        <w:t>Journal of Law Science</w:t>
      </w:r>
      <w:r>
        <w:rPr>
          <w:rFonts w:ascii="Calibri Light" w:cs="Calibri Light"/>
          <w:sz w:val="24"/>
          <w:lang w:val="en-ID" w:eastAsia="en-ID"/>
        </w:rPr>
        <w:t xml:space="preserve">, </w:t>
      </w:r>
      <w:r>
        <w:rPr>
          <w:rFonts w:ascii="Calibri Light" w:cs="Calibri Light"/>
          <w:i/>
          <w:sz w:val="24"/>
          <w:lang w:val="en-ID" w:eastAsia="en-ID"/>
        </w:rPr>
        <w:t>4</w:t>
      </w:r>
      <w:r>
        <w:rPr>
          <w:rFonts w:ascii="Calibri Light" w:cs="Calibri Light"/>
          <w:sz w:val="24"/>
          <w:lang w:val="en-ID" w:eastAsia="en-ID"/>
        </w:rPr>
        <w:t>(4), 188</w:t>
      </w:r>
      <w:r>
        <w:rPr>
          <w:rFonts w:ascii="Calibri Light" w:cs="Calibri Light"/>
          <w:sz w:val="24"/>
          <w:lang w:val="en-ID" w:eastAsia="en-ID"/>
        </w:rPr>
        <w:t>–</w:t>
      </w:r>
      <w:r>
        <w:rPr>
          <w:rFonts w:ascii="Calibri Light" w:cs="Calibri Light"/>
          <w:sz w:val="24"/>
          <w:lang w:val="en-ID" w:eastAsia="en-ID"/>
        </w:rPr>
        <w:t>196.</w:t>
      </w:r>
    </w:p>
    <w:p w14:paraId="5F1CD7A1"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Hidayat, T., Haryono, D., &amp; Ghafur, A. (2015). Penerapan Sistem Soft Bikameral dalam Parlemen di Indonesia. </w:t>
      </w:r>
      <w:r>
        <w:rPr>
          <w:rFonts w:ascii="Calibri Light" w:cs="Calibri Light"/>
          <w:i/>
          <w:sz w:val="24"/>
          <w:lang w:val="en-ID" w:eastAsia="en-ID"/>
        </w:rPr>
        <w:t>Jurnal Online Mahasiswa Fakultas Hukum Universitas Riau</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(2), 1</w:t>
      </w:r>
      <w:r>
        <w:rPr>
          <w:rFonts w:ascii="Calibri Light" w:cs="Calibri Light"/>
          <w:sz w:val="24"/>
          <w:lang w:val="en-ID" w:eastAsia="en-ID"/>
        </w:rPr>
        <w:t>–</w:t>
      </w:r>
      <w:r>
        <w:rPr>
          <w:rFonts w:ascii="Calibri Light" w:cs="Calibri Light"/>
          <w:sz w:val="24"/>
          <w:lang w:val="en-ID" w:eastAsia="en-ID"/>
        </w:rPr>
        <w:t>14.</w:t>
      </w:r>
    </w:p>
    <w:p w14:paraId="7089186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Hru</w:t>
      </w:r>
      <w:r>
        <w:rPr>
          <w:rFonts w:ascii="Calibri Light" w:cs="Calibri Light"/>
          <w:sz w:val="24"/>
          <w:lang w:val="en-ID" w:eastAsia="en-ID"/>
        </w:rPr>
        <w:t>š</w:t>
      </w:r>
      <w:r>
        <w:rPr>
          <w:rFonts w:ascii="Calibri Light" w:cs="Calibri Light"/>
          <w:sz w:val="24"/>
          <w:lang w:val="en-ID" w:eastAsia="en-ID"/>
        </w:rPr>
        <w:t>ka, J., &amp; Bal</w:t>
      </w:r>
      <w:r>
        <w:rPr>
          <w:rFonts w:ascii="Calibri Light" w:cs="Calibri Light"/>
          <w:sz w:val="24"/>
          <w:lang w:val="en-ID" w:eastAsia="en-ID"/>
        </w:rPr>
        <w:t>í</w:t>
      </w:r>
      <w:r>
        <w:rPr>
          <w:rFonts w:ascii="Calibri Light" w:cs="Calibri Light"/>
          <w:sz w:val="24"/>
          <w:lang w:val="en-ID" w:eastAsia="en-ID"/>
        </w:rPr>
        <w:t xml:space="preserve">k, S. (2024). Control Body, Representative of Regions, or Elitist Chamber of Wisdom? The Perceived Roles of Upper Chambers and the Case of the Czech Senate. </w:t>
      </w:r>
      <w:r>
        <w:rPr>
          <w:rFonts w:ascii="Calibri Light" w:cs="Calibri Light"/>
          <w:i/>
          <w:sz w:val="24"/>
          <w:lang w:val="en-ID" w:eastAsia="en-ID"/>
        </w:rPr>
        <w:t>The Journal of Legislative Studies</w:t>
      </w:r>
      <w:r>
        <w:rPr>
          <w:rFonts w:ascii="Calibri Light" w:cs="Calibri Light"/>
          <w:sz w:val="24"/>
          <w:lang w:val="en-ID" w:eastAsia="en-ID"/>
        </w:rPr>
        <w:t>, 1</w:t>
      </w:r>
      <w:r>
        <w:rPr>
          <w:rFonts w:ascii="Calibri Light" w:cs="Calibri Light"/>
          <w:sz w:val="24"/>
          <w:lang w:val="en-ID" w:eastAsia="en-ID"/>
        </w:rPr>
        <w:t>–</w:t>
      </w:r>
      <w:r>
        <w:rPr>
          <w:rFonts w:ascii="Calibri Light" w:cs="Calibri Light"/>
          <w:sz w:val="24"/>
          <w:lang w:val="en-ID" w:eastAsia="en-ID"/>
        </w:rPr>
        <w:t>20.</w:t>
      </w:r>
    </w:p>
    <w:p w14:paraId="5679E3E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Jackson, K. (2023). The Public Trust: Administrative Legitimacy and Democratic Lawmaking. </w:t>
      </w:r>
      <w:r>
        <w:rPr>
          <w:rFonts w:ascii="Calibri Light" w:cs="Calibri Light"/>
          <w:i/>
          <w:sz w:val="24"/>
          <w:lang w:val="en-ID" w:eastAsia="en-ID"/>
        </w:rPr>
        <w:t>Conn. L. Rev.</w:t>
      </w:r>
      <w:r>
        <w:rPr>
          <w:rFonts w:ascii="Calibri Light" w:cs="Calibri Light"/>
          <w:sz w:val="24"/>
          <w:lang w:val="en-ID" w:eastAsia="en-ID"/>
        </w:rPr>
        <w:t xml:space="preserve">, </w:t>
      </w:r>
      <w:r>
        <w:rPr>
          <w:rFonts w:ascii="Calibri Light" w:cs="Calibri Light"/>
          <w:i/>
          <w:sz w:val="24"/>
          <w:lang w:val="en-ID" w:eastAsia="en-ID"/>
        </w:rPr>
        <w:t>56</w:t>
      </w:r>
      <w:r>
        <w:rPr>
          <w:rFonts w:ascii="Calibri Light" w:cs="Calibri Light"/>
          <w:sz w:val="24"/>
          <w:lang w:val="en-ID" w:eastAsia="en-ID"/>
        </w:rPr>
        <w:t>, 1.</w:t>
      </w:r>
    </w:p>
    <w:p w14:paraId="1D28456C"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Jurdi, F. (2016). Eksistensi Parlemen Indonesia Setelah Amandemen Konstitusi. </w:t>
      </w:r>
      <w:r>
        <w:rPr>
          <w:rFonts w:ascii="Calibri Light" w:cs="Calibri Light"/>
          <w:i/>
          <w:sz w:val="24"/>
          <w:lang w:val="en-ID" w:eastAsia="en-ID"/>
        </w:rPr>
        <w:t>Jurnal Hukum Staatrechts</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(1).</w:t>
      </w:r>
    </w:p>
    <w:p w14:paraId="2CFBFE6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Kaharudin. (2022). Reconstruction of the Legislative Authority of the Regional Representative Council of the Republic of Indonesia in the Indonesian State System. </w:t>
      </w:r>
      <w:r>
        <w:rPr>
          <w:rFonts w:ascii="Calibri Light" w:cs="Calibri Light"/>
          <w:i/>
          <w:sz w:val="24"/>
          <w:lang w:val="en-ID" w:eastAsia="en-ID"/>
        </w:rPr>
        <w:t>J. Legal Ethical &amp; Regul. Isses</w:t>
      </w:r>
      <w:r>
        <w:rPr>
          <w:rFonts w:ascii="Calibri Light" w:cs="Calibri Light"/>
          <w:sz w:val="24"/>
          <w:lang w:val="en-ID" w:eastAsia="en-ID"/>
        </w:rPr>
        <w:t xml:space="preserve">, </w:t>
      </w:r>
      <w:r>
        <w:rPr>
          <w:rFonts w:ascii="Calibri Light" w:cs="Calibri Light"/>
          <w:i/>
          <w:sz w:val="24"/>
          <w:lang w:val="en-ID" w:eastAsia="en-ID"/>
        </w:rPr>
        <w:t>25</w:t>
      </w:r>
      <w:r>
        <w:rPr>
          <w:rFonts w:ascii="Calibri Light" w:cs="Calibri Light"/>
          <w:sz w:val="24"/>
          <w:lang w:val="en-ID" w:eastAsia="en-ID"/>
        </w:rPr>
        <w:t>, 1.</w:t>
      </w:r>
    </w:p>
    <w:p w14:paraId="5A5C6C4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Lascelles, F. (2023). The Second Chamber in Parliaments of the Commonwealth. In </w:t>
      </w:r>
      <w:r>
        <w:rPr>
          <w:rFonts w:ascii="Calibri Light" w:cs="Calibri Light"/>
          <w:i/>
          <w:sz w:val="24"/>
          <w:lang w:val="en-ID" w:eastAsia="en-ID"/>
        </w:rPr>
        <w:t>Parliament as an Export</w:t>
      </w:r>
      <w:r>
        <w:rPr>
          <w:rFonts w:ascii="Calibri Light" w:cs="Calibri Light"/>
          <w:sz w:val="24"/>
          <w:lang w:val="en-ID" w:eastAsia="en-ID"/>
        </w:rPr>
        <w:t xml:space="preserve"> (pp. 166</w:t>
      </w:r>
      <w:r>
        <w:rPr>
          <w:rFonts w:ascii="Calibri Light" w:cs="Calibri Light"/>
          <w:sz w:val="24"/>
          <w:lang w:val="en-ID" w:eastAsia="en-ID"/>
        </w:rPr>
        <w:t>–</w:t>
      </w:r>
      <w:r>
        <w:rPr>
          <w:rFonts w:ascii="Calibri Light" w:cs="Calibri Light"/>
          <w:sz w:val="24"/>
          <w:lang w:val="en-ID" w:eastAsia="en-ID"/>
        </w:rPr>
        <w:t>189). London: Routledge.</w:t>
      </w:r>
    </w:p>
    <w:p w14:paraId="26B36B2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Lord, C. (2017). An Indirect Legitimacy Argument for a Directly Elected European Parliament. </w:t>
      </w:r>
      <w:r>
        <w:rPr>
          <w:rFonts w:ascii="Calibri Light" w:cs="Calibri Light"/>
          <w:i/>
          <w:sz w:val="24"/>
          <w:lang w:val="en-ID" w:eastAsia="en-ID"/>
        </w:rPr>
        <w:t>European Journal of Political Research</w:t>
      </w:r>
      <w:r>
        <w:rPr>
          <w:rFonts w:ascii="Calibri Light" w:cs="Calibri Light"/>
          <w:sz w:val="24"/>
          <w:lang w:val="en-ID" w:eastAsia="en-ID"/>
        </w:rPr>
        <w:t xml:space="preserve">, </w:t>
      </w:r>
      <w:r>
        <w:rPr>
          <w:rFonts w:ascii="Calibri Light" w:cs="Calibri Light"/>
          <w:i/>
          <w:sz w:val="24"/>
          <w:lang w:val="en-ID" w:eastAsia="en-ID"/>
        </w:rPr>
        <w:t>56</w:t>
      </w:r>
      <w:r>
        <w:rPr>
          <w:rFonts w:ascii="Calibri Light" w:cs="Calibri Light"/>
          <w:sz w:val="24"/>
          <w:lang w:val="en-ID" w:eastAsia="en-ID"/>
        </w:rPr>
        <w:t>(3), 512</w:t>
      </w:r>
      <w:r>
        <w:rPr>
          <w:rFonts w:ascii="Calibri Light" w:cs="Calibri Light"/>
          <w:sz w:val="24"/>
          <w:lang w:val="en-ID" w:eastAsia="en-ID"/>
        </w:rPr>
        <w:t>–</w:t>
      </w:r>
      <w:r>
        <w:rPr>
          <w:rFonts w:ascii="Calibri Light" w:cs="Calibri Light"/>
          <w:sz w:val="24"/>
          <w:lang w:val="en-ID" w:eastAsia="en-ID"/>
        </w:rPr>
        <w:t>528. https://doi.org/10.1111/1475- 6765.12204</w:t>
      </w:r>
    </w:p>
    <w:p w14:paraId="4C21FB2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Malik, A. A. (2023). Parliamentary Democracy: Mechanisms, Challenges, and the Quest for Effective Governance. </w:t>
      </w:r>
      <w:r>
        <w:rPr>
          <w:rFonts w:ascii="Calibri Light" w:cs="Calibri Light"/>
          <w:i/>
          <w:sz w:val="24"/>
          <w:lang w:val="en-ID" w:eastAsia="en-ID"/>
        </w:rPr>
        <w:t>Revista Review Index Journal of Multidisciplinary</w:t>
      </w:r>
      <w:r>
        <w:rPr>
          <w:rFonts w:ascii="Calibri Light" w:cs="Calibri Light"/>
          <w:sz w:val="24"/>
          <w:lang w:val="en-ID" w:eastAsia="en-ID"/>
        </w:rPr>
        <w:t xml:space="preserve">, </w:t>
      </w:r>
      <w:r>
        <w:rPr>
          <w:rFonts w:ascii="Calibri Light" w:cs="Calibri Light"/>
          <w:i/>
          <w:sz w:val="24"/>
          <w:lang w:val="en-ID" w:eastAsia="en-ID"/>
        </w:rPr>
        <w:t>3</w:t>
      </w:r>
      <w:r>
        <w:rPr>
          <w:rFonts w:ascii="Calibri Light" w:cs="Calibri Light"/>
          <w:sz w:val="24"/>
          <w:lang w:val="en-ID" w:eastAsia="en-ID"/>
        </w:rPr>
        <w:t>(4), 1</w:t>
      </w:r>
      <w:r>
        <w:rPr>
          <w:rFonts w:ascii="Calibri Light" w:cs="Calibri Light"/>
          <w:sz w:val="24"/>
          <w:lang w:val="en-ID" w:eastAsia="en-ID"/>
        </w:rPr>
        <w:t>–</w:t>
      </w:r>
      <w:r>
        <w:rPr>
          <w:rFonts w:ascii="Calibri Light" w:cs="Calibri Light"/>
          <w:sz w:val="24"/>
          <w:lang w:val="en-ID" w:eastAsia="en-ID"/>
        </w:rPr>
        <w:t>9.</w:t>
      </w:r>
    </w:p>
    <w:p w14:paraId="4EACCE0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Malleson, T. (2023). The Corporation, Democracy, and The Idea of The Bicameral Firm. </w:t>
      </w:r>
      <w:r>
        <w:rPr>
          <w:rFonts w:ascii="Calibri Light" w:cs="Calibri Light"/>
          <w:i/>
          <w:sz w:val="24"/>
          <w:lang w:val="en-ID" w:eastAsia="en-ID"/>
        </w:rPr>
        <w:t>Politics &amp; Society</w:t>
      </w:r>
      <w:r>
        <w:rPr>
          <w:rFonts w:ascii="Calibri Light" w:cs="Calibri Light"/>
          <w:sz w:val="24"/>
          <w:lang w:val="en-ID" w:eastAsia="en-ID"/>
        </w:rPr>
        <w:t xml:space="preserve">, </w:t>
      </w:r>
      <w:r>
        <w:rPr>
          <w:rFonts w:ascii="Calibri Light" w:cs="Calibri Light"/>
          <w:i/>
          <w:sz w:val="24"/>
          <w:lang w:val="en-ID" w:eastAsia="en-ID"/>
        </w:rPr>
        <w:t>51</w:t>
      </w:r>
      <w:r>
        <w:rPr>
          <w:rFonts w:ascii="Calibri Light" w:cs="Calibri Light"/>
          <w:sz w:val="24"/>
          <w:lang w:val="en-ID" w:eastAsia="en-ID"/>
        </w:rPr>
        <w:t>(2), 167</w:t>
      </w:r>
      <w:r>
        <w:rPr>
          <w:rFonts w:ascii="Calibri Light" w:cs="Calibri Light"/>
          <w:sz w:val="24"/>
          <w:lang w:val="en-ID" w:eastAsia="en-ID"/>
        </w:rPr>
        <w:t>–</w:t>
      </w:r>
      <w:r>
        <w:rPr>
          <w:rFonts w:ascii="Calibri Light" w:cs="Calibri Light"/>
          <w:sz w:val="24"/>
          <w:lang w:val="en-ID" w:eastAsia="en-ID"/>
        </w:rPr>
        <w:t>187.</w:t>
      </w:r>
    </w:p>
    <w:p w14:paraId="56699C1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Marzuki, M. (2008). Analisis Kontestasi Kelembagaan DPD dan Upaya Mengefektifkan Keberadaannya. </w:t>
      </w:r>
      <w:r>
        <w:rPr>
          <w:rFonts w:ascii="Calibri Light" w:cs="Calibri Light"/>
          <w:i/>
          <w:sz w:val="24"/>
          <w:lang w:val="en-ID" w:eastAsia="en-ID"/>
        </w:rPr>
        <w:t>Jurnal Hukum Ius Quia Iustum</w:t>
      </w:r>
      <w:r>
        <w:rPr>
          <w:rFonts w:ascii="Calibri Light" w:cs="Calibri Light"/>
          <w:sz w:val="24"/>
          <w:lang w:val="en-ID" w:eastAsia="en-ID"/>
        </w:rPr>
        <w:t xml:space="preserve">, </w:t>
      </w:r>
      <w:r>
        <w:rPr>
          <w:rFonts w:ascii="Calibri Light" w:cs="Calibri Light"/>
          <w:i/>
          <w:sz w:val="24"/>
          <w:lang w:val="en-ID" w:eastAsia="en-ID"/>
        </w:rPr>
        <w:t>15</w:t>
      </w:r>
      <w:r>
        <w:rPr>
          <w:rFonts w:ascii="Calibri Light" w:cs="Calibri Light"/>
          <w:sz w:val="24"/>
          <w:lang w:val="en-ID" w:eastAsia="en-ID"/>
        </w:rPr>
        <w:t>(1), 81</w:t>
      </w:r>
      <w:r>
        <w:rPr>
          <w:rFonts w:ascii="Calibri Light" w:cs="Calibri Light"/>
          <w:sz w:val="24"/>
          <w:lang w:val="en-ID" w:eastAsia="en-ID"/>
        </w:rPr>
        <w:t>–</w:t>
      </w:r>
      <w:r>
        <w:rPr>
          <w:rFonts w:ascii="Calibri Light" w:cs="Calibri Light"/>
          <w:sz w:val="24"/>
          <w:lang w:val="en-ID" w:eastAsia="en-ID"/>
        </w:rPr>
        <w:t>100. https://doi.org/10.20885/iustum.vol15.iss1.art7</w:t>
      </w:r>
    </w:p>
    <w:p w14:paraId="2C970B1C"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Marzuki, &amp; Sitompul, R. (2020). The Existence of People</w:t>
      </w:r>
      <w:r>
        <w:rPr>
          <w:rFonts w:ascii="Calibri Light" w:cs="Calibri Light"/>
          <w:sz w:val="24"/>
          <w:lang w:val="en-ID" w:eastAsia="en-ID"/>
        </w:rPr>
        <w:t>’</w:t>
      </w:r>
      <w:r>
        <w:rPr>
          <w:rFonts w:ascii="Calibri Light" w:cs="Calibri Light"/>
          <w:sz w:val="24"/>
          <w:lang w:val="en-ID" w:eastAsia="en-ID"/>
        </w:rPr>
        <w:t xml:space="preserve">s Consultative Assembly in Indonesian State System in the Pancasila Democracy Perspective. </w:t>
      </w:r>
      <w:r>
        <w:rPr>
          <w:rFonts w:ascii="Calibri Light" w:cs="Calibri Light"/>
          <w:i/>
          <w:sz w:val="24"/>
          <w:lang w:val="en-ID" w:eastAsia="en-ID"/>
        </w:rPr>
        <w:t>Journal Of Advanced Research In Law And Economics</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(3 (49)), 947</w:t>
      </w:r>
      <w:r>
        <w:rPr>
          <w:rFonts w:ascii="Calibri Light" w:cs="Calibri Light"/>
          <w:sz w:val="24"/>
          <w:lang w:val="en-ID" w:eastAsia="en-ID"/>
        </w:rPr>
        <w:t>–</w:t>
      </w:r>
      <w:r>
        <w:rPr>
          <w:rFonts w:ascii="Calibri Light" w:cs="Calibri Light"/>
          <w:sz w:val="24"/>
          <w:lang w:val="en-ID" w:eastAsia="en-ID"/>
        </w:rPr>
        <w:t>950. https://doi.org/10.14505/jarle.v11.3(45).30</w:t>
      </w:r>
    </w:p>
    <w:p w14:paraId="3991ED5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Mochtar, Z. A. (2009). Jalan Berliku Amandemen Komprehensif dari Pakar, Politisi, Hingga Selebriti. </w:t>
      </w:r>
      <w:r>
        <w:rPr>
          <w:rFonts w:ascii="Calibri Light" w:cs="Calibri Light"/>
          <w:i/>
          <w:sz w:val="24"/>
          <w:lang w:val="en-ID" w:eastAsia="en-ID"/>
        </w:rPr>
        <w:t>Kelompok DPD Di MPR RI</w:t>
      </w:r>
      <w:r>
        <w:rPr>
          <w:rFonts w:ascii="Calibri Light" w:cs="Calibri Light"/>
          <w:sz w:val="24"/>
          <w:lang w:val="en-ID" w:eastAsia="en-ID"/>
        </w:rPr>
        <w:t xml:space="preserve">, </w:t>
      </w:r>
      <w:r>
        <w:rPr>
          <w:rFonts w:ascii="Calibri Light" w:cs="Calibri Light"/>
          <w:i/>
          <w:sz w:val="24"/>
          <w:lang w:val="en-ID" w:eastAsia="en-ID"/>
        </w:rPr>
        <w:t>7</w:t>
      </w:r>
      <w:r>
        <w:rPr>
          <w:rFonts w:ascii="Calibri Light" w:cs="Calibri Light"/>
          <w:sz w:val="24"/>
          <w:lang w:val="en-ID" w:eastAsia="en-ID"/>
        </w:rPr>
        <w:t>. https://doi.org/10.4324/9781315193496-12</w:t>
      </w:r>
    </w:p>
    <w:p w14:paraId="2E4AF6FA"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Mukhlis, M. M., Maskun, M., Tajuddin, M. S., &amp; Paidi, Z. (2024). Regional Government According to the 1945 Constitution: Ideas Refinements and Law Reform. </w:t>
      </w:r>
      <w:r>
        <w:rPr>
          <w:rFonts w:ascii="Calibri Light" w:cs="Calibri Light"/>
          <w:i/>
          <w:sz w:val="24"/>
          <w:lang w:val="en-ID" w:eastAsia="en-ID"/>
        </w:rPr>
        <w:t>Journal of Law and Legal Reform</w:t>
      </w:r>
      <w:r>
        <w:rPr>
          <w:rFonts w:ascii="Calibri Light" w:cs="Calibri Light"/>
          <w:sz w:val="24"/>
          <w:lang w:val="en-ID" w:eastAsia="en-ID"/>
        </w:rPr>
        <w:t xml:space="preserve">, </w:t>
      </w:r>
      <w:r>
        <w:rPr>
          <w:rFonts w:ascii="Calibri Light" w:cs="Calibri Light"/>
          <w:i/>
          <w:sz w:val="24"/>
          <w:lang w:val="en-ID" w:eastAsia="en-ID"/>
        </w:rPr>
        <w:t>5</w:t>
      </w:r>
      <w:r>
        <w:rPr>
          <w:rFonts w:ascii="Calibri Light" w:cs="Calibri Light"/>
          <w:sz w:val="24"/>
          <w:lang w:val="en-ID" w:eastAsia="en-ID"/>
        </w:rPr>
        <w:t>(2). https://doi.org/10.15294/jllr.vol5i1.3125</w:t>
      </w:r>
    </w:p>
    <w:p w14:paraId="0CF19C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(2023). </w:t>
      </w:r>
      <w:r>
        <w:rPr>
          <w:rFonts w:ascii="Calibri Light" w:cs="Calibri Light"/>
          <w:i/>
          <w:sz w:val="24"/>
          <w:lang w:val="en-ID" w:eastAsia="en-ID"/>
        </w:rPr>
        <w:t>Negara Hukum Kedaulatan dan Demokrasi (Konsepsi Teori dan Perkembangannya)</w:t>
      </w:r>
      <w:r>
        <w:rPr>
          <w:rFonts w:ascii="Calibri Light" w:cs="Calibri Light"/>
          <w:sz w:val="24"/>
          <w:lang w:val="en-ID" w:eastAsia="en-ID"/>
        </w:rPr>
        <w:t>. Surabaya: Pustaka Aksara.</w:t>
      </w:r>
    </w:p>
    <w:p w14:paraId="2C0EBA5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(2024). Penegakan Hukum Deforestasi: Upaya Perbaikan dan Penanganannya di Indonesia. </w:t>
      </w:r>
      <w:r>
        <w:rPr>
          <w:rFonts w:ascii="Calibri Light" w:cs="Calibri Light"/>
          <w:i/>
          <w:sz w:val="24"/>
          <w:lang w:val="en-ID" w:eastAsia="en-ID"/>
        </w:rPr>
        <w:t>Repository STAIN Majene</w:t>
      </w:r>
      <w:r>
        <w:rPr>
          <w:rFonts w:ascii="Calibri Light" w:cs="Calibri Light"/>
          <w:sz w:val="24"/>
          <w:lang w:val="en-ID" w:eastAsia="en-ID"/>
        </w:rPr>
        <w:t>.</w:t>
      </w:r>
    </w:p>
    <w:p w14:paraId="4C105B0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Wahab, H. A., &amp; Ayub, Z. A. (2023). Constitutional Complaint: A Comparative Study of The Authority of The Constitutional Courts of The Republic of </w:t>
      </w:r>
      <w:r>
        <w:rPr>
          <w:rFonts w:ascii="Calibri Light" w:cs="Calibri Light"/>
          <w:sz w:val="24"/>
          <w:lang w:val="en-ID" w:eastAsia="en-ID"/>
        </w:rPr>
        <w:lastRenderedPageBreak/>
        <w:t xml:space="preserve">Indonesia and Croatia. </w:t>
      </w:r>
      <w:r>
        <w:rPr>
          <w:rFonts w:ascii="Calibri Light" w:cs="Calibri Light"/>
          <w:i/>
          <w:sz w:val="24"/>
          <w:lang w:val="en-ID" w:eastAsia="en-ID"/>
        </w:rPr>
        <w:t>Russian Law Journal</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(3S), 132</w:t>
      </w:r>
      <w:r>
        <w:rPr>
          <w:rFonts w:ascii="Calibri Light" w:cs="Calibri Light"/>
          <w:sz w:val="24"/>
          <w:lang w:val="en-ID" w:eastAsia="en-ID"/>
        </w:rPr>
        <w:t>–</w:t>
      </w:r>
      <w:r>
        <w:rPr>
          <w:rFonts w:ascii="Calibri Light" w:cs="Calibri Light"/>
          <w:sz w:val="24"/>
          <w:lang w:val="en-ID" w:eastAsia="en-ID"/>
        </w:rPr>
        <w:t>142.</w:t>
      </w:r>
    </w:p>
    <w:p w14:paraId="2A80DBD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Yeyeng, A. T., Balebo, P. M., &amp; Lulo, L. de D. M. (2023). Cancellation of Regional Regulations in Indonesian: An Overview of the Conception of Constitutional Democracy. </w:t>
      </w:r>
      <w:r>
        <w:rPr>
          <w:rFonts w:ascii="Calibri Light" w:cs="Calibri Light"/>
          <w:i/>
          <w:sz w:val="24"/>
          <w:lang w:val="en-ID" w:eastAsia="en-ID"/>
        </w:rPr>
        <w:t>Jurnal Politik Profetik</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(2), 146</w:t>
      </w:r>
      <w:r>
        <w:rPr>
          <w:rFonts w:ascii="Calibri Light" w:cs="Calibri Light"/>
          <w:sz w:val="24"/>
          <w:lang w:val="en-ID" w:eastAsia="en-ID"/>
        </w:rPr>
        <w:t>–</w:t>
      </w:r>
      <w:r>
        <w:rPr>
          <w:rFonts w:ascii="Calibri Light" w:cs="Calibri Light"/>
          <w:sz w:val="24"/>
          <w:lang w:val="en-ID" w:eastAsia="en-ID"/>
        </w:rPr>
        <w:t>168. https://journal.uin-alauddin.ac.id/index.php/jpp/article/view/38656</w:t>
      </w:r>
    </w:p>
    <w:p w14:paraId="2C7E4E6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Nurbaningsih, E. (2015). Implikasi Putusan Mahkamah Konstitusi Nomor 92/PUU-X/2012 dan Alternatif Model Hubungan Kelembagaan Terkait Pembentukan Undang-Undang. </w:t>
      </w:r>
      <w:r>
        <w:rPr>
          <w:rFonts w:ascii="Calibri Light" w:cs="Calibri Light"/>
          <w:i/>
          <w:sz w:val="24"/>
          <w:lang w:val="en-ID" w:eastAsia="en-ID"/>
        </w:rPr>
        <w:t>Mimbar Hukum-Fakultas Hukum Universitas Gadjah Mada</w:t>
      </w:r>
      <w:r>
        <w:rPr>
          <w:rFonts w:ascii="Calibri Light" w:cs="Calibri Light"/>
          <w:sz w:val="24"/>
          <w:lang w:val="en-ID" w:eastAsia="en-ID"/>
        </w:rPr>
        <w:t xml:space="preserve">, </w:t>
      </w:r>
      <w:r>
        <w:rPr>
          <w:rFonts w:ascii="Calibri Light" w:cs="Calibri Light"/>
          <w:i/>
          <w:sz w:val="24"/>
          <w:lang w:val="en-ID" w:eastAsia="en-ID"/>
        </w:rPr>
        <w:t>27</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13.</w:t>
      </w:r>
    </w:p>
    <w:p w14:paraId="0491841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Patyra, S. (2022). Participation of the Polish Senate in the Legislative Process: Towards Equal Bicameralism? </w:t>
      </w:r>
      <w:r>
        <w:rPr>
          <w:rFonts w:ascii="Calibri Light" w:cs="Calibri Light"/>
          <w:i/>
          <w:sz w:val="24"/>
          <w:lang w:val="en-ID" w:eastAsia="en-ID"/>
        </w:rPr>
        <w:t>Studia Iuridica Lublinensia</w:t>
      </w:r>
      <w:r>
        <w:rPr>
          <w:rFonts w:ascii="Calibri Light" w:cs="Calibri Light"/>
          <w:sz w:val="24"/>
          <w:lang w:val="en-ID" w:eastAsia="en-ID"/>
        </w:rPr>
        <w:t xml:space="preserve">, </w:t>
      </w:r>
      <w:r>
        <w:rPr>
          <w:rFonts w:ascii="Calibri Light" w:cs="Calibri Light"/>
          <w:i/>
          <w:sz w:val="24"/>
          <w:lang w:val="en-ID" w:eastAsia="en-ID"/>
        </w:rPr>
        <w:t>31</w:t>
      </w:r>
      <w:r>
        <w:rPr>
          <w:rFonts w:ascii="Calibri Light" w:cs="Calibri Light"/>
          <w:sz w:val="24"/>
          <w:lang w:val="en-ID" w:eastAsia="en-ID"/>
        </w:rPr>
        <w:t>(5), 187</w:t>
      </w:r>
      <w:r>
        <w:rPr>
          <w:rFonts w:ascii="Calibri Light" w:cs="Calibri Light"/>
          <w:sz w:val="24"/>
          <w:lang w:val="en-ID" w:eastAsia="en-ID"/>
        </w:rPr>
        <w:t>–</w:t>
      </w:r>
      <w:r>
        <w:rPr>
          <w:rFonts w:ascii="Calibri Light" w:cs="Calibri Light"/>
          <w:sz w:val="24"/>
          <w:lang w:val="en-ID" w:eastAsia="en-ID"/>
        </w:rPr>
        <w:t>199.</w:t>
      </w:r>
    </w:p>
    <w:p w14:paraId="5D85C15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Perbawa, I. K. S. L. P., Kusumaningtyas, R. O., &amp; Jailani, A. K. (2022). The Reform of the Parliamentary Threshold System Based on Human Rights: Evidence from the United States. </w:t>
      </w:r>
      <w:r>
        <w:rPr>
          <w:rFonts w:ascii="Calibri Light" w:cs="Calibri Light"/>
          <w:i/>
          <w:sz w:val="24"/>
          <w:lang w:val="en-ID" w:eastAsia="en-ID"/>
        </w:rPr>
        <w:t>Wacana Hukum</w:t>
      </w:r>
      <w:r>
        <w:rPr>
          <w:rFonts w:ascii="Calibri Light" w:cs="Calibri Light"/>
          <w:sz w:val="24"/>
          <w:lang w:val="en-ID" w:eastAsia="en-ID"/>
        </w:rPr>
        <w:t xml:space="preserve">, </w:t>
      </w:r>
      <w:r>
        <w:rPr>
          <w:rFonts w:ascii="Calibri Light" w:cs="Calibri Light"/>
          <w:i/>
          <w:sz w:val="24"/>
          <w:lang w:val="en-ID" w:eastAsia="en-ID"/>
        </w:rPr>
        <w:t>28</w:t>
      </w:r>
      <w:r>
        <w:rPr>
          <w:rFonts w:ascii="Calibri Light" w:cs="Calibri Light"/>
          <w:sz w:val="24"/>
          <w:lang w:val="en-ID" w:eastAsia="en-ID"/>
        </w:rPr>
        <w:t>(2), 38</w:t>
      </w:r>
      <w:r>
        <w:rPr>
          <w:rFonts w:ascii="Calibri Light" w:cs="Calibri Light"/>
          <w:sz w:val="24"/>
          <w:lang w:val="en-ID" w:eastAsia="en-ID"/>
        </w:rPr>
        <w:t>–</w:t>
      </w:r>
      <w:r>
        <w:rPr>
          <w:rFonts w:ascii="Calibri Light" w:cs="Calibri Light"/>
          <w:sz w:val="24"/>
          <w:lang w:val="en-ID" w:eastAsia="en-ID"/>
        </w:rPr>
        <w:t>53.</w:t>
      </w:r>
    </w:p>
    <w:p w14:paraId="6F5830E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Ramadani, R., &amp; Mamonto, M. A. W. W. (2018). Independency of the Corruption Eradication Commission of the Republic of Indonesia (KPK RI) in Indicators of Independent Regulatory Agencies (IRAs). </w:t>
      </w:r>
      <w:r>
        <w:rPr>
          <w:rFonts w:ascii="Calibri Light" w:cs="Calibri Light"/>
          <w:i/>
          <w:sz w:val="24"/>
          <w:lang w:val="en-ID" w:eastAsia="en-ID"/>
        </w:rPr>
        <w:t>Substantive Justice International Journal of Law</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82</w:t>
      </w:r>
      <w:r>
        <w:rPr>
          <w:rFonts w:ascii="Calibri Light" w:cs="Calibri Light"/>
          <w:sz w:val="24"/>
          <w:lang w:val="en-ID" w:eastAsia="en-ID"/>
        </w:rPr>
        <w:t>–</w:t>
      </w:r>
      <w:r>
        <w:rPr>
          <w:rFonts w:ascii="Calibri Light" w:cs="Calibri Light"/>
          <w:sz w:val="24"/>
          <w:lang w:val="en-ID" w:eastAsia="en-ID"/>
        </w:rPr>
        <w:t>94. https://doi.org/10.33096/substantivejustice.v1i2.18</w:t>
      </w:r>
    </w:p>
    <w:p w14:paraId="2557F9A3"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Rohmah, E. I. (2018). Fungsi Legislasi DPR dan DPD Perspektif Maslahah Mursalah (Implikasi Putusan Mahkamah Konstitusi Nomor 92/Puu-X/2012). </w:t>
      </w:r>
      <w:r>
        <w:rPr>
          <w:rFonts w:ascii="Calibri Light" w:cs="Calibri Light"/>
          <w:i/>
          <w:sz w:val="24"/>
          <w:lang w:val="en-ID" w:eastAsia="en-ID"/>
        </w:rPr>
        <w:t>Ummul Qura Jurnal Institut Pesantren Sunan Drajat (INSUD) Lamongan</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(1), 16</w:t>
      </w:r>
      <w:r>
        <w:rPr>
          <w:rFonts w:ascii="Calibri Light" w:cs="Calibri Light"/>
          <w:sz w:val="24"/>
          <w:lang w:val="en-ID" w:eastAsia="en-ID"/>
        </w:rPr>
        <w:t>–</w:t>
      </w:r>
      <w:r>
        <w:rPr>
          <w:rFonts w:ascii="Calibri Light" w:cs="Calibri Light"/>
          <w:sz w:val="24"/>
          <w:lang w:val="en-ID" w:eastAsia="en-ID"/>
        </w:rPr>
        <w:t>33.</w:t>
      </w:r>
    </w:p>
    <w:p w14:paraId="3B10AA3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Rohmah, E. I., Huroirah, E., &amp; Prasetya, J. A. P. (2024). Parliamentary Systems in Continental European Countries and its Relationship to the Effectiveness of Legislative Institutions. </w:t>
      </w:r>
      <w:r>
        <w:rPr>
          <w:rFonts w:ascii="Calibri Light" w:cs="Calibri Light"/>
          <w:i/>
          <w:sz w:val="24"/>
          <w:lang w:val="en-ID" w:eastAsia="en-ID"/>
        </w:rPr>
        <w:t>Al-Adalah: Jurnal Hukum Dan Politik Islam</w:t>
      </w:r>
      <w:r>
        <w:rPr>
          <w:rFonts w:ascii="Calibri Light" w:cs="Calibri Light"/>
          <w:sz w:val="24"/>
          <w:lang w:val="en-ID" w:eastAsia="en-ID"/>
        </w:rPr>
        <w:t xml:space="preserve">, </w:t>
      </w:r>
      <w:r>
        <w:rPr>
          <w:rFonts w:ascii="Calibri Light" w:cs="Calibri Light"/>
          <w:i/>
          <w:sz w:val="24"/>
          <w:lang w:val="en-ID" w:eastAsia="en-ID"/>
        </w:rPr>
        <w:t>9</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23.</w:t>
      </w:r>
    </w:p>
    <w:p w14:paraId="095F158A"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Rubinelli, L. (2019). Siey</w:t>
      </w:r>
      <w:r>
        <w:rPr>
          <w:rFonts w:ascii="Calibri Light" w:cs="Calibri Light"/>
          <w:sz w:val="24"/>
          <w:lang w:val="en-ID" w:eastAsia="en-ID"/>
        </w:rPr>
        <w:t>è</w:t>
      </w:r>
      <w:r>
        <w:rPr>
          <w:rFonts w:ascii="Calibri Light" w:cs="Calibri Light"/>
          <w:sz w:val="24"/>
          <w:lang w:val="en-ID" w:eastAsia="en-ID"/>
        </w:rPr>
        <w:t xml:space="preserve">s Versus Bicameralism. </w:t>
      </w:r>
      <w:r>
        <w:rPr>
          <w:rFonts w:ascii="Calibri Light" w:cs="Calibri Light"/>
          <w:i/>
          <w:sz w:val="24"/>
          <w:lang w:val="en-ID" w:eastAsia="en-ID"/>
        </w:rPr>
        <w:t>The Review of Politics</w:t>
      </w:r>
      <w:r>
        <w:rPr>
          <w:rFonts w:ascii="Calibri Light" w:cs="Calibri Light"/>
          <w:sz w:val="24"/>
          <w:lang w:val="en-ID" w:eastAsia="en-ID"/>
        </w:rPr>
        <w:t xml:space="preserve">, </w:t>
      </w:r>
      <w:r>
        <w:rPr>
          <w:rFonts w:ascii="Calibri Light" w:cs="Calibri Light"/>
          <w:i/>
          <w:sz w:val="24"/>
          <w:lang w:val="en-ID" w:eastAsia="en-ID"/>
        </w:rPr>
        <w:t>81</w:t>
      </w:r>
      <w:r>
        <w:rPr>
          <w:rFonts w:ascii="Calibri Light" w:cs="Calibri Light"/>
          <w:sz w:val="24"/>
          <w:lang w:val="en-ID" w:eastAsia="en-ID"/>
        </w:rPr>
        <w:t>(2), 255</w:t>
      </w:r>
      <w:r>
        <w:rPr>
          <w:rFonts w:ascii="Calibri Light" w:cs="Calibri Light"/>
          <w:sz w:val="24"/>
          <w:lang w:val="en-ID" w:eastAsia="en-ID"/>
        </w:rPr>
        <w:t>–</w:t>
      </w:r>
      <w:r>
        <w:rPr>
          <w:rFonts w:ascii="Calibri Light" w:cs="Calibri Light"/>
          <w:sz w:val="24"/>
          <w:lang w:val="en-ID" w:eastAsia="en-ID"/>
        </w:rPr>
        <w:t>279. https://doi.org/10.1017/S0034670518001201</w:t>
      </w:r>
    </w:p>
    <w:p w14:paraId="1FCA17E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Rullyandi, M., Astawa, I. G. P., Sugiharti, D. K., &amp; Muttaqin, Z. (2022). Law-Making Power In Indonesia: Beyond General Practices or Uniqueness of Constitutional System? </w:t>
      </w:r>
      <w:r>
        <w:rPr>
          <w:rFonts w:ascii="Calibri Light" w:cs="Calibri Light"/>
          <w:i/>
          <w:sz w:val="24"/>
          <w:lang w:val="en-ID" w:eastAsia="en-ID"/>
        </w:rPr>
        <w:t>Journal of Positive School Psychology</w:t>
      </w:r>
      <w:r>
        <w:rPr>
          <w:rFonts w:ascii="Calibri Light" w:cs="Calibri Light"/>
          <w:sz w:val="24"/>
          <w:lang w:val="en-ID" w:eastAsia="en-ID"/>
        </w:rPr>
        <w:t xml:space="preserve">, </w:t>
      </w:r>
      <w:r>
        <w:rPr>
          <w:rFonts w:ascii="Calibri Light" w:cs="Calibri Light"/>
          <w:i/>
          <w:sz w:val="24"/>
          <w:lang w:val="en-ID" w:eastAsia="en-ID"/>
        </w:rPr>
        <w:t>6</w:t>
      </w:r>
      <w:r>
        <w:rPr>
          <w:rFonts w:ascii="Calibri Light" w:cs="Calibri Light"/>
          <w:sz w:val="24"/>
          <w:lang w:val="en-ID" w:eastAsia="en-ID"/>
        </w:rPr>
        <w:t>(9), 191</w:t>
      </w:r>
      <w:r>
        <w:rPr>
          <w:rFonts w:ascii="Calibri Light" w:cs="Calibri Light"/>
          <w:sz w:val="24"/>
          <w:lang w:val="en-ID" w:eastAsia="en-ID"/>
        </w:rPr>
        <w:t>–</w:t>
      </w:r>
      <w:r>
        <w:rPr>
          <w:rFonts w:ascii="Calibri Light" w:cs="Calibri Light"/>
          <w:sz w:val="24"/>
          <w:lang w:val="en-ID" w:eastAsia="en-ID"/>
        </w:rPr>
        <w:t>199.</w:t>
      </w:r>
    </w:p>
    <w:p w14:paraId="2703479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Ryan, J. M. (2020). Bicameralism and Minority</w:t>
      </w:r>
      <w:r>
        <w:rPr>
          <w:rFonts w:ascii="Calibri Light" w:cs="Calibri Light"/>
          <w:sz w:val="24"/>
          <w:lang w:val="en-ID" w:eastAsia="en-ID"/>
        </w:rPr>
        <w:t>‐</w:t>
      </w:r>
      <w:r>
        <w:rPr>
          <w:rFonts w:ascii="Calibri Light" w:cs="Calibri Light"/>
          <w:sz w:val="24"/>
          <w:lang w:val="en-ID" w:eastAsia="en-ID"/>
        </w:rPr>
        <w:t xml:space="preserve">Party Influence on Legislative Development: Evidence from House Standing Committee Votes. </w:t>
      </w:r>
      <w:r>
        <w:rPr>
          <w:rFonts w:ascii="Calibri Light" w:cs="Calibri Light"/>
          <w:i/>
          <w:sz w:val="24"/>
          <w:lang w:val="en-ID" w:eastAsia="en-ID"/>
        </w:rPr>
        <w:t>Legislative Studies Quarterly</w:t>
      </w:r>
      <w:r>
        <w:rPr>
          <w:rFonts w:ascii="Calibri Light" w:cs="Calibri Light"/>
          <w:sz w:val="24"/>
          <w:lang w:val="en-ID" w:eastAsia="en-ID"/>
        </w:rPr>
        <w:t xml:space="preserve">, </w:t>
      </w:r>
      <w:r>
        <w:rPr>
          <w:rFonts w:ascii="Calibri Light" w:cs="Calibri Light"/>
          <w:i/>
          <w:sz w:val="24"/>
          <w:lang w:val="en-ID" w:eastAsia="en-ID"/>
        </w:rPr>
        <w:t>45</w:t>
      </w:r>
      <w:r>
        <w:rPr>
          <w:rFonts w:ascii="Calibri Light" w:cs="Calibri Light"/>
          <w:sz w:val="24"/>
          <w:lang w:val="en-ID" w:eastAsia="en-ID"/>
        </w:rPr>
        <w:t>(3), 365</w:t>
      </w:r>
      <w:r>
        <w:rPr>
          <w:rFonts w:ascii="Calibri Light" w:cs="Calibri Light"/>
          <w:sz w:val="24"/>
          <w:lang w:val="en-ID" w:eastAsia="en-ID"/>
        </w:rPr>
        <w:t>–</w:t>
      </w:r>
      <w:r>
        <w:rPr>
          <w:rFonts w:ascii="Calibri Light" w:cs="Calibri Light"/>
          <w:sz w:val="24"/>
          <w:lang w:val="en-ID" w:eastAsia="en-ID"/>
        </w:rPr>
        <w:t>396. https://doi.org/10.1111/lsq.12267</w:t>
      </w:r>
    </w:p>
    <w:p w14:paraId="43DF3E4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Satrio, A. (2023). Restoring Indonesia</w:t>
      </w:r>
      <w:r>
        <w:rPr>
          <w:rFonts w:ascii="Calibri Light" w:cs="Calibri Light"/>
          <w:sz w:val="24"/>
          <w:lang w:val="en-ID" w:eastAsia="en-ID"/>
        </w:rPr>
        <w:t>’</w:t>
      </w:r>
      <w:r>
        <w:rPr>
          <w:rFonts w:ascii="Calibri Light" w:cs="Calibri Light"/>
          <w:sz w:val="24"/>
          <w:lang w:val="en-ID" w:eastAsia="en-ID"/>
        </w:rPr>
        <w:t>s (Un) Constitutional Constitution: Soepomo</w:t>
      </w:r>
      <w:r>
        <w:rPr>
          <w:rFonts w:ascii="Calibri Light" w:cs="Calibri Light"/>
          <w:sz w:val="24"/>
          <w:lang w:val="en-ID" w:eastAsia="en-ID"/>
        </w:rPr>
        <w:t>’</w:t>
      </w:r>
      <w:r>
        <w:rPr>
          <w:rFonts w:ascii="Calibri Light" w:cs="Calibri Light"/>
          <w:sz w:val="24"/>
          <w:lang w:val="en-ID" w:eastAsia="en-ID"/>
        </w:rPr>
        <w:t xml:space="preserve">s Authoritarian Constitution. </w:t>
      </w:r>
      <w:r>
        <w:rPr>
          <w:rFonts w:ascii="Calibri Light" w:cs="Calibri Light"/>
          <w:i/>
          <w:sz w:val="24"/>
          <w:lang w:val="en-ID" w:eastAsia="en-ID"/>
        </w:rPr>
        <w:t>German Law Journal</w:t>
      </w:r>
      <w:r>
        <w:rPr>
          <w:rFonts w:ascii="Calibri Light" w:cs="Calibri Light"/>
          <w:sz w:val="24"/>
          <w:lang w:val="en-ID" w:eastAsia="en-ID"/>
        </w:rPr>
        <w:t xml:space="preserve">, </w:t>
      </w:r>
      <w:r>
        <w:rPr>
          <w:rFonts w:ascii="Calibri Light" w:cs="Calibri Light"/>
          <w:i/>
          <w:sz w:val="24"/>
          <w:lang w:val="en-ID" w:eastAsia="en-ID"/>
        </w:rPr>
        <w:t>24</w:t>
      </w:r>
      <w:r>
        <w:rPr>
          <w:rFonts w:ascii="Calibri Light" w:cs="Calibri Light"/>
          <w:sz w:val="24"/>
          <w:lang w:val="en-ID" w:eastAsia="en-ID"/>
        </w:rPr>
        <w:t>(2), 402</w:t>
      </w:r>
      <w:r>
        <w:rPr>
          <w:rFonts w:ascii="Calibri Light" w:cs="Calibri Light"/>
          <w:sz w:val="24"/>
          <w:lang w:val="en-ID" w:eastAsia="en-ID"/>
        </w:rPr>
        <w:t>–</w:t>
      </w:r>
      <w:r>
        <w:rPr>
          <w:rFonts w:ascii="Calibri Light" w:cs="Calibri Light"/>
          <w:sz w:val="24"/>
          <w:lang w:val="en-ID" w:eastAsia="en-ID"/>
        </w:rPr>
        <w:t>416.</w:t>
      </w:r>
    </w:p>
    <w:p w14:paraId="6666223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Sherlock, S. (2005). Indonesia</w:t>
      </w:r>
      <w:r>
        <w:rPr>
          <w:rFonts w:ascii="Calibri Light" w:cs="Calibri Light"/>
          <w:sz w:val="24"/>
          <w:lang w:val="en-ID" w:eastAsia="en-ID"/>
        </w:rPr>
        <w:t>’</w:t>
      </w:r>
      <w:r>
        <w:rPr>
          <w:rFonts w:ascii="Calibri Light" w:cs="Calibri Light"/>
          <w:sz w:val="24"/>
          <w:lang w:val="en-ID" w:eastAsia="en-ID"/>
        </w:rPr>
        <w:t xml:space="preserve">s Regional Assembly: Democracy, Representation and the Regions a Report on the Dewan Perwakilan Daerah (DPD). </w:t>
      </w:r>
      <w:r>
        <w:rPr>
          <w:rFonts w:ascii="Calibri Light" w:cs="Calibri Light"/>
          <w:i/>
          <w:sz w:val="24"/>
          <w:lang w:val="en-ID" w:eastAsia="en-ID"/>
        </w:rPr>
        <w:t>Centre for Democratic Institutions</w:t>
      </w:r>
      <w:r>
        <w:rPr>
          <w:rFonts w:ascii="Calibri Light" w:cs="Calibri Light"/>
          <w:sz w:val="24"/>
          <w:lang w:val="en-ID" w:eastAsia="en-ID"/>
        </w:rPr>
        <w:t>, 1</w:t>
      </w:r>
      <w:r>
        <w:rPr>
          <w:rFonts w:ascii="Calibri Light" w:cs="Calibri Light"/>
          <w:sz w:val="24"/>
          <w:lang w:val="en-ID" w:eastAsia="en-ID"/>
        </w:rPr>
        <w:t>–</w:t>
      </w:r>
      <w:r>
        <w:rPr>
          <w:rFonts w:ascii="Calibri Light" w:cs="Calibri Light"/>
          <w:sz w:val="24"/>
          <w:lang w:val="en-ID" w:eastAsia="en-ID"/>
        </w:rPr>
        <w:t>45.</w:t>
      </w:r>
    </w:p>
    <w:p w14:paraId="773C20D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Sori, A. (2019). Bicameral System in The Practice of Organizing The Indonesian Parliament (A Study of The Transformation of The Regional Representative Council Into The Second Chamber in The Parliamentary System in Indonesia). </w:t>
      </w:r>
      <w:r>
        <w:rPr>
          <w:rFonts w:ascii="Calibri Light" w:cs="Calibri Light"/>
          <w:i/>
          <w:sz w:val="24"/>
          <w:lang w:val="en-ID" w:eastAsia="en-ID"/>
        </w:rPr>
        <w:t>Awang Long Law Review</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69</w:t>
      </w:r>
      <w:r>
        <w:rPr>
          <w:rFonts w:ascii="Calibri Light" w:cs="Calibri Light"/>
          <w:sz w:val="24"/>
          <w:lang w:val="en-ID" w:eastAsia="en-ID"/>
        </w:rPr>
        <w:t>–</w:t>
      </w:r>
      <w:r>
        <w:rPr>
          <w:rFonts w:ascii="Calibri Light" w:cs="Calibri Light"/>
          <w:sz w:val="24"/>
          <w:lang w:val="en-ID" w:eastAsia="en-ID"/>
        </w:rPr>
        <w:t>84.</w:t>
      </w:r>
    </w:p>
    <w:p w14:paraId="58C528D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Suryawan, I. G. B. (2018). Articulation of Regional Community Interest Through DPD RI. </w:t>
      </w:r>
      <w:r>
        <w:rPr>
          <w:rFonts w:ascii="Calibri Light" w:cs="Calibri Light"/>
          <w:i/>
          <w:sz w:val="24"/>
          <w:lang w:val="en-ID" w:eastAsia="en-ID"/>
        </w:rPr>
        <w:t>Sociological Jurisprudence Journal</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95</w:t>
      </w:r>
      <w:r>
        <w:rPr>
          <w:rFonts w:ascii="Calibri Light" w:cs="Calibri Light"/>
          <w:sz w:val="24"/>
          <w:lang w:val="en-ID" w:eastAsia="en-ID"/>
        </w:rPr>
        <w:t>–</w:t>
      </w:r>
      <w:r>
        <w:rPr>
          <w:rFonts w:ascii="Calibri Light" w:cs="Calibri Light"/>
          <w:sz w:val="24"/>
          <w:lang w:val="en-ID" w:eastAsia="en-ID"/>
        </w:rPr>
        <w:t>102.</w:t>
      </w:r>
    </w:p>
    <w:p w14:paraId="1EBD357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Susilowati, E. (2017). Kelumpuhan Dewan Perwakilan Daerah dalam Proses Legislasi di Indonesia. </w:t>
      </w:r>
      <w:r>
        <w:rPr>
          <w:rFonts w:ascii="Calibri Light" w:cs="Calibri Light"/>
          <w:i/>
          <w:sz w:val="24"/>
          <w:lang w:val="en-ID" w:eastAsia="en-ID"/>
        </w:rPr>
        <w:t>MORALITY: Jurnal Ilmu Hukum</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(2), 193</w:t>
      </w:r>
      <w:r>
        <w:rPr>
          <w:rFonts w:ascii="Calibri Light" w:cs="Calibri Light"/>
          <w:sz w:val="24"/>
          <w:lang w:val="en-ID" w:eastAsia="en-ID"/>
        </w:rPr>
        <w:t>–</w:t>
      </w:r>
      <w:r>
        <w:rPr>
          <w:rFonts w:ascii="Calibri Light" w:cs="Calibri Light"/>
          <w:sz w:val="24"/>
          <w:lang w:val="en-ID" w:eastAsia="en-ID"/>
        </w:rPr>
        <w:t>206.</w:t>
      </w:r>
    </w:p>
    <w:p w14:paraId="5BBA1E1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Theodoro Luciano, B. (2020). A Clash between Creature and Creator? Contemporary </w:t>
      </w:r>
      <w:r>
        <w:rPr>
          <w:rFonts w:ascii="Calibri Light" w:cs="Calibri Light"/>
          <w:sz w:val="24"/>
          <w:lang w:val="en-ID" w:eastAsia="en-ID"/>
        </w:rPr>
        <w:lastRenderedPageBreak/>
        <w:t>Relations between the Pan</w:t>
      </w:r>
      <w:r>
        <w:rPr>
          <w:rFonts w:ascii="Calibri Light" w:cs="Calibri Light"/>
          <w:sz w:val="24"/>
          <w:lang w:val="en-ID" w:eastAsia="en-ID"/>
        </w:rPr>
        <w:t>‐</w:t>
      </w:r>
      <w:r>
        <w:rPr>
          <w:rFonts w:ascii="Calibri Light" w:cs="Calibri Light"/>
          <w:sz w:val="24"/>
          <w:lang w:val="en-ID" w:eastAsia="en-ID"/>
        </w:rPr>
        <w:t xml:space="preserve">African Parliament and the European Parliament. </w:t>
      </w:r>
      <w:r>
        <w:rPr>
          <w:rFonts w:ascii="Calibri Light" w:cs="Calibri Light"/>
          <w:i/>
          <w:sz w:val="24"/>
          <w:lang w:val="en-ID" w:eastAsia="en-ID"/>
        </w:rPr>
        <w:t>JCMS: Journal of Common Market Studies</w:t>
      </w:r>
      <w:r>
        <w:rPr>
          <w:rFonts w:ascii="Calibri Light" w:cs="Calibri Light"/>
          <w:sz w:val="24"/>
          <w:lang w:val="en-ID" w:eastAsia="en-ID"/>
        </w:rPr>
        <w:t xml:space="preserve">, </w:t>
      </w:r>
      <w:r>
        <w:rPr>
          <w:rFonts w:ascii="Calibri Light" w:cs="Calibri Light"/>
          <w:i/>
          <w:sz w:val="24"/>
          <w:lang w:val="en-ID" w:eastAsia="en-ID"/>
        </w:rPr>
        <w:t>58</w:t>
      </w:r>
      <w:r>
        <w:rPr>
          <w:rFonts w:ascii="Calibri Light" w:cs="Calibri Light"/>
          <w:sz w:val="24"/>
          <w:lang w:val="en-ID" w:eastAsia="en-ID"/>
        </w:rPr>
        <w:t>(5), 1182</w:t>
      </w:r>
      <w:r>
        <w:rPr>
          <w:rFonts w:ascii="Calibri Light" w:cs="Calibri Light"/>
          <w:sz w:val="24"/>
          <w:lang w:val="en-ID" w:eastAsia="en-ID"/>
        </w:rPr>
        <w:t>–</w:t>
      </w:r>
      <w:r>
        <w:rPr>
          <w:rFonts w:ascii="Calibri Light" w:cs="Calibri Light"/>
          <w:sz w:val="24"/>
          <w:lang w:val="en-ID" w:eastAsia="en-ID"/>
        </w:rPr>
        <w:t>1198. https://doi.org/10.1111/jcms.13026</w:t>
      </w:r>
    </w:p>
    <w:p w14:paraId="0E21CAE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Tinambunan, H. S. R., &amp; Prasetio, D. E. (2019). Rekonstruksi Konstitusi dalam Regional Representative Dewan Perwakilan Daerah terhadap Fungsi Legislatif. </w:t>
      </w:r>
      <w:r>
        <w:rPr>
          <w:rFonts w:ascii="Calibri Light" w:cs="Calibri Light"/>
          <w:i/>
          <w:sz w:val="24"/>
          <w:lang w:val="en-ID" w:eastAsia="en-ID"/>
        </w:rPr>
        <w:t>Masalah-Masalah Hukum</w:t>
      </w:r>
      <w:r>
        <w:rPr>
          <w:rFonts w:ascii="Calibri Light" w:cs="Calibri Light"/>
          <w:sz w:val="24"/>
          <w:lang w:val="en-ID" w:eastAsia="en-ID"/>
        </w:rPr>
        <w:t xml:space="preserve">, </w:t>
      </w:r>
      <w:r>
        <w:rPr>
          <w:rFonts w:ascii="Calibri Light" w:cs="Calibri Light"/>
          <w:i/>
          <w:sz w:val="24"/>
          <w:lang w:val="en-ID" w:eastAsia="en-ID"/>
        </w:rPr>
        <w:t>48</w:t>
      </w:r>
      <w:r>
        <w:rPr>
          <w:rFonts w:ascii="Calibri Light" w:cs="Calibri Light"/>
          <w:sz w:val="24"/>
          <w:lang w:val="en-ID" w:eastAsia="en-ID"/>
        </w:rPr>
        <w:t>(3), 266</w:t>
      </w:r>
      <w:r>
        <w:rPr>
          <w:rFonts w:ascii="Calibri Light" w:cs="Calibri Light"/>
          <w:sz w:val="24"/>
          <w:lang w:val="en-ID" w:eastAsia="en-ID"/>
        </w:rPr>
        <w:t>–</w:t>
      </w:r>
      <w:r>
        <w:rPr>
          <w:rFonts w:ascii="Calibri Light" w:cs="Calibri Light"/>
          <w:sz w:val="24"/>
          <w:lang w:val="en-ID" w:eastAsia="en-ID"/>
        </w:rPr>
        <w:t>274. https://doi.org/10.14710/mmh.48.3.2019.266-274</w:t>
      </w:r>
    </w:p>
    <w:p w14:paraId="4171B24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Toding, A. (2017). DPD dalam Struktur Parlemen Indonesia: Wacana Pemusnahan Versus Penguatan. </w:t>
      </w:r>
      <w:r>
        <w:rPr>
          <w:rFonts w:ascii="Calibri Light" w:cs="Calibri Light"/>
          <w:i/>
          <w:sz w:val="24"/>
          <w:lang w:val="en-ID" w:eastAsia="en-ID"/>
        </w:rPr>
        <w:t>Jurnal Konstitusi</w:t>
      </w:r>
      <w:r>
        <w:rPr>
          <w:rFonts w:ascii="Calibri Light" w:cs="Calibri Light"/>
          <w:sz w:val="24"/>
          <w:lang w:val="en-ID" w:eastAsia="en-ID"/>
        </w:rPr>
        <w:t xml:space="preserve">, </w:t>
      </w:r>
      <w:r>
        <w:rPr>
          <w:rFonts w:ascii="Calibri Light" w:cs="Calibri Light"/>
          <w:i/>
          <w:sz w:val="24"/>
          <w:lang w:val="en-ID" w:eastAsia="en-ID"/>
        </w:rPr>
        <w:t>14</w:t>
      </w:r>
      <w:r>
        <w:rPr>
          <w:rFonts w:ascii="Calibri Light" w:cs="Calibri Light"/>
          <w:sz w:val="24"/>
          <w:lang w:val="en-ID" w:eastAsia="en-ID"/>
        </w:rPr>
        <w:t>(2), 295</w:t>
      </w:r>
      <w:r>
        <w:rPr>
          <w:rFonts w:ascii="Calibri Light" w:cs="Calibri Light"/>
          <w:sz w:val="24"/>
          <w:lang w:val="en-ID" w:eastAsia="en-ID"/>
        </w:rPr>
        <w:t>–</w:t>
      </w:r>
      <w:r>
        <w:rPr>
          <w:rFonts w:ascii="Calibri Light" w:cs="Calibri Light"/>
          <w:sz w:val="24"/>
          <w:lang w:val="en-ID" w:eastAsia="en-ID"/>
        </w:rPr>
        <w:t>314.</w:t>
      </w:r>
    </w:p>
    <w:p w14:paraId="41D0DD4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Utami, N. S. (2023). Dynamics of The Parliamentary System in The Indonesian State System. </w:t>
      </w:r>
      <w:r>
        <w:rPr>
          <w:rFonts w:ascii="Calibri Light" w:cs="Calibri Light"/>
          <w:i/>
          <w:sz w:val="24"/>
          <w:lang w:val="en-ID" w:eastAsia="en-ID"/>
        </w:rPr>
        <w:t>Proceedings of the 2nd International Conference on Multidisciplinary Sciences for Humanity in Society 5.0 Era (ICOMSH 2022)</w:t>
      </w:r>
      <w:r>
        <w:rPr>
          <w:rFonts w:ascii="Calibri Light" w:cs="Calibri Light"/>
          <w:sz w:val="24"/>
          <w:lang w:val="en-ID" w:eastAsia="en-ID"/>
        </w:rPr>
        <w:t>, 498</w:t>
      </w:r>
      <w:r>
        <w:rPr>
          <w:rFonts w:ascii="Calibri Light" w:cs="Calibri Light"/>
          <w:sz w:val="24"/>
          <w:lang w:val="en-ID" w:eastAsia="en-ID"/>
        </w:rPr>
        <w:t>–</w:t>
      </w:r>
      <w:r>
        <w:rPr>
          <w:rFonts w:ascii="Calibri Light" w:cs="Calibri Light"/>
          <w:sz w:val="24"/>
          <w:lang w:val="en-ID" w:eastAsia="en-ID"/>
        </w:rPr>
        <w:t>502.</w:t>
      </w:r>
    </w:p>
    <w:p w14:paraId="04C6C3D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Wegmann, S. (2022). Policy-Making Power of Opposition Players: A Comparative Institutional Perspective. </w:t>
      </w:r>
      <w:r>
        <w:rPr>
          <w:rFonts w:ascii="Calibri Light" w:cs="Calibri Light"/>
          <w:i/>
          <w:sz w:val="24"/>
          <w:lang w:val="en-ID" w:eastAsia="en-ID"/>
        </w:rPr>
        <w:t>The Journal of Legislative Studies</w:t>
      </w:r>
      <w:r>
        <w:rPr>
          <w:rFonts w:ascii="Calibri Light" w:cs="Calibri Light"/>
          <w:sz w:val="24"/>
          <w:lang w:val="en-ID" w:eastAsia="en-ID"/>
        </w:rPr>
        <w:t xml:space="preserve">, </w:t>
      </w:r>
      <w:r>
        <w:rPr>
          <w:rFonts w:ascii="Calibri Light" w:cs="Calibri Light"/>
          <w:i/>
          <w:sz w:val="24"/>
          <w:lang w:val="en-ID" w:eastAsia="en-ID"/>
        </w:rPr>
        <w:t>28</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25.</w:t>
      </w:r>
    </w:p>
    <w:p w14:paraId="5852F1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Yani, A. (2018). Analisis Kontruksi Struktural dan Kewenangan DPR dalam Fungsi Legislasi Berdasarkan Undang-Undang Dasar 1945. </w:t>
      </w:r>
      <w:r>
        <w:rPr>
          <w:rFonts w:ascii="Calibri Light" w:cs="Calibri Light"/>
          <w:i/>
          <w:sz w:val="24"/>
          <w:lang w:val="en-ID" w:eastAsia="en-ID"/>
        </w:rPr>
        <w:t>Jurnal Konstitusi</w:t>
      </w:r>
      <w:r>
        <w:rPr>
          <w:rFonts w:ascii="Calibri Light" w:cs="Calibri Light"/>
          <w:sz w:val="24"/>
          <w:lang w:val="en-ID" w:eastAsia="en-ID"/>
        </w:rPr>
        <w:t xml:space="preserve">, </w:t>
      </w:r>
      <w:r>
        <w:rPr>
          <w:rFonts w:ascii="Calibri Light" w:cs="Calibri Light"/>
          <w:i/>
          <w:sz w:val="24"/>
          <w:lang w:val="en-ID" w:eastAsia="en-ID"/>
        </w:rPr>
        <w:t>15</w:t>
      </w:r>
      <w:r>
        <w:rPr>
          <w:rFonts w:ascii="Calibri Light" w:cs="Calibri Light"/>
          <w:sz w:val="24"/>
          <w:lang w:val="en-ID" w:eastAsia="en-ID"/>
        </w:rPr>
        <w:t>(2), 348</w:t>
      </w:r>
      <w:r>
        <w:rPr>
          <w:rFonts w:ascii="Calibri Light" w:cs="Calibri Light"/>
          <w:sz w:val="24"/>
          <w:lang w:val="en-ID" w:eastAsia="en-ID"/>
        </w:rPr>
        <w:t>–</w:t>
      </w:r>
      <w:r>
        <w:rPr>
          <w:rFonts w:ascii="Calibri Light" w:cs="Calibri Light"/>
          <w:sz w:val="24"/>
          <w:lang w:val="en-ID" w:eastAsia="en-ID"/>
        </w:rPr>
        <w:t>368. https://doi.org/10.31078/jk1526</w:t>
      </w:r>
    </w:p>
    <w:p w14:paraId="0108C8A0" w14:textId="77777777" w:rsidR="00AD5EA3" w:rsidRDefault="00252506">
      <w:pPr>
        <w:widowControl w:val="0"/>
        <w:numPr>
          <w:ilvl w:val="0"/>
          <w:numId w:val="17"/>
        </w:numPr>
        <w:adjustRightInd w:val="0"/>
        <w:ind w:left="851" w:hanging="491"/>
        <w:jc w:val="both"/>
        <w:rPr>
          <w:rFonts w:ascii="Calibri Light" w:cs="Calibri Light"/>
          <w:sz w:val="22"/>
          <w:lang w:val="id-ID" w:eastAsia="id-ID"/>
        </w:rPr>
      </w:pPr>
      <w:r>
        <w:rPr>
          <w:rFonts w:ascii="Calibri Light" w:cs="Calibri Light"/>
          <w:color w:val="000000"/>
          <w:sz w:val="24"/>
          <w:szCs w:val="24"/>
          <w:highlight w:val="yellow"/>
        </w:rPr>
        <w:fldChar w:fldCharType="end"/>
      </w:r>
    </w:p>
    <w:p w14:paraId="490549E9" w14:textId="77777777" w:rsidR="00252506" w:rsidRDefault="00252506">
      <w:pPr>
        <w:pStyle w:val="ListParagraph"/>
        <w:tabs>
          <w:tab w:val="left" w:pos="1134"/>
        </w:tabs>
        <w:spacing w:before="120" w:after="120" w:line="240" w:lineRule="auto"/>
        <w:ind w:left="0" w:right="-1"/>
        <w:jc w:val="both"/>
        <w:rPr>
          <w:rFonts w:ascii="Calibri Light" w:cs="Calibri Light"/>
          <w:color w:val="A6A6A6"/>
          <w:sz w:val="24"/>
          <w:szCs w:val="24"/>
        </w:rPr>
      </w:pPr>
    </w:p>
    <w:sectPr w:rsidR="00252506">
      <w:headerReference w:type="even" r:id="rId13"/>
      <w:headerReference w:type="default" r:id="rId14"/>
      <w:footerReference w:type="even" r:id="rId15"/>
      <w:footerReference w:type="default" r:id="rId16"/>
      <w:headerReference w:type="first" r:id="rId17"/>
      <w:footerReference w:type="first" r:id="rId18"/>
      <w:pgSz w:w="11907" w:h="16840"/>
      <w:pgMar w:top="1411" w:right="1411" w:bottom="1411" w:left="1411"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H" w:date="2025-06-05T05:07:00Z" w:initials="H">
    <w:p w14:paraId="37B426BB" w14:textId="62B0A582" w:rsidR="00643C82" w:rsidRDefault="00643C82">
      <w:pPr>
        <w:pStyle w:val="CommentText"/>
      </w:pPr>
      <w:r>
        <w:rPr>
          <w:rStyle w:val="CommentReference"/>
        </w:rPr>
        <w:annotationRef/>
      </w:r>
      <w:r w:rsidRPr="00643C82">
        <w:t>Clarify the analysis technique specifically, the general qualitative descriptive analysis technique for questionnaires is explained here, it is not specific about the technique used.</w:t>
      </w:r>
    </w:p>
  </w:comment>
  <w:comment w:id="2" w:author="H" w:date="2025-06-05T05:07:00Z" w:initials="H">
    <w:p w14:paraId="0FD725FE" w14:textId="0DF5B300" w:rsidR="00643C82" w:rsidRDefault="00643C82">
      <w:pPr>
        <w:pStyle w:val="CommentText"/>
      </w:pPr>
      <w:r>
        <w:rPr>
          <w:rStyle w:val="CommentReference"/>
        </w:rPr>
        <w:annotationRef/>
      </w:r>
      <w:r w:rsidRPr="00643C82">
        <w:t>After mentioning the changes in the position of the MPR after the amendment to the 1945 Constitution, you can briefly explain when and how many times the amendments occurred (1999–2002, four times), so that the historical context is stronger.</w:t>
      </w:r>
    </w:p>
  </w:comment>
  <w:comment w:id="3" w:author="H" w:date="2025-06-05T05:07:00Z" w:initials="H">
    <w:p w14:paraId="49239C7C" w14:textId="17299634" w:rsidR="00643C82" w:rsidRDefault="00643C82">
      <w:pPr>
        <w:pStyle w:val="CommentText"/>
      </w:pPr>
      <w:r>
        <w:rPr>
          <w:rStyle w:val="CommentReference"/>
        </w:rPr>
        <w:annotationRef/>
      </w:r>
      <w:r w:rsidRPr="00643C82">
        <w:t>In points a and b, avoid using the term "group messengers are unnecessary" without adequate explanation. You can add 1-2 sentences about "group representation" in the context of Montesquieu or modern parliaments, so that the reader is not confused.</w:t>
      </w:r>
    </w:p>
  </w:comment>
  <w:comment w:id="4" w:author="H" w:date="2025-06-05T05:07:00Z" w:initials="H">
    <w:p w14:paraId="74FAAA1A" w14:textId="7AA1C913" w:rsidR="00643C82" w:rsidRDefault="00643C82">
      <w:pPr>
        <w:pStyle w:val="CommentText"/>
      </w:pPr>
      <w:r>
        <w:rPr>
          <w:rStyle w:val="CommentReference"/>
        </w:rPr>
        <w:annotationRef/>
      </w:r>
      <w:r w:rsidRPr="00643C82">
        <w:t>This section begins to enter the research gap and research objectives. It would be stronger if it was directly emphasized in one sentence such as: "This research therefore seeks not only to describe but to offer normative reconstruction models for Indonesian bicameralism."</w:t>
      </w:r>
    </w:p>
  </w:comment>
  <w:comment w:id="5" w:author="H" w:date="2025-06-05T05:23:00Z" w:initials="H">
    <w:p w14:paraId="6892DB51" w14:textId="23EEAA65" w:rsidR="005240F8" w:rsidRDefault="005240F8">
      <w:pPr>
        <w:pStyle w:val="CommentText"/>
      </w:pPr>
      <w:r>
        <w:rPr>
          <w:rStyle w:val="CommentReference"/>
        </w:rPr>
        <w:annotationRef/>
      </w:r>
      <w:r w:rsidRPr="005240F8">
        <w:t>There is no explanation regarding data collection techniques and no mention has been made of how to guarantee data validity.</w:t>
      </w:r>
    </w:p>
  </w:comment>
  <w:comment w:id="6" w:author="H" w:date="2025-06-05T05:24:00Z" w:initials="H">
    <w:p w14:paraId="10B82600" w14:textId="369E5EEB" w:rsidR="002019C5" w:rsidRDefault="002019C5">
      <w:pPr>
        <w:pStyle w:val="CommentText"/>
      </w:pPr>
      <w:r>
        <w:rPr>
          <w:rStyle w:val="CommentReference"/>
        </w:rPr>
        <w:annotationRef/>
      </w:r>
      <w:r w:rsidRPr="002019C5">
        <w:t>It would be better to make a difference in each point presented, point a DPR is parallel to point a DPD and so on like that.</w:t>
      </w:r>
    </w:p>
  </w:comment>
  <w:comment w:id="7" w:author="H" w:date="2025-06-05T05:24:00Z" w:initials="H">
    <w:p w14:paraId="51A8538A" w14:textId="5C8ABAA6" w:rsidR="002019C5" w:rsidRDefault="002019C5">
      <w:pPr>
        <w:pStyle w:val="CommentText"/>
      </w:pPr>
      <w:r>
        <w:rPr>
          <w:rStyle w:val="CommentReference"/>
        </w:rPr>
        <w:annotationRef/>
      </w:r>
      <w:r w:rsidRPr="002019C5">
        <w:t>The explanation of the limitations at Level I (initial discussion) and not participating in Level II (approval) illustrates a weak bicameral system. It should be followed by a legal evaluation: whether these limitations reflect an imbalance of legislative power or a form of violation of the principle of checks and balances.</w:t>
      </w:r>
    </w:p>
  </w:comment>
  <w:comment w:id="8" w:author="H" w:date="2025-06-05T05:24:00Z" w:initials="H">
    <w:p w14:paraId="19A0C409" w14:textId="517BBDD2" w:rsidR="002019C5" w:rsidRDefault="002019C5">
      <w:pPr>
        <w:pStyle w:val="CommentText"/>
      </w:pPr>
      <w:r>
        <w:rPr>
          <w:rStyle w:val="CommentReference"/>
        </w:rPr>
        <w:annotationRef/>
      </w:r>
      <w:r w:rsidRPr="002019C5">
        <w:t xml:space="preserve">In this sub-discussion, it is comparatively strong and already covers normative, descriptive, and evaluative dimensions. It would be more complete if it added a theoretical framework of bicameralism and an assessment of legislative effectiveness (for example, the </w:t>
      </w:r>
      <w:proofErr w:type="spellStart"/>
      <w:r w:rsidRPr="002019C5">
        <w:t>Lijphart</w:t>
      </w:r>
      <w:proofErr w:type="spellEnd"/>
      <w:r w:rsidRPr="002019C5">
        <w:t xml:space="preserve">, </w:t>
      </w:r>
      <w:proofErr w:type="spellStart"/>
      <w:r w:rsidRPr="002019C5">
        <w:t>Tsebelis</w:t>
      </w:r>
      <w:proofErr w:type="spellEnd"/>
      <w:r w:rsidRPr="002019C5">
        <w:t xml:space="preserve"> model).</w:t>
      </w:r>
    </w:p>
  </w:comment>
  <w:comment w:id="9" w:author="H" w:date="2025-06-05T05:25:00Z" w:initials="H">
    <w:p w14:paraId="270C8FD8" w14:textId="5676E926" w:rsidR="002019C5" w:rsidRDefault="002019C5">
      <w:pPr>
        <w:pStyle w:val="CommentText"/>
      </w:pPr>
      <w:r>
        <w:rPr>
          <w:rStyle w:val="CommentReference"/>
        </w:rPr>
        <w:annotationRef/>
      </w:r>
      <w:r w:rsidRPr="002019C5">
        <w:t>The addition of a concise comparative table (e.g. the functions of the two chambers of the legislature in the three countries) would improve readability and visual impact.</w:t>
      </w:r>
    </w:p>
  </w:comment>
  <w:comment w:id="10" w:author="H" w:date="2025-06-05T05:25:00Z" w:initials="H">
    <w:p w14:paraId="3EB683B8" w14:textId="7AFEF4B3" w:rsidR="002019C5" w:rsidRDefault="002019C5">
      <w:pPr>
        <w:pStyle w:val="CommentText"/>
      </w:pPr>
      <w:r>
        <w:rPr>
          <w:rStyle w:val="CommentReference"/>
        </w:rPr>
        <w:annotationRef/>
      </w:r>
      <w:r w:rsidRPr="002019C5">
        <w:t>It should be mentioned that the DPD does not have full legislative rights, it only provides considerations.</w:t>
      </w:r>
    </w:p>
  </w:comment>
  <w:comment w:id="11" w:author="H" w:date="2025-06-05T05:25:00Z" w:initials="H">
    <w:p w14:paraId="53D535C4" w14:textId="5F813779" w:rsidR="002019C5" w:rsidRDefault="002019C5">
      <w:pPr>
        <w:pStyle w:val="CommentText"/>
      </w:pPr>
      <w:r>
        <w:rPr>
          <w:rStyle w:val="CommentReference"/>
        </w:rPr>
        <w:annotationRef/>
      </w:r>
      <w:r w:rsidRPr="002019C5">
        <w:t xml:space="preserve">Citing the opinion of C.F. Strong and </w:t>
      </w:r>
      <w:proofErr w:type="spellStart"/>
      <w:r w:rsidRPr="002019C5">
        <w:t>Jimly</w:t>
      </w:r>
      <w:proofErr w:type="spellEnd"/>
      <w:r w:rsidRPr="002019C5">
        <w:t xml:space="preserve"> </w:t>
      </w:r>
      <w:proofErr w:type="spellStart"/>
      <w:r w:rsidRPr="002019C5">
        <w:t>Asshiddiqie</w:t>
      </w:r>
      <w:proofErr w:type="spellEnd"/>
      <w:r w:rsidRPr="002019C5">
        <w:t xml:space="preserve"> on the advantages of strong bicameralism to prevent legislative errors and create mutual oversight between chambers. Please strengthen by mentioning a concrete context (for example: a controversial law that escaped DPD oversight).</w:t>
      </w:r>
    </w:p>
  </w:comment>
  <w:comment w:id="12" w:author="H" w:date="2025-06-05T05:25:00Z" w:initials="H">
    <w:p w14:paraId="05074940" w14:textId="164F7C85" w:rsidR="002019C5" w:rsidRDefault="002019C5">
      <w:pPr>
        <w:pStyle w:val="CommentText"/>
      </w:pPr>
      <w:r>
        <w:rPr>
          <w:rStyle w:val="CommentReference"/>
        </w:rPr>
        <w:annotationRef/>
      </w:r>
      <w:r w:rsidRPr="002019C5">
        <w:t>Create a diagram in your discussion, include your findings in an interesting form as well as containing a long narrative, we have provided an example in the journal template.</w:t>
      </w:r>
    </w:p>
  </w:comment>
  <w:comment w:id="13" w:author="H" w:date="2025-06-05T05:26:00Z" w:initials="H">
    <w:p w14:paraId="2FCDCA2F" w14:textId="4DC591B2" w:rsidR="002019C5" w:rsidRDefault="002019C5">
      <w:pPr>
        <w:pStyle w:val="CommentText"/>
      </w:pPr>
      <w:r>
        <w:rPr>
          <w:rStyle w:val="CommentReference"/>
        </w:rPr>
        <w:annotationRef/>
      </w:r>
      <w:r w:rsidRPr="002019C5">
        <w:t>This sentence is still normative-aspirational (hopeful), not a firm analytical conclusion. It is advisable to close the conclusion with an evaluative sentence such as "Without constitutional reinforcement, the DPD will remain a symbolic legislative body, unable to fulfill its function as an equal chamber in Indonesia's bicameral framework."</w:t>
      </w:r>
    </w:p>
  </w:comment>
  <w:comment w:id="14" w:author="H" w:date="2025-06-05T05:26:00Z" w:initials="H">
    <w:p w14:paraId="6B7E7DAF" w14:textId="2203E3E0" w:rsidR="002019C5" w:rsidRDefault="002019C5">
      <w:pPr>
        <w:pStyle w:val="CommentText"/>
      </w:pPr>
      <w:r>
        <w:rPr>
          <w:rStyle w:val="CommentReference"/>
        </w:rPr>
        <w:annotationRef/>
      </w:r>
      <w:r w:rsidRPr="002019C5">
        <w:t>References have used manager references, but some have not been written completely, make sure the journal article source contains active volume and DOI, for book sources there must be a city of publication and publisher. It is recommended to use 80% of journal articles as a whole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7B426BB" w15:done="0"/>
  <w15:commentEx w15:paraId="0FD725FE" w15:done="0"/>
  <w15:commentEx w15:paraId="49239C7C" w15:done="0"/>
  <w15:commentEx w15:paraId="74FAAA1A" w15:done="0"/>
  <w15:commentEx w15:paraId="6892DB51" w15:done="0"/>
  <w15:commentEx w15:paraId="10B82600" w15:done="0"/>
  <w15:commentEx w15:paraId="51A8538A" w15:done="0"/>
  <w15:commentEx w15:paraId="19A0C409" w15:done="0"/>
  <w15:commentEx w15:paraId="270C8FD8" w15:done="0"/>
  <w15:commentEx w15:paraId="3EB683B8" w15:done="0"/>
  <w15:commentEx w15:paraId="53D535C4" w15:done="0"/>
  <w15:commentEx w15:paraId="05074940" w15:done="0"/>
  <w15:commentEx w15:paraId="2FCDCA2F" w15:done="0"/>
  <w15:commentEx w15:paraId="6B7E7D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630EDF2" w16cex:dateUtc="2025-06-04T22:07:00Z"/>
  <w16cex:commentExtensible w16cex:durableId="6A1A3562" w16cex:dateUtc="2025-06-04T22:07:00Z"/>
  <w16cex:commentExtensible w16cex:durableId="04F3FABE" w16cex:dateUtc="2025-06-04T22:07:00Z"/>
  <w16cex:commentExtensible w16cex:durableId="1D7181A5" w16cex:dateUtc="2025-06-04T22:07:00Z"/>
  <w16cex:commentExtensible w16cex:durableId="70DE8CD2" w16cex:dateUtc="2025-06-04T22:23:00Z"/>
  <w16cex:commentExtensible w16cex:durableId="768A42D6" w16cex:dateUtc="2025-06-04T22:24:00Z"/>
  <w16cex:commentExtensible w16cex:durableId="39CC4FDD" w16cex:dateUtc="2025-06-04T22:24:00Z"/>
  <w16cex:commentExtensible w16cex:durableId="0204A935" w16cex:dateUtc="2025-06-04T22:24:00Z"/>
  <w16cex:commentExtensible w16cex:durableId="44A8FA84" w16cex:dateUtc="2025-06-04T22:25:00Z"/>
  <w16cex:commentExtensible w16cex:durableId="3650F9C2" w16cex:dateUtc="2025-06-04T22:25:00Z"/>
  <w16cex:commentExtensible w16cex:durableId="7306F833" w16cex:dateUtc="2025-06-04T22:25:00Z"/>
  <w16cex:commentExtensible w16cex:durableId="7FCE9F59" w16cex:dateUtc="2025-06-04T22:25:00Z"/>
  <w16cex:commentExtensible w16cex:durableId="3EEBA89F" w16cex:dateUtc="2025-06-04T22:26:00Z"/>
  <w16cex:commentExtensible w16cex:durableId="69254589" w16cex:dateUtc="2025-06-04T2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7B426BB" w16cid:durableId="3630EDF2"/>
  <w16cid:commentId w16cid:paraId="0FD725FE" w16cid:durableId="6A1A3562"/>
  <w16cid:commentId w16cid:paraId="49239C7C" w16cid:durableId="04F3FABE"/>
  <w16cid:commentId w16cid:paraId="74FAAA1A" w16cid:durableId="1D7181A5"/>
  <w16cid:commentId w16cid:paraId="6892DB51" w16cid:durableId="70DE8CD2"/>
  <w16cid:commentId w16cid:paraId="10B82600" w16cid:durableId="768A42D6"/>
  <w16cid:commentId w16cid:paraId="51A8538A" w16cid:durableId="39CC4FDD"/>
  <w16cid:commentId w16cid:paraId="19A0C409" w16cid:durableId="0204A935"/>
  <w16cid:commentId w16cid:paraId="270C8FD8" w16cid:durableId="44A8FA84"/>
  <w16cid:commentId w16cid:paraId="3EB683B8" w16cid:durableId="3650F9C2"/>
  <w16cid:commentId w16cid:paraId="53D535C4" w16cid:durableId="7306F833"/>
  <w16cid:commentId w16cid:paraId="05074940" w16cid:durableId="7FCE9F59"/>
  <w16cid:commentId w16cid:paraId="2FCDCA2F" w16cid:durableId="3EEBA89F"/>
  <w16cid:commentId w16cid:paraId="6B7E7DAF" w16cid:durableId="692545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F530B" w14:textId="77777777" w:rsidR="009D502C" w:rsidRDefault="009D502C">
      <w:pPr>
        <w:widowControl w:val="0"/>
        <w:adjustRightInd w:val="0"/>
        <w:rPr>
          <w:sz w:val="24"/>
          <w:szCs w:val="24"/>
          <w:lang w:eastAsia="en-ID"/>
        </w:rPr>
      </w:pPr>
      <w:r>
        <w:rPr>
          <w:sz w:val="24"/>
          <w:szCs w:val="24"/>
          <w:lang w:eastAsia="en-ID"/>
        </w:rPr>
        <w:separator/>
      </w:r>
    </w:p>
  </w:endnote>
  <w:endnote w:type="continuationSeparator" w:id="0">
    <w:p w14:paraId="3A25F136" w14:textId="77777777" w:rsidR="009D502C" w:rsidRDefault="009D502C">
      <w:pPr>
        <w:widowControl w:val="0"/>
        <w:adjustRightInd w:val="0"/>
        <w:rPr>
          <w:sz w:val="24"/>
          <w:szCs w:val="24"/>
          <w:lang w:eastAsia="en-ID"/>
        </w:rPr>
      </w:pPr>
      <w:r>
        <w:rPr>
          <w:sz w:val="24"/>
          <w:szCs w:val="24"/>
          <w:lang w:eastAsia="en-ID"/>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B13EB" w14:textId="5FF3BEC9"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55168" behindDoc="0" locked="0" layoutInCell="1" allowOverlap="1" wp14:anchorId="2E33F2F9" wp14:editId="17602EE5">
              <wp:simplePos x="0" y="0"/>
              <wp:positionH relativeFrom="column">
                <wp:posOffset>5151755</wp:posOffset>
              </wp:positionH>
              <wp:positionV relativeFrom="paragraph">
                <wp:posOffset>-64770</wp:posOffset>
              </wp:positionV>
              <wp:extent cx="619760" cy="278130"/>
              <wp:effectExtent l="8890" t="7620" r="9525" b="9525"/>
              <wp:wrapNone/>
              <wp:docPr id="9" name="Persegi panjang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7C35512D" w14:textId="77777777" w:rsidR="00AD5EA3" w:rsidRDefault="00252506">
                          <w:pPr>
                            <w:jc w:val="center"/>
                            <w:rPr>
                              <w:rFonts w:ascii="Calibri" w:cs="Calibri"/>
                              <w:sz w:val="16"/>
                              <w:szCs w:val="16"/>
                            </w:rPr>
                          </w:pPr>
                          <w:r>
                            <w:rPr>
                              <w:rFonts w:asci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3F2F9" id="Persegi panjang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" strokecolor="white">
              <v:textbox>
                <w:txbxContent>
                  <w:p w14:paraId="7C35512D" w14:textId="77777777" w:rsidR="00AD5EA3" w:rsidRDefault="00252506">
                    <w:pPr>
                      <w:jc w:val="center"/>
                      <w:rPr>
                        <w:rFonts w:ascii="Calibri" w:cs="Calibri"/>
                        <w:sz w:val="16"/>
                        <w:szCs w:val="16"/>
                      </w:rPr>
                    </w:pPr>
                    <w:r>
                      <w:rPr>
                        <w:rFonts w:ascii="Calibri" w:cs="Calibri"/>
                        <w:sz w:val="16"/>
                        <w:szCs w:val="16"/>
                      </w:rPr>
                      <w:t>2025</w:t>
                    </w:r>
                  </w:p>
                </w:txbxContent>
              </v:textbox>
            </v:rect>
          </w:pict>
        </mc:Fallback>
      </mc:AlternateContent>
    </w:r>
    <w:r w:rsidR="00252506">
      <w:rPr>
        <w:rFonts w:ascii="Calibri Light" w:cs="Calibri Light"/>
        <w:sz w:val="16"/>
        <w:szCs w:val="16"/>
      </w:rPr>
      <w:t>International Journal Law and Society</w:t>
    </w:r>
  </w:p>
  <w:p w14:paraId="5697DAFD"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r>
      <w:rPr>
        <w:rFonts w:ascii="Calibri Light" w:cs="Calibri Light"/>
        <w:sz w:val="16"/>
        <w:szCs w:val="16"/>
      </w:rPr>
      <w:t>…</w:t>
    </w:r>
    <w:r>
      <w:rPr>
        <w:rFonts w:ascii="Calibri Light" w:cs="Calibri Light"/>
        <w:sz w:val="16"/>
        <w:szCs w:val="16"/>
      </w:rPr>
      <w:t>.-</w:t>
    </w:r>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AFBEA" w14:textId="72180780"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63360" behindDoc="0" locked="0" layoutInCell="1" allowOverlap="1" wp14:anchorId="19FD0D8E" wp14:editId="04B6C108">
              <wp:simplePos x="0" y="0"/>
              <wp:positionH relativeFrom="column">
                <wp:posOffset>5151755</wp:posOffset>
              </wp:positionH>
              <wp:positionV relativeFrom="paragraph">
                <wp:posOffset>-64770</wp:posOffset>
              </wp:positionV>
              <wp:extent cx="619760" cy="278130"/>
              <wp:effectExtent l="8890" t="7620" r="9525" b="9525"/>
              <wp:wrapNone/>
              <wp:docPr id="8" name="Persegi panjang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320BC7E2" w14:textId="77777777" w:rsidR="00AD5EA3" w:rsidRDefault="00252506">
                          <w:pPr>
                            <w:jc w:val="center"/>
                            <w:rPr>
                              <w:rFonts w:ascii="Calibri" w:cs="Calibri"/>
                              <w:sz w:val="16"/>
                              <w:szCs w:val="16"/>
                            </w:rPr>
                          </w:pPr>
                          <w:r>
                            <w:rPr>
                              <w:rFonts w:asci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D0D8E" id="Persegi panjang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" strokecolor="white">
              <v:textbox>
                <w:txbxContent>
                  <w:p w14:paraId="320BC7E2" w14:textId="77777777" w:rsidR="00AD5EA3" w:rsidRDefault="00252506">
                    <w:pPr>
                      <w:jc w:val="center"/>
                      <w:rPr>
                        <w:rFonts w:ascii="Calibri" w:cs="Calibri"/>
                        <w:sz w:val="16"/>
                        <w:szCs w:val="16"/>
                      </w:rPr>
                    </w:pPr>
                    <w:r>
                      <w:rPr>
                        <w:rFonts w:ascii="Calibri" w:cs="Calibri"/>
                        <w:sz w:val="16"/>
                        <w:szCs w:val="16"/>
                      </w:rPr>
                      <w:t>2025</w:t>
                    </w:r>
                  </w:p>
                </w:txbxContent>
              </v:textbox>
            </v:rect>
          </w:pict>
        </mc:Fallback>
      </mc:AlternateContent>
    </w:r>
    <w:r w:rsidR="00252506">
      <w:rPr>
        <w:rFonts w:ascii="Calibri Light" w:cs="Calibri Light"/>
        <w:sz w:val="16"/>
        <w:szCs w:val="16"/>
      </w:rPr>
      <w:t>International Journal Law and Society</w:t>
    </w:r>
  </w:p>
  <w:p w14:paraId="574F1593"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r>
      <w:rPr>
        <w:rFonts w:ascii="Calibri Light" w:cs="Calibri Light"/>
        <w:sz w:val="16"/>
        <w:szCs w:val="16"/>
      </w:rPr>
      <w:t>…</w:t>
    </w:r>
    <w:r>
      <w:rPr>
        <w:rFonts w:ascii="Calibri Light" w:cs="Calibri Light"/>
        <w:sz w:val="16"/>
        <w:szCs w:val="16"/>
      </w:rPr>
      <w:t>.-</w:t>
    </w:r>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C296" w14:textId="04416008"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54144" behindDoc="0" locked="0" layoutInCell="1" allowOverlap="1" wp14:anchorId="6B49C986" wp14:editId="3C7233FE">
              <wp:simplePos x="0" y="0"/>
              <wp:positionH relativeFrom="column">
                <wp:posOffset>5151755</wp:posOffset>
              </wp:positionH>
              <wp:positionV relativeFrom="paragraph">
                <wp:posOffset>-64770</wp:posOffset>
              </wp:positionV>
              <wp:extent cx="619760" cy="278130"/>
              <wp:effectExtent l="8890" t="7620" r="9525" b="9525"/>
              <wp:wrapNone/>
              <wp:docPr id="1" name="Persegi panjang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1F7CE9A0" w14:textId="77777777" w:rsidR="00AD5EA3" w:rsidRDefault="00252506">
                          <w:pPr>
                            <w:jc w:val="center"/>
                            <w:rPr>
                              <w:rFonts w:ascii="Calibri" w:cs="Calibri"/>
                              <w:sz w:val="16"/>
                              <w:szCs w:val="16"/>
                            </w:rPr>
                          </w:pPr>
                          <w:r>
                            <w:rPr>
                              <w:rFonts w:asci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9C986" id="Persegi panjang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" strokecolor="white">
              <v:textbox>
                <w:txbxContent>
                  <w:p w14:paraId="1F7CE9A0" w14:textId="77777777" w:rsidR="00AD5EA3" w:rsidRDefault="00252506">
                    <w:pPr>
                      <w:jc w:val="center"/>
                      <w:rPr>
                        <w:rFonts w:ascii="Calibri" w:cs="Calibri"/>
                        <w:sz w:val="16"/>
                        <w:szCs w:val="16"/>
                      </w:rPr>
                    </w:pPr>
                    <w:r>
                      <w:rPr>
                        <w:rFonts w:ascii="Calibri" w:cs="Calibri"/>
                        <w:sz w:val="16"/>
                        <w:szCs w:val="16"/>
                      </w:rPr>
                      <w:t>2022</w:t>
                    </w:r>
                  </w:p>
                </w:txbxContent>
              </v:textbox>
            </v:rect>
          </w:pict>
        </mc:Fallback>
      </mc:AlternateContent>
    </w:r>
    <w:r w:rsidR="00252506">
      <w:rPr>
        <w:rFonts w:ascii="Calibri Light" w:cs="Calibri Light"/>
        <w:sz w:val="16"/>
        <w:szCs w:val="16"/>
      </w:rPr>
      <w:t>International Journal Law and Society</w:t>
    </w:r>
  </w:p>
  <w:p w14:paraId="6B5AF36B"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r>
      <w:rPr>
        <w:rFonts w:ascii="Calibri Light" w:cs="Calibri Light"/>
        <w:sz w:val="16"/>
        <w:szCs w:val="16"/>
      </w:rPr>
      <w:t>…</w:t>
    </w:r>
    <w:r>
      <w:rPr>
        <w:rFonts w:ascii="Calibri Light" w:cs="Calibri Light"/>
        <w:sz w:val="16"/>
        <w:szCs w:val="16"/>
      </w:rPr>
      <w:t>.-</w:t>
    </w:r>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F7CAA" w14:textId="77777777" w:rsidR="009D502C" w:rsidRDefault="009D502C">
      <w:pPr>
        <w:widowControl w:val="0"/>
        <w:adjustRightInd w:val="0"/>
        <w:rPr>
          <w:sz w:val="24"/>
          <w:szCs w:val="24"/>
          <w:lang w:eastAsia="en-ID"/>
        </w:rPr>
      </w:pPr>
      <w:r>
        <w:rPr>
          <w:sz w:val="24"/>
          <w:szCs w:val="24"/>
          <w:lang w:eastAsia="en-ID"/>
        </w:rPr>
        <w:separator/>
      </w:r>
    </w:p>
  </w:footnote>
  <w:footnote w:type="continuationSeparator" w:id="0">
    <w:p w14:paraId="3AB08CEA" w14:textId="77777777" w:rsidR="009D502C" w:rsidRDefault="009D502C">
      <w:pPr>
        <w:widowControl w:val="0"/>
        <w:adjustRightInd w:val="0"/>
        <w:rPr>
          <w:sz w:val="24"/>
          <w:szCs w:val="24"/>
          <w:lang w:eastAsia="en-ID"/>
        </w:rPr>
      </w:pPr>
      <w:r>
        <w:rPr>
          <w:sz w:val="24"/>
          <w:szCs w:val="24"/>
          <w:lang w:eastAsia="en-ID"/>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F08F6" w14:textId="3ED53FA2" w:rsidR="00AD5EA3" w:rsidRDefault="00F05A0C">
    <w:pPr>
      <w:pStyle w:val="Header"/>
    </w:pPr>
    <w:r>
      <w:rPr>
        <w:noProof/>
      </w:rPr>
      <mc:AlternateContent>
        <mc:Choice Requires="wps">
          <w:drawing>
            <wp:anchor distT="0" distB="0" distL="114300" distR="114300" simplePos="0" relativeHeight="251656192" behindDoc="1" locked="0" layoutInCell="1" allowOverlap="1" wp14:anchorId="4CC69F80" wp14:editId="231A30F7">
              <wp:simplePos x="0" y="0"/>
              <wp:positionH relativeFrom="page">
                <wp:posOffset>962025</wp:posOffset>
              </wp:positionH>
              <wp:positionV relativeFrom="page">
                <wp:posOffset>947420</wp:posOffset>
              </wp:positionV>
              <wp:extent cx="1998980" cy="229870"/>
              <wp:effectExtent l="0" t="4445" r="1270" b="3810"/>
              <wp:wrapNone/>
              <wp:docPr id="15" name="Kotak Tek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23D47F7"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13FEC100"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69F80" id="_x0000_t202" coordsize="21600,21600" o:spt="202" path="m,l,21600r21600,l21600,xe">
              <v:stroke joinstyle="miter"/>
              <v:path gradientshapeok="t" o:connecttype="rect"/>
            </v:shapetype>
            <v:shape id="Kotak Teks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23D47F7"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13FEC100" w14:textId="77777777" w:rsidR="00AD5EA3"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7AE1CEA2" wp14:editId="1430FC11">
              <wp:simplePos x="0" y="0"/>
              <wp:positionH relativeFrom="page">
                <wp:posOffset>6497955</wp:posOffset>
              </wp:positionH>
              <wp:positionV relativeFrom="page">
                <wp:posOffset>445135</wp:posOffset>
              </wp:positionV>
              <wp:extent cx="231775" cy="177800"/>
              <wp:effectExtent l="1905" t="0" r="4445" b="0"/>
              <wp:wrapNone/>
              <wp:docPr id="14" name="Kotak Te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7D389DE"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1CEA2" id="Kotak Teks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7D389DE"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43C11496" wp14:editId="01BB1986">
              <wp:simplePos x="0" y="0"/>
              <wp:positionH relativeFrom="page">
                <wp:posOffset>3143250</wp:posOffset>
              </wp:positionH>
              <wp:positionV relativeFrom="page">
                <wp:posOffset>784860</wp:posOffset>
              </wp:positionV>
              <wp:extent cx="3523615" cy="416560"/>
              <wp:effectExtent l="0" t="3810" r="635" b="0"/>
              <wp:wrapNone/>
              <wp:docPr id="13" name="Kotak Te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6520EE2F"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p w14:paraId="3B5E6FAB" w14:textId="77777777" w:rsidR="00AD5EA3" w:rsidRDefault="00AD5EA3">
                          <w:pPr>
                            <w:ind w:left="23"/>
                            <w:jc w:val="both"/>
                            <w:rPr>
                              <w:rFonts w:asci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11496" id="Kotak Teks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6520EE2F"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p w14:paraId="3B5E6FAB" w14:textId="77777777" w:rsidR="00AD5EA3" w:rsidRDefault="00AD5EA3">
                    <w:pPr>
                      <w:ind w:left="23"/>
                      <w:jc w:val="both"/>
                      <w:rPr>
                        <w:rFonts w:ascii="Calibri Light" w:cs="Calibri Light"/>
                        <w:i/>
                        <w:sz w:val="18"/>
                      </w:rPr>
                    </w:pPr>
                  </w:p>
                </w:txbxContent>
              </v:textbox>
              <w10:wrap anchorx="page" anchory="page"/>
            </v:shape>
          </w:pict>
        </mc:Fallback>
      </mc:AlternateContent>
    </w:r>
    <w:r>
      <w:rPr>
        <w:noProof/>
      </w:rPr>
      <w:drawing>
        <wp:inline distT="0" distB="0" distL="0" distR="0" wp14:anchorId="613FA285" wp14:editId="5F1DE2C0">
          <wp:extent cx="1095375" cy="499745"/>
          <wp:effectExtent l="0" t="0" r="0" b="0"/>
          <wp:docPr id="2"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6677374" w14:textId="77777777" w:rsidR="00AD5EA3" w:rsidRDefault="00AD5EA3">
    <w:pPr>
      <w:pStyle w:val="Header"/>
      <w:rPr>
        <w:sz w:val="16"/>
        <w:szCs w:val="16"/>
      </w:rPr>
    </w:pPr>
  </w:p>
  <w:p w14:paraId="49C4D174" w14:textId="77777777" w:rsidR="00AD5EA3" w:rsidRDefault="00AD5EA3">
    <w:pPr>
      <w:pStyle w:val="Header"/>
      <w:rPr>
        <w:sz w:val="16"/>
        <w:szCs w:val="16"/>
      </w:rPr>
    </w:pPr>
  </w:p>
  <w:p w14:paraId="1EA41E58" w14:textId="77777777" w:rsidR="00AD5EA3" w:rsidRDefault="00AD5E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04C79" w14:textId="67699A70" w:rsidR="00AD5EA3" w:rsidRDefault="00F05A0C">
    <w:pPr>
      <w:pStyle w:val="Header"/>
    </w:pPr>
    <w:r>
      <w:rPr>
        <w:noProof/>
      </w:rPr>
      <mc:AlternateContent>
        <mc:Choice Requires="wps">
          <w:drawing>
            <wp:anchor distT="0" distB="0" distL="114300" distR="114300" simplePos="0" relativeHeight="251658240" behindDoc="1" locked="0" layoutInCell="1" allowOverlap="1" wp14:anchorId="614AB4F6" wp14:editId="366BFA2E">
              <wp:simplePos x="0" y="0"/>
              <wp:positionH relativeFrom="page">
                <wp:posOffset>962025</wp:posOffset>
              </wp:positionH>
              <wp:positionV relativeFrom="page">
                <wp:posOffset>947420</wp:posOffset>
              </wp:positionV>
              <wp:extent cx="1998980" cy="229870"/>
              <wp:effectExtent l="0" t="4445" r="1270" b="3810"/>
              <wp:wrapNone/>
              <wp:docPr id="12" name="Kotak Te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4CF4450"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2E7C9A57"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AB4F6" id="_x0000_t202" coordsize="21600,21600" o:spt="202" path="m,l,21600r21600,l21600,xe">
              <v:stroke joinstyle="miter"/>
              <v:path gradientshapeok="t" o:connecttype="rect"/>
            </v:shapetype>
            <v:shape id="Kotak Teks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CF4450"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2E7C9A57" w14:textId="77777777" w:rsidR="00AD5EA3"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A0D29BF" wp14:editId="0BC7F053">
              <wp:simplePos x="0" y="0"/>
              <wp:positionH relativeFrom="page">
                <wp:posOffset>6464300</wp:posOffset>
              </wp:positionH>
              <wp:positionV relativeFrom="page">
                <wp:posOffset>467360</wp:posOffset>
              </wp:positionV>
              <wp:extent cx="231775" cy="177800"/>
              <wp:effectExtent l="0" t="635" r="0" b="2540"/>
              <wp:wrapNone/>
              <wp:docPr id="11" name="Kotak Teks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A2C5CB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D29BF" id="Kotak Teks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2A2C5CB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60738D6" wp14:editId="25D8C69A">
              <wp:simplePos x="0" y="0"/>
              <wp:positionH relativeFrom="page">
                <wp:posOffset>3143250</wp:posOffset>
              </wp:positionH>
              <wp:positionV relativeFrom="page">
                <wp:posOffset>784860</wp:posOffset>
              </wp:positionV>
              <wp:extent cx="3523615" cy="416560"/>
              <wp:effectExtent l="0" t="3810" r="635" b="0"/>
              <wp:wrapNone/>
              <wp:docPr id="10" name="Kotak Te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7DB4D42B" w14:textId="77777777" w:rsidR="00AD5EA3" w:rsidRDefault="00252506">
                          <w:pPr>
                            <w:rPr>
                              <w:rFonts w:ascii="Calibri Light" w:cs="Calibri Light"/>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 Disparity in Parliamentary Power in the Formation of Laws in Indonesia: Considering Proportional Bicameralism</w:t>
                          </w:r>
                        </w:p>
                        <w:p w14:paraId="1D3C717B" w14:textId="77777777" w:rsidR="00AD5EA3" w:rsidRDefault="00AD5EA3">
                          <w:pPr>
                            <w:ind w:left="23"/>
                            <w:jc w:val="both"/>
                            <w:rPr>
                              <w:rFonts w:asci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738D6" id="Kotak Teks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7DB4D42B" w14:textId="77777777" w:rsidR="00AD5EA3" w:rsidRDefault="00252506">
                    <w:pPr>
                      <w:rPr>
                        <w:rFonts w:ascii="Calibri Light" w:cs="Calibri Light"/>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 Disparity in Parliamentary Power in the Formation of Laws in Indonesia: Considering Proportional Bicameralism</w:t>
                    </w:r>
                  </w:p>
                  <w:p w14:paraId="1D3C717B" w14:textId="77777777" w:rsidR="00AD5EA3" w:rsidRDefault="00AD5EA3">
                    <w:pPr>
                      <w:ind w:left="23"/>
                      <w:jc w:val="both"/>
                      <w:rPr>
                        <w:rFonts w:ascii="Calibri Light" w:cs="Calibri Light"/>
                        <w:i/>
                        <w:sz w:val="18"/>
                      </w:rPr>
                    </w:pPr>
                  </w:p>
                </w:txbxContent>
              </v:textbox>
              <w10:wrap anchorx="page" anchory="page"/>
            </v:shape>
          </w:pict>
        </mc:Fallback>
      </mc:AlternateContent>
    </w:r>
    <w:r>
      <w:rPr>
        <w:noProof/>
      </w:rPr>
      <w:drawing>
        <wp:inline distT="0" distB="0" distL="0" distR="0" wp14:anchorId="4E1C4946" wp14:editId="18444FE1">
          <wp:extent cx="1095375" cy="499745"/>
          <wp:effectExtent l="0" t="0" r="0" b="0"/>
          <wp:docPr id="4"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5F2A3B5" w14:textId="77777777" w:rsidR="00AD5EA3" w:rsidRDefault="00252506">
    <w:pPr>
      <w:pStyle w:val="Header"/>
      <w:tabs>
        <w:tab w:val="clear" w:pos="4680"/>
        <w:tab w:val="clear" w:pos="9360"/>
        <w:tab w:val="left" w:pos="5308"/>
      </w:tabs>
      <w:rPr>
        <w:sz w:val="16"/>
        <w:szCs w:val="16"/>
      </w:rPr>
    </w:pPr>
    <w:r>
      <w:rPr>
        <w:sz w:val="16"/>
        <w:szCs w:val="16"/>
      </w:rPr>
      <w:tab/>
    </w:r>
  </w:p>
  <w:p w14:paraId="287F4A38" w14:textId="77777777" w:rsidR="00AD5EA3" w:rsidRDefault="00AD5EA3">
    <w:pPr>
      <w:pStyle w:val="Header"/>
      <w:rPr>
        <w:sz w:val="16"/>
        <w:szCs w:val="16"/>
      </w:rPr>
    </w:pPr>
  </w:p>
  <w:p w14:paraId="364F1CA9" w14:textId="77777777" w:rsidR="00AD5EA3" w:rsidRDefault="00AD5E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E797C" w14:textId="407A0423" w:rsidR="00AD5EA3" w:rsidRDefault="00F05A0C">
    <w:pPr>
      <w:pStyle w:val="Header"/>
    </w:pPr>
    <w:r>
      <w:rPr>
        <w:noProof/>
      </w:rPr>
      <mc:AlternateContent>
        <mc:Choice Requires="wps">
          <w:drawing>
            <wp:anchor distT="0" distB="0" distL="114300" distR="114300" simplePos="0" relativeHeight="251652096" behindDoc="1" locked="0" layoutInCell="1" allowOverlap="1" wp14:anchorId="1BFDC4EC" wp14:editId="2D2A07CD">
              <wp:simplePos x="0" y="0"/>
              <wp:positionH relativeFrom="page">
                <wp:posOffset>942975</wp:posOffset>
              </wp:positionH>
              <wp:positionV relativeFrom="page">
                <wp:posOffset>947420</wp:posOffset>
              </wp:positionV>
              <wp:extent cx="1998980" cy="229870"/>
              <wp:effectExtent l="0" t="4445" r="1270" b="3810"/>
              <wp:wrapNone/>
              <wp:docPr id="7" name="Kotak Tek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F4A170F"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386386CC"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DC4EC" id="_x0000_t202" coordsize="21600,21600" o:spt="202" path="m,l,21600r21600,l21600,xe">
              <v:stroke joinstyle="miter"/>
              <v:path gradientshapeok="t" o:connecttype="rect"/>
            </v:shapetype>
            <v:shape id="Kotak Teks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F4A170F"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386386CC" w14:textId="77777777" w:rsidR="00AD5EA3"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1785E62" wp14:editId="5B114BD9">
              <wp:simplePos x="0" y="0"/>
              <wp:positionH relativeFrom="page">
                <wp:posOffset>6464300</wp:posOffset>
              </wp:positionH>
              <wp:positionV relativeFrom="page">
                <wp:posOffset>439420</wp:posOffset>
              </wp:positionV>
              <wp:extent cx="231775" cy="177800"/>
              <wp:effectExtent l="0" t="1270" r="0" b="1905"/>
              <wp:wrapNone/>
              <wp:docPr id="5" name="Kotak Teks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3EBA7F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5E62" id="Kotak Teks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23EBA7F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1C9CED6" wp14:editId="7124823D">
              <wp:simplePos x="0" y="0"/>
              <wp:positionH relativeFrom="page">
                <wp:posOffset>3143250</wp:posOffset>
              </wp:positionH>
              <wp:positionV relativeFrom="page">
                <wp:posOffset>784860</wp:posOffset>
              </wp:positionV>
              <wp:extent cx="3516630" cy="416560"/>
              <wp:effectExtent l="0" t="3810" r="0" b="0"/>
              <wp:wrapNone/>
              <wp:docPr id="3" name="Kotak Teks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30BFD141"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9CED6" id="Kotak Teks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0BFD141"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txbxContent>
              </v:textbox>
              <w10:wrap anchorx="page" anchory="page"/>
            </v:shape>
          </w:pict>
        </mc:Fallback>
      </mc:AlternateContent>
    </w:r>
    <w:r>
      <w:rPr>
        <w:noProof/>
      </w:rPr>
      <w:drawing>
        <wp:inline distT="0" distB="0" distL="0" distR="0" wp14:anchorId="2610BDB0" wp14:editId="46B8D7C8">
          <wp:extent cx="1095375" cy="499745"/>
          <wp:effectExtent l="0" t="0" r="0" b="0"/>
          <wp:docPr id="6"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14C76949" w14:textId="77777777" w:rsidR="00AD5EA3" w:rsidRDefault="00AD5EA3">
    <w:pPr>
      <w:pStyle w:val="Header"/>
      <w:rPr>
        <w:sz w:val="16"/>
        <w:szCs w:val="16"/>
      </w:rPr>
    </w:pPr>
  </w:p>
  <w:p w14:paraId="411EC3D3" w14:textId="77777777" w:rsidR="00AD5EA3" w:rsidRDefault="00AD5EA3">
    <w:pPr>
      <w:pStyle w:val="Header"/>
      <w:rPr>
        <w:sz w:val="16"/>
        <w:szCs w:val="16"/>
      </w:rPr>
    </w:pPr>
  </w:p>
  <w:p w14:paraId="544B593B" w14:textId="77777777" w:rsidR="00AD5EA3" w:rsidRDefault="00AD5EA3">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F37156"/>
    <w:multiLevelType w:val="singleLevel"/>
    <w:tmpl w:val="8AF37156"/>
    <w:lvl w:ilvl="0">
      <w:start w:val="1"/>
      <w:numFmt w:val="bullet"/>
      <w:lvlText w:val=""/>
      <w:lvlJc w:val="left"/>
      <w:pPr>
        <w:tabs>
          <w:tab w:val="num" w:pos="1620"/>
        </w:tabs>
        <w:ind w:left="1620" w:hanging="360"/>
      </w:pPr>
      <w:rPr>
        <w:rFonts w:ascii="Wingdings" w:eastAsia="SimSun" w:hAnsi="Wingdings"/>
      </w:rPr>
    </w:lvl>
  </w:abstractNum>
  <w:abstractNum w:abstractNumId="1" w15:restartNumberingAfterBreak="0">
    <w:nsid w:val="B0497677"/>
    <w:multiLevelType w:val="singleLevel"/>
    <w:tmpl w:val="B0497677"/>
    <w:lvl w:ilvl="0">
      <w:start w:val="1"/>
      <w:numFmt w:val="decimal"/>
      <w:lvlText w:val="%1."/>
      <w:lvlJc w:val="left"/>
      <w:pPr>
        <w:tabs>
          <w:tab w:val="num" w:pos="360"/>
        </w:tabs>
        <w:ind w:left="360" w:hanging="360"/>
      </w:pPr>
    </w:lvl>
  </w:abstractNum>
  <w:abstractNum w:abstractNumId="2" w15:restartNumberingAfterBreak="0">
    <w:nsid w:val="E522094C"/>
    <w:multiLevelType w:val="singleLevel"/>
    <w:tmpl w:val="E522094C"/>
    <w:lvl w:ilvl="0">
      <w:start w:val="1"/>
      <w:numFmt w:val="bullet"/>
      <w:lvlText w:val=""/>
      <w:lvlJc w:val="left"/>
      <w:pPr>
        <w:tabs>
          <w:tab w:val="num" w:pos="360"/>
        </w:tabs>
        <w:ind w:left="360" w:hanging="360"/>
      </w:pPr>
      <w:rPr>
        <w:rFonts w:ascii="Wingdings" w:eastAsia="SimSun" w:hAnsi="Wingdings"/>
      </w:rPr>
    </w:lvl>
  </w:abstractNum>
  <w:abstractNum w:abstractNumId="3" w15:restartNumberingAfterBreak="0">
    <w:nsid w:val="F153641B"/>
    <w:multiLevelType w:val="singleLevel"/>
    <w:tmpl w:val="F153641B"/>
    <w:lvl w:ilvl="0">
      <w:start w:val="1"/>
      <w:numFmt w:val="decimal"/>
      <w:lvlText w:val="%1."/>
      <w:lvlJc w:val="left"/>
      <w:pPr>
        <w:tabs>
          <w:tab w:val="num" w:pos="1200"/>
        </w:tabs>
        <w:ind w:left="1200" w:hanging="360"/>
      </w:pPr>
    </w:lvl>
  </w:abstractNum>
  <w:abstractNum w:abstractNumId="4" w15:restartNumberingAfterBreak="0">
    <w:nsid w:val="F43E0212"/>
    <w:multiLevelType w:val="singleLevel"/>
    <w:tmpl w:val="F43E0212"/>
    <w:lvl w:ilvl="0">
      <w:start w:val="1"/>
      <w:numFmt w:val="decimal"/>
      <w:lvlText w:val="%1."/>
      <w:lvlJc w:val="left"/>
      <w:pPr>
        <w:tabs>
          <w:tab w:val="num" w:pos="2040"/>
        </w:tabs>
        <w:ind w:left="2040" w:hanging="360"/>
      </w:pPr>
    </w:lvl>
  </w:abstractNum>
  <w:abstractNum w:abstractNumId="5" w15:restartNumberingAfterBreak="0">
    <w:nsid w:val="00000002"/>
    <w:multiLevelType w:val="hybridMultilevel"/>
    <w:tmpl w:val="00000002"/>
    <w:lvl w:ilvl="0" w:tplc="FFFFFFFF">
      <w:start w:val="35"/>
      <w:numFmt w:val="upperLetter"/>
      <w:lvlText w:val="%1."/>
      <w:lvlJc w:val="left"/>
      <w:rPr>
        <w:rFonts w:ascii="Arial" w:eastAsia="SimSun" w:hAnsi="Times New Roman" w:cs="Arial"/>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3"/>
    <w:multiLevelType w:val="hybridMultilevel"/>
    <w:tmpl w:val="00000003"/>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4"/>
    <w:multiLevelType w:val="hybridMultilevel"/>
    <w:tmpl w:val="00000004"/>
    <w:lvl w:ilvl="0" w:tplc="FFFFFFFF">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5"/>
    <w:multiLevelType w:val="hybridMultilevel"/>
    <w:tmpl w:val="00000005"/>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6"/>
    <w:multiLevelType w:val="hybridMultilevel"/>
    <w:tmpl w:val="00000006"/>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27F7048"/>
    <w:multiLevelType w:val="hybridMultilevel"/>
    <w:tmpl w:val="027F7048"/>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11" w15:restartNumberingAfterBreak="0">
    <w:nsid w:val="028430C3"/>
    <w:multiLevelType w:val="hybridMultilevel"/>
    <w:tmpl w:val="028430C3"/>
    <w:lvl w:ilvl="0" w:tplc="FFFFFFFF">
      <w:start w:val="4"/>
      <w:numFmt w:val="upperRoman"/>
      <w:lvlText w:val="%1."/>
      <w:lvlJc w:val="left"/>
      <w:pPr>
        <w:ind w:left="1146" w:hanging="720"/>
      </w:pPr>
      <w:rPr>
        <w:rFonts w:cs="Times New Roman"/>
        <w:color w:val="auto"/>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12" w15:restartNumberingAfterBreak="0">
    <w:nsid w:val="036F5EB8"/>
    <w:multiLevelType w:val="singleLevel"/>
    <w:tmpl w:val="036F5EB8"/>
    <w:lvl w:ilvl="0">
      <w:start w:val="1"/>
      <w:numFmt w:val="bullet"/>
      <w:lvlText w:val=""/>
      <w:lvlJc w:val="left"/>
      <w:pPr>
        <w:tabs>
          <w:tab w:val="num" w:pos="1200"/>
        </w:tabs>
        <w:ind w:left="1200" w:hanging="360"/>
      </w:pPr>
      <w:rPr>
        <w:rFonts w:ascii="Wingdings" w:eastAsia="SimSun" w:hAnsi="Wingdings"/>
      </w:rPr>
    </w:lvl>
  </w:abstractNum>
  <w:abstractNum w:abstractNumId="13" w15:restartNumberingAfterBreak="0">
    <w:nsid w:val="06D70B74"/>
    <w:multiLevelType w:val="hybridMultilevel"/>
    <w:tmpl w:val="06D70B74"/>
    <w:lvl w:ilvl="0" w:tplc="FFFFFFFF">
      <w:start w:val="1"/>
      <w:numFmt w:val="decimal"/>
      <w:lvlText w:val="%1)"/>
      <w:lvlJc w:val="left"/>
      <w:pPr>
        <w:ind w:left="-150" w:hanging="60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4" w15:restartNumberingAfterBreak="0">
    <w:nsid w:val="0EC372A3"/>
    <w:multiLevelType w:val="hybridMultilevel"/>
    <w:tmpl w:val="0EC372A3"/>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FBA099B"/>
    <w:multiLevelType w:val="hybridMultilevel"/>
    <w:tmpl w:val="0FBA099B"/>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15:restartNumberingAfterBreak="0">
    <w:nsid w:val="11A98370"/>
    <w:multiLevelType w:val="singleLevel"/>
    <w:tmpl w:val="11A98370"/>
    <w:lvl w:ilvl="0">
      <w:start w:val="1"/>
      <w:numFmt w:val="decimal"/>
      <w:lvlText w:val="%1."/>
      <w:lvlJc w:val="left"/>
      <w:pPr>
        <w:tabs>
          <w:tab w:val="num" w:pos="780"/>
        </w:tabs>
        <w:ind w:left="780" w:hanging="360"/>
      </w:pPr>
    </w:lvl>
  </w:abstractNum>
  <w:abstractNum w:abstractNumId="17" w15:restartNumberingAfterBreak="0">
    <w:nsid w:val="1320BCC9"/>
    <w:multiLevelType w:val="singleLevel"/>
    <w:tmpl w:val="1320BCC9"/>
    <w:lvl w:ilvl="0">
      <w:start w:val="1"/>
      <w:numFmt w:val="bullet"/>
      <w:lvlText w:val=""/>
      <w:lvlJc w:val="left"/>
      <w:pPr>
        <w:tabs>
          <w:tab w:val="num" w:pos="2040"/>
        </w:tabs>
        <w:ind w:left="2040" w:hanging="360"/>
      </w:pPr>
      <w:rPr>
        <w:rFonts w:ascii="Wingdings" w:eastAsia="SimSun" w:hAnsi="Wingdings"/>
      </w:rPr>
    </w:lvl>
  </w:abstractNum>
  <w:abstractNum w:abstractNumId="18" w15:restartNumberingAfterBreak="0">
    <w:nsid w:val="145E0DFB"/>
    <w:multiLevelType w:val="hybridMultilevel"/>
    <w:tmpl w:val="145E0DFB"/>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9" w15:restartNumberingAfterBreak="0">
    <w:nsid w:val="152E4ADD"/>
    <w:multiLevelType w:val="hybridMultilevel"/>
    <w:tmpl w:val="152E4ADD"/>
    <w:lvl w:ilvl="0" w:tplc="FFFFFFFF">
      <w:start w:val="1"/>
      <w:numFmt w:val="decimal"/>
      <w:lvlText w:val="[%1]"/>
      <w:lvlJc w:val="left"/>
      <w:pPr>
        <w:ind w:left="3240" w:hanging="360"/>
      </w:pPr>
      <w:rPr>
        <w:rFonts w:cs="Times New Roman"/>
        <w:color w:val="auto"/>
      </w:rPr>
    </w:lvl>
    <w:lvl w:ilvl="1" w:tplc="FFFFFFFF">
      <w:start w:val="1"/>
      <w:numFmt w:val="lowerLetter"/>
      <w:lvlText w:val="%2."/>
      <w:lvlJc w:val="left"/>
      <w:pPr>
        <w:ind w:left="3960" w:hanging="360"/>
      </w:pPr>
      <w:rPr>
        <w:rFonts w:cs="Times New Roman"/>
      </w:rPr>
    </w:lvl>
    <w:lvl w:ilvl="2" w:tplc="FFFFFFFF">
      <w:start w:val="1"/>
      <w:numFmt w:val="lowerRoman"/>
      <w:lvlText w:val="%3."/>
      <w:lvlJc w:val="right"/>
      <w:pPr>
        <w:ind w:left="4680" w:hanging="180"/>
      </w:pPr>
      <w:rPr>
        <w:rFonts w:cs="Times New Roman"/>
      </w:rPr>
    </w:lvl>
    <w:lvl w:ilvl="3" w:tplc="FFFFFFFF">
      <w:start w:val="1"/>
      <w:numFmt w:val="decimal"/>
      <w:lvlText w:val="%4."/>
      <w:lvlJc w:val="left"/>
      <w:pPr>
        <w:ind w:left="5400" w:hanging="360"/>
      </w:pPr>
      <w:rPr>
        <w:rFonts w:cs="Times New Roman"/>
      </w:rPr>
    </w:lvl>
    <w:lvl w:ilvl="4" w:tplc="FFFFFFFF">
      <w:start w:val="1"/>
      <w:numFmt w:val="lowerLetter"/>
      <w:lvlText w:val="%5."/>
      <w:lvlJc w:val="left"/>
      <w:pPr>
        <w:ind w:left="6120" w:hanging="360"/>
      </w:pPr>
      <w:rPr>
        <w:rFonts w:cs="Times New Roman"/>
      </w:rPr>
    </w:lvl>
    <w:lvl w:ilvl="5" w:tplc="FFFFFFFF">
      <w:start w:val="1"/>
      <w:numFmt w:val="lowerRoman"/>
      <w:lvlText w:val="%6."/>
      <w:lvlJc w:val="right"/>
      <w:pPr>
        <w:ind w:left="6840" w:hanging="180"/>
      </w:pPr>
      <w:rPr>
        <w:rFonts w:cs="Times New Roman"/>
      </w:rPr>
    </w:lvl>
    <w:lvl w:ilvl="6" w:tplc="FFFFFFFF">
      <w:start w:val="1"/>
      <w:numFmt w:val="decimal"/>
      <w:lvlText w:val="%7."/>
      <w:lvlJc w:val="left"/>
      <w:pPr>
        <w:ind w:left="7560" w:hanging="360"/>
      </w:pPr>
      <w:rPr>
        <w:rFonts w:cs="Times New Roman"/>
      </w:rPr>
    </w:lvl>
    <w:lvl w:ilvl="7" w:tplc="FFFFFFFF">
      <w:start w:val="1"/>
      <w:numFmt w:val="lowerLetter"/>
      <w:lvlText w:val="%8."/>
      <w:lvlJc w:val="left"/>
      <w:pPr>
        <w:ind w:left="8280" w:hanging="360"/>
      </w:pPr>
      <w:rPr>
        <w:rFonts w:cs="Times New Roman"/>
      </w:rPr>
    </w:lvl>
    <w:lvl w:ilvl="8" w:tplc="FFFFFFFF">
      <w:start w:val="1"/>
      <w:numFmt w:val="lowerRoman"/>
      <w:lvlText w:val="%9."/>
      <w:lvlJc w:val="right"/>
      <w:pPr>
        <w:ind w:left="9000" w:hanging="180"/>
      </w:pPr>
      <w:rPr>
        <w:rFonts w:cs="Times New Roman"/>
      </w:rPr>
    </w:lvl>
  </w:abstractNum>
  <w:abstractNum w:abstractNumId="20" w15:restartNumberingAfterBreak="0">
    <w:nsid w:val="15D52E67"/>
    <w:multiLevelType w:val="hybridMultilevel"/>
    <w:tmpl w:val="15D52E67"/>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1" w15:restartNumberingAfterBreak="0">
    <w:nsid w:val="15E93AB6"/>
    <w:multiLevelType w:val="hybridMultilevel"/>
    <w:tmpl w:val="15E93AB6"/>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1A880BE8"/>
    <w:multiLevelType w:val="hybridMultilevel"/>
    <w:tmpl w:val="1A880BE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1D1E3992"/>
    <w:multiLevelType w:val="hybridMultilevel"/>
    <w:tmpl w:val="1D1E3992"/>
    <w:lvl w:ilvl="0" w:tplc="FFFFFFFF">
      <w:start w:val="1"/>
      <w:numFmt w:val="decimal"/>
      <w:lvlText w:val="[%1]"/>
      <w:lvlJc w:val="left"/>
      <w:pPr>
        <w:ind w:left="1146" w:hanging="360"/>
      </w:pPr>
      <w:rPr>
        <w:rFonts w:cs="Times New Roman"/>
        <w:color w:val="auto"/>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24" w15:restartNumberingAfterBreak="0">
    <w:nsid w:val="1FE30FAA"/>
    <w:multiLevelType w:val="hybridMultilevel"/>
    <w:tmpl w:val="1FE30FAA"/>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25" w15:restartNumberingAfterBreak="0">
    <w:nsid w:val="20C15439"/>
    <w:multiLevelType w:val="hybridMultilevel"/>
    <w:tmpl w:val="20C15439"/>
    <w:lvl w:ilvl="0" w:tplc="FFFFFFFF">
      <w:start w:val="1"/>
      <w:numFmt w:val="decimal"/>
      <w:lvlText w:val="%1)"/>
      <w:lvlJc w:val="left"/>
      <w:pPr>
        <w:ind w:left="833" w:hanging="360"/>
      </w:pPr>
      <w:rPr>
        <w:rFonts w:cs="Times New Roman"/>
      </w:rPr>
    </w:lvl>
    <w:lvl w:ilvl="1" w:tplc="FFFFFFFF">
      <w:start w:val="1"/>
      <w:numFmt w:val="lowerLetter"/>
      <w:lvlText w:val="%2."/>
      <w:lvlJc w:val="left"/>
      <w:pPr>
        <w:ind w:left="1553" w:hanging="360"/>
      </w:pPr>
      <w:rPr>
        <w:rFonts w:cs="Times New Roman"/>
      </w:rPr>
    </w:lvl>
    <w:lvl w:ilvl="2" w:tplc="FFFFFFFF">
      <w:start w:val="1"/>
      <w:numFmt w:val="lowerRoman"/>
      <w:lvlText w:val="%3."/>
      <w:lvlJc w:val="right"/>
      <w:pPr>
        <w:ind w:left="2273" w:hanging="180"/>
      </w:pPr>
      <w:rPr>
        <w:rFonts w:cs="Times New Roman"/>
      </w:rPr>
    </w:lvl>
    <w:lvl w:ilvl="3" w:tplc="FFFFFFFF">
      <w:start w:val="1"/>
      <w:numFmt w:val="decimal"/>
      <w:lvlText w:val="%4."/>
      <w:lvlJc w:val="left"/>
      <w:pPr>
        <w:ind w:left="2993" w:hanging="360"/>
      </w:pPr>
      <w:rPr>
        <w:rFonts w:cs="Times New Roman"/>
      </w:rPr>
    </w:lvl>
    <w:lvl w:ilvl="4" w:tplc="FFFFFFFF">
      <w:start w:val="1"/>
      <w:numFmt w:val="lowerLetter"/>
      <w:lvlText w:val="%5."/>
      <w:lvlJc w:val="left"/>
      <w:pPr>
        <w:ind w:left="3713" w:hanging="360"/>
      </w:pPr>
      <w:rPr>
        <w:rFonts w:cs="Times New Roman"/>
      </w:rPr>
    </w:lvl>
    <w:lvl w:ilvl="5" w:tplc="FFFFFFFF">
      <w:start w:val="1"/>
      <w:numFmt w:val="lowerRoman"/>
      <w:lvlText w:val="%6."/>
      <w:lvlJc w:val="right"/>
      <w:pPr>
        <w:ind w:left="4433" w:hanging="180"/>
      </w:pPr>
      <w:rPr>
        <w:rFonts w:cs="Times New Roman"/>
      </w:rPr>
    </w:lvl>
    <w:lvl w:ilvl="6" w:tplc="FFFFFFFF">
      <w:start w:val="1"/>
      <w:numFmt w:val="decimal"/>
      <w:lvlText w:val="%7."/>
      <w:lvlJc w:val="left"/>
      <w:pPr>
        <w:ind w:left="5153" w:hanging="360"/>
      </w:pPr>
      <w:rPr>
        <w:rFonts w:cs="Times New Roman"/>
      </w:rPr>
    </w:lvl>
    <w:lvl w:ilvl="7" w:tplc="FFFFFFFF">
      <w:start w:val="1"/>
      <w:numFmt w:val="lowerLetter"/>
      <w:lvlText w:val="%8."/>
      <w:lvlJc w:val="left"/>
      <w:pPr>
        <w:ind w:left="5873" w:hanging="360"/>
      </w:pPr>
      <w:rPr>
        <w:rFonts w:cs="Times New Roman"/>
      </w:rPr>
    </w:lvl>
    <w:lvl w:ilvl="8" w:tplc="FFFFFFFF">
      <w:start w:val="1"/>
      <w:numFmt w:val="lowerRoman"/>
      <w:lvlText w:val="%9."/>
      <w:lvlJc w:val="right"/>
      <w:pPr>
        <w:ind w:left="6593" w:hanging="180"/>
      </w:pPr>
      <w:rPr>
        <w:rFonts w:cs="Times New Roman"/>
      </w:rPr>
    </w:lvl>
  </w:abstractNum>
  <w:abstractNum w:abstractNumId="26" w15:restartNumberingAfterBreak="0">
    <w:nsid w:val="24C25F98"/>
    <w:multiLevelType w:val="hybridMultilevel"/>
    <w:tmpl w:val="24C25F98"/>
    <w:lvl w:ilvl="0" w:tplc="FFFFFFFF">
      <w:numFmt w:val="bullet"/>
      <w:lvlText w:val="-"/>
      <w:lvlJc w:val="left"/>
      <w:pPr>
        <w:ind w:left="77" w:hanging="78"/>
      </w:pPr>
      <w:rPr>
        <w:rFonts w:ascii="Calibri" w:eastAsia="SimSun" w:hAnsi="Times New Roman"/>
        <w:color w:val="231F20"/>
        <w:sz w:val="12"/>
        <w:u w:color="231F20"/>
      </w:rPr>
    </w:lvl>
    <w:lvl w:ilvl="1" w:tplc="FFFFFFFF">
      <w:numFmt w:val="bullet"/>
      <w:lvlText w:val="•"/>
      <w:lvlJc w:val="left"/>
      <w:pPr>
        <w:ind w:left="157" w:hanging="78"/>
      </w:pPr>
    </w:lvl>
    <w:lvl w:ilvl="2" w:tplc="FFFFFFFF">
      <w:numFmt w:val="bullet"/>
      <w:lvlText w:val="•"/>
      <w:lvlJc w:val="left"/>
      <w:pPr>
        <w:ind w:left="234" w:hanging="78"/>
      </w:pPr>
    </w:lvl>
    <w:lvl w:ilvl="3" w:tplc="FFFFFFFF">
      <w:numFmt w:val="bullet"/>
      <w:lvlText w:val="•"/>
      <w:lvlJc w:val="left"/>
      <w:pPr>
        <w:ind w:left="312" w:hanging="78"/>
      </w:pPr>
    </w:lvl>
    <w:lvl w:ilvl="4" w:tplc="FFFFFFFF">
      <w:numFmt w:val="bullet"/>
      <w:lvlText w:val="•"/>
      <w:lvlJc w:val="left"/>
      <w:pPr>
        <w:ind w:left="389" w:hanging="78"/>
      </w:pPr>
    </w:lvl>
    <w:lvl w:ilvl="5" w:tplc="FFFFFFFF">
      <w:numFmt w:val="bullet"/>
      <w:lvlText w:val="•"/>
      <w:lvlJc w:val="left"/>
      <w:pPr>
        <w:ind w:left="466" w:hanging="78"/>
      </w:pPr>
    </w:lvl>
    <w:lvl w:ilvl="6" w:tplc="FFFFFFFF">
      <w:numFmt w:val="bullet"/>
      <w:lvlText w:val="•"/>
      <w:lvlJc w:val="left"/>
      <w:pPr>
        <w:ind w:left="544" w:hanging="78"/>
      </w:pPr>
    </w:lvl>
    <w:lvl w:ilvl="7" w:tplc="FFFFFFFF">
      <w:numFmt w:val="bullet"/>
      <w:lvlText w:val="•"/>
      <w:lvlJc w:val="left"/>
      <w:pPr>
        <w:ind w:left="621" w:hanging="78"/>
      </w:pPr>
    </w:lvl>
    <w:lvl w:ilvl="8" w:tplc="FFFFFFFF">
      <w:numFmt w:val="bullet"/>
      <w:lvlText w:val="•"/>
      <w:lvlJc w:val="left"/>
      <w:pPr>
        <w:ind w:left="698" w:hanging="78"/>
      </w:pPr>
    </w:lvl>
  </w:abstractNum>
  <w:abstractNum w:abstractNumId="27" w15:restartNumberingAfterBreak="0">
    <w:nsid w:val="2AD15A50"/>
    <w:multiLevelType w:val="multilevel"/>
    <w:tmpl w:val="2AD15A50"/>
    <w:lvl w:ilvl="0">
      <w:start w:val="4"/>
      <w:numFmt w:val="decimal"/>
      <w:lvlText w:val="%1"/>
      <w:lvlJc w:val="left"/>
      <w:pPr>
        <w:ind w:left="480" w:hanging="480"/>
      </w:pPr>
      <w:rPr>
        <w:rFonts w:cs="Times New Roman"/>
      </w:rPr>
    </w:lvl>
    <w:lvl w:ilvl="1">
      <w:start w:val="3"/>
      <w:numFmt w:val="decimal"/>
      <w:lvlText w:val="%1.%2"/>
      <w:lvlJc w:val="left"/>
      <w:pPr>
        <w:ind w:left="911" w:hanging="480"/>
      </w:pPr>
      <w:rPr>
        <w:rFonts w:cs="Times New Roman"/>
      </w:rPr>
    </w:lvl>
    <w:lvl w:ilvl="2">
      <w:start w:val="1"/>
      <w:numFmt w:val="decimal"/>
      <w:lvlText w:val="%3)"/>
      <w:lvlJc w:val="left"/>
      <w:pPr>
        <w:ind w:left="1582" w:hanging="720"/>
      </w:pPr>
      <w:rPr>
        <w:rFonts w:cs="Times New Roman"/>
      </w:rPr>
    </w:lvl>
    <w:lvl w:ilvl="3">
      <w:start w:val="1"/>
      <w:numFmt w:val="decimal"/>
      <w:lvlText w:val="%1.%2.%3.%4"/>
      <w:lvlJc w:val="left"/>
      <w:pPr>
        <w:ind w:left="2013" w:hanging="720"/>
      </w:pPr>
      <w:rPr>
        <w:rFonts w:cs="Times New Roman"/>
      </w:rPr>
    </w:lvl>
    <w:lvl w:ilvl="4">
      <w:start w:val="1"/>
      <w:numFmt w:val="decimal"/>
      <w:lvlText w:val="%1.%2.%3.%4.%5"/>
      <w:lvlJc w:val="left"/>
      <w:pPr>
        <w:ind w:left="2804" w:hanging="1080"/>
      </w:pPr>
      <w:rPr>
        <w:rFonts w:cs="Times New Roman"/>
      </w:rPr>
    </w:lvl>
    <w:lvl w:ilvl="5">
      <w:start w:val="1"/>
      <w:numFmt w:val="decimal"/>
      <w:lvlText w:val="%1.%2.%3.%4.%5.%6"/>
      <w:lvlJc w:val="left"/>
      <w:pPr>
        <w:ind w:left="3235" w:hanging="1080"/>
      </w:pPr>
      <w:rPr>
        <w:rFonts w:cs="Times New Roman"/>
      </w:rPr>
    </w:lvl>
    <w:lvl w:ilvl="6">
      <w:start w:val="1"/>
      <w:numFmt w:val="decimal"/>
      <w:lvlText w:val="%1.%2.%3.%4.%5.%6.%7"/>
      <w:lvlJc w:val="left"/>
      <w:pPr>
        <w:ind w:left="4026" w:hanging="1440"/>
      </w:pPr>
      <w:rPr>
        <w:rFonts w:cs="Times New Roman"/>
      </w:rPr>
    </w:lvl>
    <w:lvl w:ilvl="7">
      <w:start w:val="1"/>
      <w:numFmt w:val="decimal"/>
      <w:lvlText w:val="%1.%2.%3.%4.%5.%6.%7.%8"/>
      <w:lvlJc w:val="left"/>
      <w:pPr>
        <w:ind w:left="4457" w:hanging="1440"/>
      </w:pPr>
      <w:rPr>
        <w:rFonts w:cs="Times New Roman"/>
      </w:rPr>
    </w:lvl>
    <w:lvl w:ilvl="8">
      <w:start w:val="1"/>
      <w:numFmt w:val="decimal"/>
      <w:lvlText w:val="%1.%2.%3.%4.%5.%6.%7.%8.%9"/>
      <w:lvlJc w:val="left"/>
      <w:pPr>
        <w:ind w:left="4888" w:hanging="1440"/>
      </w:pPr>
      <w:rPr>
        <w:rFonts w:cs="Times New Roman"/>
      </w:rPr>
    </w:lvl>
  </w:abstractNum>
  <w:abstractNum w:abstractNumId="28" w15:restartNumberingAfterBreak="0">
    <w:nsid w:val="2DC068FF"/>
    <w:multiLevelType w:val="hybridMultilevel"/>
    <w:tmpl w:val="2DC068FF"/>
    <w:lvl w:ilvl="0" w:tplc="FFFFFFFF">
      <w:start w:val="1"/>
      <w:numFmt w:val="upperLetter"/>
      <w:lvlText w:val="%1."/>
      <w:lvlJc w:val="left"/>
      <w:pPr>
        <w:ind w:left="720"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9" w15:restartNumberingAfterBreak="0">
    <w:nsid w:val="2DED1B21"/>
    <w:multiLevelType w:val="hybridMultilevel"/>
    <w:tmpl w:val="2DED1B21"/>
    <w:lvl w:ilvl="0" w:tplc="FFFFFFFF">
      <w:start w:val="1"/>
      <w:numFmt w:val="decimal"/>
      <w:lvlText w:val="%1."/>
      <w:lvlJc w:val="left"/>
      <w:pPr>
        <w:ind w:left="1413" w:hanging="360"/>
      </w:pPr>
      <w:rPr>
        <w:rFonts w:cs="Times New Roman"/>
      </w:rPr>
    </w:lvl>
    <w:lvl w:ilvl="1" w:tplc="FFFFFFFF">
      <w:start w:val="1"/>
      <w:numFmt w:val="lowerLetter"/>
      <w:lvlText w:val="%2."/>
      <w:lvlJc w:val="left"/>
      <w:pPr>
        <w:ind w:left="2133" w:hanging="360"/>
      </w:pPr>
      <w:rPr>
        <w:rFonts w:cs="Times New Roman"/>
      </w:rPr>
    </w:lvl>
    <w:lvl w:ilvl="2" w:tplc="FFFFFFFF">
      <w:start w:val="1"/>
      <w:numFmt w:val="lowerRoman"/>
      <w:lvlText w:val="%3."/>
      <w:lvlJc w:val="right"/>
      <w:pPr>
        <w:ind w:left="2853" w:hanging="180"/>
      </w:pPr>
      <w:rPr>
        <w:rFonts w:cs="Times New Roman"/>
      </w:rPr>
    </w:lvl>
    <w:lvl w:ilvl="3" w:tplc="FFFFFFFF">
      <w:start w:val="1"/>
      <w:numFmt w:val="decimal"/>
      <w:lvlText w:val="%4."/>
      <w:lvlJc w:val="left"/>
      <w:pPr>
        <w:ind w:left="3573" w:hanging="360"/>
      </w:pPr>
      <w:rPr>
        <w:rFonts w:cs="Times New Roman"/>
      </w:rPr>
    </w:lvl>
    <w:lvl w:ilvl="4" w:tplc="FFFFFFFF">
      <w:start w:val="1"/>
      <w:numFmt w:val="lowerLetter"/>
      <w:lvlText w:val="%5."/>
      <w:lvlJc w:val="left"/>
      <w:pPr>
        <w:ind w:left="4293" w:hanging="360"/>
      </w:pPr>
      <w:rPr>
        <w:rFonts w:cs="Times New Roman"/>
      </w:rPr>
    </w:lvl>
    <w:lvl w:ilvl="5" w:tplc="FFFFFFFF">
      <w:start w:val="1"/>
      <w:numFmt w:val="lowerRoman"/>
      <w:lvlText w:val="%6."/>
      <w:lvlJc w:val="right"/>
      <w:pPr>
        <w:ind w:left="5013" w:hanging="180"/>
      </w:pPr>
      <w:rPr>
        <w:rFonts w:cs="Times New Roman"/>
      </w:rPr>
    </w:lvl>
    <w:lvl w:ilvl="6" w:tplc="FFFFFFFF">
      <w:start w:val="1"/>
      <w:numFmt w:val="decimal"/>
      <w:lvlText w:val="%7."/>
      <w:lvlJc w:val="left"/>
      <w:pPr>
        <w:ind w:left="5733" w:hanging="360"/>
      </w:pPr>
      <w:rPr>
        <w:rFonts w:cs="Times New Roman"/>
      </w:rPr>
    </w:lvl>
    <w:lvl w:ilvl="7" w:tplc="FFFFFFFF">
      <w:start w:val="1"/>
      <w:numFmt w:val="lowerLetter"/>
      <w:lvlText w:val="%8."/>
      <w:lvlJc w:val="left"/>
      <w:pPr>
        <w:ind w:left="6453" w:hanging="360"/>
      </w:pPr>
      <w:rPr>
        <w:rFonts w:cs="Times New Roman"/>
      </w:rPr>
    </w:lvl>
    <w:lvl w:ilvl="8" w:tplc="FFFFFFFF">
      <w:start w:val="1"/>
      <w:numFmt w:val="lowerRoman"/>
      <w:lvlText w:val="%9."/>
      <w:lvlJc w:val="right"/>
      <w:pPr>
        <w:ind w:left="7173" w:hanging="180"/>
      </w:pPr>
      <w:rPr>
        <w:rFonts w:cs="Times New Roman"/>
      </w:rPr>
    </w:lvl>
  </w:abstractNum>
  <w:abstractNum w:abstractNumId="30" w15:restartNumberingAfterBreak="0">
    <w:nsid w:val="312E6646"/>
    <w:multiLevelType w:val="hybridMultilevel"/>
    <w:tmpl w:val="312E6646"/>
    <w:lvl w:ilvl="0" w:tplc="FFFFFFFF">
      <w:start w:val="1"/>
      <w:numFmt w:val="lowerLetter"/>
      <w:lvlText w:val="%1)"/>
      <w:lvlJc w:val="left"/>
      <w:pPr>
        <w:ind w:left="644" w:hanging="360"/>
      </w:pPr>
      <w:rPr>
        <w:rFonts w:cs="Times New Roman"/>
      </w:rPr>
    </w:lvl>
    <w:lvl w:ilvl="1" w:tplc="FFFFFFFF">
      <w:start w:val="1"/>
      <w:numFmt w:val="lowerLetter"/>
      <w:lvlText w:val="%2."/>
      <w:lvlJc w:val="left"/>
      <w:pPr>
        <w:ind w:left="1364" w:hanging="360"/>
      </w:pPr>
      <w:rPr>
        <w:rFonts w:cs="Times New Roman"/>
      </w:rPr>
    </w:lvl>
    <w:lvl w:ilvl="2" w:tplc="FFFFFFFF">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start w:val="1"/>
      <w:numFmt w:val="lowerLetter"/>
      <w:lvlText w:val="%5."/>
      <w:lvlJc w:val="left"/>
      <w:pPr>
        <w:ind w:left="3524" w:hanging="360"/>
      </w:pPr>
      <w:rPr>
        <w:rFonts w:cs="Times New Roman"/>
      </w:rPr>
    </w:lvl>
    <w:lvl w:ilvl="5" w:tplc="FFFFFFFF">
      <w:start w:val="1"/>
      <w:numFmt w:val="lowerRoman"/>
      <w:lvlText w:val="%6."/>
      <w:lvlJc w:val="right"/>
      <w:pPr>
        <w:ind w:left="4244" w:hanging="180"/>
      </w:pPr>
      <w:rPr>
        <w:rFonts w:cs="Times New Roman"/>
      </w:rPr>
    </w:lvl>
    <w:lvl w:ilvl="6" w:tplc="FFFFFFFF">
      <w:start w:val="1"/>
      <w:numFmt w:val="decimal"/>
      <w:lvlText w:val="%7."/>
      <w:lvlJc w:val="left"/>
      <w:pPr>
        <w:ind w:left="4964" w:hanging="360"/>
      </w:pPr>
      <w:rPr>
        <w:rFonts w:cs="Times New Roman"/>
      </w:rPr>
    </w:lvl>
    <w:lvl w:ilvl="7" w:tplc="FFFFFFFF">
      <w:start w:val="1"/>
      <w:numFmt w:val="lowerLetter"/>
      <w:lvlText w:val="%8."/>
      <w:lvlJc w:val="left"/>
      <w:pPr>
        <w:ind w:left="5684" w:hanging="360"/>
      </w:pPr>
      <w:rPr>
        <w:rFonts w:cs="Times New Roman"/>
      </w:rPr>
    </w:lvl>
    <w:lvl w:ilvl="8" w:tplc="FFFFFFFF">
      <w:start w:val="1"/>
      <w:numFmt w:val="lowerRoman"/>
      <w:lvlText w:val="%9."/>
      <w:lvlJc w:val="right"/>
      <w:pPr>
        <w:ind w:left="6404" w:hanging="180"/>
      </w:pPr>
      <w:rPr>
        <w:rFonts w:cs="Times New Roman"/>
      </w:rPr>
    </w:lvl>
  </w:abstractNum>
  <w:abstractNum w:abstractNumId="31" w15:restartNumberingAfterBreak="0">
    <w:nsid w:val="36DD7C74"/>
    <w:multiLevelType w:val="hybridMultilevel"/>
    <w:tmpl w:val="36DD7C74"/>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2" w15:restartNumberingAfterBreak="0">
    <w:nsid w:val="39483A4E"/>
    <w:multiLevelType w:val="hybridMultilevel"/>
    <w:tmpl w:val="39483A4E"/>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3" w15:restartNumberingAfterBreak="0">
    <w:nsid w:val="39826D9A"/>
    <w:multiLevelType w:val="hybridMultilevel"/>
    <w:tmpl w:val="39826D9A"/>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4" w15:restartNumberingAfterBreak="0">
    <w:nsid w:val="41C278DF"/>
    <w:multiLevelType w:val="hybridMultilevel"/>
    <w:tmpl w:val="41C278D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5" w15:restartNumberingAfterBreak="0">
    <w:nsid w:val="4C256838"/>
    <w:multiLevelType w:val="hybridMultilevel"/>
    <w:tmpl w:val="4C256838"/>
    <w:lvl w:ilvl="0" w:tplc="FFFFFFFF">
      <w:start w:val="1"/>
      <w:numFmt w:val="lowerLetter"/>
      <w:lvlText w:val="%1."/>
      <w:lvlJc w:val="left"/>
      <w:pPr>
        <w:ind w:left="809" w:hanging="360"/>
      </w:pPr>
      <w:rPr>
        <w:rFonts w:cs="Times New Roman"/>
      </w:rPr>
    </w:lvl>
    <w:lvl w:ilvl="1" w:tplc="FFFFFFFF">
      <w:start w:val="1"/>
      <w:numFmt w:val="lowerLetter"/>
      <w:lvlText w:val="%2."/>
      <w:lvlJc w:val="left"/>
      <w:pPr>
        <w:ind w:left="1529" w:hanging="360"/>
      </w:pPr>
      <w:rPr>
        <w:rFonts w:cs="Times New Roman"/>
      </w:rPr>
    </w:lvl>
    <w:lvl w:ilvl="2" w:tplc="FFFFFFFF">
      <w:start w:val="1"/>
      <w:numFmt w:val="lowerRoman"/>
      <w:lvlText w:val="%3."/>
      <w:lvlJc w:val="right"/>
      <w:pPr>
        <w:ind w:left="2249" w:hanging="180"/>
      </w:pPr>
      <w:rPr>
        <w:rFonts w:cs="Times New Roman"/>
      </w:rPr>
    </w:lvl>
    <w:lvl w:ilvl="3" w:tplc="FFFFFFFF">
      <w:start w:val="1"/>
      <w:numFmt w:val="decimal"/>
      <w:lvlText w:val="%4."/>
      <w:lvlJc w:val="left"/>
      <w:pPr>
        <w:ind w:left="2969" w:hanging="360"/>
      </w:pPr>
      <w:rPr>
        <w:rFonts w:cs="Times New Roman"/>
      </w:rPr>
    </w:lvl>
    <w:lvl w:ilvl="4" w:tplc="FFFFFFFF">
      <w:start w:val="1"/>
      <w:numFmt w:val="lowerLetter"/>
      <w:lvlText w:val="%5."/>
      <w:lvlJc w:val="left"/>
      <w:pPr>
        <w:ind w:left="3689" w:hanging="360"/>
      </w:pPr>
      <w:rPr>
        <w:rFonts w:cs="Times New Roman"/>
      </w:rPr>
    </w:lvl>
    <w:lvl w:ilvl="5" w:tplc="FFFFFFFF">
      <w:start w:val="1"/>
      <w:numFmt w:val="lowerRoman"/>
      <w:lvlText w:val="%6."/>
      <w:lvlJc w:val="right"/>
      <w:pPr>
        <w:ind w:left="4409" w:hanging="180"/>
      </w:pPr>
      <w:rPr>
        <w:rFonts w:cs="Times New Roman"/>
      </w:rPr>
    </w:lvl>
    <w:lvl w:ilvl="6" w:tplc="FFFFFFFF">
      <w:start w:val="1"/>
      <w:numFmt w:val="decimal"/>
      <w:lvlText w:val="%7."/>
      <w:lvlJc w:val="left"/>
      <w:pPr>
        <w:ind w:left="5129" w:hanging="360"/>
      </w:pPr>
      <w:rPr>
        <w:rFonts w:cs="Times New Roman"/>
      </w:rPr>
    </w:lvl>
    <w:lvl w:ilvl="7" w:tplc="FFFFFFFF">
      <w:start w:val="1"/>
      <w:numFmt w:val="lowerLetter"/>
      <w:lvlText w:val="%8."/>
      <w:lvlJc w:val="left"/>
      <w:pPr>
        <w:ind w:left="5849" w:hanging="360"/>
      </w:pPr>
      <w:rPr>
        <w:rFonts w:cs="Times New Roman"/>
      </w:rPr>
    </w:lvl>
    <w:lvl w:ilvl="8" w:tplc="FFFFFFFF">
      <w:start w:val="1"/>
      <w:numFmt w:val="lowerRoman"/>
      <w:lvlText w:val="%9."/>
      <w:lvlJc w:val="right"/>
      <w:pPr>
        <w:ind w:left="6569" w:hanging="180"/>
      </w:pPr>
      <w:rPr>
        <w:rFonts w:cs="Times New Roman"/>
      </w:rPr>
    </w:lvl>
  </w:abstractNum>
  <w:abstractNum w:abstractNumId="36" w15:restartNumberingAfterBreak="0">
    <w:nsid w:val="4C843614"/>
    <w:multiLevelType w:val="hybridMultilevel"/>
    <w:tmpl w:val="4C843614"/>
    <w:lvl w:ilvl="0" w:tplc="FFFFFFFF">
      <w:start w:val="1"/>
      <w:numFmt w:val="lowerLetter"/>
      <w:lvlText w:val="%1)"/>
      <w:lvlJc w:val="left"/>
      <w:pPr>
        <w:ind w:left="1712" w:hanging="360"/>
      </w:pPr>
      <w:rPr>
        <w:rFonts w:cs="Times New Roman"/>
        <w:b/>
      </w:rPr>
    </w:lvl>
    <w:lvl w:ilvl="1" w:tplc="FFFFFFFF">
      <w:start w:val="1"/>
      <w:numFmt w:val="lowerLetter"/>
      <w:lvlText w:val="%2."/>
      <w:lvlJc w:val="left"/>
      <w:pPr>
        <w:ind w:left="2432" w:hanging="360"/>
      </w:pPr>
      <w:rPr>
        <w:rFonts w:cs="Times New Roman"/>
      </w:rPr>
    </w:lvl>
    <w:lvl w:ilvl="2" w:tplc="FFFFFFFF">
      <w:start w:val="1"/>
      <w:numFmt w:val="lowerRoman"/>
      <w:lvlText w:val="%3."/>
      <w:lvlJc w:val="right"/>
      <w:pPr>
        <w:ind w:left="3152" w:hanging="180"/>
      </w:pPr>
      <w:rPr>
        <w:rFonts w:cs="Times New Roman"/>
      </w:rPr>
    </w:lvl>
    <w:lvl w:ilvl="3" w:tplc="FFFFFFFF">
      <w:start w:val="1"/>
      <w:numFmt w:val="decimal"/>
      <w:lvlText w:val="%4."/>
      <w:lvlJc w:val="left"/>
      <w:pPr>
        <w:ind w:left="3872" w:hanging="360"/>
      </w:pPr>
      <w:rPr>
        <w:rFonts w:cs="Times New Roman"/>
      </w:rPr>
    </w:lvl>
    <w:lvl w:ilvl="4" w:tplc="FFFFFFFF">
      <w:start w:val="1"/>
      <w:numFmt w:val="lowerLetter"/>
      <w:lvlText w:val="%5."/>
      <w:lvlJc w:val="left"/>
      <w:pPr>
        <w:ind w:left="4592" w:hanging="360"/>
      </w:pPr>
      <w:rPr>
        <w:rFonts w:cs="Times New Roman"/>
      </w:rPr>
    </w:lvl>
    <w:lvl w:ilvl="5" w:tplc="FFFFFFFF">
      <w:start w:val="1"/>
      <w:numFmt w:val="lowerRoman"/>
      <w:lvlText w:val="%6."/>
      <w:lvlJc w:val="right"/>
      <w:pPr>
        <w:ind w:left="5312" w:hanging="180"/>
      </w:pPr>
      <w:rPr>
        <w:rFonts w:cs="Times New Roman"/>
      </w:rPr>
    </w:lvl>
    <w:lvl w:ilvl="6" w:tplc="FFFFFFFF">
      <w:start w:val="1"/>
      <w:numFmt w:val="decimal"/>
      <w:lvlText w:val="%7."/>
      <w:lvlJc w:val="left"/>
      <w:pPr>
        <w:ind w:left="6032" w:hanging="360"/>
      </w:pPr>
      <w:rPr>
        <w:rFonts w:cs="Times New Roman"/>
      </w:rPr>
    </w:lvl>
    <w:lvl w:ilvl="7" w:tplc="FFFFFFFF">
      <w:start w:val="1"/>
      <w:numFmt w:val="lowerLetter"/>
      <w:lvlText w:val="%8."/>
      <w:lvlJc w:val="left"/>
      <w:pPr>
        <w:ind w:left="6752" w:hanging="360"/>
      </w:pPr>
      <w:rPr>
        <w:rFonts w:cs="Times New Roman"/>
      </w:rPr>
    </w:lvl>
    <w:lvl w:ilvl="8" w:tplc="FFFFFFFF">
      <w:start w:val="1"/>
      <w:numFmt w:val="lowerRoman"/>
      <w:lvlText w:val="%9."/>
      <w:lvlJc w:val="right"/>
      <w:pPr>
        <w:ind w:left="7472" w:hanging="180"/>
      </w:pPr>
      <w:rPr>
        <w:rFonts w:cs="Times New Roman"/>
      </w:rPr>
    </w:lvl>
  </w:abstractNum>
  <w:abstractNum w:abstractNumId="37" w15:restartNumberingAfterBreak="0">
    <w:nsid w:val="509707D7"/>
    <w:multiLevelType w:val="hybridMultilevel"/>
    <w:tmpl w:val="509707D7"/>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8" w15:restartNumberingAfterBreak="0">
    <w:nsid w:val="51451C3A"/>
    <w:multiLevelType w:val="hybridMultilevel"/>
    <w:tmpl w:val="51451C3A"/>
    <w:lvl w:ilvl="0" w:tplc="FFFFFFFF">
      <w:start w:val="1"/>
      <w:numFmt w:val="decimal"/>
      <w:lvlText w:val="%1)"/>
      <w:lvlJc w:val="left"/>
      <w:pPr>
        <w:ind w:left="-150" w:hanging="600"/>
      </w:pPr>
      <w:rPr>
        <w:rFonts w:cs="Times New Roman"/>
      </w:rPr>
    </w:lvl>
    <w:lvl w:ilvl="1" w:tplc="FFFFFFFF">
      <w:start w:val="1"/>
      <w:numFmt w:val="lowerLetter"/>
      <w:lvlText w:val="%2."/>
      <w:lvlJc w:val="left"/>
      <w:pPr>
        <w:ind w:left="1065" w:hanging="360"/>
      </w:pPr>
      <w:rPr>
        <w:rFonts w:cs="Times New Roman"/>
      </w:rPr>
    </w:lvl>
    <w:lvl w:ilvl="2" w:tplc="FFFFFFFF">
      <w:start w:val="1"/>
      <w:numFmt w:val="lowerRoman"/>
      <w:lvlText w:val="%3."/>
      <w:lvlJc w:val="right"/>
      <w:pPr>
        <w:ind w:left="1785" w:hanging="180"/>
      </w:pPr>
      <w:rPr>
        <w:rFonts w:cs="Times New Roman"/>
      </w:rPr>
    </w:lvl>
    <w:lvl w:ilvl="3" w:tplc="FFFFFFFF">
      <w:start w:val="1"/>
      <w:numFmt w:val="decimal"/>
      <w:lvlText w:val="%4."/>
      <w:lvlJc w:val="left"/>
      <w:pPr>
        <w:ind w:left="2505" w:hanging="360"/>
      </w:pPr>
      <w:rPr>
        <w:rFonts w:cs="Times New Roman"/>
      </w:rPr>
    </w:lvl>
    <w:lvl w:ilvl="4" w:tplc="FFFFFFFF">
      <w:start w:val="1"/>
      <w:numFmt w:val="lowerLetter"/>
      <w:lvlText w:val="%5."/>
      <w:lvlJc w:val="left"/>
      <w:pPr>
        <w:ind w:left="3225" w:hanging="360"/>
      </w:pPr>
      <w:rPr>
        <w:rFonts w:cs="Times New Roman"/>
      </w:rPr>
    </w:lvl>
    <w:lvl w:ilvl="5" w:tplc="FFFFFFFF">
      <w:start w:val="1"/>
      <w:numFmt w:val="lowerRoman"/>
      <w:lvlText w:val="%6."/>
      <w:lvlJc w:val="right"/>
      <w:pPr>
        <w:ind w:left="3945" w:hanging="180"/>
      </w:pPr>
      <w:rPr>
        <w:rFonts w:cs="Times New Roman"/>
      </w:rPr>
    </w:lvl>
    <w:lvl w:ilvl="6" w:tplc="FFFFFFFF">
      <w:start w:val="1"/>
      <w:numFmt w:val="decimal"/>
      <w:lvlText w:val="%7."/>
      <w:lvlJc w:val="left"/>
      <w:pPr>
        <w:ind w:left="4665" w:hanging="360"/>
      </w:pPr>
      <w:rPr>
        <w:rFonts w:cs="Times New Roman"/>
      </w:rPr>
    </w:lvl>
    <w:lvl w:ilvl="7" w:tplc="FFFFFFFF">
      <w:start w:val="1"/>
      <w:numFmt w:val="lowerLetter"/>
      <w:lvlText w:val="%8."/>
      <w:lvlJc w:val="left"/>
      <w:pPr>
        <w:ind w:left="5385" w:hanging="360"/>
      </w:pPr>
      <w:rPr>
        <w:rFonts w:cs="Times New Roman"/>
      </w:rPr>
    </w:lvl>
    <w:lvl w:ilvl="8" w:tplc="FFFFFFFF">
      <w:start w:val="1"/>
      <w:numFmt w:val="lowerRoman"/>
      <w:lvlText w:val="%9."/>
      <w:lvlJc w:val="right"/>
      <w:pPr>
        <w:ind w:left="6105" w:hanging="180"/>
      </w:pPr>
      <w:rPr>
        <w:rFonts w:cs="Times New Roman"/>
      </w:rPr>
    </w:lvl>
  </w:abstractNum>
  <w:abstractNum w:abstractNumId="39" w15:restartNumberingAfterBreak="0">
    <w:nsid w:val="53506898"/>
    <w:multiLevelType w:val="hybridMultilevel"/>
    <w:tmpl w:val="53506898"/>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0" w15:restartNumberingAfterBreak="0">
    <w:nsid w:val="5541547D"/>
    <w:multiLevelType w:val="hybridMultilevel"/>
    <w:tmpl w:val="5541547D"/>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1" w15:restartNumberingAfterBreak="0">
    <w:nsid w:val="56E72E1D"/>
    <w:multiLevelType w:val="hybridMultilevel"/>
    <w:tmpl w:val="56E72E1D"/>
    <w:lvl w:ilvl="0" w:tplc="FFFFFFFF">
      <w:start w:val="1"/>
      <w:numFmt w:val="lowerLetter"/>
      <w:lvlText w:val="%1."/>
      <w:lvlJc w:val="left"/>
      <w:pPr>
        <w:ind w:left="1004" w:hanging="360"/>
      </w:pPr>
      <w:rPr>
        <w:rFonts w:cs="Times New Roman"/>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abstractNum w:abstractNumId="42" w15:restartNumberingAfterBreak="0">
    <w:nsid w:val="57B44D9E"/>
    <w:multiLevelType w:val="hybridMultilevel"/>
    <w:tmpl w:val="57B44D9E"/>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3" w15:restartNumberingAfterBreak="0">
    <w:nsid w:val="5B064ED0"/>
    <w:multiLevelType w:val="hybridMultilevel"/>
    <w:tmpl w:val="5B064ED0"/>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4" w15:restartNumberingAfterBreak="0">
    <w:nsid w:val="5F7554F0"/>
    <w:multiLevelType w:val="hybridMultilevel"/>
    <w:tmpl w:val="5F7554F0"/>
    <w:lvl w:ilvl="0" w:tplc="FFFFFFFF">
      <w:start w:val="1"/>
      <w:numFmt w:val="lowerLetter"/>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5" w15:restartNumberingAfterBreak="0">
    <w:nsid w:val="613F0B7A"/>
    <w:multiLevelType w:val="hybridMultilevel"/>
    <w:tmpl w:val="613F0B7A"/>
    <w:lvl w:ilvl="0" w:tplc="FFFFFFFF">
      <w:start w:val="1"/>
      <w:numFmt w:val="lowerLetter"/>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6" w15:restartNumberingAfterBreak="0">
    <w:nsid w:val="629B1EDB"/>
    <w:multiLevelType w:val="hybridMultilevel"/>
    <w:tmpl w:val="629B1EDB"/>
    <w:lvl w:ilvl="0" w:tplc="FFFFFFFF">
      <w:start w:val="1"/>
      <w:numFmt w:val="lowerLetter"/>
      <w:lvlText w:val="%1."/>
      <w:lvlJc w:val="left"/>
      <w:pPr>
        <w:ind w:left="809" w:hanging="360"/>
      </w:pPr>
      <w:rPr>
        <w:rFonts w:cs="Times New Roman"/>
      </w:rPr>
    </w:lvl>
    <w:lvl w:ilvl="1" w:tplc="FFFFFFFF">
      <w:start w:val="1"/>
      <w:numFmt w:val="lowerLetter"/>
      <w:lvlText w:val="%2."/>
      <w:lvlJc w:val="left"/>
      <w:pPr>
        <w:ind w:left="1529" w:hanging="360"/>
      </w:pPr>
      <w:rPr>
        <w:rFonts w:cs="Times New Roman"/>
      </w:rPr>
    </w:lvl>
    <w:lvl w:ilvl="2" w:tplc="FFFFFFFF">
      <w:start w:val="1"/>
      <w:numFmt w:val="lowerRoman"/>
      <w:lvlText w:val="%3."/>
      <w:lvlJc w:val="right"/>
      <w:pPr>
        <w:ind w:left="2249" w:hanging="180"/>
      </w:pPr>
      <w:rPr>
        <w:rFonts w:cs="Times New Roman"/>
      </w:rPr>
    </w:lvl>
    <w:lvl w:ilvl="3" w:tplc="FFFFFFFF">
      <w:start w:val="1"/>
      <w:numFmt w:val="decimal"/>
      <w:lvlText w:val="%4."/>
      <w:lvlJc w:val="left"/>
      <w:pPr>
        <w:ind w:left="2969" w:hanging="360"/>
      </w:pPr>
      <w:rPr>
        <w:rFonts w:cs="Times New Roman"/>
      </w:rPr>
    </w:lvl>
    <w:lvl w:ilvl="4" w:tplc="FFFFFFFF">
      <w:start w:val="1"/>
      <w:numFmt w:val="lowerLetter"/>
      <w:lvlText w:val="%5."/>
      <w:lvlJc w:val="left"/>
      <w:pPr>
        <w:ind w:left="3689" w:hanging="360"/>
      </w:pPr>
      <w:rPr>
        <w:rFonts w:cs="Times New Roman"/>
      </w:rPr>
    </w:lvl>
    <w:lvl w:ilvl="5" w:tplc="FFFFFFFF">
      <w:start w:val="1"/>
      <w:numFmt w:val="lowerRoman"/>
      <w:lvlText w:val="%6."/>
      <w:lvlJc w:val="right"/>
      <w:pPr>
        <w:ind w:left="4409" w:hanging="180"/>
      </w:pPr>
      <w:rPr>
        <w:rFonts w:cs="Times New Roman"/>
      </w:rPr>
    </w:lvl>
    <w:lvl w:ilvl="6" w:tplc="FFFFFFFF">
      <w:start w:val="1"/>
      <w:numFmt w:val="decimal"/>
      <w:lvlText w:val="%7."/>
      <w:lvlJc w:val="left"/>
      <w:pPr>
        <w:ind w:left="5129" w:hanging="360"/>
      </w:pPr>
      <w:rPr>
        <w:rFonts w:cs="Times New Roman"/>
      </w:rPr>
    </w:lvl>
    <w:lvl w:ilvl="7" w:tplc="FFFFFFFF">
      <w:start w:val="1"/>
      <w:numFmt w:val="lowerLetter"/>
      <w:lvlText w:val="%8."/>
      <w:lvlJc w:val="left"/>
      <w:pPr>
        <w:ind w:left="5849" w:hanging="360"/>
      </w:pPr>
      <w:rPr>
        <w:rFonts w:cs="Times New Roman"/>
      </w:rPr>
    </w:lvl>
    <w:lvl w:ilvl="8" w:tplc="FFFFFFFF">
      <w:start w:val="1"/>
      <w:numFmt w:val="lowerRoman"/>
      <w:lvlText w:val="%9."/>
      <w:lvlJc w:val="right"/>
      <w:pPr>
        <w:ind w:left="6569" w:hanging="180"/>
      </w:pPr>
      <w:rPr>
        <w:rFonts w:cs="Times New Roman"/>
      </w:rPr>
    </w:lvl>
  </w:abstractNum>
  <w:abstractNum w:abstractNumId="47" w15:restartNumberingAfterBreak="0">
    <w:nsid w:val="6B1BBD6B"/>
    <w:multiLevelType w:val="singleLevel"/>
    <w:tmpl w:val="6B1BBD6B"/>
    <w:lvl w:ilvl="0">
      <w:start w:val="1"/>
      <w:numFmt w:val="bullet"/>
      <w:lvlText w:val=""/>
      <w:lvlJc w:val="left"/>
      <w:pPr>
        <w:tabs>
          <w:tab w:val="num" w:pos="780"/>
        </w:tabs>
        <w:ind w:left="780" w:hanging="360"/>
      </w:pPr>
      <w:rPr>
        <w:rFonts w:ascii="Wingdings" w:eastAsia="SimSun" w:hAnsi="Wingdings"/>
      </w:rPr>
    </w:lvl>
  </w:abstractNum>
  <w:abstractNum w:abstractNumId="48" w15:restartNumberingAfterBreak="0">
    <w:nsid w:val="6FE32522"/>
    <w:multiLevelType w:val="hybridMultilevel"/>
    <w:tmpl w:val="6FE32522"/>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9" w15:restartNumberingAfterBreak="0">
    <w:nsid w:val="74633A4F"/>
    <w:multiLevelType w:val="hybridMultilevel"/>
    <w:tmpl w:val="74633A4F"/>
    <w:lvl w:ilvl="0" w:tplc="FFFFFFFF">
      <w:start w:val="1"/>
      <w:numFmt w:val="decimal"/>
      <w:lvlText w:val="%1."/>
      <w:lvlJc w:val="left"/>
      <w:pPr>
        <w:ind w:left="1413" w:hanging="360"/>
      </w:pPr>
      <w:rPr>
        <w:rFonts w:cs="Times New Roman"/>
        <w:sz w:val="24"/>
      </w:rPr>
    </w:lvl>
    <w:lvl w:ilvl="1" w:tplc="FFFFFFFF">
      <w:start w:val="1"/>
      <w:numFmt w:val="lowerLetter"/>
      <w:lvlText w:val="%2."/>
      <w:lvlJc w:val="left"/>
      <w:pPr>
        <w:ind w:left="2133" w:hanging="360"/>
      </w:pPr>
      <w:rPr>
        <w:rFonts w:cs="Times New Roman"/>
      </w:rPr>
    </w:lvl>
    <w:lvl w:ilvl="2" w:tplc="FFFFFFFF">
      <w:start w:val="1"/>
      <w:numFmt w:val="lowerRoman"/>
      <w:lvlText w:val="%3."/>
      <w:lvlJc w:val="right"/>
      <w:pPr>
        <w:ind w:left="2853" w:hanging="180"/>
      </w:pPr>
      <w:rPr>
        <w:rFonts w:cs="Times New Roman"/>
      </w:rPr>
    </w:lvl>
    <w:lvl w:ilvl="3" w:tplc="FFFFFFFF">
      <w:start w:val="1"/>
      <w:numFmt w:val="decimal"/>
      <w:lvlText w:val="%4."/>
      <w:lvlJc w:val="left"/>
      <w:pPr>
        <w:ind w:left="3573" w:hanging="360"/>
      </w:pPr>
      <w:rPr>
        <w:rFonts w:cs="Times New Roman"/>
      </w:rPr>
    </w:lvl>
    <w:lvl w:ilvl="4" w:tplc="FFFFFFFF">
      <w:start w:val="1"/>
      <w:numFmt w:val="lowerLetter"/>
      <w:lvlText w:val="%5."/>
      <w:lvlJc w:val="left"/>
      <w:pPr>
        <w:ind w:left="4293" w:hanging="360"/>
      </w:pPr>
      <w:rPr>
        <w:rFonts w:cs="Times New Roman"/>
      </w:rPr>
    </w:lvl>
    <w:lvl w:ilvl="5" w:tplc="FFFFFFFF">
      <w:start w:val="1"/>
      <w:numFmt w:val="lowerRoman"/>
      <w:lvlText w:val="%6."/>
      <w:lvlJc w:val="right"/>
      <w:pPr>
        <w:ind w:left="5013" w:hanging="180"/>
      </w:pPr>
      <w:rPr>
        <w:rFonts w:cs="Times New Roman"/>
      </w:rPr>
    </w:lvl>
    <w:lvl w:ilvl="6" w:tplc="FFFFFFFF">
      <w:start w:val="1"/>
      <w:numFmt w:val="decimal"/>
      <w:lvlText w:val="%7."/>
      <w:lvlJc w:val="left"/>
      <w:pPr>
        <w:ind w:left="5733" w:hanging="360"/>
      </w:pPr>
      <w:rPr>
        <w:rFonts w:cs="Times New Roman"/>
      </w:rPr>
    </w:lvl>
    <w:lvl w:ilvl="7" w:tplc="FFFFFFFF">
      <w:start w:val="1"/>
      <w:numFmt w:val="lowerLetter"/>
      <w:lvlText w:val="%8."/>
      <w:lvlJc w:val="left"/>
      <w:pPr>
        <w:ind w:left="6453" w:hanging="360"/>
      </w:pPr>
      <w:rPr>
        <w:rFonts w:cs="Times New Roman"/>
      </w:rPr>
    </w:lvl>
    <w:lvl w:ilvl="8" w:tplc="FFFFFFFF">
      <w:start w:val="1"/>
      <w:numFmt w:val="lowerRoman"/>
      <w:lvlText w:val="%9."/>
      <w:lvlJc w:val="right"/>
      <w:pPr>
        <w:ind w:left="7173" w:hanging="180"/>
      </w:pPr>
      <w:rPr>
        <w:rFonts w:cs="Times New Roman"/>
      </w:rPr>
    </w:lvl>
  </w:abstractNum>
  <w:abstractNum w:abstractNumId="50" w15:restartNumberingAfterBreak="0">
    <w:nsid w:val="76AB5283"/>
    <w:multiLevelType w:val="hybridMultilevel"/>
    <w:tmpl w:val="76AB5283"/>
    <w:lvl w:ilvl="0" w:tplc="FFFFFFFF">
      <w:start w:val="1"/>
      <w:numFmt w:val="decimal"/>
      <w:lvlText w:val="%1)"/>
      <w:lvlJc w:val="left"/>
      <w:pPr>
        <w:ind w:left="720"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1" w15:restartNumberingAfterBreak="0">
    <w:nsid w:val="793FF171"/>
    <w:multiLevelType w:val="singleLevel"/>
    <w:tmpl w:val="793FF171"/>
    <w:lvl w:ilvl="0">
      <w:start w:val="1"/>
      <w:numFmt w:val="decimal"/>
      <w:lvlText w:val="%1."/>
      <w:lvlJc w:val="left"/>
      <w:pPr>
        <w:tabs>
          <w:tab w:val="num" w:pos="1620"/>
        </w:tabs>
        <w:ind w:left="1620" w:hanging="360"/>
      </w:pPr>
    </w:lvl>
  </w:abstractNum>
  <w:abstractNum w:abstractNumId="52" w15:restartNumberingAfterBreak="0">
    <w:nsid w:val="7B857A15"/>
    <w:multiLevelType w:val="hybridMultilevel"/>
    <w:tmpl w:val="7B857A15"/>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3" w15:restartNumberingAfterBreak="0">
    <w:nsid w:val="7C1E659A"/>
    <w:multiLevelType w:val="hybridMultilevel"/>
    <w:tmpl w:val="7C1E659A"/>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54" w15:restartNumberingAfterBreak="0">
    <w:nsid w:val="7C7E3CEA"/>
    <w:multiLevelType w:val="hybridMultilevel"/>
    <w:tmpl w:val="7C7E3CEA"/>
    <w:lvl w:ilvl="0" w:tplc="FFFFFFFF">
      <w:start w:val="1"/>
      <w:numFmt w:val="decimal"/>
      <w:lvlText w:val="%1."/>
      <w:lvlJc w:val="left"/>
      <w:pPr>
        <w:ind w:left="567" w:hanging="358"/>
      </w:pPr>
      <w:rPr>
        <w:rFonts w:cs="Times New Roman"/>
        <w:b/>
      </w:rPr>
    </w:lvl>
    <w:lvl w:ilvl="1" w:tplc="FFFFFFFF">
      <w:start w:val="1"/>
      <w:numFmt w:val="lowerLetter"/>
      <w:lvlText w:val="%2."/>
      <w:lvlJc w:val="left"/>
      <w:pPr>
        <w:ind w:left="863" w:hanging="706"/>
      </w:pPr>
      <w:rPr>
        <w:rFonts w:cs="Times New Roman"/>
        <w:b/>
        <w:sz w:val="22"/>
        <w:szCs w:val="22"/>
      </w:rPr>
    </w:lvl>
    <w:lvl w:ilvl="2" w:tplc="FFFFFFFF">
      <w:start w:val="1"/>
      <w:numFmt w:val="decimal"/>
      <w:lvlText w:val="%3)"/>
      <w:lvlJc w:val="left"/>
      <w:pPr>
        <w:ind w:left="1429" w:hanging="360"/>
      </w:pPr>
      <w:rPr>
        <w:rFonts w:ascii="Times New Roman" w:eastAsia="Times New Roman" w:hAnsi="Times New Roman" w:cs="Times New Roman"/>
        <w:i/>
        <w:sz w:val="22"/>
        <w:szCs w:val="22"/>
      </w:rPr>
    </w:lvl>
    <w:lvl w:ilvl="3" w:tplc="FFFFFFFF">
      <w:start w:val="1"/>
      <w:numFmt w:val="lowerLetter"/>
      <w:lvlText w:val="%4."/>
      <w:lvlJc w:val="left"/>
      <w:pPr>
        <w:ind w:left="1844" w:hanging="360"/>
      </w:pPr>
      <w:rPr>
        <w:rFonts w:ascii="Times New Roman" w:eastAsia="Times New Roman" w:hAnsi="Times New Roman" w:cs="Times New Roman"/>
        <w:i/>
        <w:sz w:val="22"/>
        <w:szCs w:val="22"/>
      </w:rPr>
    </w:lvl>
    <w:lvl w:ilvl="4" w:tplc="FFFFFFFF">
      <w:numFmt w:val="bullet"/>
      <w:lvlText w:val="•"/>
      <w:lvlJc w:val="left"/>
      <w:pPr>
        <w:ind w:left="2831" w:hanging="360"/>
      </w:pPr>
    </w:lvl>
    <w:lvl w:ilvl="5" w:tplc="FFFFFFFF">
      <w:numFmt w:val="bullet"/>
      <w:lvlText w:val="•"/>
      <w:lvlJc w:val="left"/>
      <w:pPr>
        <w:ind w:left="3823" w:hanging="360"/>
      </w:pPr>
    </w:lvl>
    <w:lvl w:ilvl="6" w:tplc="FFFFFFFF">
      <w:numFmt w:val="bullet"/>
      <w:lvlText w:val="•"/>
      <w:lvlJc w:val="left"/>
      <w:pPr>
        <w:ind w:left="4814" w:hanging="360"/>
      </w:pPr>
    </w:lvl>
    <w:lvl w:ilvl="7" w:tplc="FFFFFFFF">
      <w:numFmt w:val="bullet"/>
      <w:lvlText w:val="•"/>
      <w:lvlJc w:val="left"/>
      <w:pPr>
        <w:ind w:left="5806" w:hanging="360"/>
      </w:pPr>
    </w:lvl>
    <w:lvl w:ilvl="8" w:tplc="FFFFFFFF">
      <w:numFmt w:val="bullet"/>
      <w:lvlText w:val="•"/>
      <w:lvlJc w:val="left"/>
      <w:pPr>
        <w:ind w:left="6798" w:hanging="360"/>
      </w:pPr>
    </w:lvl>
  </w:abstractNum>
  <w:abstractNum w:abstractNumId="55" w15:restartNumberingAfterBreak="0">
    <w:nsid w:val="7CC85296"/>
    <w:multiLevelType w:val="hybridMultilevel"/>
    <w:tmpl w:val="7CC85296"/>
    <w:lvl w:ilvl="0" w:tplc="FFFFFFFF">
      <w:start w:val="1"/>
      <w:numFmt w:val="upperRoman"/>
      <w:lvlText w:val="%1."/>
      <w:lvlJc w:val="right"/>
      <w:pPr>
        <w:ind w:left="360" w:hanging="360"/>
      </w:pPr>
      <w:rPr>
        <w:rFonts w:cs="Times New Roman"/>
      </w:rPr>
    </w:lvl>
    <w:lvl w:ilvl="1" w:tplc="FFFFFFFF">
      <w:start w:val="1"/>
      <w:numFmt w:val="lowerLetter"/>
      <w:lvlText w:val="%2."/>
      <w:lvlJc w:val="left"/>
      <w:pPr>
        <w:ind w:left="2149" w:hanging="360"/>
      </w:pPr>
      <w:rPr>
        <w:rFonts w:cs="Times New Roman"/>
      </w:rPr>
    </w:lvl>
    <w:lvl w:ilvl="2" w:tplc="FFFFFFFF">
      <w:start w:val="1"/>
      <w:numFmt w:val="lowerRoman"/>
      <w:lvlText w:val="%3."/>
      <w:lvlJc w:val="right"/>
      <w:pPr>
        <w:ind w:left="2869" w:hanging="180"/>
      </w:pPr>
      <w:rPr>
        <w:rFonts w:cs="Times New Roman"/>
      </w:rPr>
    </w:lvl>
    <w:lvl w:ilvl="3" w:tplc="FFFFFFFF">
      <w:start w:val="1"/>
      <w:numFmt w:val="decimal"/>
      <w:lvlText w:val="%4."/>
      <w:lvlJc w:val="left"/>
      <w:pPr>
        <w:ind w:left="3589" w:hanging="360"/>
      </w:pPr>
      <w:rPr>
        <w:rFonts w:cs="Times New Roman"/>
      </w:rPr>
    </w:lvl>
    <w:lvl w:ilvl="4" w:tplc="FFFFFFFF">
      <w:start w:val="1"/>
      <w:numFmt w:val="lowerLetter"/>
      <w:lvlText w:val="%5."/>
      <w:lvlJc w:val="left"/>
      <w:pPr>
        <w:ind w:left="4309" w:hanging="360"/>
      </w:pPr>
      <w:rPr>
        <w:rFonts w:cs="Times New Roman"/>
      </w:rPr>
    </w:lvl>
    <w:lvl w:ilvl="5" w:tplc="FFFFFFFF">
      <w:start w:val="1"/>
      <w:numFmt w:val="lowerRoman"/>
      <w:lvlText w:val="%6."/>
      <w:lvlJc w:val="right"/>
      <w:pPr>
        <w:ind w:left="5029" w:hanging="180"/>
      </w:pPr>
      <w:rPr>
        <w:rFonts w:cs="Times New Roman"/>
      </w:rPr>
    </w:lvl>
    <w:lvl w:ilvl="6" w:tplc="FFFFFFFF">
      <w:start w:val="1"/>
      <w:numFmt w:val="decimal"/>
      <w:lvlText w:val="%7."/>
      <w:lvlJc w:val="left"/>
      <w:pPr>
        <w:ind w:left="5749" w:hanging="360"/>
      </w:pPr>
      <w:rPr>
        <w:rFonts w:cs="Times New Roman"/>
      </w:rPr>
    </w:lvl>
    <w:lvl w:ilvl="7" w:tplc="FFFFFFFF">
      <w:start w:val="1"/>
      <w:numFmt w:val="lowerLetter"/>
      <w:lvlText w:val="%8."/>
      <w:lvlJc w:val="left"/>
      <w:pPr>
        <w:ind w:left="6469" w:hanging="360"/>
      </w:pPr>
      <w:rPr>
        <w:rFonts w:cs="Times New Roman"/>
      </w:rPr>
    </w:lvl>
    <w:lvl w:ilvl="8" w:tplc="FFFFFFFF">
      <w:start w:val="1"/>
      <w:numFmt w:val="lowerRoman"/>
      <w:lvlText w:val="%9."/>
      <w:lvlJc w:val="right"/>
      <w:pPr>
        <w:ind w:left="7189" w:hanging="180"/>
      </w:pPr>
      <w:rPr>
        <w:rFonts w:cs="Times New Roman"/>
      </w:rPr>
    </w:lvl>
  </w:abstractNum>
  <w:abstractNum w:abstractNumId="56" w15:restartNumberingAfterBreak="0">
    <w:nsid w:val="7E7228F9"/>
    <w:multiLevelType w:val="hybridMultilevel"/>
    <w:tmpl w:val="7E7228F9"/>
    <w:lvl w:ilvl="0" w:tplc="FFFFFFFF">
      <w:start w:val="1"/>
      <w:numFmt w:val="lowerLetter"/>
      <w:lvlText w:val="%1."/>
      <w:lvlJc w:val="left"/>
      <w:pPr>
        <w:ind w:left="1004" w:hanging="360"/>
      </w:pPr>
      <w:rPr>
        <w:rFonts w:cs="Times New Roman"/>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num w:numId="1" w16cid:durableId="311105114">
    <w:abstractNumId w:val="55"/>
  </w:num>
  <w:num w:numId="2" w16cid:durableId="722751324">
    <w:abstractNumId w:val="21"/>
  </w:num>
  <w:num w:numId="3" w16cid:durableId="1193110010">
    <w:abstractNumId w:val="46"/>
  </w:num>
  <w:num w:numId="4" w16cid:durableId="1143429822">
    <w:abstractNumId w:val="35"/>
  </w:num>
  <w:num w:numId="5" w16cid:durableId="121660479">
    <w:abstractNumId w:val="41"/>
  </w:num>
  <w:num w:numId="6" w16cid:durableId="140930246">
    <w:abstractNumId w:val="56"/>
  </w:num>
  <w:num w:numId="7" w16cid:durableId="993989397">
    <w:abstractNumId w:val="54"/>
  </w:num>
  <w:num w:numId="8" w16cid:durableId="676421143">
    <w:abstractNumId w:val="27"/>
  </w:num>
  <w:num w:numId="9" w16cid:durableId="934292656">
    <w:abstractNumId w:val="22"/>
  </w:num>
  <w:num w:numId="10" w16cid:durableId="262733903">
    <w:abstractNumId w:val="30"/>
  </w:num>
  <w:num w:numId="11" w16cid:durableId="587037648">
    <w:abstractNumId w:val="33"/>
  </w:num>
  <w:num w:numId="12" w16cid:durableId="1301961071">
    <w:abstractNumId w:val="37"/>
  </w:num>
  <w:num w:numId="13" w16cid:durableId="135412299">
    <w:abstractNumId w:val="43"/>
  </w:num>
  <w:num w:numId="14" w16cid:durableId="1937518428">
    <w:abstractNumId w:val="20"/>
  </w:num>
  <w:num w:numId="15" w16cid:durableId="1589190884">
    <w:abstractNumId w:val="48"/>
  </w:num>
  <w:num w:numId="16" w16cid:durableId="271282360">
    <w:abstractNumId w:val="11"/>
  </w:num>
  <w:num w:numId="17" w16cid:durableId="315691671">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
    <w15:presenceInfo w15:providerId="None" w15:userI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noLineBreaksAfter w:lang="ja-JP" w:val="([{·‘“〈《「『【〔〖（．［｛￡￥"/>
  <w:noLineBreaksBefore w:lang="ja-JP" w:val="!),.:;?]}¨·ˇˉ―‖’”…∶、。〃々〉》」』】〕〗！＂＇），．：；？］｀｜｝～￠"/>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71"/>
    <w:rsid w:val="000340CE"/>
    <w:rsid w:val="00044162"/>
    <w:rsid w:val="000770EB"/>
    <w:rsid w:val="00083507"/>
    <w:rsid w:val="00097854"/>
    <w:rsid w:val="000D669C"/>
    <w:rsid w:val="001174D2"/>
    <w:rsid w:val="001A442D"/>
    <w:rsid w:val="002019C5"/>
    <w:rsid w:val="00252506"/>
    <w:rsid w:val="00297B64"/>
    <w:rsid w:val="002C7D31"/>
    <w:rsid w:val="0032115C"/>
    <w:rsid w:val="003B4C71"/>
    <w:rsid w:val="00461C1B"/>
    <w:rsid w:val="004B3565"/>
    <w:rsid w:val="004B3E97"/>
    <w:rsid w:val="00521C86"/>
    <w:rsid w:val="005240F8"/>
    <w:rsid w:val="0053115E"/>
    <w:rsid w:val="005F7D97"/>
    <w:rsid w:val="00643C82"/>
    <w:rsid w:val="00697EE9"/>
    <w:rsid w:val="006E0B90"/>
    <w:rsid w:val="0076673A"/>
    <w:rsid w:val="00781506"/>
    <w:rsid w:val="008410F3"/>
    <w:rsid w:val="009D502C"/>
    <w:rsid w:val="00AA7EDC"/>
    <w:rsid w:val="00AB4570"/>
    <w:rsid w:val="00AD5EA3"/>
    <w:rsid w:val="00AF2569"/>
    <w:rsid w:val="00BB6121"/>
    <w:rsid w:val="00C34560"/>
    <w:rsid w:val="00C86322"/>
    <w:rsid w:val="00C926D5"/>
    <w:rsid w:val="00D05C36"/>
    <w:rsid w:val="00D84D00"/>
    <w:rsid w:val="00E02765"/>
    <w:rsid w:val="00E11D75"/>
    <w:rsid w:val="00E63019"/>
    <w:rsid w:val="00F05A0C"/>
    <w:rsid w:val="00F7160D"/>
    <w:rsid w:val="00F77481"/>
    <w:rsid w:val="00FE3D58"/>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4B1BB5"/>
  <w14:defaultImageDpi w14:val="96"/>
  <w15:docId w15:val="{05D38EC2-B5F8-41A9-A9B1-656D56E6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footnote text" w:semiHidden="1" w:unhideWhenUsed="1" w:qFormat="1"/>
    <w:lsdException w:name="header" w:unhideWhenUsed="1"/>
    <w:lsdException w:name="footer" w:unhideWhenUsed="1"/>
    <w:lsdException w:name="caption" w:semiHidden="1" w:uiPriority="35" w:unhideWhenUsed="1" w:qFormat="1"/>
    <w:lsdException w:name="footnote reference" w:unhideWhenUsed="1" w:qFormat="1"/>
    <w:lsdException w:name="page number" w:unhideWhenUsed="1"/>
    <w:lsdException w:name="endnote text" w:semiHidden="1" w:unhideWhenUsed="1" w:qFormat="1"/>
    <w:lsdException w:name="toa heading" w:semiHidden="1" w:unhideWhenUsed="1" w:qFormat="1"/>
    <w:lsdException w:name="List" w:semiHidden="1" w:unhideWhenUsed="1" w:qFormat="1"/>
    <w:lsdException w:name="Title" w:uiPriority="10" w:qFormat="1"/>
    <w:lsdException w:name="Default Paragraph Font" w:unhideWhenUsed="1"/>
    <w:lsdException w:name="Body Text" w:uiPriority="1" w:unhideWhenUsed="1" w:qFormat="1"/>
    <w:lsdException w:name="Body Text Indent"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Subtitle" w:uiPriority="11" w:qFormat="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uiPriority="22" w:qFormat="1"/>
    <w:lsdException w:name="Emphasis" w:uiPriority="20" w:qFormat="1"/>
    <w:lsdException w:name="Normal (Web)" w:unhideWhenUsed="1" w:qFormat="1"/>
    <w:lsdException w:name="HTML Preformatted" w:unhideWhenUsed="1"/>
    <w:lsdException w:name="Normal Table" w:semiHidden="1"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uiPriority="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List Paragraph" w:qFormat="1"/>
    <w:lsdException w:name="Quote" w:qFormat="1"/>
    <w:lsdException w:name="Intense Quote"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rFonts w:cs="Times New Roman"/>
      <w:sz w:val="20"/>
      <w:szCs w:val="20"/>
      <w:lang w:val="en-US" w:eastAsia="en-GB"/>
    </w:rPr>
  </w:style>
  <w:style w:type="paragraph" w:styleId="Heading1">
    <w:name w:val="heading 1"/>
    <w:basedOn w:val="Normal"/>
    <w:next w:val="Normal"/>
    <w:link w:val="Heading1Char"/>
    <w:uiPriority w:val="9"/>
    <w:qFormat/>
    <w:pPr>
      <w:keepNext/>
      <w:spacing w:before="240" w:after="60"/>
      <w:outlineLvl w:val="0"/>
    </w:pPr>
    <w:rPr>
      <w:rFonts w:ascii="Cambria" w:cs="Cambria"/>
      <w:b/>
      <w:kern w:val="32"/>
      <w:sz w:val="32"/>
      <w:szCs w:val="32"/>
    </w:rPr>
  </w:style>
  <w:style w:type="paragraph" w:styleId="Heading2">
    <w:name w:val="heading 2"/>
    <w:basedOn w:val="Normal"/>
    <w:next w:val="Normal"/>
    <w:link w:val="Heading2Char"/>
    <w:uiPriority w:val="9"/>
    <w:qFormat/>
    <w:pPr>
      <w:keepNext/>
      <w:spacing w:before="240" w:after="60"/>
      <w:outlineLvl w:val="1"/>
    </w:pPr>
    <w:rPr>
      <w:rFonts w:ascii="Cambria" w:cs="Cambria"/>
      <w:b/>
      <w:i/>
      <w:sz w:val="28"/>
      <w:szCs w:val="28"/>
    </w:rPr>
  </w:style>
  <w:style w:type="paragraph" w:styleId="Heading3">
    <w:name w:val="heading 3"/>
    <w:basedOn w:val="Normal"/>
    <w:next w:val="Normal"/>
    <w:link w:val="Heading3Char"/>
    <w:uiPriority w:val="9"/>
    <w:qFormat/>
    <w:pPr>
      <w:keepNext/>
      <w:spacing w:before="240" w:after="60"/>
      <w:outlineLvl w:val="2"/>
    </w:pPr>
    <w:rPr>
      <w:rFonts w:ascii="Cambria" w:cs="Cambria"/>
      <w:b/>
      <w:sz w:val="26"/>
      <w:szCs w:val="26"/>
    </w:rPr>
  </w:style>
  <w:style w:type="paragraph" w:styleId="Heading4">
    <w:name w:val="heading 4"/>
    <w:basedOn w:val="Normal"/>
    <w:next w:val="Normal"/>
    <w:link w:val="Heading4Char"/>
    <w:uiPriority w:val="99"/>
    <w:qFormat/>
    <w:pPr>
      <w:keepNext/>
      <w:spacing w:line="360" w:lineRule="auto"/>
      <w:jc w:val="center"/>
      <w:outlineLvl w:val="3"/>
    </w:pPr>
    <w:rPr>
      <w:b/>
      <w:sz w:val="24"/>
      <w:szCs w:val="24"/>
    </w:rPr>
  </w:style>
  <w:style w:type="paragraph" w:styleId="Heading7">
    <w:name w:val="heading 7"/>
    <w:basedOn w:val="Normal"/>
    <w:next w:val="Normal"/>
    <w:link w:val="Heading7Char"/>
    <w:uiPriority w:val="99"/>
    <w:qFormat/>
    <w:pPr>
      <w:keepNext/>
      <w:spacing w:line="360" w:lineRule="auto"/>
      <w:jc w:val="both"/>
      <w:outlineLvl w:val="6"/>
    </w:pPr>
    <w:rPr>
      <w:rFonts w:ascii="Garamond" w:cs="Garamond"/>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1">
    <w:name w:val="Title Char1"/>
    <w:basedOn w:val="DefaultParagraphFont"/>
    <w:link w:val="Title"/>
    <w:uiPriority w:val="10"/>
    <w:unhideWhenUsed/>
    <w:locked/>
    <w:rPr>
      <w:rFonts w:ascii="Cambria" w:cs="Cambria"/>
      <w:b/>
      <w:kern w:val="28"/>
      <w:sz w:val="32"/>
      <w:lang w:eastAsia="en-GB"/>
    </w:rPr>
  </w:style>
  <w:style w:type="character" w:customStyle="1" w:styleId="Heading4Char">
    <w:name w:val="Heading 4 Char"/>
    <w:basedOn w:val="DefaultParagraphFont"/>
    <w:link w:val="Heading4"/>
    <w:uiPriority w:val="9"/>
    <w:unhideWhenUsed/>
    <w:locked/>
    <w:rPr>
      <w:rFonts w:ascii="Calibri" w:cs="Calibri"/>
      <w:b/>
      <w:sz w:val="28"/>
      <w:lang w:eastAsia="en-GB"/>
    </w:rPr>
  </w:style>
  <w:style w:type="character" w:styleId="PageNumber">
    <w:name w:val="page number"/>
    <w:basedOn w:val="DefaultParagraphFont"/>
    <w:uiPriority w:val="99"/>
    <w:unhideWhenUsed/>
  </w:style>
  <w:style w:type="character" w:customStyle="1" w:styleId="Heading7Char">
    <w:name w:val="Heading 7 Char"/>
    <w:basedOn w:val="DefaultParagraphFont"/>
    <w:link w:val="Heading7"/>
    <w:uiPriority w:val="9"/>
    <w:unhideWhenUsed/>
    <w:locked/>
    <w:rPr>
      <w:rFonts w:ascii="Calibri" w:cs="Calibri"/>
      <w:lang w:eastAsia="en-GB"/>
    </w:rPr>
  </w:style>
  <w:style w:type="character" w:customStyle="1" w:styleId="mw-headline">
    <w:name w:val="mw-headline"/>
    <w:unhideWhenUsed/>
  </w:style>
  <w:style w:type="character" w:customStyle="1" w:styleId="hps">
    <w:name w:val="hps"/>
    <w:unhideWhenUsed/>
  </w:style>
  <w:style w:type="character" w:styleId="Hyperlink">
    <w:name w:val="Hyperlink"/>
    <w:basedOn w:val="DefaultParagraphFont"/>
    <w:uiPriority w:val="99"/>
    <w:unhideWhenUsed/>
    <w:rPr>
      <w:color w:val="0000FF"/>
      <w:u w:val="single"/>
    </w:rPr>
  </w:style>
  <w:style w:type="character" w:customStyle="1" w:styleId="FooterChar1">
    <w:name w:val="Footer Char1"/>
    <w:basedOn w:val="DefaultParagraphFont"/>
    <w:link w:val="Footer"/>
    <w:uiPriority w:val="99"/>
    <w:unhideWhenUsed/>
    <w:locked/>
    <w:rPr>
      <w:sz w:val="20"/>
      <w:lang w:eastAsia="en-GB"/>
    </w:rPr>
  </w:style>
  <w:style w:type="character" w:customStyle="1" w:styleId="BodyTextIndentChar1">
    <w:name w:val="Body Text Indent Char1"/>
    <w:basedOn w:val="DefaultParagraphFont"/>
    <w:link w:val="BodyTextIndent"/>
    <w:uiPriority w:val="99"/>
    <w:unhideWhenUsed/>
    <w:locked/>
  </w:style>
  <w:style w:type="character" w:customStyle="1" w:styleId="go">
    <w:name w:val="go"/>
    <w:unhideWhenUsed/>
  </w:style>
  <w:style w:type="character" w:customStyle="1" w:styleId="atn">
    <w:name w:val="atn"/>
    <w:unhideWhenUsed/>
  </w:style>
  <w:style w:type="character" w:styleId="FootnoteReference">
    <w:name w:val="footnote reference"/>
    <w:basedOn w:val="DefaultParagraphFont"/>
    <w:uiPriority w:val="99"/>
    <w:unhideWhenUsed/>
    <w:qFormat/>
    <w:rPr>
      <w:vertAlign w:val="superscript"/>
    </w:rPr>
  </w:style>
  <w:style w:type="character" w:customStyle="1" w:styleId="HTMLPreformattedChar1">
    <w:name w:val="HTML Preformatted Char1"/>
    <w:basedOn w:val="DefaultParagraphFont"/>
    <w:link w:val="HTMLPreformatted"/>
    <w:uiPriority w:val="99"/>
    <w:unhideWhenUsed/>
    <w:locked/>
    <w:rPr>
      <w:rFonts w:ascii="Courier New" w:cs="Courier New"/>
    </w:rPr>
  </w:style>
  <w:style w:type="character" w:customStyle="1" w:styleId="BalloonTextChar1">
    <w:name w:val="Balloon Text Char1"/>
    <w:basedOn w:val="DefaultParagraphFont"/>
    <w:link w:val="BalloonText"/>
    <w:uiPriority w:val="99"/>
    <w:unhideWhenUsed/>
    <w:locked/>
    <w:rPr>
      <w:rFonts w:ascii="Tahoma" w:cs="Tahoma"/>
      <w:sz w:val="16"/>
      <w:lang w:eastAsia="en-GB"/>
    </w:rPr>
  </w:style>
  <w:style w:type="character" w:styleId="Emphasis">
    <w:name w:val="Emphasis"/>
    <w:basedOn w:val="DefaultParagraphFont"/>
    <w:uiPriority w:val="20"/>
    <w:qFormat/>
    <w:rPr>
      <w:i/>
    </w:rPr>
  </w:style>
  <w:style w:type="character" w:styleId="FollowedHyperlink">
    <w:name w:val="FollowedHyperlink"/>
    <w:basedOn w:val="DefaultParagraphFont"/>
    <w:uiPriority w:val="99"/>
    <w:unhideWhenUsed/>
    <w:rPr>
      <w:color w:val="800080"/>
      <w:u w:val="single"/>
    </w:rPr>
  </w:style>
  <w:style w:type="character" w:customStyle="1" w:styleId="Heading3Char">
    <w:name w:val="Heading 3 Char"/>
    <w:basedOn w:val="DefaultParagraphFont"/>
    <w:link w:val="Heading3"/>
    <w:uiPriority w:val="9"/>
    <w:unhideWhenUsed/>
    <w:locked/>
    <w:rPr>
      <w:rFonts w:ascii="Cambria" w:cs="Cambria"/>
      <w:b/>
      <w:sz w:val="26"/>
      <w:lang w:eastAsia="en-GB"/>
    </w:rPr>
  </w:style>
  <w:style w:type="character" w:customStyle="1" w:styleId="BodyTextIndent2Char1">
    <w:name w:val="Body Text Indent 2 Char1"/>
    <w:basedOn w:val="DefaultParagraphFont"/>
    <w:link w:val="BodyTextIndent2"/>
    <w:uiPriority w:val="99"/>
    <w:unhideWhenUsed/>
    <w:locked/>
    <w:rPr>
      <w:lang w:eastAsia="en-GB"/>
    </w:rPr>
  </w:style>
  <w:style w:type="character" w:customStyle="1" w:styleId="fontstyle22">
    <w:name w:val="fontstyle22"/>
    <w:unhideWhenUsed/>
  </w:style>
  <w:style w:type="character" w:customStyle="1" w:styleId="Heading2Char">
    <w:name w:val="Heading 2 Char"/>
    <w:basedOn w:val="DefaultParagraphFont"/>
    <w:link w:val="Heading2"/>
    <w:uiPriority w:val="9"/>
    <w:unhideWhenUsed/>
    <w:locked/>
    <w:rPr>
      <w:rFonts w:ascii="Cambria" w:cs="Cambria"/>
      <w:b/>
      <w:i/>
      <w:sz w:val="28"/>
      <w:lang w:eastAsia="en-GB"/>
    </w:rPr>
  </w:style>
  <w:style w:type="character" w:customStyle="1" w:styleId="Heading1Char">
    <w:name w:val="Heading 1 Char"/>
    <w:basedOn w:val="DefaultParagraphFont"/>
    <w:link w:val="Heading1"/>
    <w:uiPriority w:val="9"/>
    <w:unhideWhenUsed/>
    <w:locked/>
    <w:rPr>
      <w:rFonts w:ascii="Cambria" w:cs="Cambria"/>
      <w:b/>
      <w:kern w:val="32"/>
      <w:sz w:val="32"/>
      <w:lang w:eastAsia="en-GB"/>
    </w:rPr>
  </w:style>
  <w:style w:type="character" w:customStyle="1" w:styleId="FootnoteTextChar1">
    <w:name w:val="Footnote Text Char1"/>
    <w:basedOn w:val="DefaultParagraphFont"/>
    <w:link w:val="FootnoteText"/>
    <w:uiPriority w:val="99"/>
    <w:unhideWhenUsed/>
    <w:qFormat/>
    <w:locked/>
    <w:rPr>
      <w:lang w:eastAsia="en-GB"/>
    </w:rPr>
  </w:style>
  <w:style w:type="character" w:customStyle="1" w:styleId="BodyText2Char1">
    <w:name w:val="Body Text 2 Char1"/>
    <w:basedOn w:val="DefaultParagraphFont"/>
    <w:link w:val="BodyText2"/>
    <w:uiPriority w:val="99"/>
    <w:unhideWhenUsed/>
    <w:locked/>
    <w:rPr>
      <w:sz w:val="20"/>
      <w:lang w:eastAsia="en-GB"/>
    </w:rPr>
  </w:style>
  <w:style w:type="character" w:customStyle="1" w:styleId="BodyTextChar1">
    <w:name w:val="Body Text Char1"/>
    <w:basedOn w:val="DefaultParagraphFont"/>
    <w:link w:val="BodyText"/>
    <w:uiPriority w:val="1"/>
    <w:unhideWhenUsed/>
    <w:locked/>
    <w:rPr>
      <w:sz w:val="20"/>
      <w:lang w:eastAsia="en-GB"/>
    </w:rPr>
  </w:style>
  <w:style w:type="character" w:customStyle="1" w:styleId="BodyText3Char1">
    <w:name w:val="Body Text 3 Char1"/>
    <w:basedOn w:val="DefaultParagraphFont"/>
    <w:link w:val="BodyText3"/>
    <w:uiPriority w:val="99"/>
    <w:unhideWhenUsed/>
    <w:locked/>
    <w:rPr>
      <w:sz w:val="16"/>
    </w:rPr>
  </w:style>
  <w:style w:type="character" w:customStyle="1" w:styleId="HeaderChar1">
    <w:name w:val="Header Char1"/>
    <w:basedOn w:val="DefaultParagraphFont"/>
    <w:link w:val="Header"/>
    <w:uiPriority w:val="99"/>
    <w:unhideWhenUsed/>
    <w:locked/>
    <w:rPr>
      <w:sz w:val="20"/>
      <w:lang w:eastAsia="en-GB"/>
    </w:rPr>
  </w:style>
  <w:style w:type="character" w:customStyle="1" w:styleId="ListParagraphChar">
    <w:name w:val="List Paragraph Char"/>
    <w:link w:val="ListParagraph"/>
    <w:uiPriority w:val="1"/>
    <w:unhideWhenUsed/>
    <w:qFormat/>
    <w:locked/>
    <w:rPr>
      <w:rFonts w:ascii="Calibri"/>
      <w:noProof/>
      <w:sz w:val="22"/>
      <w:lang w:val="id-ID" w:eastAsia="en-ID"/>
    </w:rPr>
  </w:style>
  <w:style w:type="character" w:customStyle="1" w:styleId="BodyTextIndent3Char1">
    <w:name w:val="Body Text Indent 3 Char1"/>
    <w:basedOn w:val="DefaultParagraphFont"/>
    <w:link w:val="BodyTextIndent3"/>
    <w:uiPriority w:val="99"/>
    <w:unhideWhenUsed/>
    <w:locked/>
    <w:rPr>
      <w:sz w:val="16"/>
    </w:rPr>
  </w:style>
  <w:style w:type="character" w:customStyle="1" w:styleId="fontstyle23">
    <w:name w:val="fontstyle23"/>
    <w:unhideWhenUsed/>
  </w:style>
  <w:style w:type="character" w:customStyle="1" w:styleId="fontstyle33">
    <w:name w:val="fontstyle33"/>
    <w:unhideWhenUsed/>
  </w:style>
  <w:style w:type="character" w:customStyle="1" w:styleId="fontstyle32">
    <w:name w:val="fontstyle32"/>
    <w:unhideWhenUsed/>
  </w:style>
  <w:style w:type="character" w:customStyle="1" w:styleId="citation">
    <w:name w:val="citation"/>
    <w:unhideWhenUsed/>
  </w:style>
  <w:style w:type="character" w:customStyle="1" w:styleId="gensmall">
    <w:name w:val="gensmall"/>
    <w:uiPriority w:val="99"/>
    <w:unhideWhenUsed/>
  </w:style>
  <w:style w:type="character" w:customStyle="1" w:styleId="fullpost">
    <w:name w:val="fullpost"/>
    <w:unhideWhenUsed/>
  </w:style>
  <w:style w:type="character" w:customStyle="1" w:styleId="shorttext">
    <w:name w:val="short_text"/>
    <w:unhideWhenUsed/>
  </w:style>
  <w:style w:type="character" w:customStyle="1" w:styleId="tlid-translation">
    <w:name w:val="tlid-translation"/>
    <w:unhideWhenUsed/>
  </w:style>
  <w:style w:type="character" w:customStyle="1" w:styleId="label">
    <w:name w:val="label"/>
    <w:unhideWhenUsed/>
  </w:style>
  <w:style w:type="character" w:customStyle="1" w:styleId="value">
    <w:name w:val="value"/>
    <w:unhideWhenUsed/>
  </w:style>
  <w:style w:type="character" w:styleId="UnresolvedMention">
    <w:name w:val="Unresolved Mention"/>
    <w:basedOn w:val="DefaultParagraphFont"/>
    <w:uiPriority w:val="99"/>
    <w:unhideWhenUsed/>
  </w:style>
  <w:style w:type="paragraph" w:styleId="Title">
    <w:name w:val="Title"/>
    <w:basedOn w:val="Normal"/>
    <w:link w:val="TitleChar1"/>
    <w:uiPriority w:val="10"/>
    <w:qFormat/>
    <w:pPr>
      <w:jc w:val="center"/>
    </w:pPr>
    <w:rPr>
      <w:b/>
      <w:sz w:val="24"/>
      <w:szCs w:val="24"/>
    </w:rPr>
  </w:style>
  <w:style w:type="character" w:customStyle="1" w:styleId="TitleChar">
    <w:name w:val="Title Char"/>
    <w:basedOn w:val="DefaultParagraphFont"/>
    <w:uiPriority w:val="10"/>
    <w:rPr>
      <w:rFonts w:asciiTheme="majorHAnsi" w:eastAsiaTheme="majorEastAsia" w:hAnsiTheme="majorHAnsi" w:cstheme="majorBidi"/>
      <w:b/>
      <w:bCs/>
      <w:kern w:val="28"/>
      <w:sz w:val="32"/>
      <w:szCs w:val="32"/>
      <w:lang w:val="en-US" w:eastAsia="en-GB"/>
    </w:rPr>
  </w:style>
  <w:style w:type="paragraph" w:styleId="BalloonText">
    <w:name w:val="Balloon Text"/>
    <w:basedOn w:val="Normal"/>
    <w:link w:val="BalloonTextChar1"/>
    <w:uiPriority w:val="99"/>
    <w:unhideWhenUsed/>
    <w:pPr>
      <w:autoSpaceDE/>
      <w:autoSpaceDN/>
    </w:pPr>
    <w:rPr>
      <w:rFonts w:ascii="Tahoma" w:cs="Tahoma"/>
      <w:sz w:val="16"/>
      <w:szCs w:val="16"/>
      <w:lang w:eastAsia="en-US"/>
    </w:rPr>
  </w:style>
  <w:style w:type="character" w:customStyle="1" w:styleId="BalloonTextChar">
    <w:name w:val="Balloon Text Char"/>
    <w:basedOn w:val="DefaultParagraphFont"/>
    <w:uiPriority w:val="99"/>
    <w:semiHidden/>
    <w:rPr>
      <w:rFonts w:ascii="Segoe UI" w:hAnsi="Segoe UI" w:cs="Segoe UI"/>
      <w:sz w:val="18"/>
      <w:szCs w:val="18"/>
      <w:lang w:val="en-US" w:eastAsia="en-GB"/>
    </w:rPr>
  </w:style>
  <w:style w:type="paragraph" w:styleId="BodyText">
    <w:name w:val="Body Text"/>
    <w:basedOn w:val="Normal"/>
    <w:link w:val="BodyTextChar1"/>
    <w:uiPriority w:val="1"/>
    <w:unhideWhenUsed/>
    <w:qFormat/>
    <w:pPr>
      <w:spacing w:after="120"/>
    </w:pPr>
  </w:style>
  <w:style w:type="character" w:customStyle="1" w:styleId="BodyTextChar">
    <w:name w:val="Body Text Char"/>
    <w:basedOn w:val="DefaultParagraphFont"/>
    <w:uiPriority w:val="99"/>
    <w:semiHidden/>
    <w:rPr>
      <w:rFonts w:cs="Times New Roman"/>
      <w:sz w:val="20"/>
      <w:szCs w:val="20"/>
      <w:lang w:val="en-US" w:eastAsia="en-GB"/>
    </w:rPr>
  </w:style>
  <w:style w:type="paragraph" w:styleId="HTMLPreformatted">
    <w:name w:val="HTML Preformatted"/>
    <w:basedOn w:val="Normal"/>
    <w:link w:val="HTMLPreformattedChar1"/>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cs="Courier New"/>
      <w:lang w:eastAsia="en-US"/>
    </w:rPr>
  </w:style>
  <w:style w:type="character" w:customStyle="1" w:styleId="HTMLPreformattedChar">
    <w:name w:val="HTML Preformatted Char"/>
    <w:basedOn w:val="DefaultParagraphFont"/>
    <w:uiPriority w:val="99"/>
    <w:semiHidden/>
    <w:rPr>
      <w:rFonts w:ascii="Courier New" w:hAnsi="Courier New" w:cs="Courier New"/>
      <w:sz w:val="20"/>
      <w:szCs w:val="20"/>
      <w:lang w:val="en-US" w:eastAsia="en-GB"/>
    </w:rPr>
  </w:style>
  <w:style w:type="paragraph" w:styleId="BodyText2">
    <w:name w:val="Body Text 2"/>
    <w:basedOn w:val="Normal"/>
    <w:link w:val="BodyText2Char1"/>
    <w:uiPriority w:val="99"/>
    <w:unhideWhenUsed/>
    <w:pPr>
      <w:spacing w:after="120"/>
      <w:ind w:left="283"/>
    </w:pPr>
    <w:rPr>
      <w:sz w:val="24"/>
      <w:szCs w:val="24"/>
    </w:rPr>
  </w:style>
  <w:style w:type="character" w:customStyle="1" w:styleId="BodyText2Char">
    <w:name w:val="Body Text 2 Char"/>
    <w:basedOn w:val="DefaultParagraphFont"/>
    <w:uiPriority w:val="99"/>
    <w:semiHidden/>
    <w:rPr>
      <w:rFonts w:cs="Times New Roman"/>
      <w:sz w:val="20"/>
      <w:szCs w:val="20"/>
      <w:lang w:val="en-US" w:eastAsia="en-GB"/>
    </w:rPr>
  </w:style>
  <w:style w:type="paragraph" w:styleId="BodyText3">
    <w:name w:val="Body Text 3"/>
    <w:basedOn w:val="Normal"/>
    <w:link w:val="BodyText3Char1"/>
    <w:uiPriority w:val="99"/>
    <w:unhideWhenUsed/>
    <w:pPr>
      <w:autoSpaceDE/>
      <w:autoSpaceDN/>
      <w:spacing w:after="120"/>
    </w:pPr>
    <w:rPr>
      <w:sz w:val="16"/>
      <w:szCs w:val="16"/>
      <w:lang w:eastAsia="en-US"/>
    </w:rPr>
  </w:style>
  <w:style w:type="character" w:customStyle="1" w:styleId="BodyText3Char">
    <w:name w:val="Body Text 3 Char"/>
    <w:basedOn w:val="DefaultParagraphFont"/>
    <w:uiPriority w:val="99"/>
    <w:semiHidden/>
    <w:rPr>
      <w:rFonts w:cs="Times New Roman"/>
      <w:sz w:val="16"/>
      <w:szCs w:val="16"/>
      <w:lang w:val="en-US" w:eastAsia="en-GB"/>
    </w:rPr>
  </w:style>
  <w:style w:type="paragraph" w:customStyle="1" w:styleId="rtejustify">
    <w:name w:val="rtejustify"/>
    <w:basedOn w:val="Normal"/>
    <w:unhideWhenUsed/>
    <w:pPr>
      <w:autoSpaceDE/>
      <w:autoSpaceDN/>
      <w:spacing w:before="100" w:beforeAutospacing="1" w:after="100" w:afterAutospacing="1"/>
    </w:pPr>
    <w:rPr>
      <w:sz w:val="24"/>
      <w:szCs w:val="24"/>
      <w:lang w:eastAsia="en-US"/>
    </w:rPr>
  </w:style>
  <w:style w:type="paragraph" w:styleId="BodyTextIndent">
    <w:name w:val="Body Text Indent"/>
    <w:basedOn w:val="Normal"/>
    <w:link w:val="BodyTextIndentChar1"/>
    <w:uiPriority w:val="99"/>
    <w:unhideWhenUsed/>
    <w:pPr>
      <w:autoSpaceDE/>
      <w:autoSpaceDN/>
      <w:spacing w:after="120"/>
      <w:ind w:left="360"/>
    </w:pPr>
    <w:rPr>
      <w:sz w:val="24"/>
      <w:szCs w:val="24"/>
      <w:lang w:eastAsia="en-US"/>
    </w:rPr>
  </w:style>
  <w:style w:type="character" w:customStyle="1" w:styleId="BodyTextIndentChar">
    <w:name w:val="Body Text Indent Char"/>
    <w:basedOn w:val="DefaultParagraphFont"/>
    <w:uiPriority w:val="99"/>
    <w:semiHidden/>
    <w:rPr>
      <w:rFonts w:cs="Times New Roman"/>
      <w:sz w:val="20"/>
      <w:szCs w:val="20"/>
      <w:lang w:val="en-US" w:eastAsia="en-GB"/>
    </w:rPr>
  </w:style>
  <w:style w:type="paragraph" w:styleId="BodyTextIndent2">
    <w:name w:val="Body Text Indent 2"/>
    <w:basedOn w:val="Normal"/>
    <w:link w:val="BodyTextIndent2Char1"/>
    <w:uiPriority w:val="99"/>
    <w:unhideWhenUsed/>
    <w:pPr>
      <w:spacing w:after="120" w:line="480" w:lineRule="auto"/>
      <w:ind w:left="360"/>
    </w:pPr>
  </w:style>
  <w:style w:type="character" w:customStyle="1" w:styleId="BodyTextIndent2Char">
    <w:name w:val="Body Text Indent 2 Char"/>
    <w:basedOn w:val="DefaultParagraphFont"/>
    <w:uiPriority w:val="99"/>
    <w:semiHidden/>
    <w:rPr>
      <w:rFonts w:cs="Times New Roman"/>
      <w:sz w:val="20"/>
      <w:szCs w:val="20"/>
      <w:lang w:val="en-US" w:eastAsia="en-GB"/>
    </w:rPr>
  </w:style>
  <w:style w:type="paragraph" w:styleId="BodyTextIndent3">
    <w:name w:val="Body Text Indent 3"/>
    <w:basedOn w:val="Normal"/>
    <w:link w:val="BodyTextIndent3Char1"/>
    <w:uiPriority w:val="99"/>
    <w:unhideWhenUsed/>
    <w:pPr>
      <w:autoSpaceDE/>
      <w:autoSpaceDN/>
      <w:spacing w:after="120"/>
      <w:ind w:left="283"/>
    </w:pPr>
    <w:rPr>
      <w:sz w:val="16"/>
      <w:szCs w:val="16"/>
      <w:lang w:eastAsia="en-US"/>
    </w:rPr>
  </w:style>
  <w:style w:type="character" w:customStyle="1" w:styleId="BodyTextIndent3Char">
    <w:name w:val="Body Text Indent 3 Char"/>
    <w:basedOn w:val="DefaultParagraphFont"/>
    <w:uiPriority w:val="99"/>
    <w:semiHidden/>
    <w:rPr>
      <w:rFonts w:cs="Times New Roman"/>
      <w:sz w:val="16"/>
      <w:szCs w:val="16"/>
      <w:lang w:val="en-US" w:eastAsia="en-GB"/>
    </w:rPr>
  </w:style>
  <w:style w:type="paragraph" w:styleId="Footer">
    <w:name w:val="footer"/>
    <w:basedOn w:val="Normal"/>
    <w:link w:val="FooterChar1"/>
    <w:uiPriority w:val="99"/>
    <w:unhideWhenUsed/>
    <w:pPr>
      <w:tabs>
        <w:tab w:val="center" w:pos="4320"/>
        <w:tab w:val="right" w:pos="8640"/>
      </w:tabs>
    </w:pPr>
  </w:style>
  <w:style w:type="character" w:customStyle="1" w:styleId="FooterChar">
    <w:name w:val="Footer Char"/>
    <w:basedOn w:val="DefaultParagraphFont"/>
    <w:uiPriority w:val="99"/>
    <w:semiHidden/>
    <w:rPr>
      <w:rFonts w:cs="Times New Roman"/>
      <w:sz w:val="20"/>
      <w:szCs w:val="20"/>
      <w:lang w:val="en-US" w:eastAsia="en-GB"/>
    </w:rPr>
  </w:style>
  <w:style w:type="paragraph" w:styleId="Header">
    <w:name w:val="header"/>
    <w:basedOn w:val="Normal"/>
    <w:link w:val="HeaderChar1"/>
    <w:uiPriority w:val="99"/>
    <w:unhideWhenUsed/>
    <w:pPr>
      <w:tabs>
        <w:tab w:val="center" w:pos="4680"/>
        <w:tab w:val="right" w:pos="9360"/>
      </w:tabs>
    </w:pPr>
  </w:style>
  <w:style w:type="character" w:customStyle="1" w:styleId="HeaderChar">
    <w:name w:val="Header Char"/>
    <w:basedOn w:val="DefaultParagraphFont"/>
    <w:uiPriority w:val="99"/>
    <w:semiHidden/>
    <w:rPr>
      <w:rFonts w:cs="Times New Roman"/>
      <w:sz w:val="20"/>
      <w:szCs w:val="20"/>
      <w:lang w:val="en-US" w:eastAsia="en-GB"/>
    </w:rPr>
  </w:style>
  <w:style w:type="paragraph" w:styleId="NormalWeb">
    <w:name w:val="Normal (Web)"/>
    <w:basedOn w:val="Normal"/>
    <w:uiPriority w:val="99"/>
    <w:unhideWhenUsed/>
    <w:qFormat/>
    <w:pPr>
      <w:autoSpaceDE/>
      <w:autoSpaceDN/>
      <w:spacing w:before="100" w:beforeAutospacing="1" w:after="100" w:afterAutospacing="1"/>
    </w:pPr>
    <w:rPr>
      <w:sz w:val="24"/>
      <w:szCs w:val="24"/>
      <w:lang w:val="id-ID" w:eastAsia="id-ID"/>
    </w:rPr>
  </w:style>
  <w:style w:type="paragraph" w:styleId="FootnoteText">
    <w:name w:val="footnote text"/>
    <w:basedOn w:val="Normal"/>
    <w:link w:val="FootnoteTextChar1"/>
    <w:uiPriority w:val="99"/>
    <w:unhideWhenUsed/>
    <w:qFormat/>
  </w:style>
  <w:style w:type="character" w:customStyle="1" w:styleId="FootnoteTextChar">
    <w:name w:val="Footnote Text Char"/>
    <w:basedOn w:val="DefaultParagraphFont"/>
    <w:uiPriority w:val="99"/>
    <w:semiHidden/>
    <w:rPr>
      <w:rFonts w:cs="Times New Roman"/>
      <w:sz w:val="20"/>
      <w:szCs w:val="20"/>
      <w:lang w:val="en-US" w:eastAsia="en-GB"/>
    </w:rPr>
  </w:style>
  <w:style w:type="paragraph" w:styleId="ListParagraph">
    <w:name w:val="List Paragraph"/>
    <w:basedOn w:val="Normal"/>
    <w:link w:val="ListParagraphChar"/>
    <w:uiPriority w:val="1"/>
    <w:qFormat/>
    <w:pPr>
      <w:autoSpaceDE/>
      <w:autoSpaceDN/>
      <w:spacing w:after="200" w:line="276" w:lineRule="auto"/>
      <w:ind w:left="720"/>
    </w:pPr>
    <w:rPr>
      <w:rFonts w:ascii="Calibri" w:cs="Calibri"/>
      <w:sz w:val="22"/>
      <w:lang w:val="id-ID" w:eastAsia="id-ID"/>
    </w:rPr>
  </w:style>
  <w:style w:type="paragraph" w:customStyle="1" w:styleId="para">
    <w:name w:val="para"/>
    <w:basedOn w:val="Normal"/>
    <w:uiPriority w:val="99"/>
    <w:unhideWhenUsed/>
    <w:pPr>
      <w:autoSpaceDE/>
      <w:autoSpaceDN/>
      <w:spacing w:before="100" w:beforeAutospacing="1" w:after="100" w:afterAutospacing="1"/>
    </w:pPr>
    <w:rPr>
      <w:sz w:val="24"/>
      <w:szCs w:val="24"/>
      <w:lang w:eastAsia="en-US"/>
    </w:rPr>
  </w:style>
  <w:style w:type="paragraph" w:customStyle="1" w:styleId="Default">
    <w:name w:val="Default"/>
    <w:unhideWhenUsed/>
    <w:pPr>
      <w:autoSpaceDE w:val="0"/>
      <w:autoSpaceDN w:val="0"/>
      <w:adjustRightInd w:val="0"/>
      <w:spacing w:after="0" w:line="240" w:lineRule="auto"/>
    </w:pPr>
    <w:rPr>
      <w:rFonts w:cs="Times New Roman"/>
      <w:color w:val="000000"/>
      <w:sz w:val="24"/>
      <w:szCs w:val="24"/>
      <w:lang w:val="id-ID" w:eastAsia="en-US"/>
    </w:rPr>
  </w:style>
  <w:style w:type="paragraph" w:customStyle="1" w:styleId="Pa0">
    <w:name w:val="Pa0"/>
    <w:basedOn w:val="Normal"/>
    <w:next w:val="Normal"/>
    <w:uiPriority w:val="99"/>
    <w:unhideWhenUsed/>
    <w:pPr>
      <w:adjustRightInd w:val="0"/>
      <w:spacing w:line="241" w:lineRule="atLeast"/>
    </w:pPr>
    <w:rPr>
      <w:sz w:val="24"/>
      <w:szCs w:val="24"/>
      <w:lang w:val="id-ID" w:eastAsia="en-US"/>
    </w:rPr>
  </w:style>
  <w:style w:type="paragraph" w:customStyle="1" w:styleId="TableParagraph">
    <w:name w:val="Table Paragraph"/>
    <w:basedOn w:val="Normal"/>
    <w:uiPriority w:val="1"/>
    <w:unhideWhenUsed/>
    <w:qFormat/>
    <w:pPr>
      <w:widowControl w:val="0"/>
      <w:ind w:left="108"/>
    </w:pPr>
    <w:rPr>
      <w:rFonts w:ascii="Tahoma" w:cs="Tahoma"/>
      <w:sz w:val="22"/>
      <w:szCs w:val="22"/>
      <w:lang w:eastAsia="en-US"/>
    </w:rPr>
  </w:style>
  <w:style w:type="paragraph" w:styleId="NoSpacing">
    <w:name w:val="No Spacing"/>
    <w:uiPriority w:val="1"/>
    <w:qFormat/>
    <w:pPr>
      <w:spacing w:after="0" w:line="240" w:lineRule="auto"/>
    </w:pPr>
    <w:rPr>
      <w:rFonts w:cs="Times New Roman"/>
      <w:sz w:val="24"/>
      <w:szCs w:val="24"/>
      <w:lang w:val="id-ID" w:eastAsia="id-ID"/>
    </w:rPr>
  </w:style>
  <w:style w:type="character" w:styleId="CommentReference">
    <w:name w:val="annotation reference"/>
    <w:basedOn w:val="DefaultParagraphFont"/>
    <w:uiPriority w:val="99"/>
    <w:rsid w:val="00781506"/>
    <w:rPr>
      <w:sz w:val="16"/>
      <w:szCs w:val="16"/>
    </w:rPr>
  </w:style>
  <w:style w:type="paragraph" w:styleId="CommentText">
    <w:name w:val="annotation text"/>
    <w:basedOn w:val="Normal"/>
    <w:link w:val="CommentTextChar"/>
    <w:uiPriority w:val="99"/>
    <w:rsid w:val="00781506"/>
  </w:style>
  <w:style w:type="character" w:customStyle="1" w:styleId="CommentTextChar">
    <w:name w:val="Comment Text Char"/>
    <w:basedOn w:val="DefaultParagraphFont"/>
    <w:link w:val="CommentText"/>
    <w:uiPriority w:val="99"/>
    <w:rsid w:val="00781506"/>
    <w:rPr>
      <w:rFonts w:cs="Times New Roman"/>
      <w:sz w:val="20"/>
      <w:szCs w:val="20"/>
      <w:lang w:val="en-US" w:eastAsia="en-GB"/>
    </w:rPr>
  </w:style>
  <w:style w:type="paragraph" w:styleId="CommentSubject">
    <w:name w:val="annotation subject"/>
    <w:basedOn w:val="CommentText"/>
    <w:next w:val="CommentText"/>
    <w:link w:val="CommentSubjectChar"/>
    <w:uiPriority w:val="99"/>
    <w:rsid w:val="00781506"/>
    <w:rPr>
      <w:b/>
      <w:bCs/>
    </w:rPr>
  </w:style>
  <w:style w:type="character" w:customStyle="1" w:styleId="CommentSubjectChar">
    <w:name w:val="Comment Subject Char"/>
    <w:basedOn w:val="CommentTextChar"/>
    <w:link w:val="CommentSubject"/>
    <w:uiPriority w:val="99"/>
    <w:rsid w:val="00781506"/>
    <w:rPr>
      <w:rFonts w:cs="Times New Roman"/>
      <w:b/>
      <w:bCs/>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21</Pages>
  <Words>18372</Words>
  <Characters>104725</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cp:lastModifiedBy>
  <cp:revision>40</cp:revision>
  <dcterms:created xsi:type="dcterms:W3CDTF">2025-04-07T15:06:00Z</dcterms:created>
  <dcterms:modified xsi:type="dcterms:W3CDTF">2025-06-04T22:26:00Z</dcterms:modified>
</cp:coreProperties>
</file>