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omments.xml" ContentType="application/vnd.openxmlformats-officedocument.wordprocessingml.comments+xml"/>
  <Override PartName="/word/commentsExtended.xml" ContentType="application/vnd.openxmlformats-officedocument.wordprocessingml.commentsExtended+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1981A8C">
      <w:pPr>
        <w:rPr>
          <w:rFonts w:ascii="Calibri Light" w:cs="Calibri Light"/>
          <w:b/>
          <w:sz w:val="24"/>
          <w:szCs w:val="24"/>
        </w:rPr>
      </w:pPr>
    </w:p>
    <w:p w14:paraId="333F38FD">
      <w:pPr>
        <w:rPr>
          <w:rFonts w:ascii="Calibri Light" w:cs="Calibri Light"/>
          <w:b/>
          <w:sz w:val="28"/>
          <w:szCs w:val="28"/>
          <w:lang w:val="id-ID"/>
        </w:rPr>
      </w:pPr>
      <w:bookmarkStart w:id="0" w:name="_Hlk193456418"/>
      <w:r>
        <w:rPr>
          <w:rFonts w:ascii="Calibri Light" w:cs="Calibri Light"/>
          <w:b/>
          <w:sz w:val="28"/>
          <w:szCs w:val="28"/>
        </w:rPr>
        <w:t>Disparity in Parliamentary Power in the Formation of Laws in Indonesia: Considering Proportional Bicameralism</w:t>
      </w:r>
      <w:bookmarkEnd w:id="0"/>
    </w:p>
    <w:p w14:paraId="1B7A0A5E">
      <w:pPr>
        <w:jc w:val="center"/>
        <w:rPr>
          <w:rFonts w:ascii="Calibri Light" w:cs="Calibri Light"/>
          <w:sz w:val="24"/>
          <w:szCs w:val="24"/>
        </w:rPr>
      </w:pPr>
    </w:p>
    <w:p w14:paraId="0ED2D707">
      <w:pPr>
        <w:jc w:val="center"/>
        <w:rPr>
          <w:rFonts w:ascii="Calibri Light" w:cs="Calibri Light"/>
          <w:sz w:val="24"/>
          <w:szCs w:val="24"/>
        </w:rPr>
      </w:pPr>
    </w:p>
    <w:p w14:paraId="498FDCE4">
      <w:pPr>
        <w:ind w:right="737"/>
        <w:rPr>
          <w:rFonts w:ascii="Calibri Light" w:cs="Calibri Light"/>
          <w:spacing w:val="1"/>
        </w:rPr>
      </w:pPr>
      <w:r>
        <w:rPr>
          <w:rFonts w:ascii="Calibri Light" w:cs="Calibri Light"/>
        </w:rPr>
        <w:t xml:space="preserve">Received: </w:t>
      </w:r>
    </w:p>
    <w:p w14:paraId="2F19FD42">
      <w:pPr>
        <w:ind w:right="737"/>
        <w:rPr>
          <w:rFonts w:ascii="Calibri Light" w:cs="Calibri Light"/>
          <w:spacing w:val="1"/>
        </w:rPr>
      </w:pPr>
      <w:r>
        <w:rPr>
          <w:rFonts w:ascii="Calibri Light" w:cs="Calibri Light"/>
        </w:rPr>
        <w:t>Rev. Req:</w:t>
      </w:r>
      <w:r>
        <w:rPr>
          <w:rFonts w:ascii="Calibri Light" w:cs="Calibri Light"/>
          <w:spacing w:val="1"/>
        </w:rPr>
        <w:t xml:space="preserve"> </w:t>
      </w:r>
    </w:p>
    <w:p w14:paraId="13158C12">
      <w:pPr>
        <w:ind w:right="737"/>
        <w:rPr>
          <w:rFonts w:ascii="Calibri Light" w:cs="Calibri Light"/>
        </w:rPr>
      </w:pPr>
      <w:r>
        <w:rPr>
          <w:rFonts w:ascii="Calibri Light" w:cs="Calibri Light"/>
        </w:rPr>
        <w:t>Accepted:</w:t>
      </w:r>
      <w:r>
        <w:rPr>
          <w:rFonts w:ascii="Calibri Light" w:cs="Calibri Light"/>
          <w:spacing w:val="32"/>
        </w:rPr>
        <w:t xml:space="preserve"> </w:t>
      </w:r>
    </w:p>
    <w:p w14:paraId="3CAB3FC4">
      <w:pPr>
        <w:ind w:right="737"/>
        <w:rPr>
          <w:rFonts w:ascii="Calibri Light" w:cs="Calibri Light"/>
          <w:b/>
        </w:rPr>
      </w:pPr>
    </w:p>
    <w:p w14:paraId="10BA2902">
      <w:pPr>
        <w:ind w:right="737"/>
        <w:rPr>
          <w:rFonts w:ascii="Calibri Light" w:cs="Calibri Light"/>
          <w:b/>
        </w:rPr>
      </w:pPr>
      <w:r>
        <w:rPr>
          <w:rFonts w:ascii="Calibri Light" w:cs="Calibri Light"/>
          <w:position w:val="-13"/>
          <w:lang w:val="zh-CN" w:eastAsia="zh-CN"/>
        </w:rPr>
        <w:drawing>
          <wp:inline distT="0" distB="0" distL="0" distR="0">
            <wp:extent cx="255270" cy="255270"/>
            <wp:effectExtent l="0" t="0" r="0" b="0"/>
            <wp:docPr id="16" name="image2.jpeg" descr="E:\DERGILER\ortak-kaynaklar-gorseller\Doi-1024x629 - Kopy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2.jpeg" descr="E:\DERGILER\ortak-kaynaklar-gorseller\Doi-1024x629 - Kopya.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255270" cy="255270"/>
                    </a:xfrm>
                    <a:prstGeom prst="rect">
                      <a:avLst/>
                    </a:prstGeom>
                    <a:noFill/>
                    <a:ln>
                      <a:noFill/>
                    </a:ln>
                  </pic:spPr>
                </pic:pic>
              </a:graphicData>
            </a:graphic>
          </wp:inline>
        </w:drawing>
      </w:r>
      <w:r>
        <w:rPr>
          <w:rFonts w:ascii="Calibri Light" w:cs="Calibri Light"/>
          <w:position w:val="-13"/>
          <w:lang w:val="zh-CN" w:eastAsia="zh-CN"/>
        </w:rPr>
        <w:t xml:space="preserve"> </w:t>
      </w:r>
    </w:p>
    <w:p w14:paraId="50C3ED4B">
      <w:pPr>
        <w:ind w:right="737"/>
        <w:rPr>
          <w:rFonts w:ascii="Calibri Light" w:cs="Calibri Light"/>
          <w:b/>
          <w:sz w:val="24"/>
          <w:szCs w:val="24"/>
        </w:rPr>
      </w:pPr>
    </w:p>
    <w:tbl>
      <w:tblPr>
        <w:tblStyle w:val="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004"/>
      </w:tblGrid>
      <w:tr w14:paraId="44E6BC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04" w:type="dxa"/>
            <w:tcBorders>
              <w:left w:val="nil"/>
              <w:right w:val="nil"/>
            </w:tcBorders>
          </w:tcPr>
          <w:p w14:paraId="07733F99">
            <w:pPr>
              <w:ind w:right="2"/>
              <w:jc w:val="both"/>
              <w:rPr>
                <w:rFonts w:ascii="Calibri Light" w:cs="Calibri Light"/>
                <w:sz w:val="12"/>
                <w:szCs w:val="12"/>
              </w:rPr>
            </w:pPr>
          </w:p>
          <w:p w14:paraId="6B5B92E4">
            <w:pPr>
              <w:ind w:right="2"/>
              <w:jc w:val="both"/>
              <w:rPr>
                <w:rFonts w:ascii="Calibri Light" w:cs="Calibri Light"/>
              </w:rPr>
            </w:pPr>
            <w:r>
              <w:rPr>
                <w:rFonts w:ascii="Calibri Light" w:cs="Calibri Light"/>
              </w:rPr>
              <w:t xml:space="preserve">How to cite this paper: </w:t>
            </w:r>
          </w:p>
          <w:p w14:paraId="331F2B84">
            <w:pPr>
              <w:ind w:right="2"/>
              <w:jc w:val="both"/>
              <w:rPr>
                <w:rFonts w:ascii="Calibri Light" w:cs="Calibri Light"/>
                <w:color w:val="0462C1"/>
                <w:u w:val="single" w:color="0462C1"/>
              </w:rPr>
            </w:pPr>
          </w:p>
          <w:p w14:paraId="4DD53601">
            <w:pPr>
              <w:ind w:right="2"/>
              <w:jc w:val="both"/>
              <w:rPr>
                <w:rFonts w:ascii="Calibri Light" w:cs="Calibri Light"/>
                <w:color w:val="0462C1"/>
                <w:u w:val="single" w:color="0462C1"/>
              </w:rPr>
            </w:pPr>
          </w:p>
          <w:p w14:paraId="0785900B">
            <w:pPr>
              <w:ind w:right="2"/>
              <w:jc w:val="both"/>
              <w:rPr>
                <w:rFonts w:ascii="Calibri Light" w:cs="Calibri Light"/>
                <w:color w:val="0462C1"/>
                <w:u w:val="single" w:color="0462C1"/>
              </w:rPr>
            </w:pPr>
          </w:p>
          <w:p w14:paraId="29F3BB02">
            <w:pPr>
              <w:ind w:right="2"/>
              <w:jc w:val="both"/>
              <w:rPr>
                <w:rFonts w:ascii="Calibri Light" w:cs="Calibri Light"/>
              </w:rPr>
            </w:pPr>
            <w:r>
              <w:rPr>
                <w:rFonts w:ascii="Calibri Light" w:cs="Calibri Light"/>
              </w:rPr>
              <w:t>This is an Open Access article distributed under the terms of the Creative Commons Attribution 4.0 International license</w:t>
            </w:r>
            <w:r>
              <w:rPr>
                <w:rFonts w:ascii="Calibri Light" w:cs="Calibri Light"/>
                <w:spacing w:val="-34"/>
              </w:rPr>
              <w:t xml:space="preserve"> </w:t>
            </w:r>
            <w:r>
              <w:fldChar w:fldCharType="begin"/>
            </w:r>
            <w:r>
              <w:instrText xml:space="preserve"> HYPERLINK "https://creativecommons.org/licenses/by/4.0/" \h </w:instrText>
            </w:r>
            <w:r>
              <w:fldChar w:fldCharType="separate"/>
            </w:r>
            <w:r>
              <w:rPr>
                <w:rFonts w:ascii="Calibri Light" w:cs="Calibri Light"/>
              </w:rPr>
              <w:t>(</w:t>
            </w:r>
            <w:r>
              <w:rPr>
                <w:rFonts w:ascii="Calibri Light" w:cs="Calibri Light"/>
                <w:color w:val="0462C1"/>
                <w:u w:val="single" w:color="0462C1"/>
              </w:rPr>
              <w:t>https://creativecommons.org/licenses/by/4.0/</w:t>
            </w:r>
            <w:r>
              <w:rPr>
                <w:rFonts w:ascii="Calibri Light" w:cs="Calibri Light"/>
              </w:rPr>
              <w:t>)</w:t>
            </w:r>
            <w:r>
              <w:rPr>
                <w:rFonts w:ascii="Calibri Light" w:cs="Calibri Light"/>
              </w:rPr>
              <w:fldChar w:fldCharType="end"/>
            </w:r>
          </w:p>
          <w:p w14:paraId="0659FA5F">
            <w:pPr>
              <w:ind w:right="2"/>
              <w:jc w:val="both"/>
              <w:rPr>
                <w:rFonts w:ascii="Calibri Light" w:cs="Calibri Light"/>
                <w:b/>
                <w:sz w:val="12"/>
                <w:szCs w:val="12"/>
              </w:rPr>
            </w:pPr>
          </w:p>
        </w:tc>
      </w:tr>
    </w:tbl>
    <w:p w14:paraId="62D26269">
      <w:pPr>
        <w:ind w:right="737"/>
        <w:rPr>
          <w:rFonts w:ascii="Calibri Light" w:cs="Calibri Light"/>
          <w:b/>
          <w:sz w:val="24"/>
          <w:szCs w:val="24"/>
        </w:rPr>
      </w:pPr>
    </w:p>
    <w:p w14:paraId="3C1635D4">
      <w:pPr>
        <w:ind w:right="-1"/>
        <w:jc w:val="both"/>
        <w:rPr>
          <w:rFonts w:ascii="Calibri Light" w:cs="Calibri Light"/>
          <w:i/>
          <w:sz w:val="24"/>
          <w:szCs w:val="24"/>
          <w:lang w:val="id-ID"/>
        </w:rPr>
      </w:pPr>
      <w:r>
        <w:rPr>
          <w:rFonts w:ascii="Calibri Light" w:cs="Calibri Light"/>
          <w:b/>
          <w:sz w:val="24"/>
          <w:szCs w:val="24"/>
        </w:rPr>
        <w:t>ABSTRACT:</w:t>
      </w:r>
      <w:r>
        <w:rPr>
          <w:rFonts w:ascii="Calibri Light" w:cs="Calibri Light"/>
          <w:sz w:val="24"/>
          <w:szCs w:val="24"/>
        </w:rPr>
        <w:t xml:space="preserve"> </w:t>
      </w:r>
      <w:r>
        <w:rPr>
          <w:rFonts w:ascii="Calibri Light" w:cs="Calibri Light"/>
          <w:i/>
          <w:color w:val="000000"/>
          <w:sz w:val="24"/>
          <w:szCs w:val="24"/>
          <w:lang w:val="zh-CN" w:eastAsia="zh-CN"/>
        </w:rPr>
        <w:t xml:space="preserve">This research aims to investigate the issues encountered by parliamentary institutions in Indonesia, focusing specifically on the disproportionate power of the first chamber </w:t>
      </w:r>
      <w:r>
        <w:rPr>
          <w:rFonts w:ascii="Calibri Light" w:cs="Calibri Light"/>
          <w:i/>
          <w:color w:val="000000"/>
          <w:sz w:val="24"/>
          <w:szCs w:val="24"/>
          <w:highlight w:val="yellow"/>
          <w:lang w:eastAsia="zh-CN"/>
        </w:rPr>
        <w:t>the Dewan Perwakilan Rakyat (People’s Representative Council), relative to the second chamber, the Dewan Perwakilan Daerah (Regional Representative Council)</w:t>
      </w:r>
      <w:r>
        <w:rPr>
          <w:rFonts w:ascii="Calibri Light" w:cs="Calibri Light"/>
          <w:i/>
          <w:color w:val="000000"/>
          <w:sz w:val="24"/>
          <w:szCs w:val="24"/>
          <w:lang w:val="zh-CN" w:eastAsia="zh-CN"/>
        </w:rPr>
        <w:t xml:space="preserve"> throughout the legislative process. This research presents normative-conceptual proposals for a reconstruction formula aimed at equilibrating the legislative functions of the two chambers, in alignment with the principles of balanced or robust bicameralism. This study utilizes a doctrinal legal research framework, involving the analysis of primary and secondary legal sources in the literature. This study incorporates constitutional, theoretical, and statutory/normative techniques. </w:t>
      </w:r>
      <w:r>
        <w:rPr>
          <w:rFonts w:ascii="Calibri Light" w:cs="Calibri Light"/>
          <w:i/>
          <w:color w:val="000000"/>
          <w:sz w:val="24"/>
          <w:szCs w:val="24"/>
          <w:highlight w:val="green"/>
          <w:lang w:eastAsia="zh-CN"/>
        </w:rPr>
        <w:t>This study applies a general qualitative descriptive analysis technique, focusing on interpreting legal texts and normative content in a structured manner to identify patterns, meanings, and implications in the legislative relationship between DPR and DPD</w:t>
      </w:r>
      <w:r>
        <w:rPr>
          <w:rFonts w:ascii="Calibri Light" w:cs="Calibri Light"/>
          <w:i/>
          <w:color w:val="000000"/>
          <w:sz w:val="24"/>
          <w:szCs w:val="24"/>
          <w:lang w:eastAsia="zh-CN"/>
        </w:rPr>
        <w:t xml:space="preserve">. </w:t>
      </w:r>
      <w:r>
        <w:rPr>
          <w:rFonts w:ascii="Calibri Light" w:cs="Calibri Light"/>
          <w:i/>
          <w:color w:val="000000"/>
          <w:sz w:val="24"/>
          <w:szCs w:val="24"/>
          <w:lang w:val="zh-CN" w:eastAsia="zh-CN"/>
        </w:rPr>
        <w:t xml:space="preserve">The research findings reveal that the legislative authority of the two chambers (DPD &amp; DPR) in legislation making, as delineated in the 1945 Constitution of the Republic of Indo-nesia and statutory rules, remains disproportionate. This results from the DPD's limited authority to propose draft legislation and to discuss proposals that have not attained final approval. The DPD continues to be acknowledged as a co-legislator or supplementary power in the legislative process, unlike the unrestricted authority of the DPR. Therefore, the relationship between the two chambers as representative entities must be redefined based on the principles of either robust bicameralism or equitable bicameralism. To execute rebuilding plans, it is essential to amend several parts of the Constitution and revise other legislative rules. The two chambers are expected to collaborate </w:t>
      </w:r>
      <w:commentRangeStart w:id="0"/>
      <w:commentRangeStart w:id="1"/>
      <w:r>
        <w:rPr>
          <w:rFonts w:ascii="Calibri Light" w:cs="Calibri Light"/>
          <w:i/>
          <w:color w:val="000000"/>
          <w:sz w:val="24"/>
          <w:szCs w:val="24"/>
          <w:lang w:val="zh-CN" w:eastAsia="zh-CN"/>
        </w:rPr>
        <w:t>and meet the ambitions of both national and local governments to produce high-quality legal documents</w:t>
      </w:r>
      <w:commentRangeEnd w:id="0"/>
      <w:r>
        <w:rPr>
          <w:rStyle w:val="16"/>
        </w:rPr>
        <w:commentReference w:id="0"/>
      </w:r>
      <w:commentRangeEnd w:id="1"/>
      <w:r>
        <w:rPr>
          <w:rStyle w:val="16"/>
        </w:rPr>
        <w:commentReference w:id="1"/>
      </w:r>
      <w:r>
        <w:rPr>
          <w:rFonts w:ascii="Calibri Light" w:cs="Calibri Light"/>
          <w:i/>
          <w:color w:val="000000"/>
          <w:sz w:val="24"/>
          <w:szCs w:val="24"/>
          <w:lang w:val="zh-CN" w:eastAsia="zh-CN"/>
        </w:rPr>
        <w:t xml:space="preserve">; </w:t>
      </w:r>
      <w:r>
        <w:rPr>
          <w:rFonts w:ascii="Calibri Light" w:cs="Calibri Light"/>
          <w:i/>
          <w:color w:val="000000"/>
          <w:sz w:val="24"/>
          <w:szCs w:val="24"/>
          <w:highlight w:val="yellow"/>
          <w:lang w:eastAsia="zh-CN"/>
        </w:rPr>
        <w:t>however, this study is limited in scope to normative and doctrinal analysis, and further empirical research is needed to assess practical implementation.</w:t>
      </w:r>
    </w:p>
    <w:p w14:paraId="3B1BDE22">
      <w:pPr>
        <w:ind w:left="709" w:right="737"/>
        <w:jc w:val="both"/>
        <w:rPr>
          <w:rFonts w:ascii="Calibri Light" w:cs="Calibri Light"/>
          <w:i/>
          <w:sz w:val="24"/>
          <w:szCs w:val="24"/>
          <w:lang w:val="id-ID"/>
        </w:rPr>
      </w:pPr>
    </w:p>
    <w:p w14:paraId="37258935">
      <w:pPr>
        <w:ind w:right="737"/>
        <w:jc w:val="both"/>
        <w:rPr>
          <w:rFonts w:ascii="Calibri Light" w:cs="Calibri Light"/>
          <w:i/>
          <w:sz w:val="24"/>
          <w:szCs w:val="24"/>
          <w:lang w:val="id-ID"/>
        </w:rPr>
      </w:pPr>
      <w:r>
        <w:rPr>
          <w:rFonts w:ascii="Calibri Light" w:cs="Calibri Light"/>
          <w:b/>
          <w:sz w:val="24"/>
          <w:szCs w:val="24"/>
        </w:rPr>
        <w:t>Keyword</w:t>
      </w:r>
      <w:r>
        <w:rPr>
          <w:rFonts w:ascii="Calibri Light" w:cs="Calibri Light"/>
          <w:b/>
          <w:sz w:val="24"/>
          <w:szCs w:val="24"/>
          <w:lang w:val="id-ID"/>
        </w:rPr>
        <w:t>s</w:t>
      </w:r>
      <w:r>
        <w:rPr>
          <w:rFonts w:ascii="Calibri Light" w:cs="Calibri Light"/>
          <w:b/>
          <w:sz w:val="24"/>
          <w:szCs w:val="24"/>
        </w:rPr>
        <w:t>:</w:t>
      </w:r>
      <w:r>
        <w:rPr>
          <w:rFonts w:ascii="Calibri Light" w:cs="Calibri Light"/>
          <w:sz w:val="24"/>
          <w:szCs w:val="24"/>
        </w:rPr>
        <w:t xml:space="preserve"> </w:t>
      </w:r>
      <w:r>
        <w:rPr>
          <w:rStyle w:val="61"/>
          <w:rFonts w:ascii="Calibri Light" w:cs="Calibri Light"/>
          <w:i/>
          <w:sz w:val="24"/>
          <w:szCs w:val="24"/>
          <w:lang w:val="en"/>
        </w:rPr>
        <w:t>Parliament, Law-making power, Reconstruction, Strong bicameralism.</w:t>
      </w:r>
    </w:p>
    <w:p w14:paraId="3E417E37">
      <w:pPr>
        <w:rPr>
          <w:rFonts w:ascii="Calibri Light" w:cs="Calibri Light"/>
          <w:b/>
          <w:sz w:val="24"/>
          <w:szCs w:val="24"/>
          <w:lang w:val="id-ID"/>
        </w:rPr>
      </w:pPr>
    </w:p>
    <w:p w14:paraId="77071BF8">
      <w:pPr>
        <w:rPr>
          <w:rFonts w:ascii="Calibri Light" w:cs="Calibri Light"/>
          <w:b/>
          <w:sz w:val="24"/>
          <w:szCs w:val="24"/>
          <w:lang w:val="id-ID"/>
        </w:rPr>
      </w:pPr>
    </w:p>
    <w:p w14:paraId="7193D400">
      <w:pPr>
        <w:numPr>
          <w:ilvl w:val="0"/>
          <w:numId w:val="1"/>
        </w:numPr>
        <w:spacing w:before="120" w:after="120"/>
        <w:ind w:hanging="270"/>
        <w:rPr>
          <w:rFonts w:ascii="Calibri Light" w:cs="Calibri Light"/>
          <w:b/>
          <w:sz w:val="24"/>
          <w:szCs w:val="24"/>
          <w:lang w:val="id-ID"/>
        </w:rPr>
      </w:pPr>
      <w:r>
        <w:rPr>
          <w:rFonts w:ascii="Calibri Light" w:cs="Calibri Light"/>
          <w:b/>
          <w:sz w:val="24"/>
          <w:szCs w:val="24"/>
        </w:rPr>
        <w:t>INTRODUCTION</w:t>
      </w:r>
    </w:p>
    <w:p w14:paraId="4F3903E7">
      <w:pPr>
        <w:pStyle w:val="10"/>
        <w:spacing w:after="240"/>
        <w:ind w:left="360"/>
        <w:jc w:val="both"/>
        <w:rPr>
          <w:rFonts w:ascii="Calibri Light" w:cs="Calibri Light"/>
          <w:color w:val="000000"/>
          <w:sz w:val="24"/>
          <w:szCs w:val="24"/>
        </w:rPr>
      </w:pPr>
      <w:r>
        <w:rPr>
          <w:rFonts w:ascii="Calibri Light" w:cs="Calibri Light"/>
          <w:color w:val="000000"/>
          <w:sz w:val="24"/>
          <w:szCs w:val="24"/>
        </w:rPr>
        <w:t xml:space="preserve">The People's Consultative Assembly (MPR) is the highest institution established by the 1945 Constitution and is regarded as the representative and sovereign body of the entire Indonesian populace </w:t>
      </w:r>
      <w:r>
        <w:rPr>
          <w:rFonts w:ascii="Calibri Light" w:cs="Calibri Light"/>
          <w:sz w:val="24"/>
          <w:szCs w:val="24"/>
        </w:rPr>
        <w:fldChar w:fldCharType="begin" w:fldLock="1"/>
      </w:r>
      <w:r>
        <w:rPr>
          <w:rFonts w:ascii="Calibri Light" w:cs="Calibri Light"/>
          <w:sz w:val="24"/>
          <w:szCs w:val="24"/>
        </w:rPr>
        <w:instrText xml:space="preserve">ADDIN CSL_CITATION {"citationItems":[{"id":"ITEM-1","itemData":{"DOI":"10.14505/jarle.v11.3(45).30","ISSN":"2068-696X","author":[{"dropping-particle":"","family":"Marzuki","given":"","non-dropping-particle":"","parse-names":false,"suffix":""},{"dropping-particle":"","family":"Sitompul","given":"Roswita","non-dropping-particle":"","parse-names":false,"suffix":""}],"container-title":"Journal Of Advanced Research In Law And Economics","id":"ITEM-1","issue":"3 (49)","issued":{"date-parts":[["2020"]]},"page":"947-950","publisher":"ASERS Ltd","title":"The Existence of People's Consultative Assembly in Indonesian State System in the Pancasila Democracy Perspective","type":"article-journal","volume":"11"},"uris":["http://www.mendeley.com/documents/?uuid=6f4fd28d-4187-44aa-9961-b53bb743bc3b"]}],"mendeley":{"formattedCitation":"(Marzuki &amp; Sitompul, 2020)","plainTextFormattedCitation":"(Marzuki &amp; Sitompul, 2020)","previouslyFormattedCitation":"(Marzuki &amp; Sitompul, 2020)"},"properties":{"noteIndex":0},"schema":"https://github.com/citation-style-language/schema/raw/master/csl-citation.json"}</w:instrText>
      </w:r>
      <w:r>
        <w:rPr>
          <w:rFonts w:ascii="Calibri Light" w:cs="Calibri Light"/>
          <w:sz w:val="24"/>
          <w:szCs w:val="24"/>
        </w:rPr>
        <w:fldChar w:fldCharType="separate"/>
      </w:r>
      <w:r>
        <w:rPr>
          <w:rFonts w:ascii="Calibri Light" w:cs="Calibri Light"/>
          <w:sz w:val="24"/>
          <w:szCs w:val="24"/>
          <w:lang w:val="zh-CN" w:eastAsia="zh-CN"/>
        </w:rPr>
        <w:t>(Marzuki &amp; Sitompul, 2020)</w:t>
      </w:r>
      <w:r>
        <w:rPr>
          <w:rFonts w:ascii="Calibri Light" w:cs="Calibri Light"/>
          <w:sz w:val="24"/>
          <w:szCs w:val="24"/>
        </w:rPr>
        <w:fldChar w:fldCharType="end"/>
      </w:r>
      <w:r>
        <w:rPr>
          <w:rFonts w:ascii="Calibri Light" w:cs="Calibri Light"/>
          <w:color w:val="000000"/>
          <w:sz w:val="24"/>
          <w:szCs w:val="24"/>
        </w:rPr>
        <w:t xml:space="preserve">. </w:t>
      </w:r>
      <w:r>
        <w:rPr>
          <w:rFonts w:ascii="Calibri Light" w:cs="Calibri Light"/>
          <w:color w:val="000000"/>
          <w:sz w:val="24"/>
          <w:szCs w:val="24"/>
          <w:highlight w:val="green"/>
        </w:rPr>
        <w:t>The Constitution underwent four amendments between 1999 and 2002, which significantly altered the MPR's position and functions, thereby reshaping Indonesia's constitutional landscape.</w:t>
      </w:r>
      <w:r>
        <w:rPr>
          <w:rFonts w:ascii="Calibri Light" w:cs="Calibri Light"/>
          <w:color w:val="000000"/>
          <w:sz w:val="24"/>
          <w:szCs w:val="24"/>
        </w:rPr>
        <w:t xml:space="preserve"> Nevertheless, the MPR is no longer regarded as an institution that enforces the political will of the populace as a result of the 1945 Constitutional amendments. Additionally, the MPR has evolved from the highest state institution that grants vertical authority to state institutions below it. Conversely, it is now a state institution that is on par with other state institutions. The MPR was created with the objective of transitioning the parliament from a "unicameral system" to a "bicameral system" in the context of implementing the rule of law. This system is distinguished by the presence of the People's Representative Council (DPR), which represents the aspirations of political parties (political representation), and the Regional Representative Council (DPD), which represents regional interests (regional representation). It is anticipated that both the aspirations of constituents in political parties and the aspirations that are emerging in the regions will have comprehensive distribution channels in parliament. According to Ramadani and Mamonto, the MPR is classified as the third (</w:t>
      </w:r>
      <w:commentRangeStart w:id="2"/>
      <w:commentRangeStart w:id="3"/>
      <w:r>
        <w:rPr>
          <w:rFonts w:ascii="Calibri Light" w:cs="Calibri Light"/>
          <w:color w:val="000000"/>
          <w:sz w:val="24"/>
          <w:szCs w:val="24"/>
        </w:rPr>
        <w:t>tricameral) parliament—meaning that the DPR, DPD, and MPR are positioned equally but with different functions—</w:t>
      </w:r>
      <w:commentRangeEnd w:id="2"/>
      <w:r>
        <w:rPr>
          <w:rStyle w:val="16"/>
        </w:rPr>
        <w:commentReference w:id="2"/>
      </w:r>
      <w:commentRangeEnd w:id="3"/>
      <w:r>
        <w:rPr>
          <w:rStyle w:val="16"/>
        </w:rPr>
        <w:commentReference w:id="3"/>
      </w:r>
      <w:r>
        <w:rPr>
          <w:rFonts w:ascii="Calibri Light" w:cs="Calibri Light"/>
          <w:color w:val="000000"/>
          <w:sz w:val="24"/>
          <w:szCs w:val="24"/>
        </w:rPr>
        <w:t xml:space="preserve">as a consequence of the amendments to the 1945 Constitution </w:t>
      </w:r>
      <w:r>
        <w:rPr>
          <w:rFonts w:ascii="Calibri Light" w:cs="Calibri Light"/>
          <w:sz w:val="24"/>
          <w:szCs w:val="24"/>
        </w:rPr>
        <w:fldChar w:fldCharType="begin" w:fldLock="1"/>
      </w:r>
      <w:r>
        <w:rPr>
          <w:rFonts w:ascii="Calibri Light" w:cs="Calibri Light"/>
          <w:sz w:val="24"/>
          <w:szCs w:val="24"/>
        </w:rPr>
        <w:instrText xml:space="preserve">ADDIN CSL_CITATION {"citationItems":[{"id":"ITEM-1","itemData":{"DOI":"10.33096/substantivejustice.v1i2.18","ISSN":"2599-0462","author":[{"dropping-particle":"","family":"Ramadani","given":"Rizki","non-dropping-particle":"","parse-names":false,"suffix":""},{"dropping-particle":"","family":"Mamonto","given":"Moch Andry W W","non-dropping-particle":"","parse-names":false,"suffix":""}],"container-title":"Substantive Justice International Journal of Law","id":"ITEM-1","issue":"2","issued":{"date-parts":[["2018"]]},"page":"82-94","title":"Independency of the Corruption Eradication Commission of the Republic of Indonesia (KPK RI) in Indicators of Independent Regulatory Agencies (IRAs)","type":"article-journal","volume":"1"},"uris":["http://www.mendeley.com/documents/?uuid=9994cfee-316d-4f26-b0a1-154c56824955"]},{"id":"ITEM-2","itemData":{"DOI":"10.1111/1475- 6765.12204","ISSN":"0304-4130","author":[{"dropping-particle":"","family":"Lord","given":"Christopher","non-dropping-particle":"","parse-names":false,"suffix":""}],"container-title":"European Journal of Political Research","id":"ITEM-2","issue":"3","issued":{"date-parts":[["2017"]]},"page":"512-528","publisher":"Wiley Online Library","title":"An Indirect Legitimacy Argument for a Directly Elected European Parliament","type":"article-journal","volume":"56"},"uris":["http://www.mendeley.com/documents/?uuid=05130dd2-8666-4b7e-8529-84d1383818d0"]}],"mendeley":{"formattedCitation":"(Lord, 2017; Ramadani &amp; Mamonto, 2018)","plainTextFormattedCitation":"(Lord, 2017; Ramadani &amp; Mamonto, 2018)","previouslyFormattedCitation":"(Lord, 2017; Ramadani &amp; Mamonto, 2018)"},"properties":{"noteIndex":0},"schema":"https://github.com/citation-style-language/schema/raw/master/csl-citation.json"}</w:instrText>
      </w:r>
      <w:r>
        <w:rPr>
          <w:rFonts w:ascii="Calibri Light" w:cs="Calibri Light"/>
          <w:sz w:val="24"/>
          <w:szCs w:val="24"/>
        </w:rPr>
        <w:fldChar w:fldCharType="separate"/>
      </w:r>
      <w:r>
        <w:rPr>
          <w:rFonts w:ascii="Calibri Light" w:cs="Calibri Light"/>
          <w:sz w:val="24"/>
          <w:szCs w:val="24"/>
          <w:lang w:val="zh-CN" w:eastAsia="zh-CN"/>
        </w:rPr>
        <w:t>(Lord, 2017; Ramadani &amp; Mamonto, 2018)</w:t>
      </w:r>
      <w:r>
        <w:rPr>
          <w:rFonts w:ascii="Calibri Light" w:cs="Calibri Light"/>
          <w:sz w:val="24"/>
          <w:szCs w:val="24"/>
        </w:rPr>
        <w:fldChar w:fldCharType="end"/>
      </w:r>
      <w:r>
        <w:rPr>
          <w:rFonts w:ascii="Calibri Light" w:cs="Calibri Light"/>
          <w:color w:val="000000"/>
          <w:sz w:val="24"/>
          <w:szCs w:val="24"/>
        </w:rPr>
        <w:t xml:space="preserve">. The three legislative institutions are not regarded as joint sessions, but rather as independent institutions, due to the fact that each has its own authority and leadership. </w:t>
      </w:r>
    </w:p>
    <w:p w14:paraId="59579127">
      <w:pPr>
        <w:pStyle w:val="10"/>
        <w:spacing w:after="240"/>
        <w:ind w:left="360"/>
        <w:jc w:val="both"/>
        <w:rPr>
          <w:rFonts w:ascii="Calibri Light" w:cs="Calibri Light"/>
          <w:color w:val="000000"/>
          <w:sz w:val="24"/>
          <w:szCs w:val="24"/>
        </w:rPr>
      </w:pPr>
      <w:r>
        <w:rPr>
          <w:rFonts w:ascii="Calibri Light" w:cs="Calibri Light"/>
          <w:color w:val="000000"/>
          <w:sz w:val="24"/>
          <w:szCs w:val="24"/>
        </w:rPr>
        <w:t>Broadly speaking, there are several reasons why Indonesia needs to switch to a two-chamber system:</w:t>
      </w:r>
    </w:p>
    <w:p w14:paraId="0F687603">
      <w:pPr>
        <w:pStyle w:val="10"/>
        <w:widowControl w:val="0"/>
        <w:numPr>
          <w:ilvl w:val="0"/>
          <w:numId w:val="2"/>
        </w:numPr>
        <w:spacing w:after="0"/>
        <w:ind w:left="630" w:hanging="270"/>
        <w:jc w:val="both"/>
        <w:rPr>
          <w:rFonts w:ascii="Calibri Light" w:cs="Calibri Light"/>
          <w:color w:val="000000"/>
          <w:sz w:val="24"/>
          <w:szCs w:val="24"/>
          <w:highlight w:val="yellow"/>
        </w:rPr>
      </w:pPr>
      <w:r>
        <w:rPr>
          <w:rFonts w:ascii="Calibri Light" w:cs="Calibri Light"/>
          <w:color w:val="000000"/>
          <w:sz w:val="24"/>
          <w:szCs w:val="24"/>
          <w:highlight w:val="green"/>
        </w:rPr>
        <w:t>The two-chamber parliament model, as defined by Montesquieu, is a check and balance mechanism that involves two houses within a single representative body. At the central level, there is only one representative institution composed of two components: one that directly represents all the people, and another that represents the regions. In this model, the concept of group representation does not rely on specific "group messengers" but rather on institutional components that embody the interests of individuals and regions. Montesquieu’s idea emphasizes that representation should reflect the collective interests through these components rather than through separate group delegates, a principle which also underpins many modern bicameral parliaments where individual and territorial representation coexist</w:t>
      </w:r>
      <w:r>
        <w:rPr>
          <w:rFonts w:ascii="Calibri Light" w:cs="Calibri Light"/>
          <w:color w:val="000000"/>
          <w:sz w:val="24"/>
          <w:szCs w:val="24"/>
          <w:highlight w:val="yellow"/>
        </w:rPr>
        <w:fldChar w:fldCharType="begin" w:fldLock="1"/>
      </w:r>
      <w:r>
        <w:rPr>
          <w:rFonts w:ascii="Calibri Light" w:cs="Calibri Light"/>
          <w:color w:val="000000"/>
          <w:sz w:val="24"/>
          <w:szCs w:val="24"/>
          <w:highlight w:val="yellow"/>
        </w:rPr>
        <w:instrText xml:space="preserve">ADDIN CSL_CITATION {"citationItems":[{"id":"ITEM-1","itemData":{"DOI":"10.36356/ulrev.v1i2.597","abstract":"Di Indonesia, banyak ditemukan pelajar yang setelah lulus dari SMA atau sederajat melanjutkan sekolah di luar kota, bahkan ada yang di luar provinsi atau juga pulau. Pilihan untuk melanjutkan studi di luar daerah berdasarkan beberapa alasan, antara lain karena fakultas atau jurusan yang diinginkan sesuai dengan minat dan bakat yang tidak terdapat di daerah asal, atau pun karena beasiswa yang diterima mengharuskan untuk melanjutkan studi di universitas yang ditentukan oleh penyedia beasiswa. Indekos sendiri memiliki fungsi utama, yaitu sebagai rumah sementara, tempat belajar, dan tempat beristirahat, namun dari data yang ditemukan banyak kasus mahasiswa melakukan pindahan indekos selama mereka menjadi perantau karena berbagai alasan. Tujuan dari penelitian ini untuk membantu penyewa dan pemilik indekos memahami proses serta faktor pemilihan indekos di daerah seikitar UMS, dari penelitian ini diharapkan para perantau yang ingin menyewa indekos akan lebih memahami keinginan mereka dan pemilik indekos juga memahami faktor-faktor yang mempengaruhi agar indekos mereka diminati. Penelitian ini menggunakan metode penelitian kualitatif deskriptif. Informan dalam penelitian ini berjumlah 10 orang dengan kriteria : (a) Mahasiswa Universitas Muhammadiyah Surakarta minimal angkatan tahun 2016, (b) Tinggal di indekos berdomisili Solo. Metode pengumpulan data yang digunakan pada penelitian ini adalah wawancara. Data dianalisis secara tematik. Berdasarkan hasil penelitian, diketahui proses pengambilan keputusan indekos yaitu, mencari pilihan indekos, mengevaluasi semua pilihan yang ada lalu memilih pilihan dan merencanakan pilihan yang diambil, sedangkan untuk pengambilan keputusan mahasiswa dalam memilih indekos dipengaruhi oleh beberapa faktor, dan peneliti mengurutkan faktor tersebut menjadi empat urutan yaitu, kenyamanan, fasilitas, harga, dan jarak. Pada penelitian selanjutnya bisa digunakan teknik purposive sampling, agar data yang didapat lebih merata terkait proses pengambilan keputusan dan faktor yang mempengaruhi, lalu bisa juga difokuskan","author":[{"dropping-particle":"","family":"Agustiwi","given":"Asri","non-dropping-particle":"","parse-names":false,"suffix":""}],"container-title":"UNTAG Law Review","id":"ITEM-1","issue":"2","issued":{"date-parts":[["2017"]]},"page":"51","title":"DYNAMICS OF CONSTITUTION IN 1945 AMENDMENTS AS A CONSTITUTIONAL IN INDONESIA","type":"article-journal","volume":"1"},"uris":["http://www.mendeley.com/documents/?uuid=e656d1fc-9f0e-4be8-8593-97afee5963f4"]}],"mendeley":{"formattedCitation":"(Agustiwi, 2017)","plainTextFormattedCitation":"(Agustiwi, 2017)","previouslyFormattedCitation":"(Agustiwi, 2017)"},"properties":{"noteIndex":0},"schema":"https://github.com/citation-style-language/schema/raw/master/csl-citation.json"}</w:instrText>
      </w:r>
      <w:r>
        <w:rPr>
          <w:rFonts w:ascii="Calibri Light" w:cs="Calibri Light"/>
          <w:color w:val="000000"/>
          <w:sz w:val="24"/>
          <w:szCs w:val="24"/>
          <w:highlight w:val="yellow"/>
        </w:rPr>
        <w:fldChar w:fldCharType="separate"/>
      </w:r>
      <w:r>
        <w:rPr>
          <w:rFonts w:ascii="Calibri Light" w:cs="Calibri Light"/>
          <w:color w:val="000000"/>
          <w:sz w:val="24"/>
          <w:szCs w:val="24"/>
          <w:highlight w:val="yellow"/>
        </w:rPr>
        <w:t>(Agustiwi, 2017)</w:t>
      </w:r>
      <w:r>
        <w:rPr>
          <w:rFonts w:ascii="Calibri Light" w:cs="Calibri Light"/>
          <w:color w:val="000000"/>
          <w:sz w:val="24"/>
          <w:szCs w:val="24"/>
          <w:highlight w:val="yellow"/>
        </w:rPr>
        <w:fldChar w:fldCharType="end"/>
      </w:r>
      <w:r>
        <w:rPr>
          <w:rFonts w:ascii="Calibri Light" w:cs="Calibri Light"/>
          <w:color w:val="000000"/>
          <w:sz w:val="24"/>
          <w:szCs w:val="24"/>
          <w:highlight w:val="yellow"/>
        </w:rPr>
        <w:t>.</w:t>
      </w:r>
    </w:p>
    <w:p w14:paraId="358419B2">
      <w:pPr>
        <w:pStyle w:val="10"/>
        <w:widowControl w:val="0"/>
        <w:numPr>
          <w:ilvl w:val="0"/>
          <w:numId w:val="2"/>
        </w:numPr>
        <w:spacing w:after="0"/>
        <w:ind w:left="630" w:hanging="270"/>
        <w:jc w:val="both"/>
        <w:rPr>
          <w:rFonts w:ascii="Calibri Light" w:cs="Calibri Light"/>
          <w:color w:val="000000"/>
          <w:sz w:val="24"/>
          <w:szCs w:val="24"/>
          <w:highlight w:val="yellow"/>
        </w:rPr>
      </w:pPr>
      <w:r>
        <w:rPr>
          <w:rFonts w:ascii="Calibri Light" w:cs="Calibri Light"/>
          <w:color w:val="000000"/>
          <w:sz w:val="24"/>
          <w:szCs w:val="24"/>
          <w:highlight w:val="yellow"/>
        </w:rPr>
        <w:t xml:space="preserve">Regional representatives perform parliamentary functions, including the formation of laws, the supervision of the government, and the preparation of the APBN. Consequently, parliamentary activities can be conducted on a daily basis, and all regional issues are integrated. This is one approach to preserving harmony and averting injury </w:t>
      </w:r>
      <w:r>
        <w:rPr>
          <w:rFonts w:ascii="Calibri Light" w:cs="Calibri Light"/>
          <w:color w:val="000000"/>
          <w:sz w:val="24"/>
          <w:szCs w:val="24"/>
          <w:highlight w:val="yellow"/>
        </w:rPr>
        <w:fldChar w:fldCharType="begin" w:fldLock="1"/>
      </w:r>
      <w:r>
        <w:rPr>
          <w:rFonts w:ascii="Calibri Light" w:cs="Calibri Light"/>
          <w:color w:val="000000"/>
          <w:sz w:val="24"/>
          <w:szCs w:val="24"/>
          <w:highlight w:val="yellow"/>
        </w:rPr>
        <w:instrText xml:space="preserve">ADDIN CSL_CITATION {"citationItems":[{"id":"ITEM-1","itemData":{"abstract":"… Seperti fungsi pengawasan pada umumnya, fungsi Dewan Perwakilan Rakyat Daerah (DPRD) … Fungsi pengawasan ini menunjukkan terwujudnya dalam tata pemerintahan. Dimana … Anggota DPRD yang dipilih dan diangkat dari partai partai pemenang pemilu mempunyai …","author":[{"dropping-particle":"","family":"Azahra","given":"Alma","non-dropping-particle":"","parse-names":false,"suffix":""},{"dropping-particle":"","family":"Lubis","given":"Fauzi Arif","non-dropping-particle":"","parse-names":false,"suffix":""}],"container-title":"Jurnal Pendidikan Tambusai","id":"ITEM-1","issue":"3","issued":{"date-parts":[["2021"]]},"page":"8234-8245","title":"Peran DPRD dalam Pengawasan dan Kendala-Kendala terhadap Pelaksanaan Anggaran Pendapatan dan Belanja Daerah (APBD) di Provinsi Sumatera Utara Kota Medan","type":"article-journal","volume":"5"},"uris":["http://www.mendeley.com/documents/?uuid=12083577-6497-4673-aae7-affa5adf1c17"]}],"mendeley":{"formattedCitation":"(Azahra &amp; Lubis, 2021)","plainTextFormattedCitation":"(Azahra &amp; Lubis, 2021)","previouslyFormattedCitation":"(Azahra &amp; Lubis, 2021)"},"properties":{"noteIndex":0},"schema":"https://github.com/citation-style-language/schema/raw/master/csl-citation.json"}</w:instrText>
      </w:r>
      <w:r>
        <w:rPr>
          <w:rFonts w:ascii="Calibri Light" w:cs="Calibri Light"/>
          <w:color w:val="000000"/>
          <w:sz w:val="24"/>
          <w:szCs w:val="24"/>
          <w:highlight w:val="yellow"/>
        </w:rPr>
        <w:fldChar w:fldCharType="separate"/>
      </w:r>
      <w:r>
        <w:rPr>
          <w:rFonts w:ascii="Calibri Light" w:cs="Calibri Light"/>
          <w:color w:val="000000"/>
          <w:sz w:val="24"/>
          <w:szCs w:val="24"/>
          <w:highlight w:val="yellow"/>
        </w:rPr>
        <w:t>(Azahra &amp; Lubis, 2021)</w:t>
      </w:r>
      <w:r>
        <w:rPr>
          <w:rFonts w:ascii="Calibri Light" w:cs="Calibri Light"/>
          <w:color w:val="000000"/>
          <w:sz w:val="24"/>
          <w:szCs w:val="24"/>
          <w:highlight w:val="yellow"/>
        </w:rPr>
        <w:fldChar w:fldCharType="end"/>
      </w:r>
      <w:r>
        <w:rPr>
          <w:rFonts w:ascii="Calibri Light" w:cs="Calibri Light"/>
          <w:color w:val="000000"/>
          <w:sz w:val="24"/>
          <w:szCs w:val="24"/>
          <w:highlight w:val="yellow"/>
        </w:rPr>
        <w:t>.</w:t>
      </w:r>
    </w:p>
    <w:p w14:paraId="27DA9BE1">
      <w:pPr>
        <w:pStyle w:val="10"/>
        <w:widowControl w:val="0"/>
        <w:numPr>
          <w:ilvl w:val="0"/>
          <w:numId w:val="2"/>
        </w:numPr>
        <w:ind w:left="630" w:hanging="270"/>
        <w:jc w:val="both"/>
        <w:rPr>
          <w:rFonts w:ascii="Calibri Light" w:cs="Calibri Light"/>
          <w:color w:val="000000"/>
          <w:sz w:val="24"/>
          <w:szCs w:val="24"/>
          <w:highlight w:val="yellow"/>
        </w:rPr>
      </w:pPr>
      <w:r>
        <w:rPr>
          <w:rFonts w:ascii="Calibri Light" w:cs="Calibri Light"/>
          <w:color w:val="000000"/>
          <w:sz w:val="24"/>
          <w:szCs w:val="24"/>
          <w:highlight w:val="yellow"/>
        </w:rPr>
        <w:t xml:space="preserve">A two-chamber system will result in an increase in output. Each component is capable of fulfilling all obligations and obligations. There is no necessity to delay or rely on a single individual at this time </w:t>
      </w:r>
      <w:r>
        <w:rPr>
          <w:rFonts w:ascii="Calibri Light" w:cs="Calibri Light"/>
          <w:color w:val="000000"/>
          <w:sz w:val="24"/>
          <w:szCs w:val="24"/>
          <w:highlight w:val="yellow"/>
        </w:rPr>
        <w:fldChar w:fldCharType="begin" w:fldLock="1"/>
      </w:r>
      <w:r>
        <w:rPr>
          <w:rFonts w:ascii="Calibri Light" w:cs="Calibri Light"/>
          <w:color w:val="000000"/>
          <w:sz w:val="24"/>
          <w:szCs w:val="24"/>
          <w:highlight w:val="yellow"/>
        </w:rPr>
        <w:instrText xml:space="preserve">ADDIN CSL_CITATION {"citationItems":[{"id":"ITEM-1","itemData":{"author":[{"dropping-particle":"","family":"Susanto","given":"Mei","non-dropping-particle":"","parse-names":false,"suffix":""}],"container-title":"NEGARA HUKUM","id":"ITEM-1","issue":"2","issued":{"date-parts":[["2018"]]},"page":"163-180","title":"The Legislative Role in The Budgeting Process in Indonesia","type":"article-journal","volume":"9"},"uris":["http://www.mendeley.com/documents/?uuid=84e09ed1-e516-48d2-b3a6-bd5843d2b572"]}],"mendeley":{"formattedCitation":"(Susanto, 2018)","plainTextFormattedCitation":"(Susanto, 2018)","previouslyFormattedCitation":"(Susanto, 2018)"},"properties":{"noteIndex":0},"schema":"https://github.com/citation-style-language/schema/raw/master/csl-citation.json"}</w:instrText>
      </w:r>
      <w:r>
        <w:rPr>
          <w:rFonts w:ascii="Calibri Light" w:cs="Calibri Light"/>
          <w:color w:val="000000"/>
          <w:sz w:val="24"/>
          <w:szCs w:val="24"/>
          <w:highlight w:val="yellow"/>
        </w:rPr>
        <w:fldChar w:fldCharType="separate"/>
      </w:r>
      <w:r>
        <w:rPr>
          <w:rFonts w:ascii="Calibri Light" w:cs="Calibri Light"/>
          <w:color w:val="000000"/>
          <w:sz w:val="24"/>
          <w:szCs w:val="24"/>
          <w:highlight w:val="yellow"/>
        </w:rPr>
        <w:t>(Susanto, 2018)</w:t>
      </w:r>
      <w:r>
        <w:rPr>
          <w:rFonts w:ascii="Calibri Light" w:cs="Calibri Light"/>
          <w:color w:val="000000"/>
          <w:sz w:val="24"/>
          <w:szCs w:val="24"/>
          <w:highlight w:val="yellow"/>
        </w:rPr>
        <w:fldChar w:fldCharType="end"/>
      </w:r>
      <w:r>
        <w:rPr>
          <w:rFonts w:ascii="Calibri Light" w:cs="Calibri Light"/>
          <w:color w:val="000000"/>
          <w:sz w:val="24"/>
          <w:szCs w:val="24"/>
          <w:highlight w:val="yellow"/>
        </w:rPr>
        <w:t>.</w:t>
      </w:r>
    </w:p>
    <w:p w14:paraId="089AD4E4">
      <w:pPr>
        <w:pStyle w:val="10"/>
        <w:spacing w:after="240"/>
        <w:ind w:left="360"/>
        <w:jc w:val="both"/>
        <w:rPr>
          <w:rFonts w:ascii="Calibri Light" w:cs="Calibri Light"/>
          <w:color w:val="000000"/>
          <w:sz w:val="24"/>
          <w:szCs w:val="24"/>
        </w:rPr>
      </w:pPr>
      <w:commentRangeStart w:id="4"/>
      <w:commentRangeStart w:id="5"/>
      <w:r>
        <w:rPr>
          <w:rFonts w:ascii="Calibri Light" w:cs="Calibri Light"/>
          <w:color w:val="000000"/>
          <w:sz w:val="24"/>
          <w:szCs w:val="24"/>
        </w:rPr>
        <w:t xml:space="preserve">This perspective contends that the effective execution </w:t>
      </w:r>
      <w:commentRangeEnd w:id="4"/>
      <w:r>
        <w:rPr>
          <w:rStyle w:val="16"/>
        </w:rPr>
        <w:commentReference w:id="4"/>
      </w:r>
      <w:commentRangeEnd w:id="5"/>
      <w:r>
        <w:rPr>
          <w:rStyle w:val="16"/>
        </w:rPr>
        <w:commentReference w:id="5"/>
      </w:r>
      <w:r>
        <w:rPr>
          <w:rFonts w:ascii="Calibri Light" w:cs="Calibri Light"/>
          <w:color w:val="000000"/>
          <w:sz w:val="24"/>
          <w:szCs w:val="24"/>
        </w:rPr>
        <w:t xml:space="preserve">of lawmaking functions is enhanced by the equal authority of both chambers of parliament, </w:t>
      </w:r>
      <w:r>
        <w:rPr>
          <w:rFonts w:ascii="Calibri Light" w:cs="Calibri Light"/>
          <w:color w:val="000000"/>
          <w:sz w:val="24"/>
          <w:szCs w:val="24"/>
          <w:highlight w:val="yellow"/>
        </w:rPr>
        <w:t>as observed in countries with strong bicameral systems like the United States—offering valuable insights for Indonesia, where debates on bicameralism remain pertinent to refining legislative performance and institutional checks and balances</w:t>
      </w:r>
      <w:r>
        <w:rPr>
          <w:rFonts w:ascii="Calibri Light" w:cs="Calibri Light"/>
          <w:color w:val="000000"/>
          <w:sz w:val="24"/>
          <w:szCs w:val="24"/>
        </w:rPr>
        <w:t xml:space="preserve">. Nevertheless, this perspective is not consistently unambiguous </w:t>
      </w:r>
      <w:r>
        <w:rPr>
          <w:rFonts w:ascii="Calibri Light" w:cs="Calibri Light"/>
          <w:sz w:val="24"/>
          <w:szCs w:val="24"/>
        </w:rPr>
        <w:fldChar w:fldCharType="begin" w:fldLock="1"/>
      </w:r>
      <w:r>
        <w:rPr>
          <w:rFonts w:ascii="Calibri Light" w:cs="Calibri Light"/>
          <w:sz w:val="24"/>
          <w:szCs w:val="24"/>
        </w:rPr>
        <w:instrText xml:space="preserve">ADDIN CSL_CITATION {"citationItems":[{"id":"ITEM-1","itemData":{"ISSN":"0032-3292","author":[{"dropping-particle":"","family":"Malleson","given":"Tom","non-dropping-particle":"","parse-names":false,"suffix":""}],"container-title":"Politics &amp; Society","id":"ITEM-1","issue":"2","issued":{"date-parts":[["2023"]]},"page":"167-187","publisher":"SAGE Publications Sage CA: Los Angeles, CA","title":"The Corporation, Democracy, and The Idea of The Bicameral Firm","type":"article-journal","volume":"51"},"uris":["http://www.mendeley.com/documents/?uuid=4c9c170c-7af7-4d44-b3d2-cda6c1f1679a"]}],"mendeley":{"formattedCitation":"(Malleson, 2023)","plainTextFormattedCitation":"(Malleson, 2023)","previouslyFormattedCitation":"(Malleson, 2023)"},"properties":{"noteIndex":0},"schema":"https://github.com/citation-style-language/schema/raw/master/csl-citation.json"}</w:instrText>
      </w:r>
      <w:r>
        <w:rPr>
          <w:rFonts w:ascii="Calibri Light" w:cs="Calibri Light"/>
          <w:sz w:val="24"/>
          <w:szCs w:val="24"/>
        </w:rPr>
        <w:fldChar w:fldCharType="separate"/>
      </w:r>
      <w:r>
        <w:rPr>
          <w:rFonts w:ascii="Calibri Light" w:cs="Calibri Light"/>
          <w:sz w:val="24"/>
          <w:szCs w:val="24"/>
          <w:lang w:val="zh-CN" w:eastAsia="zh-CN"/>
        </w:rPr>
        <w:t>(Malleson, 2023)</w:t>
      </w:r>
      <w:r>
        <w:rPr>
          <w:rFonts w:ascii="Calibri Light" w:cs="Calibri Light"/>
          <w:sz w:val="24"/>
          <w:szCs w:val="24"/>
        </w:rPr>
        <w:fldChar w:fldCharType="end"/>
      </w:r>
      <w:r>
        <w:rPr>
          <w:rFonts w:ascii="Calibri Light" w:cs="Calibri Light"/>
          <w:color w:val="000000"/>
          <w:sz w:val="24"/>
          <w:szCs w:val="24"/>
        </w:rPr>
        <w:t xml:space="preserve">. This is evident in numerous countries with robust bicameral systems, including the United States, where the Senate and House of Representatives possess equal authority to assess all proposed laws prior to their submission to the executive. The House of Representatives is required to deliberate on legislation that is intended to increase revenue, as stated in Article 1 Section 7 of the United States Constitution. Nevertheless, the Senate is permitted to suggest or authorize modifications, as it is with other bills </w:t>
      </w:r>
      <w:r>
        <w:rPr>
          <w:rFonts w:ascii="Calibri Light" w:cs="Calibri Light"/>
          <w:sz w:val="24"/>
          <w:szCs w:val="24"/>
        </w:rPr>
        <w:fldChar w:fldCharType="begin" w:fldLock="1"/>
      </w:r>
      <w:r>
        <w:rPr>
          <w:rFonts w:ascii="Calibri Light" w:cs="Calibri Light"/>
          <w:sz w:val="24"/>
          <w:szCs w:val="24"/>
        </w:rPr>
        <w:instrText xml:space="preserve">ADDIN CSL_CITATION {"citationItems":[{"id":"ITEM-1","itemData":{"author":[{"dropping-particle":"","family":"Kaharudin","given":"","non-dropping-particle":"","parse-names":false,"suffix":""}],"container-title":"J. Legal Ethical &amp; Regul. Isses","id":"ITEM-1","issued":{"date-parts":[["2022"]]},"page":"1","publisher":"HeinOnline","title":"Reconstruction of the Legislative Authority of the Regional Representative Council of the Republic of Indonesia in the Indonesian State System","type":"article-journal","volume":"25"},"uris":["http://www.mendeley.com/documents/?uuid=960d78e9-1031-4a11-a889-ab938ca1784d"]}],"mendeley":{"formattedCitation":"(Kaharudin, 2022)","plainTextFormattedCitation":"(Kaharudin, 2022)","previouslyFormattedCitation":"(Kaharudin, 2022)"},"properties":{"noteIndex":0},"schema":"https://github.com/citation-style-language/schema/raw/master/csl-citation.json"}</w:instrText>
      </w:r>
      <w:r>
        <w:rPr>
          <w:rFonts w:ascii="Calibri Light" w:cs="Calibri Light"/>
          <w:sz w:val="24"/>
          <w:szCs w:val="24"/>
        </w:rPr>
        <w:fldChar w:fldCharType="separate"/>
      </w:r>
      <w:r>
        <w:rPr>
          <w:rFonts w:ascii="Calibri Light" w:cs="Calibri Light"/>
          <w:sz w:val="24"/>
          <w:szCs w:val="24"/>
          <w:lang w:val="zh-CN" w:eastAsia="zh-CN"/>
        </w:rPr>
        <w:t>(Kaharudin, 2022)</w:t>
      </w:r>
      <w:r>
        <w:rPr>
          <w:rFonts w:ascii="Calibri Light" w:cs="Calibri Light"/>
          <w:sz w:val="24"/>
          <w:szCs w:val="24"/>
        </w:rPr>
        <w:fldChar w:fldCharType="end"/>
      </w:r>
      <w:r>
        <w:rPr>
          <w:rFonts w:ascii="Calibri Light" w:cs="Calibri Light"/>
          <w:color w:val="000000"/>
          <w:sz w:val="24"/>
          <w:szCs w:val="24"/>
        </w:rPr>
        <w:t>. Legislation that has been enacted by the Senate and House of Representatives must be submitted to the president of the United States prior to becoming law.</w:t>
      </w:r>
    </w:p>
    <w:p w14:paraId="36E5F39D">
      <w:pPr>
        <w:pStyle w:val="10"/>
        <w:spacing w:after="240"/>
        <w:ind w:left="360"/>
        <w:jc w:val="both"/>
        <w:rPr>
          <w:rFonts w:ascii="Calibri Light" w:cs="Calibri Light"/>
          <w:color w:val="000000"/>
          <w:sz w:val="24"/>
          <w:szCs w:val="24"/>
        </w:rPr>
      </w:pPr>
      <w:r>
        <w:rPr>
          <w:rFonts w:ascii="Calibri Light" w:cs="Calibri Light"/>
          <w:color w:val="000000"/>
          <w:sz w:val="24"/>
          <w:szCs w:val="24"/>
        </w:rPr>
        <w:t xml:space="preserve">Nevertheless, the DPD, which serves as the second chamber, does not constitute bicameralism when compared to the DPR, as evidenced by Article 20 Paragraphs (1) and (2), Article 20A, and Article 22D Paragraphs (1) and (2) of the Constitution. In this scenario, the DPR is permitted to establish laws in accordance with its constitutional obligations in the areas of legislation and budgeting. Despite the fact that the DPD is not considered the second chamber of parliament, each law must be approved by the President and the DPR. This design implies that the DPD's capabilities are significantly diminished in comparison to those of the DPR </w:t>
      </w:r>
      <w:r>
        <w:rPr>
          <w:rFonts w:ascii="Calibri Light" w:cs="Calibri Light"/>
          <w:sz w:val="24"/>
          <w:szCs w:val="24"/>
        </w:rPr>
        <w:fldChar w:fldCharType="begin" w:fldLock="1"/>
      </w:r>
      <w:r>
        <w:rPr>
          <w:rFonts w:ascii="Calibri Light" w:cs="Calibri Light"/>
          <w:sz w:val="24"/>
          <w:szCs w:val="24"/>
        </w:rPr>
        <w:instrText xml:space="preserve">ADDIN CSL_CITATION {"citationItems":[{"id":"ITEM-1","itemData":{"ISSN":"2615-8809","author":[{"dropping-particle":"","family":"Suryawan","given":"I Gusti Bagus","non-dropping-particle":"","parse-names":false,"suffix":""}],"container-title":"Sociological Jurisprudence Journal","id":"ITEM-1","issue":"2","issued":{"date-parts":[["2018"]]},"page":"95-102","title":"Articulation of Regional Community Interest Through DPD RI","type":"article-journal","volume":"1"},"uris":["http://www.mendeley.com/documents/?uuid=cef1f094-0544-4a34-98ca-a483e75d9c64"]}],"mendeley":{"formattedCitation":"(Suryawan, 2018)","plainTextFormattedCitation":"(Suryawan, 2018)","previouslyFormattedCitation":"(Suryawan, 2018)"},"properties":{"noteIndex":0},"schema":"https://github.com/citation-style-language/schema/raw/master/csl-citation.json"}</w:instrText>
      </w:r>
      <w:r>
        <w:rPr>
          <w:rFonts w:ascii="Calibri Light" w:cs="Calibri Light"/>
          <w:sz w:val="24"/>
          <w:szCs w:val="24"/>
        </w:rPr>
        <w:fldChar w:fldCharType="separate"/>
      </w:r>
      <w:r>
        <w:rPr>
          <w:rFonts w:ascii="Calibri Light" w:cs="Calibri Light"/>
          <w:sz w:val="24"/>
          <w:szCs w:val="24"/>
          <w:lang w:val="zh-CN" w:eastAsia="zh-CN"/>
        </w:rPr>
        <w:t>(Suryawan, 2018)</w:t>
      </w:r>
      <w:r>
        <w:rPr>
          <w:rFonts w:ascii="Calibri Light" w:cs="Calibri Light"/>
          <w:sz w:val="24"/>
          <w:szCs w:val="24"/>
        </w:rPr>
        <w:fldChar w:fldCharType="end"/>
      </w:r>
      <w:r>
        <w:rPr>
          <w:rFonts w:ascii="Calibri Light" w:cs="Calibri Light"/>
          <w:color w:val="000000"/>
          <w:sz w:val="24"/>
          <w:szCs w:val="24"/>
        </w:rPr>
        <w:t xml:space="preserve">.  Conversely, the DPD is restricted to employing the phrase "can submit to the DPR" in the context of draft laws that pertain to decentralization, central and regional relations, the formation, expansion, and merger of regions, the management of natural and economic resources, and intergovernmental financial balance </w:t>
      </w:r>
      <w:r>
        <w:rPr>
          <w:rFonts w:ascii="Calibri Light" w:cs="Calibri Light"/>
          <w:sz w:val="24"/>
          <w:szCs w:val="24"/>
        </w:rPr>
        <w:fldChar w:fldCharType="begin" w:fldLock="1"/>
      </w:r>
      <w:r>
        <w:rPr>
          <w:rFonts w:ascii="Calibri Light" w:cs="Calibri Light"/>
          <w:sz w:val="24"/>
          <w:szCs w:val="24"/>
        </w:rPr>
        <w:instrText xml:space="preserve">ADDIN CSL_CITATION {"citationItems":[{"id":"ITEM-1","itemData":{"ISSN":"2654-5462","author":[{"dropping-particle":"","family":"Sori","given":"Alirman","non-dropping-particle":"","parse-names":false,"suffix":""}],"container-title":"Awang Long Law Review","id":"ITEM-1","issue":"2","issued":{"date-parts":[["2019"]]},"page":"69-84","title":"Bicameral System in The Practice of Organizing The Indonesian Parliament (A Study of The Transformation of The Regional Representative Council Into The Second Chamber in The Parliamentary System in Indonesia)","type":"article-journal","volume":"1"},"uris":["http://www.mendeley.com/documents/?uuid=76c50277-70ee-4543-90c4-6ed3c439bf23"]}],"mendeley":{"formattedCitation":"(Sori, 2019)","plainTextFormattedCitation":"(Sori, 2019)","previouslyFormattedCitation":"(Sori, 2019)"},"properties":{"noteIndex":0},"schema":"https://github.com/citation-style-language/schema/raw/master/csl-citation.json"}</w:instrText>
      </w:r>
      <w:r>
        <w:rPr>
          <w:rFonts w:ascii="Calibri Light" w:cs="Calibri Light"/>
          <w:sz w:val="24"/>
          <w:szCs w:val="24"/>
        </w:rPr>
        <w:fldChar w:fldCharType="separate"/>
      </w:r>
      <w:r>
        <w:rPr>
          <w:rFonts w:ascii="Calibri Light" w:cs="Calibri Light"/>
          <w:sz w:val="24"/>
          <w:szCs w:val="24"/>
          <w:lang w:val="zh-CN" w:eastAsia="zh-CN"/>
        </w:rPr>
        <w:t>(Sori, 2019)</w:t>
      </w:r>
      <w:r>
        <w:rPr>
          <w:rFonts w:ascii="Calibri Light" w:cs="Calibri Light"/>
          <w:sz w:val="24"/>
          <w:szCs w:val="24"/>
        </w:rPr>
        <w:fldChar w:fldCharType="end"/>
      </w:r>
      <w:r>
        <w:rPr>
          <w:rFonts w:ascii="Calibri Light" w:cs="Calibri Light"/>
          <w:color w:val="000000"/>
          <w:sz w:val="24"/>
          <w:szCs w:val="24"/>
        </w:rPr>
        <w:t>.</w:t>
      </w:r>
    </w:p>
    <w:p w14:paraId="2EBF9E23">
      <w:pPr>
        <w:pStyle w:val="10"/>
        <w:spacing w:after="240"/>
        <w:ind w:left="360"/>
        <w:jc w:val="both"/>
        <w:rPr>
          <w:rFonts w:ascii="Calibri Light" w:cs="Calibri Light"/>
          <w:color w:val="000000"/>
          <w:sz w:val="24"/>
          <w:szCs w:val="24"/>
        </w:rPr>
      </w:pPr>
      <w:r>
        <w:rPr>
          <w:rFonts w:ascii="Calibri Light" w:cs="Calibri Light"/>
          <w:color w:val="000000"/>
          <w:sz w:val="24"/>
          <w:szCs w:val="24"/>
        </w:rPr>
        <w:t>This article demonstrates the legislative authority of the DPR (Legislative Executive) surpassing that of the DPD. The DPD's lack of robust legislative authority is evident in the terminology employed, as legislative authority is exclusively determined by the DPR and the executive. This implies that the measure can be introduced in the second chamber. This is also restricted and does not seem to indicate actual authority. Consequently, any interpretation of the Constitution that includes the phrase "the DPD can submit proposed laws (RUU)" must be submitted to the First Assembly on a limited basis, and the Second Assembly that does so will cease to function.</w:t>
      </w:r>
    </w:p>
    <w:p w14:paraId="08225EDD">
      <w:pPr>
        <w:pStyle w:val="10"/>
        <w:spacing w:after="240"/>
        <w:ind w:left="360"/>
        <w:jc w:val="both"/>
        <w:rPr>
          <w:rFonts w:ascii="Calibri Light" w:cs="Calibri Light"/>
          <w:color w:val="000000"/>
          <w:sz w:val="24"/>
          <w:szCs w:val="24"/>
        </w:rPr>
      </w:pPr>
      <w:r>
        <w:rPr>
          <w:rFonts w:ascii="Calibri Light" w:cs="Calibri Light"/>
          <w:color w:val="000000"/>
          <w:sz w:val="24"/>
          <w:szCs w:val="24"/>
        </w:rPr>
        <w:t xml:space="preserve">The aforementioned bicameral structure will result in the failure to direct regional aspirations through the DPD. The DPD's responsibilities and authority are also exceedingly restricted due to the absence of obligatory norms in Article 22D of the Constitution. Consequently, this second chamber is perceived as a "auxillary organ" rather than a primary state institution with accountable functions </w:t>
      </w:r>
      <w:r>
        <w:rPr>
          <w:rFonts w:ascii="Calibri Light" w:cs="Calibri Light"/>
          <w:sz w:val="24"/>
          <w:szCs w:val="24"/>
        </w:rPr>
        <w:fldChar w:fldCharType="begin" w:fldLock="1"/>
      </w:r>
      <w:r>
        <w:rPr>
          <w:rFonts w:ascii="Calibri Light" w:cs="Calibri Light"/>
          <w:sz w:val="24"/>
          <w:szCs w:val="24"/>
        </w:rPr>
        <w:instrText xml:space="preserve">ADDIN CSL_CITATION {"citationItems":[{"id":"ITEM-1","itemData":{"ISSN":"2580-8109","author":[{"dropping-particle":"","family":"Rohmah","given":"Elva Imeldatur","non-dropping-particle":"","parse-names":false,"suffix":""}],"container-title":"Ummul Qura Jurnal Institut Pesantren Sunan Drajat (INSUD) Lamongan","id":"ITEM-1","issue":"1","issued":{"date-parts":[["2018"]]},"page":"16-33","title":"Fungsi Legislasi DPR dan DPD Perspektif Maslahah Mursalah (Implikasi Putusan Mahkamah Konstitusi Nomor 92/Puu-X/2012)","type":"article-journal","volume":"11"},"uris":["http://www.mendeley.com/documents/?uuid=58992bf2-02b7-4cb3-9fe8-bc2895537e93"]}],"mendeley":{"formattedCitation":"(Rohmah, 2018)","plainTextFormattedCitation":"(Rohmah, 2018)","previouslyFormattedCitation":"(Rohmah, 2018)"},"properties":{"noteIndex":0},"schema":"https://github.com/citation-style-language/schema/raw/master/csl-citation.json"}</w:instrText>
      </w:r>
      <w:r>
        <w:rPr>
          <w:rFonts w:ascii="Calibri Light" w:cs="Calibri Light"/>
          <w:sz w:val="24"/>
          <w:szCs w:val="24"/>
        </w:rPr>
        <w:fldChar w:fldCharType="separate"/>
      </w:r>
      <w:r>
        <w:rPr>
          <w:rFonts w:ascii="Calibri Light" w:cs="Calibri Light"/>
          <w:sz w:val="24"/>
          <w:szCs w:val="24"/>
          <w:lang w:val="zh-CN" w:eastAsia="zh-CN"/>
        </w:rPr>
        <w:t>(Rohmah, 2018)</w:t>
      </w:r>
      <w:r>
        <w:rPr>
          <w:rFonts w:ascii="Calibri Light" w:cs="Calibri Light"/>
          <w:sz w:val="24"/>
          <w:szCs w:val="24"/>
        </w:rPr>
        <w:fldChar w:fldCharType="end"/>
      </w:r>
      <w:r>
        <w:rPr>
          <w:rFonts w:ascii="Calibri Light" w:cs="Calibri Light"/>
          <w:color w:val="000000"/>
          <w:sz w:val="24"/>
          <w:szCs w:val="24"/>
        </w:rPr>
        <w:t>. This influences the way in which constituents evaluate the effectiveness of the two chambers. The Indonesian Political Indicators Survey Institute reported that the level of public trust in the DPD was only 64.6% as of July 2022, while the DPR was 62.3%. Compared to other public institutions, including the Attorney General's Office (74.5%), Polri (76.4%), President (84.5%), and TNI (93.3%), this figure is relatively lower. In fact, representative institutions were the public entities with the worst performance scores among 12 other state institutions in the most recent Political Research Consulting (PRC) survey with Indonesian Political Parameters (PPI).</w:t>
      </w:r>
    </w:p>
    <w:p w14:paraId="299DF5F7">
      <w:pPr>
        <w:pStyle w:val="10"/>
        <w:spacing w:after="240"/>
        <w:ind w:left="360"/>
        <w:jc w:val="both"/>
        <w:rPr>
          <w:rFonts w:ascii="Calibri Light" w:cs="Calibri Light"/>
          <w:color w:val="000000"/>
          <w:sz w:val="24"/>
          <w:szCs w:val="24"/>
        </w:rPr>
      </w:pPr>
      <w:r>
        <w:rPr>
          <w:rFonts w:ascii="Calibri Light" w:cs="Calibri Light"/>
          <w:color w:val="000000"/>
          <w:sz w:val="24"/>
          <w:szCs w:val="24"/>
          <w:highlight w:val="green"/>
        </w:rPr>
        <w:t>This research therefore seeks not only to describe but to offer normative reconstruction models for Indonesian bicameralism, addressing the need to evaluate and propose solutions for the current structure of the two chambers of law-making power.</w:t>
      </w:r>
      <w:r>
        <w:rPr>
          <w:rFonts w:ascii="Calibri Light" w:cs="Calibri Light"/>
          <w:color w:val="000000"/>
          <w:sz w:val="24"/>
          <w:szCs w:val="24"/>
        </w:rPr>
        <w:t xml:space="preserve"> Several previous researchers have conducted a comprehensive survey of the study of representative institutions, particularly in relation to the relationship between the first chamber and the second chamber in terms of law-making power. For instance, Fajlurrahman Jurdi's analysis determined that the constitution did not establish the authority of the DPR and DPD in a proportionate manner, with the DPD's authority being restricted to the "DPR Advisory Council." He subsequently concluded that the concept of Indonesian representative institutions is consistent with "deterministic tricameralism," or what is commonly referred to as "half-hearted bicameralism," which leads to a feeble and unbalanced concept of parliament (weak bicameralism). Toding also reached the same conclusion, stating that the synergy between the two chambers in the Indonesian constitutional system must be enhanced by refining the parliamentary structure to reflect strong bicameralism in order to establish a quality and harmonious law-making process </w:t>
      </w:r>
      <w:r>
        <w:rPr>
          <w:rFonts w:ascii="Calibri Light" w:cs="Calibri Light"/>
          <w:sz w:val="24"/>
          <w:szCs w:val="24"/>
        </w:rPr>
        <w:fldChar w:fldCharType="begin" w:fldLock="1"/>
      </w:r>
      <w:r>
        <w:rPr>
          <w:rFonts w:ascii="Calibri Light" w:cs="Calibri Light"/>
          <w:sz w:val="24"/>
          <w:szCs w:val="24"/>
        </w:rPr>
        <w:instrText xml:space="preserve">ADDIN CSL_CITATION {"citationItems":[{"id":"ITEM-1","itemData":{"ISSN":"2548-1657","author":[{"dropping-particle":"","family":"Toding","given":"Adventus","non-dropping-particle":"","parse-names":false,"suffix":""}],"container-title":"Jurnal Konstitusi","id":"ITEM-1","issue":"2","issued":{"date-parts":[["2017"]]},"page":"295-314","title":"DPD dalam Struktur Parlemen Indonesia: Wacana Pemusnahan Versus Penguatan","type":"article-journal","volume":"14"},"uris":["http://www.mendeley.com/documents/?uuid=6b51f3ef-c867-4e04-88d3-93895e230a49"]},{"id":"ITEM-2","itemData":{"DOI":"10.1017/S0034670518001201","ISSN":"0034-6705","author":[{"dropping-particle":"","family":"Rubinelli","given":"Lucia","non-dropping-particle":"","parse-names":false,"suffix":""}],"container-title":"The Review of Politics","id":"ITEM-2","issue":"2","issued":{"date-parts":[["2019"]]},"page":"255-279","publisher":"Cambridge University Press","title":"Sieyès Versus Bicameralism","type":"article-journal","volume":"81"},"uris":["http://www.mendeley.com/documents/?uuid=fe0bcda8-ab78-43cd-b047-a13c5a35fc42"]}],"mendeley":{"formattedCitation":"(Rubinelli, 2019; Toding, 2017)","plainTextFormattedCitation":"(Rubinelli, 2019; Toding, 2017)","previouslyFormattedCitation":"(Rubinelli, 2019; Toding, 2017)"},"properties":{"noteIndex":0},"schema":"https://github.com/citation-style-language/schema/raw/master/csl-citation.json"}</w:instrText>
      </w:r>
      <w:r>
        <w:rPr>
          <w:rFonts w:ascii="Calibri Light" w:cs="Calibri Light"/>
          <w:sz w:val="24"/>
          <w:szCs w:val="24"/>
        </w:rPr>
        <w:fldChar w:fldCharType="separate"/>
      </w:r>
      <w:r>
        <w:rPr>
          <w:rFonts w:ascii="Calibri Light" w:cs="Calibri Light"/>
          <w:sz w:val="24"/>
          <w:szCs w:val="24"/>
          <w:lang w:val="zh-CN" w:eastAsia="zh-CN"/>
        </w:rPr>
        <w:t>(Rubinelli, 2019; Toding, 2017)</w:t>
      </w:r>
      <w:r>
        <w:rPr>
          <w:rFonts w:ascii="Calibri Light" w:cs="Calibri Light"/>
          <w:sz w:val="24"/>
          <w:szCs w:val="24"/>
        </w:rPr>
        <w:fldChar w:fldCharType="end"/>
      </w:r>
      <w:r>
        <w:rPr>
          <w:rFonts w:ascii="Calibri Light" w:cs="Calibri Light"/>
          <w:color w:val="000000"/>
          <w:sz w:val="24"/>
          <w:szCs w:val="24"/>
        </w:rPr>
        <w:t xml:space="preserve">. </w:t>
      </w:r>
      <w:r>
        <w:rPr>
          <w:rFonts w:ascii="Calibri Light" w:cs="Calibri Light"/>
          <w:sz w:val="24"/>
          <w:szCs w:val="24"/>
        </w:rPr>
        <w:fldChar w:fldCharType="begin" w:fldLock="1"/>
      </w:r>
      <w:r>
        <w:rPr>
          <w:rFonts w:ascii="Calibri Light" w:cs="Calibri Light"/>
          <w:sz w:val="24"/>
          <w:szCs w:val="24"/>
        </w:rPr>
        <w:instrText xml:space="preserve">ADDIN CSL_CITATION {"citationItems":[{"id":"ITEM-1","itemData":{"DOI":"10.14710/mmh.48.3.2019.266-274","ISSN":"2527-4716","author":[{"dropping-particle":"","family":"Tinambunan","given":"Hezron Sabar Rotua","non-dropping-particle":"","parse-names":false,"suffix":""},{"dropping-particle":"","family":"Prasetio","given":"Dicky Eko","non-dropping-particle":"","parse-names":false,"suffix":""}],"container-title":"Masalah-Masalah Hukum","id":"ITEM-1","issue":"3","issued":{"date-parts":[["2019"]]},"page":"266-274","title":"Rekonstruksi Konstitusi dalam Regional Representative Dewan Perwakilan Daerah terhadap Fungsi Legislatif","type":"article-journal","volume":"48"},"uris":["http://www.mendeley.com/documents/?uuid=948e70e8-fd34-4954-9bd1-ccdcf33eb271"]}],"mendeley":{"formattedCitation":"(Tinambunan &amp; Prasetio, 2019)","manualFormatting":"Tinambunan &amp; Prasetio (2019)","plainTextFormattedCitation":"(Tinambunan &amp; Prasetio, 2019)","previouslyFormattedCitation":"(Tinambunan &amp; Prasetio, 2019)"},"properties":{"noteIndex":0},"schema":"https://github.com/citation-style-language/schema/raw/master/csl-citation.json"}</w:instrText>
      </w:r>
      <w:r>
        <w:rPr>
          <w:rFonts w:ascii="Calibri Light" w:cs="Calibri Light"/>
          <w:sz w:val="24"/>
          <w:szCs w:val="24"/>
        </w:rPr>
        <w:fldChar w:fldCharType="separate"/>
      </w:r>
      <w:r>
        <w:rPr>
          <w:rFonts w:ascii="Calibri Light" w:cs="Calibri Light"/>
          <w:sz w:val="24"/>
          <w:szCs w:val="24"/>
          <w:lang w:val="zh-CN" w:eastAsia="zh-CN"/>
        </w:rPr>
        <w:t>Tinambunan &amp; Prasetio (2019)</w:t>
      </w:r>
      <w:r>
        <w:rPr>
          <w:rFonts w:ascii="Calibri Light" w:cs="Calibri Light"/>
          <w:sz w:val="24"/>
          <w:szCs w:val="24"/>
        </w:rPr>
        <w:fldChar w:fldCharType="end"/>
      </w:r>
      <w:r>
        <w:rPr>
          <w:rFonts w:ascii="Calibri Light" w:cs="Calibri Light"/>
          <w:color w:val="000000"/>
          <w:sz w:val="24"/>
          <w:szCs w:val="24"/>
        </w:rPr>
        <w:t xml:space="preserve"> also emphasized the necessity of reconstructing the two chambers as representative institutions to ensure that there is a clear division of tasks in law-making powers and that there is equality of position.</w:t>
      </w:r>
    </w:p>
    <w:p w14:paraId="2BF1C89E">
      <w:pPr>
        <w:spacing w:before="120" w:after="120"/>
        <w:ind w:left="360"/>
        <w:jc w:val="both"/>
        <w:rPr>
          <w:rFonts w:ascii="Calibri Light" w:cs="Calibri Light"/>
          <w:color w:val="FF0000"/>
          <w:sz w:val="24"/>
          <w:szCs w:val="24"/>
          <w:lang w:val="id-ID"/>
        </w:rPr>
      </w:pPr>
      <w:r>
        <w:rPr>
          <w:rFonts w:ascii="Calibri Light" w:cs="Calibri Light"/>
          <w:color w:val="000000"/>
          <w:sz w:val="24"/>
          <w:szCs w:val="24"/>
        </w:rPr>
        <w:t>Nevertheless, the aforementioned studies are primarily descriptive research on parliamentary institutions in Indonesia. The objective of this research is to conceptualize normative reconstruction in terms of balancing the roles of the two chambers in the process of making laws, in addition to analyzing the issues that currently exist in the current parliamentary institution, particularly the interaction between the first and second chambers in law-making power, in contrast to previous studies.</w:t>
      </w:r>
    </w:p>
    <w:p w14:paraId="75AA1E9A">
      <w:pPr>
        <w:spacing w:before="120" w:after="120"/>
        <w:ind w:left="426" w:firstLine="709"/>
        <w:jc w:val="both"/>
        <w:rPr>
          <w:rFonts w:ascii="Calibri Light" w:cs="Calibri Light"/>
          <w:color w:val="FF0000"/>
          <w:sz w:val="24"/>
          <w:szCs w:val="24"/>
          <w:lang w:val="id-ID"/>
        </w:rPr>
      </w:pPr>
    </w:p>
    <w:p w14:paraId="1A64E58C">
      <w:pPr>
        <w:numPr>
          <w:ilvl w:val="0"/>
          <w:numId w:val="1"/>
        </w:numPr>
        <w:autoSpaceDE/>
        <w:autoSpaceDN/>
        <w:spacing w:before="120" w:after="120"/>
        <w:ind w:hanging="180"/>
        <w:rPr>
          <w:rFonts w:ascii="Calibri Light" w:cs="Calibri Light"/>
          <w:b/>
          <w:sz w:val="24"/>
          <w:szCs w:val="24"/>
          <w:lang w:val="id-ID"/>
        </w:rPr>
      </w:pPr>
      <w:commentRangeStart w:id="6"/>
      <w:commentRangeStart w:id="7"/>
      <w:r>
        <w:rPr>
          <w:rFonts w:ascii="Calibri Light" w:cs="Calibri Light"/>
          <w:b/>
          <w:sz w:val="24"/>
          <w:szCs w:val="24"/>
          <w:lang w:val="id-ID"/>
        </w:rPr>
        <w:t>METHOD</w:t>
      </w:r>
      <w:commentRangeEnd w:id="6"/>
      <w:r>
        <w:rPr>
          <w:rStyle w:val="16"/>
        </w:rPr>
        <w:commentReference w:id="6"/>
      </w:r>
      <w:commentRangeEnd w:id="7"/>
      <w:r>
        <w:rPr>
          <w:rStyle w:val="16"/>
        </w:rPr>
        <w:commentReference w:id="7"/>
      </w:r>
    </w:p>
    <w:p w14:paraId="068142C8">
      <w:pPr>
        <w:spacing w:before="120" w:after="120"/>
        <w:ind w:left="426"/>
        <w:jc w:val="both"/>
        <w:rPr>
          <w:rFonts w:ascii="Calibri Light" w:cs="Calibri Light"/>
          <w:sz w:val="24"/>
          <w:szCs w:val="24"/>
        </w:rPr>
      </w:pPr>
      <w:r>
        <w:rPr>
          <w:rFonts w:ascii="Calibri Light" w:cs="Calibri Light"/>
          <w:sz w:val="24"/>
          <w:szCs w:val="24"/>
          <w:highlight w:val="yellow"/>
        </w:rPr>
        <w:t xml:space="preserve">This study employs doctrinal (normative) legal research as its type, using a normative-conceptual approach to analyze constitutional texts and statutory provisions. The analysis is carried out using a qualitative-descriptive technique, with a focus on documentary studies of primary legal materials (such as laws and constitutional articles) and secondary legal materials (including legal journals, books, and prior research). </w:t>
      </w:r>
      <w:r>
        <w:rPr>
          <w:rFonts w:ascii="Calibri Light" w:cs="Calibri Light"/>
          <w:sz w:val="24"/>
          <w:szCs w:val="24"/>
          <w:highlight w:val="green"/>
        </w:rPr>
        <w:t>Data collection involved a systematic literature review with careful source selection based on relevance, credibility, and publication date to ensure validity. To further guarantee data validity, triangulation was applied by cross-referencing findings from multiple sources.</w:t>
      </w:r>
      <w:r>
        <w:rPr>
          <w:rFonts w:ascii="Calibri Light" w:cs="Calibri Light"/>
          <w:sz w:val="24"/>
          <w:szCs w:val="24"/>
          <w:highlight w:val="yellow"/>
        </w:rPr>
        <w:t xml:space="preserve"> To ensure validity, the study applies triangulation of legal sources and cross-referencing among statutes, judicial interpretations, and authoritative doctrine to verify consistency, accuracy, and interpretive soundness.</w:t>
      </w:r>
    </w:p>
    <w:p w14:paraId="59E4D8BB">
      <w:pPr>
        <w:spacing w:before="120" w:after="120"/>
        <w:ind w:left="426"/>
        <w:jc w:val="both"/>
        <w:rPr>
          <w:rFonts w:ascii="Calibri Light" w:cs="Calibri Light"/>
          <w:color w:val="FF0000"/>
          <w:sz w:val="24"/>
          <w:szCs w:val="24"/>
          <w:lang w:val="id-ID"/>
        </w:rPr>
      </w:pPr>
    </w:p>
    <w:p w14:paraId="27EBA695">
      <w:pPr>
        <w:spacing w:before="120" w:after="120"/>
        <w:rPr>
          <w:rFonts w:ascii="Calibri Light" w:cs="Calibri Light"/>
          <w:b/>
          <w:sz w:val="24"/>
          <w:szCs w:val="24"/>
          <w:lang w:val="id-ID"/>
        </w:rPr>
      </w:pPr>
      <w:r>
        <w:rPr>
          <w:rFonts w:ascii="Calibri Light" w:cs="Calibri Light"/>
          <w:b/>
          <w:sz w:val="24"/>
          <w:szCs w:val="24"/>
          <w:lang w:val="id-ID"/>
        </w:rPr>
        <w:t>I</w:t>
      </w:r>
      <w:r>
        <w:rPr>
          <w:rFonts w:ascii="Calibri Light" w:cs="Calibri Light"/>
          <w:b/>
          <w:sz w:val="24"/>
          <w:szCs w:val="24"/>
        </w:rPr>
        <w:t>II</w:t>
      </w:r>
      <w:r>
        <w:rPr>
          <w:rFonts w:ascii="Calibri Light" w:cs="Calibri Light"/>
          <w:b/>
          <w:sz w:val="24"/>
          <w:szCs w:val="24"/>
          <w:lang w:val="id-ID"/>
        </w:rPr>
        <w:t>.  RESULT AND DISCUSSION</w:t>
      </w:r>
    </w:p>
    <w:p w14:paraId="16627740">
      <w:pPr>
        <w:pStyle w:val="53"/>
        <w:widowControl w:val="0"/>
        <w:autoSpaceDE w:val="0"/>
        <w:autoSpaceDN w:val="0"/>
        <w:spacing w:before="240" w:after="0" w:line="240" w:lineRule="auto"/>
        <w:ind w:left="360"/>
        <w:jc w:val="both"/>
        <w:rPr>
          <w:rFonts w:ascii="Calibri Light" w:cs="Calibri Light"/>
          <w:b/>
          <w:color w:val="000000"/>
          <w:sz w:val="24"/>
          <w:szCs w:val="24"/>
        </w:rPr>
      </w:pPr>
      <w:r>
        <w:rPr>
          <w:rFonts w:ascii="Calibri Light" w:cs="Calibri Light"/>
          <w:b/>
          <w:color w:val="000000"/>
          <w:w w:val="105"/>
          <w:sz w:val="24"/>
          <w:szCs w:val="24"/>
        </w:rPr>
        <w:t xml:space="preserve">Constitutionality </w:t>
      </w:r>
      <w:r>
        <w:rPr>
          <w:rFonts w:ascii="Calibri Light" w:cs="Calibri Light"/>
          <w:b/>
          <w:color w:val="000000"/>
          <w:w w:val="105"/>
          <w:sz w:val="24"/>
          <w:szCs w:val="24"/>
          <w:lang w:val="en-US" w:eastAsia="zh-CN"/>
        </w:rPr>
        <w:t>o</w:t>
      </w:r>
      <w:r>
        <w:rPr>
          <w:rFonts w:ascii="Calibri Light" w:cs="Calibri Light"/>
          <w:b/>
          <w:color w:val="000000"/>
          <w:w w:val="105"/>
          <w:sz w:val="24"/>
          <w:szCs w:val="24"/>
        </w:rPr>
        <w:t xml:space="preserve">f </w:t>
      </w:r>
      <w:r>
        <w:rPr>
          <w:rFonts w:ascii="Calibri Light" w:cs="Calibri Light"/>
          <w:b/>
          <w:color w:val="000000"/>
          <w:w w:val="105"/>
          <w:sz w:val="24"/>
          <w:szCs w:val="24"/>
          <w:lang w:val="en-US" w:eastAsia="zh-CN"/>
        </w:rPr>
        <w:t>t</w:t>
      </w:r>
      <w:r>
        <w:rPr>
          <w:rFonts w:ascii="Calibri Light" w:cs="Calibri Light"/>
          <w:b/>
          <w:color w:val="000000"/>
          <w:w w:val="105"/>
          <w:sz w:val="24"/>
          <w:szCs w:val="24"/>
        </w:rPr>
        <w:t>he Bicameral Sy</w:t>
      </w:r>
      <w:r>
        <w:rPr>
          <w:rFonts w:ascii="Calibri Light" w:cs="Calibri Light"/>
          <w:b/>
          <w:color w:val="000000"/>
          <w:w w:val="105"/>
          <w:sz w:val="24"/>
          <w:szCs w:val="24"/>
          <w:lang w:val="en-US" w:eastAsia="zh-CN"/>
        </w:rPr>
        <w:t>s</w:t>
      </w:r>
      <w:r>
        <w:rPr>
          <w:rFonts w:ascii="Calibri Light" w:cs="Calibri Light"/>
          <w:b/>
          <w:color w:val="000000"/>
          <w:w w:val="105"/>
          <w:sz w:val="24"/>
          <w:szCs w:val="24"/>
        </w:rPr>
        <w:t xml:space="preserve">tem </w:t>
      </w:r>
      <w:r>
        <w:rPr>
          <w:rFonts w:ascii="Calibri Light" w:cs="Calibri Light"/>
          <w:b/>
          <w:color w:val="000000"/>
          <w:w w:val="105"/>
          <w:sz w:val="24"/>
          <w:szCs w:val="24"/>
          <w:lang w:val="en-US" w:eastAsia="zh-CN"/>
        </w:rPr>
        <w:t>i</w:t>
      </w:r>
      <w:r>
        <w:rPr>
          <w:rFonts w:ascii="Calibri Light" w:cs="Calibri Light"/>
          <w:b/>
          <w:color w:val="000000"/>
          <w:w w:val="105"/>
          <w:sz w:val="24"/>
          <w:szCs w:val="24"/>
        </w:rPr>
        <w:t xml:space="preserve">n Parliamentary Power </w:t>
      </w:r>
      <w:r>
        <w:rPr>
          <w:rFonts w:ascii="Calibri Light" w:cs="Calibri Light"/>
          <w:b/>
          <w:color w:val="000000"/>
          <w:w w:val="105"/>
          <w:sz w:val="24"/>
          <w:szCs w:val="24"/>
          <w:lang w:val="en-US" w:eastAsia="zh-CN"/>
        </w:rPr>
        <w:t>i</w:t>
      </w:r>
      <w:r>
        <w:rPr>
          <w:rFonts w:ascii="Calibri Light" w:cs="Calibri Light"/>
          <w:b/>
          <w:color w:val="000000"/>
          <w:w w:val="105"/>
          <w:sz w:val="24"/>
          <w:szCs w:val="24"/>
        </w:rPr>
        <w:t>n Indonesia</w:t>
      </w:r>
    </w:p>
    <w:p w14:paraId="5A8592E9">
      <w:pPr>
        <w:pStyle w:val="10"/>
        <w:spacing w:before="240"/>
        <w:ind w:left="360"/>
        <w:jc w:val="both"/>
        <w:rPr>
          <w:rFonts w:ascii="Calibri Light" w:cs="Calibri Light"/>
          <w:color w:val="000000"/>
          <w:sz w:val="24"/>
          <w:szCs w:val="24"/>
        </w:rPr>
      </w:pPr>
      <w:r>
        <w:rPr>
          <w:rFonts w:ascii="Calibri Light" w:cs="Calibri Light"/>
          <w:color w:val="000000"/>
          <w:sz w:val="24"/>
          <w:szCs w:val="24"/>
        </w:rPr>
        <w:t>The 1945 Constitution formed a new structure in the DPR RI by establishing the Constituent Assembly (DPD) as the second chamber and the DPR as the first chamber, following the third amendment. DPD members are elected directly by individuals in general elections, with a maximum of four representatives per province, based on a district (provincial) system. The DPD is unable to fulfill the anticipated functions and authorities due to the constitutional authority. This is elucidated by the provisions of Article 22 D of the 1945 Constitution, which are as follows:</w:t>
      </w:r>
    </w:p>
    <w:p w14:paraId="5161EB7B">
      <w:pPr>
        <w:pStyle w:val="2"/>
        <w:ind w:left="450"/>
        <w:jc w:val="center"/>
        <w:rPr>
          <w:rFonts w:ascii="Calibri Light" w:cs="Calibri Light"/>
          <w:sz w:val="24"/>
          <w:szCs w:val="24"/>
        </w:rPr>
      </w:pPr>
      <w:r>
        <w:rPr>
          <w:rFonts w:ascii="Calibri Light" w:cs="Calibri Light"/>
          <w:sz w:val="24"/>
          <w:szCs w:val="24"/>
        </w:rPr>
        <w:t>Table 1. Disparity in Lawmaking Authority Between the DPD and the DPR in the 1945 Constitution</w:t>
      </w:r>
    </w:p>
    <w:tbl>
      <w:tblPr>
        <w:tblStyle w:val="8"/>
        <w:tblW w:w="8730" w:type="dxa"/>
        <w:tblInd w:w="468"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4210"/>
        <w:gridCol w:w="4520"/>
      </w:tblGrid>
      <w:tr w14:paraId="52F8627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Ex>
        <w:trPr>
          <w:trHeight w:val="370" w:hRule="atLeast"/>
        </w:trPr>
        <w:tc>
          <w:tcPr>
            <w:tcW w:w="4210" w:type="dxa"/>
            <w:shd w:val="clear" w:color="auto" w:fill="EEECE1"/>
          </w:tcPr>
          <w:p w14:paraId="3493AAAC">
            <w:pPr>
              <w:ind w:left="29"/>
              <w:jc w:val="center"/>
              <w:rPr>
                <w:rFonts w:ascii="Calibri Light" w:cs="Calibri Light"/>
                <w:b/>
                <w:color w:val="000000"/>
                <w:sz w:val="24"/>
                <w:szCs w:val="24"/>
              </w:rPr>
            </w:pPr>
            <w:r>
              <w:rPr>
                <w:rFonts w:ascii="Calibri Light" w:cs="Calibri Light"/>
                <w:b/>
                <w:color w:val="000000"/>
                <w:sz w:val="24"/>
                <w:szCs w:val="24"/>
              </w:rPr>
              <w:t>Regional Representative Council</w:t>
            </w:r>
          </w:p>
        </w:tc>
        <w:tc>
          <w:tcPr>
            <w:tcW w:w="4520" w:type="dxa"/>
            <w:shd w:val="clear" w:color="auto" w:fill="EEECE1"/>
          </w:tcPr>
          <w:p w14:paraId="20074BEC">
            <w:pPr>
              <w:ind w:left="29"/>
              <w:jc w:val="center"/>
              <w:rPr>
                <w:rFonts w:ascii="Calibri Light" w:cs="Calibri Light"/>
                <w:b/>
                <w:color w:val="000000"/>
                <w:sz w:val="24"/>
                <w:szCs w:val="24"/>
              </w:rPr>
            </w:pPr>
            <w:r>
              <w:rPr>
                <w:rFonts w:ascii="Calibri Light" w:cs="Calibri Light"/>
                <w:b/>
                <w:color w:val="000000"/>
                <w:sz w:val="24"/>
                <w:szCs w:val="24"/>
              </w:rPr>
              <w:t>People's Representative Council</w:t>
            </w:r>
          </w:p>
        </w:tc>
      </w:tr>
      <w:tr w14:paraId="4533CD0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1408" w:hRule="atLeast"/>
        </w:trPr>
        <w:tc>
          <w:tcPr>
            <w:tcW w:w="4210" w:type="dxa"/>
          </w:tcPr>
          <w:p w14:paraId="1DE759BC">
            <w:pPr>
              <w:pStyle w:val="53"/>
              <w:numPr>
                <w:ilvl w:val="0"/>
                <w:numId w:val="3"/>
              </w:numPr>
              <w:spacing w:after="0" w:line="240" w:lineRule="auto"/>
              <w:ind w:left="332" w:right="187" w:hanging="284"/>
              <w:jc w:val="both"/>
              <w:rPr>
                <w:rFonts w:ascii="Calibri Light" w:cs="Calibri Light"/>
                <w:color w:val="000000"/>
                <w:sz w:val="24"/>
                <w:szCs w:val="24"/>
              </w:rPr>
            </w:pPr>
            <w:r>
              <w:rPr>
                <w:rFonts w:ascii="Calibri Light" w:cs="Calibri Light"/>
                <w:color w:val="000000"/>
                <w:sz w:val="24"/>
                <w:szCs w:val="24"/>
              </w:rPr>
              <w:t>Paragraph (1) Article 22D: The Second Chamber (DPD) has the authority to propose to the First Chamber (DPR) model laws relating to division, relations between countries, creation, expansion and consolidation of territories, natural and economic management. resource. Other resources and economic balance between countries.</w:t>
            </w:r>
          </w:p>
          <w:p w14:paraId="4F6A5298">
            <w:pPr>
              <w:pStyle w:val="53"/>
              <w:numPr>
                <w:ilvl w:val="0"/>
                <w:numId w:val="3"/>
              </w:numPr>
              <w:spacing w:after="0" w:line="240" w:lineRule="auto"/>
              <w:ind w:left="332" w:right="187" w:hanging="284"/>
              <w:jc w:val="both"/>
              <w:rPr>
                <w:rFonts w:ascii="Calibri Light" w:cs="Calibri Light"/>
                <w:color w:val="000000"/>
                <w:sz w:val="24"/>
                <w:szCs w:val="24"/>
              </w:rPr>
            </w:pPr>
            <w:r>
              <w:rPr>
                <w:rFonts w:ascii="Calibri Light" w:cs="Calibri Light"/>
                <w:color w:val="000000"/>
                <w:sz w:val="24"/>
                <w:szCs w:val="24"/>
              </w:rPr>
              <w:t>Paragraph (2) of Article 22D: The Second Chamber is also granted the opportunity to deliberate and evaluate model laws that pertain to the structure, expansion, and consolidation of borders, as well as environmental management, life resources, and other economic resources. and the economic equilibrium between the central region and the regions. In addition, the second chamber is the first chamber to address proposed bills related to the federal budget and spending bills, as well as laws pertaining to taxation, education, and trust.</w:t>
            </w:r>
          </w:p>
          <w:p w14:paraId="3CEF6E21">
            <w:pPr>
              <w:pStyle w:val="53"/>
              <w:numPr>
                <w:ilvl w:val="0"/>
                <w:numId w:val="3"/>
              </w:numPr>
              <w:spacing w:after="0" w:line="240" w:lineRule="auto"/>
              <w:ind w:left="332" w:right="187" w:hanging="284"/>
              <w:jc w:val="both"/>
              <w:rPr>
                <w:rFonts w:ascii="Calibri Light" w:cs="Calibri Light"/>
                <w:color w:val="000000"/>
                <w:sz w:val="24"/>
                <w:szCs w:val="24"/>
              </w:rPr>
            </w:pPr>
            <w:r>
              <w:rPr>
                <w:rFonts w:ascii="Calibri Light" w:cs="Calibri Light"/>
                <w:color w:val="000000"/>
                <w:sz w:val="24"/>
                <w:szCs w:val="24"/>
              </w:rPr>
              <w:t>Paragraph (3) of Article 22D: The Second Chamber is authorized to oversee the implementation of laws and regulations that pertain to the management of natural resources, the formation, expansion, and consolidation of regions, the balance of funds between central and regional levels, budget implementation and government spending, taxation, education, and religion. The Public Communications Commission will receive the monitoring results for further evaluation.</w:t>
            </w:r>
          </w:p>
        </w:tc>
        <w:tc>
          <w:tcPr>
            <w:tcW w:w="4520" w:type="dxa"/>
          </w:tcPr>
          <w:p w14:paraId="4860CAD2">
            <w:pPr>
              <w:pStyle w:val="53"/>
              <w:numPr>
                <w:ilvl w:val="0"/>
                <w:numId w:val="4"/>
              </w:numPr>
              <w:spacing w:after="0" w:line="240" w:lineRule="auto"/>
              <w:ind w:left="306" w:right="187" w:hanging="284"/>
              <w:jc w:val="both"/>
              <w:rPr>
                <w:rFonts w:ascii="Calibri Light" w:cs="Calibri Light"/>
                <w:color w:val="000000"/>
                <w:sz w:val="24"/>
                <w:szCs w:val="24"/>
                <w:lang w:val="zh-CN" w:eastAsia="zh-CN"/>
              </w:rPr>
            </w:pPr>
            <w:r>
              <w:rPr>
                <w:rFonts w:ascii="Calibri Light" w:cs="Calibri Light"/>
                <w:color w:val="000000"/>
                <w:sz w:val="24"/>
                <w:szCs w:val="24"/>
                <w:lang w:val="zh-CN" w:eastAsia="zh-CN"/>
              </w:rPr>
              <w:t>Paragraph (1) Article 20: The People's Representative Council (DPR) has the right to form laws.</w:t>
            </w:r>
          </w:p>
          <w:p w14:paraId="4451A42B">
            <w:pPr>
              <w:pStyle w:val="53"/>
              <w:numPr>
                <w:ilvl w:val="0"/>
                <w:numId w:val="4"/>
              </w:numPr>
              <w:spacing w:after="0" w:line="240" w:lineRule="auto"/>
              <w:ind w:left="306" w:right="187" w:hanging="284"/>
              <w:jc w:val="both"/>
              <w:rPr>
                <w:rFonts w:ascii="Calibri Light" w:cs="Calibri Light"/>
                <w:color w:val="000000"/>
                <w:sz w:val="24"/>
                <w:szCs w:val="24"/>
                <w:lang w:val="zh-CN" w:eastAsia="zh-CN"/>
              </w:rPr>
            </w:pPr>
            <w:r>
              <w:rPr>
                <w:rFonts w:ascii="Calibri Light" w:cs="Calibri Light"/>
                <w:color w:val="000000"/>
                <w:sz w:val="24"/>
                <w:szCs w:val="24"/>
                <w:lang w:val="zh-CN" w:eastAsia="zh-CN"/>
              </w:rPr>
              <w:t>Paragraph (2) Article 20: Every plan proposed for approval must be discussed and evaluated in the Assembly and the Executive.</w:t>
            </w:r>
          </w:p>
          <w:p w14:paraId="188713C5">
            <w:pPr>
              <w:pStyle w:val="53"/>
              <w:numPr>
                <w:ilvl w:val="0"/>
                <w:numId w:val="4"/>
              </w:numPr>
              <w:spacing w:after="0" w:line="240" w:lineRule="auto"/>
              <w:ind w:left="306" w:right="187" w:hanging="284"/>
              <w:jc w:val="both"/>
              <w:rPr>
                <w:rFonts w:ascii="Calibri Light" w:cs="Calibri Light"/>
                <w:color w:val="000000"/>
                <w:sz w:val="24"/>
                <w:szCs w:val="24"/>
                <w:highlight w:val="green"/>
                <w:lang w:val="zh-CN" w:eastAsia="zh-CN"/>
              </w:rPr>
            </w:pPr>
            <w:r>
              <w:rPr>
                <w:rFonts w:ascii="Calibri Light" w:cs="Calibri Light"/>
                <w:color w:val="000000"/>
                <w:sz w:val="24"/>
                <w:szCs w:val="24"/>
                <w:highlight w:val="green"/>
                <w:lang w:val="en-US" w:eastAsia="zh-CN"/>
              </w:rPr>
              <w:t>Paragraph (1) Article 20A: DPR has the right to make laws, manage finances, and conduct audits. Paragraph (2) Article 20A: DPD has the authority to propose bills related to regional autonomy, manage regional finances, and monitor their implementation. Article 21: Members of the first assembly of DPR have the power to formulate legislative plans, while members of DPD focus on regional legislative initiatives</w:t>
            </w:r>
          </w:p>
          <w:p w14:paraId="0B13E336">
            <w:pPr>
              <w:pStyle w:val="53"/>
              <w:spacing w:after="0" w:line="240" w:lineRule="auto"/>
              <w:ind w:left="306" w:right="187"/>
              <w:jc w:val="both"/>
              <w:rPr>
                <w:rFonts w:ascii="Calibri Light" w:cs="Calibri Light"/>
                <w:color w:val="000000"/>
                <w:sz w:val="24"/>
                <w:szCs w:val="24"/>
                <w:lang w:val="zh-CN" w:eastAsia="zh-CN"/>
              </w:rPr>
            </w:pPr>
          </w:p>
          <w:p w14:paraId="15003D13">
            <w:pPr>
              <w:ind w:left="89" w:right="187"/>
              <w:jc w:val="both"/>
              <w:rPr>
                <w:rFonts w:ascii="Calibri Light" w:cs="Calibri Light"/>
                <w:color w:val="000000"/>
                <w:sz w:val="24"/>
                <w:szCs w:val="24"/>
                <w:lang w:val="zh-CN"/>
              </w:rPr>
            </w:pPr>
          </w:p>
        </w:tc>
      </w:tr>
    </w:tbl>
    <w:p w14:paraId="6F4E730A">
      <w:pPr>
        <w:ind w:left="360"/>
        <w:rPr>
          <w:rFonts w:ascii="Calibri Light" w:cs="Calibri Light"/>
          <w:color w:val="000000"/>
          <w:sz w:val="24"/>
          <w:szCs w:val="24"/>
        </w:rPr>
      </w:pPr>
      <w:r>
        <w:rPr>
          <w:rFonts w:ascii="Calibri Light" w:cs="Calibri Light"/>
          <w:color w:val="000000"/>
          <w:sz w:val="24"/>
          <w:szCs w:val="24"/>
        </w:rPr>
        <w:t>Source: Primary Legal Materials</w:t>
      </w:r>
    </w:p>
    <w:p w14:paraId="565EC6A6">
      <w:pPr>
        <w:pStyle w:val="10"/>
        <w:spacing w:before="240"/>
        <w:ind w:left="360"/>
        <w:jc w:val="both"/>
        <w:rPr>
          <w:rFonts w:ascii="Calibri Light" w:cs="Calibri Light"/>
          <w:color w:val="000000"/>
          <w:sz w:val="24"/>
          <w:szCs w:val="24"/>
        </w:rPr>
      </w:pPr>
      <w:r>
        <w:rPr>
          <w:rFonts w:ascii="Calibri Light" w:cs="Calibri Light"/>
          <w:color w:val="000000"/>
          <w:sz w:val="24"/>
          <w:szCs w:val="24"/>
        </w:rPr>
        <w:t xml:space="preserve">In this context, when it comes to legal rights, </w:t>
      </w:r>
      <w:r>
        <w:rPr>
          <w:rFonts w:ascii="Calibri Light" w:cs="Calibri Light"/>
          <w:color w:val="000000"/>
          <w:sz w:val="24"/>
          <w:szCs w:val="24"/>
          <w:highlight w:val="yellow"/>
        </w:rPr>
        <w:t xml:space="preserve">the 1945 Constitution explicitly uses the term </w:t>
      </w:r>
      <w:r>
        <w:rPr>
          <w:rFonts w:ascii="Calibri Light" w:cs="Calibri Light"/>
          <w:i/>
          <w:iCs/>
          <w:color w:val="000000"/>
          <w:sz w:val="24"/>
          <w:szCs w:val="24"/>
          <w:highlight w:val="yellow"/>
        </w:rPr>
        <w:t>'membentuk undang-undang'</w:t>
      </w:r>
      <w:r>
        <w:rPr>
          <w:rFonts w:ascii="Calibri Light" w:cs="Calibri Light"/>
          <w:color w:val="000000"/>
          <w:sz w:val="24"/>
          <w:szCs w:val="24"/>
          <w:highlight w:val="yellow"/>
        </w:rPr>
        <w:t xml:space="preserve"> (forming laws) for the DPR, indicating legislative authority, whereas for the DPD, it uses the phrase </w:t>
      </w:r>
      <w:r>
        <w:rPr>
          <w:rFonts w:ascii="Calibri Light" w:cs="Calibri Light"/>
          <w:i/>
          <w:iCs/>
          <w:color w:val="000000"/>
          <w:sz w:val="24"/>
          <w:szCs w:val="24"/>
          <w:highlight w:val="yellow"/>
        </w:rPr>
        <w:t>'ikut membahas RUU'</w:t>
      </w:r>
      <w:r>
        <w:rPr>
          <w:rFonts w:ascii="Calibri Light" w:cs="Calibri Light"/>
          <w:color w:val="000000"/>
          <w:sz w:val="24"/>
          <w:szCs w:val="24"/>
          <w:highlight w:val="yellow"/>
        </w:rPr>
        <w:t xml:space="preserve"> (participating in discussions of bills), which reflects a more limited, participatory role.</w:t>
      </w:r>
      <w:r>
        <w:rPr>
          <w:rFonts w:ascii="Calibri Light" w:cs="Calibri Light"/>
          <w:color w:val="000000"/>
          <w:sz w:val="24"/>
          <w:szCs w:val="24"/>
        </w:rPr>
        <w:t xml:space="preserve"> This literally means that the second chamber does not have legislative power and is not directly involved in passing draft laws, thus indicating that this power is ineffective. </w:t>
      </w:r>
      <w:r>
        <w:rPr>
          <w:rFonts w:ascii="Calibri Light" w:cs="Calibri Light"/>
          <w:color w:val="000000"/>
          <w:sz w:val="24"/>
          <w:szCs w:val="24"/>
          <w:highlight w:val="green"/>
        </w:rPr>
        <w:t>To illustrate the disparity in legislative authority between the DPR and DPD in Indonesia's bicameral system, the following diagram summarizes their respective roles and limitations in the law-making process. This visual framework reinforces the argument that Indonesia practices a weak bicameral structure.</w:t>
      </w:r>
    </w:p>
    <w:p w14:paraId="0CF7A440">
      <w:pPr>
        <w:pStyle w:val="10"/>
        <w:spacing w:before="240"/>
        <w:ind w:left="360"/>
        <w:jc w:val="center"/>
        <w:rPr>
          <w:rFonts w:ascii="Calibri Light" w:cs="Calibri Light"/>
          <w:b/>
          <w:bCs/>
          <w:color w:val="000000"/>
          <w:sz w:val="24"/>
          <w:szCs w:val="24"/>
        </w:rPr>
      </w:pPr>
      <w:r>
        <w:rPr>
          <w:rFonts w:ascii="Calibri Light" w:cs="Calibri Light"/>
          <w:b/>
          <w:bCs/>
          <w:color w:val="000000"/>
          <w:sz w:val="24"/>
          <w:szCs w:val="24"/>
        </w:rPr>
        <w:t>Figure 1. Comparison of Legislative Powers in Indonesian Bicameralism</w:t>
      </w:r>
    </w:p>
    <w:p w14:paraId="1364EBD7">
      <w:pPr>
        <w:pStyle w:val="10"/>
        <w:spacing w:before="240"/>
        <w:ind w:left="360"/>
        <w:jc w:val="center"/>
        <w:rPr>
          <w:rFonts w:ascii="Calibri Light" w:cs="Calibri Light"/>
          <w:color w:val="000000"/>
          <w:sz w:val="24"/>
          <w:szCs w:val="24"/>
        </w:rPr>
      </w:pPr>
      <w:r>
        <w:rPr>
          <w:rFonts w:ascii="Calibri Light" w:cs="Calibri Light"/>
          <w:color w:val="000000"/>
          <w:sz w:val="24"/>
          <w:szCs w:val="24"/>
        </w:rPr>
        <w:drawing>
          <wp:inline distT="0" distB="0" distL="0" distR="0">
            <wp:extent cx="2520315" cy="3028950"/>
            <wp:effectExtent l="0" t="0" r="0" b="0"/>
            <wp:docPr id="185289324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2893244" name="Picture 13"/>
                    <pic:cNvPicPr>
                      <a:picLocks noChangeAspect="1"/>
                    </pic:cNvPicPr>
                  </pic:nvPicPr>
                  <pic:blipFill>
                    <a:blip r:embed="rId15"/>
                    <a:srcRect b="19869"/>
                    <a:stretch>
                      <a:fillRect/>
                    </a:stretch>
                  </pic:blipFill>
                  <pic:spPr>
                    <a:xfrm>
                      <a:off x="0" y="0"/>
                      <a:ext cx="2524651" cy="3034659"/>
                    </a:xfrm>
                    <a:prstGeom prst="rect">
                      <a:avLst/>
                    </a:prstGeom>
                    <a:ln>
                      <a:noFill/>
                    </a:ln>
                  </pic:spPr>
                </pic:pic>
              </a:graphicData>
            </a:graphic>
          </wp:inline>
        </w:drawing>
      </w:r>
    </w:p>
    <w:p w14:paraId="2FA0487C">
      <w:pPr>
        <w:pStyle w:val="10"/>
        <w:spacing w:before="240"/>
        <w:ind w:left="360"/>
        <w:jc w:val="both"/>
        <w:rPr>
          <w:rFonts w:ascii="Calibri Light" w:cs="Calibri Light"/>
          <w:color w:val="000000"/>
          <w:sz w:val="24"/>
          <w:szCs w:val="24"/>
        </w:rPr>
      </w:pPr>
      <w:r>
        <w:rPr>
          <w:rFonts w:ascii="Calibri Light" w:cs="Calibri Light"/>
          <w:color w:val="000000"/>
          <w:sz w:val="24"/>
          <w:szCs w:val="24"/>
          <w:highlight w:val="green"/>
        </w:rPr>
        <w:t>As depicted above, the DPR dominates both the initiation and final approval stages of legislation, whereas the DPD is mostly confined to proposing and giving input at preliminary levels. This asymmetry illustrates how the DPD’s consultative role limits its ability to influence national policy despite being constitutionally mandated as a second chamber. The lack of equal footing in legislative authority leads to a symbolic, rather than substantive, role for the DPD—highlighting the urgent need for structural reform toward a more balanced bicameral system.</w:t>
      </w:r>
    </w:p>
    <w:p w14:paraId="33098EA5">
      <w:pPr>
        <w:pStyle w:val="10"/>
        <w:spacing w:before="240"/>
        <w:ind w:left="360"/>
        <w:jc w:val="both"/>
        <w:rPr>
          <w:rFonts w:ascii="Calibri Light" w:cs="Calibri Light"/>
          <w:color w:val="000000"/>
          <w:sz w:val="24"/>
          <w:szCs w:val="24"/>
        </w:rPr>
      </w:pPr>
      <w:r>
        <w:rPr>
          <w:rFonts w:ascii="Calibri Light" w:cs="Calibri Light"/>
          <w:color w:val="000000"/>
          <w:sz w:val="24"/>
          <w:szCs w:val="24"/>
        </w:rPr>
        <w:t xml:space="preserve">The framework governing law-making powers as delineated in the constitution is inextricably linked to the amendment process of the 1945 Constitution, which has been executed through addendums </w:t>
      </w:r>
      <w:r>
        <w:rPr>
          <w:rFonts w:ascii="Calibri Light" w:cs="Calibri Light"/>
          <w:color w:val="000000"/>
          <w:sz w:val="24"/>
          <w:szCs w:val="24"/>
        </w:rPr>
        <w:fldChar w:fldCharType="begin" w:fldLock="1"/>
      </w:r>
      <w:r>
        <w:rPr>
          <w:rFonts w:ascii="Calibri Light" w:cs="Calibri Light"/>
          <w:color w:val="000000"/>
          <w:sz w:val="24"/>
          <w:szCs w:val="24"/>
        </w:rPr>
        <w:instrText xml:space="preserve">ADDIN CSL_CITATION {"citationItems":[{"id":"ITEM-1","itemData":{"DOI":"10.36356/ulrev.v1i2.597","abstract":"Di Indonesia, banyak ditemukan pelajar yang setelah lulus dari SMA atau sederajat melanjutkan sekolah di luar kota, bahkan ada yang di luar provinsi atau juga pulau. Pilihan untuk melanjutkan studi di luar daerah berdasarkan beberapa alasan, antara lain karena fakultas atau jurusan yang diinginkan sesuai dengan minat dan bakat yang tidak terdapat di daerah asal, atau pun karena beasiswa yang diterima mengharuskan untuk melanjutkan studi di universitas yang ditentukan oleh penyedia beasiswa. Indekos sendiri memiliki fungsi utama, yaitu sebagai rumah sementara, tempat belajar, dan tempat beristirahat, namun dari data yang ditemukan banyak kasus mahasiswa melakukan pindahan indekos selama mereka menjadi perantau karena berbagai alasan. Tujuan dari penelitian ini untuk membantu penyewa dan pemilik indekos memahami proses serta faktor pemilihan indekos di daerah seikitar UMS, dari penelitian ini diharapkan para perantau yang ingin menyewa indekos akan lebih memahami keinginan mereka dan pemilik indekos juga memahami faktor-faktor yang mempengaruhi agar indekos mereka diminati. Penelitian ini menggunakan metode penelitian kualitatif deskriptif. Informan dalam penelitian ini berjumlah 10 orang dengan kriteria : (a) Mahasiswa Universitas Muhammadiyah Surakarta minimal angkatan tahun 2016, (b) Tinggal di indekos berdomisili Solo. Metode pengumpulan data yang digunakan pada penelitian ini adalah wawancara. Data dianalisis secara tematik. Berdasarkan hasil penelitian, diketahui proses pengambilan keputusan indekos yaitu, mencari pilihan indekos, mengevaluasi semua pilihan yang ada lalu memilih pilihan dan merencanakan pilihan yang diambil, sedangkan untuk pengambilan keputusan mahasiswa dalam memilih indekos dipengaruhi oleh beberapa faktor, dan peneliti mengurutkan faktor tersebut menjadi empat urutan yaitu, kenyamanan, fasilitas, harga, dan jarak. Pada penelitian selanjutnya bisa digunakan teknik purposive sampling, agar data yang didapat lebih merata terkait proses pengambilan keputusan dan faktor yang mempengaruhi, lalu bisa juga difokuskan","author":[{"dropping-particle":"","family":"Agustiwi","given":"Asri","non-dropping-particle":"","parse-names":false,"suffix":""}],"container-title":"UNTAG Law Review","id":"ITEM-1","issue":"2","issued":{"date-parts":[["2017"]]},"page":"51","title":"DYNAMICS OF CONSTITUTION IN 1945 AMENDMENTS AS A CONSTITUTIONAL IN INDONESIA","type":"article-journal","volume":"1"},"uris":["http://www.mendeley.com/documents/?uuid=e656d1fc-9f0e-4be8-8593-97afee5963f4"]}],"mendeley":{"formattedCitation":"(Agustiwi, 2017)","plainTextFormattedCitation":"(Agustiwi, 2017)","previouslyFormattedCitation":"(Agustiwi, 2017)"},"properties":{"noteIndex":0},"schema":"https://github.com/citation-style-language/schema/raw/master/csl-citation.json"}</w:instrText>
      </w:r>
      <w:r>
        <w:rPr>
          <w:rFonts w:ascii="Calibri Light" w:cs="Calibri Light"/>
          <w:color w:val="000000"/>
          <w:sz w:val="24"/>
          <w:szCs w:val="24"/>
        </w:rPr>
        <w:fldChar w:fldCharType="separate"/>
      </w:r>
      <w:r>
        <w:rPr>
          <w:rFonts w:ascii="Calibri Light" w:cs="Calibri Light"/>
          <w:color w:val="000000"/>
          <w:sz w:val="24"/>
          <w:szCs w:val="24"/>
        </w:rPr>
        <w:t>(Agustiwi, 2017)</w:t>
      </w:r>
      <w:r>
        <w:rPr>
          <w:rFonts w:ascii="Calibri Light" w:cs="Calibri Light"/>
          <w:color w:val="000000"/>
          <w:sz w:val="24"/>
          <w:szCs w:val="24"/>
        </w:rPr>
        <w:fldChar w:fldCharType="end"/>
      </w:r>
      <w:r>
        <w:rPr>
          <w:rFonts w:ascii="Calibri Light" w:cs="Calibri Light"/>
          <w:color w:val="000000"/>
          <w:sz w:val="24"/>
          <w:szCs w:val="24"/>
        </w:rPr>
        <w:t xml:space="preserve">, thereby preserving the integrity of the original text. Consequently, the modifications to the 1945 Constitution are inherently linked to the original text </w:t>
      </w:r>
      <w:r>
        <w:rPr>
          <w:rFonts w:ascii="Calibri Light" w:cs="Calibri Light"/>
          <w:sz w:val="24"/>
          <w:szCs w:val="24"/>
        </w:rPr>
        <w:fldChar w:fldCharType="begin" w:fldLock="1"/>
      </w:r>
      <w:r>
        <w:rPr>
          <w:rFonts w:ascii="Calibri Light" w:cs="Calibri Light"/>
          <w:sz w:val="24"/>
          <w:szCs w:val="24"/>
        </w:rPr>
        <w:instrText xml:space="preserve">ADDIN CSL_CITATION {"citationItems":[{"id":"ITEM-1","itemData":{"DOI":"10.31078/jk1526","ISSN":"2548-1657","author":[{"dropping-particle":"","family":"Yani","given":"Ahmad","non-dropping-particle":"","parse-names":false,"suffix":""}],"container-title":"Jurnal Konstitusi","id":"ITEM-1","issue":"2","issued":{"date-parts":[["2018"]]},"page":"348-368","title":"Analisis Kontruksi Struktural dan Kewenangan DPR dalam Fungsi Legislasi Berdasarkan Undang-Undang Dasar 1945","type":"article-journal","volume":"15"},"uris":["http://www.mendeley.com/documents/?uuid=74ab50de-23d0-4725-a67f-438da184c056"]}],"mendeley":{"formattedCitation":"(Yani, 2018)","plainTextFormattedCitation":"(Yani, 2018)","previouslyFormattedCitation":"(Yani, 2018)"},"properties":{"noteIndex":0},"schema":"https://github.com/citation-style-language/schema/raw/master/csl-citation.json"}</w:instrText>
      </w:r>
      <w:r>
        <w:rPr>
          <w:rFonts w:ascii="Calibri Light" w:cs="Calibri Light"/>
          <w:sz w:val="24"/>
          <w:szCs w:val="24"/>
        </w:rPr>
        <w:fldChar w:fldCharType="separate"/>
      </w:r>
      <w:r>
        <w:rPr>
          <w:rFonts w:ascii="Calibri Light" w:cs="Calibri Light"/>
          <w:sz w:val="24"/>
          <w:szCs w:val="24"/>
          <w:lang w:val="zh-CN" w:eastAsia="zh-CN"/>
        </w:rPr>
        <w:t>(Yani, 2018)</w:t>
      </w:r>
      <w:r>
        <w:rPr>
          <w:rFonts w:ascii="Calibri Light" w:cs="Calibri Light"/>
          <w:sz w:val="24"/>
          <w:szCs w:val="24"/>
        </w:rPr>
        <w:fldChar w:fldCharType="end"/>
      </w:r>
      <w:r>
        <w:rPr>
          <w:rFonts w:ascii="Calibri Light" w:cs="Calibri Light"/>
          <w:color w:val="000000"/>
          <w:sz w:val="24"/>
          <w:szCs w:val="24"/>
        </w:rPr>
        <w:t xml:space="preserve">. This approach delineates the rights and powers of the initial assembly as articulated in the First and Second Amendments, reflecting the prevailing political intentions of the majority of the framers who sought to avoid the establishment of a robust bicameral system within the parliamentary framework. The DPD is designed not to serve as a second chamber; instead, it aims to enhance the regional representation that was established in the Constitution prior to the amendment </w:t>
      </w:r>
      <w:r>
        <w:rPr>
          <w:rFonts w:ascii="Calibri Light" w:cs="Calibri Light"/>
          <w:sz w:val="24"/>
          <w:szCs w:val="24"/>
        </w:rPr>
        <w:fldChar w:fldCharType="begin" w:fldLock="1"/>
      </w:r>
      <w:r>
        <w:rPr>
          <w:rFonts w:ascii="Calibri Light" w:cs="Calibri Light"/>
          <w:sz w:val="24"/>
          <w:szCs w:val="24"/>
        </w:rPr>
        <w:instrText xml:space="preserve">ADDIN CSL_CITATION {"citationItems":[{"id":"ITEM-1","itemData":{"ISSN":"2614-2228","author":[{"dropping-particle":"","family":"Susilowati","given":"Eny","non-dropping-particle":"","parse-names":false,"suffix":""}],"container-title":"MORALITY: Jurnal Ilmu Hukum","id":"ITEM-1","issue":"2","issued":{"date-parts":[["2017"]]},"page":"193-206","title":"Kelumpuhan Dewan Perwakilan Daerah dalam Proses Legislasi di Indonesia","type":"article-journal","volume":"2"},"uris":["http://www.mendeley.com/documents/?uuid=54e404c3-fa34-4826-a5a9-893b9e371f2a"]}],"mendeley":{"formattedCitation":"(Susilowati, 2017)","plainTextFormattedCitation":"(Susilowati, 2017)","previouslyFormattedCitation":"(Susilowati, 2017)"},"properties":{"noteIndex":0},"schema":"https://github.com/citation-style-language/schema/raw/master/csl-citation.json"}</w:instrText>
      </w:r>
      <w:r>
        <w:rPr>
          <w:rFonts w:ascii="Calibri Light" w:cs="Calibri Light"/>
          <w:sz w:val="24"/>
          <w:szCs w:val="24"/>
        </w:rPr>
        <w:fldChar w:fldCharType="separate"/>
      </w:r>
      <w:r>
        <w:rPr>
          <w:rFonts w:ascii="Calibri Light" w:cs="Calibri Light"/>
          <w:sz w:val="24"/>
          <w:szCs w:val="24"/>
          <w:lang w:val="zh-CN" w:eastAsia="zh-CN"/>
        </w:rPr>
        <w:t>(Susilowati, 2017)</w:t>
      </w:r>
      <w:r>
        <w:rPr>
          <w:rFonts w:ascii="Calibri Light" w:cs="Calibri Light"/>
          <w:sz w:val="24"/>
          <w:szCs w:val="24"/>
        </w:rPr>
        <w:fldChar w:fldCharType="end"/>
      </w:r>
      <w:r>
        <w:rPr>
          <w:rFonts w:ascii="Calibri Light" w:cs="Calibri Light"/>
          <w:color w:val="000000"/>
          <w:sz w:val="24"/>
          <w:szCs w:val="24"/>
        </w:rPr>
        <w:t>.</w:t>
      </w:r>
    </w:p>
    <w:p w14:paraId="10B2225E">
      <w:pPr>
        <w:pStyle w:val="10"/>
        <w:spacing w:before="240"/>
        <w:ind w:left="360"/>
        <w:jc w:val="both"/>
        <w:rPr>
          <w:rFonts w:ascii="Calibri Light" w:cs="Calibri Light"/>
          <w:color w:val="000000"/>
          <w:sz w:val="24"/>
          <w:szCs w:val="24"/>
        </w:rPr>
      </w:pPr>
      <w:r>
        <w:rPr>
          <w:rFonts w:ascii="Calibri Light" w:cs="Calibri Light"/>
          <w:color w:val="000000"/>
          <w:sz w:val="24"/>
          <w:szCs w:val="24"/>
        </w:rPr>
        <w:t xml:space="preserve">Examining the records of the 1945 constitutional reform debate, conducted between 1999 and 2002, provides insight into the ideological dynamics of each faction within the MPR during that period. Certain factions advocate for a balanced bicameral system, positioning the DPD as a counterweight to the DPR, whereas other factions prefer the DPR to retain its status as the preeminent legislative authority. Nonetheless, the predominant sentiment among the PAH I MPR-RI faction during the 1999-2004 period was one of hesitance regarding the allocation of equal authority to both houses, stemming from concerns that the DPD might disrupt the legislative proceedings of the DPR. The legislative framework, as delineated in Law Number 22 of 2003, reveals the limited authority of the Second Chamber, indicating that its role in the formulation of statutory regulations is predominantly one of adherence to constitutional provisions. In the context of legislative discussions regarding a bill, their function is confined to Level I debate, wherein they are permitted solely to express perspectives and provide responses that serve as preliminary contributions to the DPR and the Government, as stipulated in UU No. 22 of 2003 (Articles 42 and 43). On the other hand, Law No. 27 In 2009, </w:t>
      </w:r>
      <w:r>
        <w:rPr>
          <w:rFonts w:ascii="Calibri Light" w:cs="Calibri Light"/>
          <w:color w:val="000000"/>
          <w:sz w:val="24"/>
          <w:szCs w:val="24"/>
          <w:highlight w:val="green"/>
        </w:rPr>
        <w:t>slightly strengthened the debate process by allowing the Second Chamber to participate in discussions until the completion of the Level I debate; however, the exclusion of the Second Chamber from Level II approval discussions highlights a limitation that reflects an imbalance in legislative power, undermining the principle of checks and balances inherent in a robust bicameral system.</w:t>
      </w:r>
    </w:p>
    <w:p w14:paraId="1CDD1C22">
      <w:pPr>
        <w:pStyle w:val="10"/>
        <w:spacing w:before="240"/>
        <w:ind w:left="360"/>
        <w:jc w:val="both"/>
        <w:rPr>
          <w:rFonts w:ascii="Calibri Light" w:cs="Calibri Light"/>
          <w:color w:val="000000"/>
          <w:sz w:val="24"/>
          <w:szCs w:val="24"/>
        </w:rPr>
      </w:pPr>
      <w:r>
        <w:rPr>
          <w:rFonts w:ascii="Calibri Light" w:cs="Calibri Light"/>
          <w:color w:val="000000"/>
          <w:sz w:val="24"/>
          <w:szCs w:val="24"/>
        </w:rPr>
        <w:t>The Chamber may offer a succinct opinion that has received approval from the Executive.  This matter will be deliberated upon.  The identical content is present in Law Number 12 of 2011 regarding the Preparation of Legislative Regulations, which articulates that the authority of the Second Chamber in deliberating on draft laws is confined solely to level I discussions and permits only succinct comments during the discourse. This pertains to the jurisdiction of parliament and does not necessitate ongoing consultations between parliament and the executive (Article 150 of Law No.27 of 2009). Law Number 2 of 2018, which serves as the second amendment to Law Number 17 of 2014 regarding Representative Bodies, presents a comparative analysis of the authority held by the two chambers within the legislative process, as illustrated in the table below:</w:t>
      </w:r>
    </w:p>
    <w:p w14:paraId="698D0FBA">
      <w:pPr>
        <w:pStyle w:val="2"/>
        <w:ind w:left="360"/>
        <w:jc w:val="center"/>
        <w:rPr>
          <w:rFonts w:ascii="Calibri Light" w:cs="Calibri Light"/>
          <w:sz w:val="24"/>
          <w:szCs w:val="24"/>
        </w:rPr>
      </w:pPr>
      <w:r>
        <w:rPr>
          <w:rFonts w:ascii="Calibri Light" w:cs="Calibri Light"/>
          <w:spacing w:val="-1"/>
          <w:sz w:val="24"/>
          <w:szCs w:val="24"/>
        </w:rPr>
        <w:t>Table 2. Comparison of Law-Making Power Between Two Chambers on Law No. 2 of 2018</w:t>
      </w:r>
    </w:p>
    <w:tbl>
      <w:tblPr>
        <w:tblStyle w:val="8"/>
        <w:tblW w:w="8730" w:type="dxa"/>
        <w:tblInd w:w="468"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4318"/>
        <w:gridCol w:w="4412"/>
      </w:tblGrid>
      <w:tr w14:paraId="575FA36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433" w:hRule="atLeast"/>
        </w:trPr>
        <w:tc>
          <w:tcPr>
            <w:tcW w:w="4318" w:type="dxa"/>
            <w:shd w:val="clear" w:color="auto" w:fill="EEECE1"/>
          </w:tcPr>
          <w:p w14:paraId="63A1486E">
            <w:pPr>
              <w:pStyle w:val="82"/>
              <w:ind w:left="142"/>
              <w:jc w:val="center"/>
              <w:rPr>
                <w:rFonts w:ascii="Calibri Light" w:cs="Calibri Light"/>
                <w:b/>
                <w:color w:val="000000"/>
                <w:sz w:val="24"/>
                <w:szCs w:val="24"/>
              </w:rPr>
            </w:pPr>
            <w:r>
              <w:rPr>
                <w:rFonts w:ascii="Calibri Light" w:cs="Calibri Light"/>
                <w:b/>
                <w:color w:val="000000"/>
                <w:sz w:val="24"/>
                <w:szCs w:val="24"/>
              </w:rPr>
              <w:t>Regional Representative Council</w:t>
            </w:r>
          </w:p>
        </w:tc>
        <w:tc>
          <w:tcPr>
            <w:tcW w:w="4412" w:type="dxa"/>
            <w:shd w:val="clear" w:color="auto" w:fill="EEECE1"/>
          </w:tcPr>
          <w:p w14:paraId="3D649973">
            <w:pPr>
              <w:pStyle w:val="82"/>
              <w:ind w:left="142"/>
              <w:jc w:val="center"/>
              <w:rPr>
                <w:rFonts w:ascii="Calibri Light" w:cs="Calibri Light"/>
                <w:b/>
                <w:color w:val="000000"/>
                <w:sz w:val="24"/>
                <w:szCs w:val="24"/>
              </w:rPr>
            </w:pPr>
            <w:r>
              <w:rPr>
                <w:rFonts w:ascii="Calibri Light" w:cs="Calibri Light"/>
                <w:b/>
                <w:color w:val="000000"/>
                <w:sz w:val="24"/>
                <w:szCs w:val="24"/>
              </w:rPr>
              <w:t>People's Representative Council</w:t>
            </w:r>
          </w:p>
        </w:tc>
      </w:tr>
      <w:tr w14:paraId="2BBB9A3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277" w:hRule="atLeast"/>
        </w:trPr>
        <w:tc>
          <w:tcPr>
            <w:tcW w:w="4318" w:type="dxa"/>
          </w:tcPr>
          <w:p w14:paraId="0B0D4D7D">
            <w:pPr>
              <w:ind w:left="142"/>
              <w:jc w:val="both"/>
              <w:rPr>
                <w:rFonts w:ascii="Calibri Light" w:cs="Calibri Light"/>
                <w:color w:val="000000"/>
                <w:sz w:val="24"/>
                <w:szCs w:val="24"/>
              </w:rPr>
            </w:pPr>
            <w:r>
              <w:rPr>
                <w:rFonts w:ascii="Calibri Light" w:cs="Calibri Light"/>
                <w:color w:val="000000"/>
                <w:sz w:val="24"/>
                <w:szCs w:val="24"/>
              </w:rPr>
              <w:t>Article 249 paragraph (1): DPD has the following powers and duties:</w:t>
            </w:r>
          </w:p>
          <w:p w14:paraId="1862736D">
            <w:pPr>
              <w:pStyle w:val="53"/>
              <w:widowControl w:val="0"/>
              <w:numPr>
                <w:ilvl w:val="0"/>
                <w:numId w:val="5"/>
              </w:numPr>
              <w:autoSpaceDE w:val="0"/>
              <w:autoSpaceDN w:val="0"/>
              <w:spacing w:after="0" w:line="240" w:lineRule="auto"/>
              <w:ind w:left="426" w:hanging="284"/>
              <w:jc w:val="both"/>
              <w:rPr>
                <w:rFonts w:ascii="Calibri Light" w:cs="Calibri Light"/>
                <w:color w:val="000000"/>
                <w:sz w:val="24"/>
                <w:szCs w:val="24"/>
              </w:rPr>
            </w:pPr>
            <w:r>
              <w:rPr>
                <w:rFonts w:ascii="Calibri Light" w:cs="Calibri Light"/>
                <w:color w:val="000000"/>
                <w:sz w:val="24"/>
                <w:szCs w:val="24"/>
              </w:rPr>
              <w:t>Decentralization, inter-governmental relations, regional formation, expansion and merger, management of natural resources and other economic resources, inter-governmental relations; to the First Congress.</w:t>
            </w:r>
          </w:p>
          <w:p w14:paraId="13F2ED39">
            <w:pPr>
              <w:pStyle w:val="53"/>
              <w:widowControl w:val="0"/>
              <w:numPr>
                <w:ilvl w:val="0"/>
                <w:numId w:val="5"/>
              </w:numPr>
              <w:autoSpaceDE w:val="0"/>
              <w:autoSpaceDN w:val="0"/>
              <w:spacing w:after="0" w:line="240" w:lineRule="auto"/>
              <w:ind w:left="426" w:hanging="284"/>
              <w:jc w:val="both"/>
              <w:rPr>
                <w:rFonts w:ascii="Calibri Light" w:cs="Calibri Light"/>
                <w:color w:val="000000"/>
                <w:sz w:val="24"/>
                <w:szCs w:val="24"/>
              </w:rPr>
            </w:pPr>
            <w:r>
              <w:rPr>
                <w:rFonts w:ascii="Calibri Light" w:cs="Calibri Light"/>
                <w:color w:val="000000"/>
                <w:sz w:val="24"/>
                <w:szCs w:val="24"/>
              </w:rPr>
              <w:t>SM Take part in the debate on draft laws covering the topics listed in point a.</w:t>
            </w:r>
          </w:p>
          <w:p w14:paraId="69836844">
            <w:pPr>
              <w:pStyle w:val="53"/>
              <w:widowControl w:val="0"/>
              <w:numPr>
                <w:ilvl w:val="0"/>
                <w:numId w:val="5"/>
              </w:numPr>
              <w:autoSpaceDE w:val="0"/>
              <w:autoSpaceDN w:val="0"/>
              <w:spacing w:after="0" w:line="240" w:lineRule="auto"/>
              <w:ind w:left="426" w:hanging="284"/>
              <w:jc w:val="both"/>
              <w:rPr>
                <w:rFonts w:ascii="Calibri Light" w:cs="Calibri Light"/>
                <w:color w:val="000000"/>
                <w:sz w:val="24"/>
                <w:szCs w:val="24"/>
              </w:rPr>
            </w:pPr>
            <w:r>
              <w:rPr>
                <w:rFonts w:ascii="Calibri Light" w:cs="Calibri Light"/>
                <w:color w:val="000000"/>
                <w:sz w:val="24"/>
                <w:szCs w:val="24"/>
              </w:rPr>
              <w:t>Prepare and submit an inventory of matters relating to legislation of the First Congress or the Executive Branch relating to matters referred to in paragraph (a).</w:t>
            </w:r>
          </w:p>
          <w:p w14:paraId="7143DA42">
            <w:pPr>
              <w:pStyle w:val="53"/>
              <w:widowControl w:val="0"/>
              <w:numPr>
                <w:ilvl w:val="0"/>
                <w:numId w:val="5"/>
              </w:numPr>
              <w:autoSpaceDE w:val="0"/>
              <w:autoSpaceDN w:val="0"/>
              <w:spacing w:after="0" w:line="240" w:lineRule="auto"/>
              <w:ind w:left="426" w:hanging="284"/>
              <w:jc w:val="both"/>
              <w:rPr>
                <w:rFonts w:ascii="Calibri Light" w:cs="Calibri Light"/>
                <w:color w:val="000000"/>
                <w:sz w:val="24"/>
                <w:szCs w:val="24"/>
              </w:rPr>
            </w:pPr>
            <w:r>
              <w:rPr>
                <w:rFonts w:ascii="Calibri Light" w:cs="Calibri Light"/>
                <w:color w:val="000000"/>
                <w:sz w:val="24"/>
                <w:szCs w:val="24"/>
              </w:rPr>
              <w:t>Recommend to the First Congress the Regional Revenue and Expenditure Budget Bill (APBN), the Tax, Education and Religion Bill.</w:t>
            </w:r>
          </w:p>
          <w:p w14:paraId="531902D9">
            <w:pPr>
              <w:pStyle w:val="53"/>
              <w:ind w:left="142"/>
              <w:rPr>
                <w:rFonts w:ascii="Calibri Light" w:cs="Calibri Light"/>
                <w:color w:val="000000"/>
                <w:sz w:val="24"/>
                <w:szCs w:val="24"/>
                <w:lang w:val="zh-CN" w:eastAsia="zh-CN"/>
              </w:rPr>
            </w:pPr>
          </w:p>
        </w:tc>
        <w:tc>
          <w:tcPr>
            <w:tcW w:w="4412" w:type="dxa"/>
          </w:tcPr>
          <w:p w14:paraId="018F15D4">
            <w:pPr>
              <w:ind w:left="142"/>
              <w:jc w:val="both"/>
              <w:rPr>
                <w:rFonts w:ascii="Calibri Light" w:cs="Calibri Light"/>
                <w:color w:val="000000"/>
                <w:sz w:val="24"/>
                <w:szCs w:val="24"/>
              </w:rPr>
            </w:pPr>
            <w:r>
              <w:rPr>
                <w:rFonts w:ascii="Calibri Light" w:cs="Calibri Light"/>
                <w:color w:val="000000"/>
                <w:sz w:val="24"/>
                <w:szCs w:val="24"/>
              </w:rPr>
              <w:t>Article 71: The DPR has the following authorities:</w:t>
            </w:r>
          </w:p>
          <w:p w14:paraId="69451512">
            <w:pPr>
              <w:pStyle w:val="53"/>
              <w:widowControl w:val="0"/>
              <w:numPr>
                <w:ilvl w:val="0"/>
                <w:numId w:val="6"/>
              </w:numPr>
              <w:autoSpaceDE w:val="0"/>
              <w:autoSpaceDN w:val="0"/>
              <w:spacing w:after="0" w:line="240" w:lineRule="auto"/>
              <w:ind w:left="426" w:hanging="284"/>
              <w:jc w:val="both"/>
              <w:rPr>
                <w:rFonts w:ascii="Calibri Light" w:cs="Calibri Light"/>
                <w:color w:val="000000"/>
                <w:sz w:val="24"/>
                <w:szCs w:val="24"/>
              </w:rPr>
            </w:pPr>
            <w:r>
              <w:rPr>
                <w:rFonts w:ascii="Calibri Light" w:cs="Calibri Light"/>
                <w:color w:val="000000"/>
                <w:sz w:val="24"/>
                <w:szCs w:val="24"/>
              </w:rPr>
              <w:t>Article 71: The drafting of laws must be discussed together with the Executive to obtain mutual approval.</w:t>
            </w:r>
          </w:p>
          <w:p w14:paraId="1A463014">
            <w:pPr>
              <w:pStyle w:val="53"/>
              <w:widowControl w:val="0"/>
              <w:numPr>
                <w:ilvl w:val="0"/>
                <w:numId w:val="6"/>
              </w:numPr>
              <w:autoSpaceDE w:val="0"/>
              <w:autoSpaceDN w:val="0"/>
              <w:spacing w:after="0" w:line="240" w:lineRule="auto"/>
              <w:ind w:left="426" w:hanging="284"/>
              <w:jc w:val="both"/>
              <w:rPr>
                <w:rFonts w:ascii="Calibri Light" w:cs="Calibri Light"/>
                <w:color w:val="000000"/>
                <w:sz w:val="24"/>
                <w:szCs w:val="24"/>
              </w:rPr>
            </w:pPr>
            <w:r>
              <w:rPr>
                <w:rFonts w:ascii="Calibri Light" w:cs="Calibri Light"/>
                <w:color w:val="000000"/>
                <w:sz w:val="24"/>
                <w:szCs w:val="24"/>
              </w:rPr>
              <w:t>SM Approval or rejection of government regulations in lieu of laws proposed by the president as law.</w:t>
            </w:r>
          </w:p>
          <w:p w14:paraId="11AF3AB9">
            <w:pPr>
              <w:pStyle w:val="53"/>
              <w:widowControl w:val="0"/>
              <w:numPr>
                <w:ilvl w:val="0"/>
                <w:numId w:val="6"/>
              </w:numPr>
              <w:autoSpaceDE w:val="0"/>
              <w:autoSpaceDN w:val="0"/>
              <w:spacing w:after="0" w:line="240" w:lineRule="auto"/>
              <w:ind w:left="426" w:hanging="284"/>
              <w:jc w:val="both"/>
              <w:rPr>
                <w:rFonts w:ascii="Calibri Light" w:cs="Calibri Light"/>
                <w:color w:val="000000"/>
                <w:sz w:val="24"/>
                <w:szCs w:val="24"/>
              </w:rPr>
            </w:pPr>
            <w:r>
              <w:rPr>
                <w:rFonts w:ascii="Calibri Light" w:cs="Calibri Light"/>
                <w:color w:val="000000"/>
                <w:sz w:val="24"/>
                <w:szCs w:val="24"/>
              </w:rPr>
              <w:t>Discussion of draft laws proposed by the President or DPR.</w:t>
            </w:r>
          </w:p>
          <w:p w14:paraId="0A6C7B51">
            <w:pPr>
              <w:pStyle w:val="53"/>
              <w:widowControl w:val="0"/>
              <w:numPr>
                <w:ilvl w:val="0"/>
                <w:numId w:val="6"/>
              </w:numPr>
              <w:autoSpaceDE w:val="0"/>
              <w:autoSpaceDN w:val="0"/>
              <w:spacing w:after="0" w:line="240" w:lineRule="auto"/>
              <w:ind w:left="426" w:hanging="284"/>
              <w:jc w:val="both"/>
              <w:rPr>
                <w:rFonts w:ascii="Calibri Light" w:cs="Calibri Light"/>
                <w:color w:val="000000"/>
                <w:sz w:val="24"/>
                <w:szCs w:val="24"/>
              </w:rPr>
            </w:pPr>
            <w:r>
              <w:rPr>
                <w:rFonts w:ascii="Calibri Light" w:cs="Calibri Light"/>
                <w:color w:val="000000"/>
                <w:sz w:val="24"/>
                <w:szCs w:val="24"/>
              </w:rPr>
              <w:t>Discussing legislation in the second chamber regarding the management of natural resources and other economic resources, including decentralization, inter-governmental relations, regional formation, expansion and merger, as well as fiscal balance between governments.</w:t>
            </w:r>
          </w:p>
          <w:p w14:paraId="7EC37710">
            <w:pPr>
              <w:pStyle w:val="53"/>
              <w:widowControl w:val="0"/>
              <w:numPr>
                <w:ilvl w:val="0"/>
                <w:numId w:val="6"/>
              </w:numPr>
              <w:autoSpaceDE w:val="0"/>
              <w:autoSpaceDN w:val="0"/>
              <w:spacing w:after="0" w:line="240" w:lineRule="auto"/>
              <w:ind w:left="426" w:hanging="284"/>
              <w:jc w:val="both"/>
              <w:rPr>
                <w:rFonts w:ascii="Calibri Light" w:cs="Calibri Light"/>
                <w:color w:val="000000"/>
                <w:sz w:val="24"/>
                <w:szCs w:val="24"/>
              </w:rPr>
            </w:pPr>
            <w:r>
              <w:rPr>
                <w:rFonts w:ascii="Calibri Light" w:cs="Calibri Light"/>
                <w:color w:val="000000"/>
                <w:sz w:val="24"/>
                <w:szCs w:val="24"/>
              </w:rPr>
              <w:t>Based on the opinion of the second chamber, it consults with the president and approves the draft national income and appropriations law proposed by the president.</w:t>
            </w:r>
          </w:p>
        </w:tc>
      </w:tr>
    </w:tbl>
    <w:p w14:paraId="571753E4">
      <w:pPr>
        <w:ind w:left="360"/>
        <w:rPr>
          <w:rFonts w:ascii="Calibri Light" w:cs="Calibri Light"/>
          <w:color w:val="000000"/>
          <w:sz w:val="24"/>
          <w:szCs w:val="24"/>
        </w:rPr>
      </w:pPr>
      <w:r>
        <w:rPr>
          <w:rFonts w:ascii="Calibri Light" w:cs="Calibri Light"/>
          <w:color w:val="000000"/>
          <w:sz w:val="24"/>
          <w:szCs w:val="24"/>
        </w:rPr>
        <w:t>Source:</w:t>
      </w:r>
      <w:r>
        <w:rPr>
          <w:rFonts w:ascii="Calibri Light" w:cs="Calibri Light"/>
          <w:color w:val="000000"/>
          <w:spacing w:val="-4"/>
          <w:sz w:val="24"/>
          <w:szCs w:val="24"/>
        </w:rPr>
        <w:t xml:space="preserve"> </w:t>
      </w:r>
      <w:r>
        <w:rPr>
          <w:rFonts w:ascii="Calibri Light" w:cs="Calibri Light"/>
          <w:color w:val="000000"/>
          <w:sz w:val="24"/>
          <w:szCs w:val="24"/>
        </w:rPr>
        <w:t>Primary</w:t>
      </w:r>
      <w:r>
        <w:rPr>
          <w:rFonts w:ascii="Calibri Light" w:cs="Calibri Light"/>
          <w:color w:val="000000"/>
          <w:spacing w:val="-5"/>
          <w:sz w:val="24"/>
          <w:szCs w:val="24"/>
        </w:rPr>
        <w:t xml:space="preserve"> </w:t>
      </w:r>
      <w:r>
        <w:rPr>
          <w:rFonts w:ascii="Calibri Light" w:cs="Calibri Light"/>
          <w:color w:val="000000"/>
          <w:sz w:val="24"/>
          <w:szCs w:val="24"/>
        </w:rPr>
        <w:t>legal</w:t>
      </w:r>
      <w:r>
        <w:rPr>
          <w:rFonts w:ascii="Calibri Light" w:cs="Calibri Light"/>
          <w:color w:val="000000"/>
          <w:spacing w:val="-6"/>
          <w:sz w:val="24"/>
          <w:szCs w:val="24"/>
        </w:rPr>
        <w:t xml:space="preserve"> </w:t>
      </w:r>
      <w:r>
        <w:rPr>
          <w:rFonts w:ascii="Calibri Light" w:cs="Calibri Light"/>
          <w:color w:val="000000"/>
          <w:sz w:val="24"/>
          <w:szCs w:val="24"/>
        </w:rPr>
        <w:t>materials</w:t>
      </w:r>
    </w:p>
    <w:p w14:paraId="34FA48F7">
      <w:pPr>
        <w:pStyle w:val="10"/>
        <w:spacing w:before="240"/>
        <w:ind w:left="360"/>
        <w:jc w:val="both"/>
        <w:rPr>
          <w:rFonts w:ascii="Calibri Light" w:cs="Calibri Light"/>
          <w:color w:val="000000"/>
          <w:sz w:val="24"/>
          <w:szCs w:val="24"/>
        </w:rPr>
      </w:pPr>
      <w:r>
        <w:rPr>
          <w:rFonts w:ascii="Calibri Light" w:cs="Calibri Light"/>
          <w:color w:val="000000"/>
          <w:sz w:val="24"/>
          <w:szCs w:val="24"/>
        </w:rPr>
        <w:t xml:space="preserve">The bicameral provisions in the law's formulation, as outlined in Law Number 15 of 2019 regarding amendments to Law Number 12 of 2011 and Law Number 2 of 2018, maintain a sense of balance. The existing legislation positions the Second Chamber as a participant alongside the President in the legislative process, though its function is constrained. The role of the second chamber in the legislative process is limited to the type of bill material and does not extend to the final approval stage. Nonetheless, the second chamber has demonstrated notable effectiveness in formulating a range of strategic policies. From its inception until 2015, the II assembly has made 518 decisions, which encompass 57 proposed bills and 148 monitoring results. Out of all the proposed bills, 25 have successfully become law. DPD's performance in the realm of legislation is improving; out of the 160 bills in the 2015-2019 Prolegnas, 52 bills, or 32%, align with DPD's proposals. By 2018, the count rose to 87 bills along with several additional recommendations. Despite some progress, the DPD still faces challenges due to its limited authority, hindering its ability to effectively drive regional community aspirations and compete with the political influence of the first assembly, particularly regarding law formation. </w:t>
      </w:r>
      <w:commentRangeStart w:id="8"/>
      <w:commentRangeStart w:id="9"/>
      <w:r>
        <w:rPr>
          <w:rFonts w:ascii="Calibri Light" w:cs="Calibri Light"/>
          <w:color w:val="000000"/>
          <w:sz w:val="24"/>
          <w:szCs w:val="24"/>
        </w:rPr>
        <w:t xml:space="preserve">The second assembly currently serves merely as a representative body, rather than an effective advocate for regional aspirations at the central level </w:t>
      </w:r>
      <w:r>
        <w:rPr>
          <w:rFonts w:ascii="Calibri Light" w:cs="Calibri Light"/>
          <w:sz w:val="24"/>
          <w:szCs w:val="24"/>
        </w:rPr>
        <w:fldChar w:fldCharType="begin" w:fldLock="1"/>
      </w:r>
      <w:r>
        <w:rPr>
          <w:rFonts w:ascii="Calibri Light" w:cs="Calibri Light"/>
          <w:sz w:val="24"/>
          <w:szCs w:val="24"/>
        </w:rPr>
        <w:instrText xml:space="preserve">ADDIN CSL_CITATION {"citationItems":[{"id":"ITEM-1","itemData":{"ISSN":"2809-8587","author":[{"dropping-particle":"","family":"Akili","given":"Rustam H S","non-dropping-particle":"","parse-names":false,"suffix":""}],"container-title":"Jurnal Multidisiplin Sahombu","id":"ITEM-1","issue":"01","issued":{"date-parts":[["2023"]]},"page":"77-85","title":"The Role of The Legislature, in Maintaining the Balance of Power in The Constitutional Legal System","type":"article-journal","volume":"3"},"uris":["http://www.mendeley.com/documents/?uuid=b3bf8ad1-2bb4-415c-b839-a8c12cdceae7"]}],"mendeley":{"formattedCitation":"(Akili, 2023)","plainTextFormattedCitation":"(Akili, 2023)","previouslyFormattedCitation":"(Akili, 2023)"},"properties":{"noteIndex":0},"schema":"https://github.com/citation-style-language/schema/raw/master/csl-citation.json"}</w:instrText>
      </w:r>
      <w:r>
        <w:rPr>
          <w:rFonts w:ascii="Calibri Light" w:cs="Calibri Light"/>
          <w:sz w:val="24"/>
          <w:szCs w:val="24"/>
        </w:rPr>
        <w:fldChar w:fldCharType="separate"/>
      </w:r>
      <w:r>
        <w:rPr>
          <w:rFonts w:ascii="Calibri Light" w:cs="Calibri Light"/>
          <w:sz w:val="24"/>
          <w:szCs w:val="24"/>
          <w:lang w:val="zh-CN" w:eastAsia="zh-CN"/>
        </w:rPr>
        <w:t>(Akili, 2023)</w:t>
      </w:r>
      <w:r>
        <w:rPr>
          <w:rFonts w:ascii="Calibri Light" w:cs="Calibri Light"/>
          <w:sz w:val="24"/>
          <w:szCs w:val="24"/>
        </w:rPr>
        <w:fldChar w:fldCharType="end"/>
      </w:r>
      <w:r>
        <w:rPr>
          <w:rFonts w:ascii="Calibri Light" w:cs="Calibri Light"/>
          <w:color w:val="000000"/>
          <w:sz w:val="24"/>
          <w:szCs w:val="24"/>
        </w:rPr>
        <w:t>.</w:t>
      </w:r>
      <w:commentRangeEnd w:id="8"/>
      <w:r>
        <w:rPr>
          <w:rStyle w:val="16"/>
        </w:rPr>
        <w:commentReference w:id="8"/>
      </w:r>
      <w:commentRangeEnd w:id="9"/>
      <w:r>
        <w:rPr>
          <w:rStyle w:val="16"/>
        </w:rPr>
        <w:commentReference w:id="9"/>
      </w:r>
      <w:r>
        <w:rPr>
          <w:rFonts w:ascii="Calibri Light" w:cs="Calibri Light"/>
          <w:color w:val="000000"/>
          <w:sz w:val="24"/>
          <w:szCs w:val="24"/>
        </w:rPr>
        <w:t xml:space="preserve"> </w:t>
      </w:r>
      <w:r>
        <w:rPr>
          <w:rFonts w:ascii="Calibri Light" w:cs="Calibri Light"/>
          <w:color w:val="000000"/>
          <w:sz w:val="24"/>
          <w:szCs w:val="24"/>
          <w:highlight w:val="yellow"/>
        </w:rPr>
        <w:t>To enhance the second assembly’s role beyond mere representation and ensure it effectively channels regional aspirations, a constitutional amendment may be necessary to redefine its authority and function, although interim measures such as revising the MD3 Law or adjusting the Prolegnas could offer a pragmatic starting point.</w:t>
      </w:r>
    </w:p>
    <w:p w14:paraId="00CDFE3B">
      <w:pPr>
        <w:pStyle w:val="10"/>
        <w:widowControl w:val="0"/>
        <w:spacing w:before="240" w:after="0"/>
        <w:ind w:left="360"/>
        <w:jc w:val="both"/>
        <w:rPr>
          <w:rFonts w:ascii="Calibri Light" w:cs="Calibri Light"/>
          <w:b/>
          <w:color w:val="000000"/>
          <w:sz w:val="24"/>
          <w:szCs w:val="24"/>
        </w:rPr>
      </w:pPr>
      <w:r>
        <w:rPr>
          <w:rFonts w:ascii="Calibri Light" w:cs="Calibri Light"/>
          <w:b/>
          <w:color w:val="000000"/>
          <w:sz w:val="24"/>
          <w:szCs w:val="24"/>
        </w:rPr>
        <w:t>Division of Legislative Power in Parliamentary Systems: Comparison in Several Countries</w:t>
      </w:r>
    </w:p>
    <w:p w14:paraId="799ED062">
      <w:pPr>
        <w:pStyle w:val="10"/>
        <w:spacing w:before="240"/>
        <w:ind w:left="360"/>
        <w:jc w:val="both"/>
        <w:rPr>
          <w:rFonts w:ascii="Calibri Light" w:cs="Calibri Light"/>
          <w:color w:val="000000"/>
          <w:sz w:val="24"/>
          <w:szCs w:val="24"/>
        </w:rPr>
      </w:pPr>
      <w:r>
        <w:rPr>
          <w:rFonts w:ascii="Calibri Light" w:cs="Calibri Light"/>
          <w:color w:val="000000"/>
          <w:sz w:val="24"/>
          <w:szCs w:val="24"/>
        </w:rPr>
        <w:t xml:space="preserve">The parliamentary system is a form of government that is widely used in many countries in the world. In this system, administrative and legal authorities interact and depend on each other </w:t>
      </w:r>
      <w:r>
        <w:rPr>
          <w:rFonts w:ascii="Calibri Light" w:cs="Calibri Light"/>
          <w:sz w:val="24"/>
          <w:szCs w:val="24"/>
        </w:rPr>
        <w:fldChar w:fldCharType="begin" w:fldLock="1"/>
      </w:r>
      <w:r>
        <w:rPr>
          <w:rFonts w:ascii="Calibri Light" w:cs="Calibri Light"/>
          <w:sz w:val="24"/>
          <w:szCs w:val="24"/>
        </w:rPr>
        <w:instrText xml:space="preserve">ADDIN CSL_CITATION {"citationItems":[{"id":"ITEM-1","itemData":{"author":[{"dropping-particle":"","family":"Cheibub","given":"José Antonio","non-dropping-particle":"","parse-names":false,"suffix":""},{"dropping-particle":"","family":"Martin","given":"Shane","non-dropping-particle":"","parse-names":false,"suffix":""},{"dropping-particle":"","family":"Rasch","given":"Bjørn Erik","non-dropping-particle":"","parse-names":false,"suffix":""}],"container-title":"Parliaments and Government Termination","id":"ITEM-1","issued":{"date-parts":[["2023"]]},"page":"208-235","publisher":"London: Routledge","title":"Government Selection and Executive Powers: Constitutional Design in Parliamentary Democracies","type":"chapter"},"uris":["http://www.mendeley.com/documents/?uuid=b63c132b-81d1-41e7-879a-a82a68e700cf"]}],"mendeley":{"formattedCitation":"(Cheibub et al., 2023)","plainTextFormattedCitation":"(Cheibub et al., 2023)","previouslyFormattedCitation":"(Cheibub et al., 2023)"},"properties":{"noteIndex":0},"schema":"https://github.com/citation-style-language/schema/raw/master/csl-citation.json"}</w:instrText>
      </w:r>
      <w:r>
        <w:rPr>
          <w:rFonts w:ascii="Calibri Light" w:cs="Calibri Light"/>
          <w:sz w:val="24"/>
          <w:szCs w:val="24"/>
        </w:rPr>
        <w:fldChar w:fldCharType="separate"/>
      </w:r>
      <w:r>
        <w:rPr>
          <w:rFonts w:ascii="Calibri Light" w:cs="Calibri Light"/>
          <w:sz w:val="24"/>
          <w:szCs w:val="24"/>
          <w:lang w:val="zh-CN" w:eastAsia="zh-CN"/>
        </w:rPr>
        <w:t>(Cheibub et al., 2023)</w:t>
      </w:r>
      <w:r>
        <w:rPr>
          <w:rFonts w:ascii="Calibri Light" w:cs="Calibri Light"/>
          <w:sz w:val="24"/>
          <w:szCs w:val="24"/>
        </w:rPr>
        <w:fldChar w:fldCharType="end"/>
      </w:r>
      <w:r>
        <w:rPr>
          <w:rFonts w:ascii="Calibri Light" w:cs="Calibri Light"/>
          <w:color w:val="000000"/>
          <w:sz w:val="24"/>
          <w:szCs w:val="24"/>
        </w:rPr>
        <w:t>. The government, prime minister and cabinet are accountable to the bicameral parliament. This division aims to create a balance of power, provide better representation, and ensure a more transparent and accountable legislative process for all people.</w:t>
      </w:r>
    </w:p>
    <w:p w14:paraId="5CAD2D39">
      <w:pPr>
        <w:pStyle w:val="10"/>
        <w:widowControl w:val="0"/>
        <w:numPr>
          <w:ilvl w:val="1"/>
          <w:numId w:val="7"/>
        </w:numPr>
        <w:spacing w:before="240" w:after="0"/>
        <w:ind w:left="720" w:hanging="360"/>
        <w:rPr>
          <w:rFonts w:ascii="Calibri Light" w:cs="Calibri Light"/>
          <w:b/>
          <w:color w:val="000000"/>
          <w:sz w:val="24"/>
          <w:szCs w:val="24"/>
        </w:rPr>
      </w:pPr>
      <w:r>
        <w:rPr>
          <w:rFonts w:ascii="Calibri Light" w:cs="Calibri Light"/>
          <w:b/>
          <w:color w:val="000000"/>
          <w:sz w:val="24"/>
          <w:szCs w:val="24"/>
        </w:rPr>
        <w:t>Low Chamber (House of Commons)</w:t>
      </w:r>
    </w:p>
    <w:p w14:paraId="7AACBF31">
      <w:pPr>
        <w:pStyle w:val="10"/>
        <w:spacing w:before="240"/>
        <w:ind w:left="360"/>
        <w:jc w:val="both"/>
        <w:rPr>
          <w:rFonts w:ascii="Calibri Light" w:cs="Calibri Light"/>
          <w:b/>
          <w:color w:val="000000"/>
          <w:sz w:val="24"/>
          <w:szCs w:val="24"/>
        </w:rPr>
      </w:pPr>
      <w:r>
        <w:rPr>
          <w:rFonts w:ascii="Calibri Light" w:cs="Calibri Light"/>
          <w:color w:val="000000"/>
          <w:sz w:val="24"/>
          <w:szCs w:val="24"/>
        </w:rPr>
        <w:t xml:space="preserve">The lower chamber, often referred to as the house of the people, generally consists of members directly elected by the people. In many parliamentary systems, this chamber holds the greatest power in decision-making, including passing laws, passing budgets, and oversight of the government. With a direct election system, the lower chamber tends to be more responsive to the needs and aspirations of the people </w:t>
      </w:r>
      <w:r>
        <w:rPr>
          <w:rFonts w:ascii="Calibri Light" w:cs="Calibri Light"/>
          <w:sz w:val="24"/>
          <w:szCs w:val="24"/>
        </w:rPr>
        <w:fldChar w:fldCharType="begin" w:fldLock="1"/>
      </w:r>
      <w:r>
        <w:rPr>
          <w:rFonts w:ascii="Calibri Light" w:cs="Calibri Light"/>
          <w:sz w:val="24"/>
          <w:szCs w:val="24"/>
        </w:rPr>
        <w:instrText xml:space="preserve">ADDIN CSL_CITATION {"citationItems":[{"id":"ITEM-1","itemData":{"ISSN":"0031-2290","author":[{"dropping-particle":"","family":"Alemán","given":"Eduardo","non-dropping-particle":"","parse-names":false,"suffix":""},{"dropping-particle":"","family":"Mimica","given":"Nicolás","non-dropping-particle":"","parse-names":false,"suffix":""},{"dropping-particle":"","family":"Navia","given":"Patricio","non-dropping-particle":"","parse-names":false,"suffix":""}],"container-title":"Parliamentary Affairs","id":"ITEM-1","issue":"2","issued":{"date-parts":[["2022"]]},"page":"362-381","publisher":"Oxford University Press","title":"Bicameral Lawmaking: Analysing the Choices of Revising Chambers","type":"article-journal","volume":"75"},"uris":["http://www.mendeley.com/documents/?uuid=c6c3a639-5c5d-4dac-846a-61b2661a3b6d"]}],"mendeley":{"formattedCitation":"(Alemán et al., 2022)","plainTextFormattedCitation":"(Alemán et al., 2022)","previouslyFormattedCitation":"(Alemán et al., 2022)"},"properties":{"noteIndex":0},"schema":"https://github.com/citation-style-language/schema/raw/master/csl-citation.json"}</w:instrText>
      </w:r>
      <w:r>
        <w:rPr>
          <w:rFonts w:ascii="Calibri Light" w:cs="Calibri Light"/>
          <w:sz w:val="24"/>
          <w:szCs w:val="24"/>
        </w:rPr>
        <w:fldChar w:fldCharType="separate"/>
      </w:r>
      <w:r>
        <w:rPr>
          <w:rFonts w:ascii="Calibri Light" w:cs="Calibri Light"/>
          <w:sz w:val="24"/>
          <w:szCs w:val="24"/>
          <w:lang w:val="zh-CN" w:eastAsia="zh-CN"/>
        </w:rPr>
        <w:t>(Alemán et al., 2022)</w:t>
      </w:r>
      <w:r>
        <w:rPr>
          <w:rFonts w:ascii="Calibri Light" w:cs="Calibri Light"/>
          <w:sz w:val="24"/>
          <w:szCs w:val="24"/>
        </w:rPr>
        <w:fldChar w:fldCharType="end"/>
      </w:r>
      <w:r>
        <w:rPr>
          <w:rFonts w:ascii="Calibri Light" w:cs="Calibri Light"/>
          <w:color w:val="000000"/>
          <w:sz w:val="24"/>
          <w:szCs w:val="24"/>
        </w:rPr>
        <w:t xml:space="preserve">. For example, in England, the House of Commons has 650 members who are elected in general elections held every five years. The chamber has the power to initiate most legislation and serves as the main body overseeing government actions </w:t>
      </w:r>
      <w:r>
        <w:rPr>
          <w:rFonts w:ascii="Calibri Light" w:cs="Calibri Light"/>
          <w:sz w:val="24"/>
          <w:szCs w:val="24"/>
        </w:rPr>
        <w:fldChar w:fldCharType="begin" w:fldLock="1"/>
      </w:r>
      <w:r>
        <w:rPr>
          <w:rFonts w:ascii="Calibri Light" w:cs="Calibri Light"/>
          <w:sz w:val="24"/>
          <w:szCs w:val="24"/>
        </w:rPr>
        <w:instrText xml:space="preserve">ADDIN CSL_CITATION {"citationItems":[{"id":"ITEM-1","itemData":{"ISSN":"1357-2334","author":[{"dropping-particle":"","family":"Wegmann","given":"Simone","non-dropping-particle":"","parse-names":false,"suffix":""}],"container-title":"The Journal of Legislative Studies","id":"ITEM-1","issue":"1","issued":{"date-parts":[["2022"]]},"page":"1-25","publisher":"Taylor &amp; Francis","title":"Policy-Making Power of Opposition Players: A Comparative Institutional Perspective","type":"article-journal","volume":"28"},"uris":["http://www.mendeley.com/documents/?uuid=493fa0b2-de46-41e3-969e-d83dbeebd102"]}],"mendeley":{"formattedCitation":"(Wegmann, 2022)","plainTextFormattedCitation":"(Wegmann, 2022)","previouslyFormattedCitation":"(Wegmann, 2022)"},"properties":{"noteIndex":0},"schema":"https://github.com/citation-style-language/schema/raw/master/csl-citation.json"}</w:instrText>
      </w:r>
      <w:r>
        <w:rPr>
          <w:rFonts w:ascii="Calibri Light" w:cs="Calibri Light"/>
          <w:sz w:val="24"/>
          <w:szCs w:val="24"/>
        </w:rPr>
        <w:fldChar w:fldCharType="separate"/>
      </w:r>
      <w:r>
        <w:rPr>
          <w:rFonts w:ascii="Calibri Light" w:cs="Calibri Light"/>
          <w:sz w:val="24"/>
          <w:szCs w:val="24"/>
          <w:lang w:val="zh-CN" w:eastAsia="zh-CN"/>
        </w:rPr>
        <w:t>(Wegmann, 2022)</w:t>
      </w:r>
      <w:r>
        <w:rPr>
          <w:rFonts w:ascii="Calibri Light" w:cs="Calibri Light"/>
          <w:sz w:val="24"/>
          <w:szCs w:val="24"/>
        </w:rPr>
        <w:fldChar w:fldCharType="end"/>
      </w:r>
      <w:r>
        <w:rPr>
          <w:rFonts w:ascii="Calibri Light" w:cs="Calibri Light"/>
          <w:color w:val="000000"/>
          <w:sz w:val="24"/>
          <w:szCs w:val="24"/>
        </w:rPr>
        <w:t xml:space="preserve">. Members of these chambers often engage in insightful debates on important issues, and they have a responsibility to convey the voices of their constituents. This electoral process allows the people to elect their representatives directly, giving members of parliament the legitimacy to represent the interests of the people </w:t>
      </w:r>
      <w:r>
        <w:rPr>
          <w:rFonts w:ascii="Calibri Light" w:cs="Calibri Light"/>
          <w:sz w:val="24"/>
          <w:szCs w:val="24"/>
        </w:rPr>
        <w:fldChar w:fldCharType="begin" w:fldLock="1"/>
      </w:r>
      <w:r>
        <w:rPr>
          <w:rFonts w:ascii="Calibri Light" w:cs="Calibri Light"/>
          <w:sz w:val="24"/>
          <w:szCs w:val="24"/>
        </w:rPr>
        <w:instrText xml:space="preserve">ADDIN CSL_CITATION {"citationItems":[{"id":"ITEM-1","itemData":{"ISBN":"1071822152","author":[{"dropping-particle":"","family":"Epstein","given":"Lee","non-dropping-particle":"","parse-names":false,"suffix":""},{"dropping-particle":"","family":"McGuire","given":"Kevin T","non-dropping-particle":"","parse-names":false,"suffix":""},{"dropping-particle":"","family":"Walker","given":"Thomas G","non-dropping-particle":"","parse-names":false,"suffix":""}],"id":"ITEM-1","issued":{"date-parts":[["2022"]]},"publisher":"Washington, DC: CQ Press","title":"Constitutional Law for a Changing America: Institutional Powers and Constraints","type":"book"},"uris":["http://www.mendeley.com/documents/?uuid=7ff97b33-c9e5-4d85-974e-77b05ad674aa"]}],"mendeley":{"formattedCitation":"(Epstein et al., 2022)","plainTextFormattedCitation":"(Epstein et al., 2022)","previouslyFormattedCitation":"(Epstein et al., 2022)"},"properties":{"noteIndex":0},"schema":"https://github.com/citation-style-language/schema/raw/master/csl-citation.json"}</w:instrText>
      </w:r>
      <w:r>
        <w:rPr>
          <w:rFonts w:ascii="Calibri Light" w:cs="Calibri Light"/>
          <w:sz w:val="24"/>
          <w:szCs w:val="24"/>
        </w:rPr>
        <w:fldChar w:fldCharType="separate"/>
      </w:r>
      <w:r>
        <w:rPr>
          <w:rFonts w:ascii="Calibri Light" w:cs="Calibri Light"/>
          <w:sz w:val="24"/>
          <w:szCs w:val="24"/>
          <w:lang w:val="zh-CN" w:eastAsia="zh-CN"/>
        </w:rPr>
        <w:t>(Epstein et al., 2022)</w:t>
      </w:r>
      <w:r>
        <w:rPr>
          <w:rFonts w:ascii="Calibri Light" w:cs="Calibri Light"/>
          <w:sz w:val="24"/>
          <w:szCs w:val="24"/>
        </w:rPr>
        <w:fldChar w:fldCharType="end"/>
      </w:r>
      <w:r>
        <w:rPr>
          <w:rFonts w:ascii="Calibri Light" w:cs="Calibri Light"/>
          <w:color w:val="000000"/>
          <w:sz w:val="24"/>
          <w:szCs w:val="24"/>
        </w:rPr>
        <w:t>. The lower chamber also has a key role in the legislative process that regulates various aspects of public life, from education, health, to foreign policy. With elections held periodically, the chamber can reflect changes in public opinion and societal needs.</w:t>
      </w:r>
    </w:p>
    <w:p w14:paraId="502FB2AF">
      <w:pPr>
        <w:pStyle w:val="10"/>
        <w:widowControl w:val="0"/>
        <w:numPr>
          <w:ilvl w:val="1"/>
          <w:numId w:val="7"/>
        </w:numPr>
        <w:spacing w:before="240" w:after="0"/>
        <w:ind w:left="720" w:hanging="360"/>
        <w:jc w:val="both"/>
        <w:rPr>
          <w:rFonts w:ascii="Calibri Light" w:cs="Calibri Light"/>
          <w:b/>
          <w:color w:val="000000"/>
          <w:sz w:val="24"/>
          <w:szCs w:val="24"/>
        </w:rPr>
      </w:pPr>
      <w:r>
        <w:rPr>
          <w:rFonts w:ascii="Calibri Light" w:cs="Calibri Light"/>
          <w:b/>
          <w:color w:val="000000"/>
          <w:sz w:val="24"/>
          <w:szCs w:val="24"/>
        </w:rPr>
        <w:t>Upper Chambaer (House of Lords)</w:t>
      </w:r>
    </w:p>
    <w:p w14:paraId="50E6D564">
      <w:pPr>
        <w:pStyle w:val="10"/>
        <w:spacing w:before="240"/>
        <w:ind w:left="360"/>
        <w:jc w:val="both"/>
        <w:rPr>
          <w:rFonts w:ascii="Calibri Light" w:cs="Calibri Light"/>
          <w:b/>
          <w:color w:val="000000"/>
          <w:sz w:val="24"/>
          <w:szCs w:val="24"/>
        </w:rPr>
      </w:pPr>
      <w:r>
        <w:rPr>
          <w:rFonts w:ascii="Calibri Light" w:cs="Calibri Light"/>
          <w:color w:val="000000"/>
          <w:sz w:val="24"/>
          <w:szCs w:val="24"/>
        </w:rPr>
        <w:t xml:space="preserve">The upper chamber, often serving as a review body, gives second consideration to legislation proposed by the lower chamber. Members of these chambers can come from a variety of backgrounds, including appointed individuals, representatives of certain groups, or even experts in certain fields. The upper chamber aims to bring a broader and deeper perspective to the legislative process. In England, the House of Lords consists of appointed members, including nobles, bishops, and members representing various organizations. Although these chambers do not have the power to block budgets, they do have the ability to review and revise laws </w:t>
      </w:r>
      <w:r>
        <w:rPr>
          <w:rFonts w:ascii="Calibri Light" w:cs="Calibri Light"/>
          <w:sz w:val="24"/>
          <w:szCs w:val="24"/>
        </w:rPr>
        <w:fldChar w:fldCharType="begin" w:fldLock="1"/>
      </w:r>
      <w:r>
        <w:rPr>
          <w:rFonts w:ascii="Calibri Light" w:cs="Calibri Light"/>
          <w:sz w:val="24"/>
          <w:szCs w:val="24"/>
        </w:rPr>
        <w:instrText xml:space="preserve">ADDIN CSL_CITATION {"citationItems":[{"id":"ITEM-1","itemData":{"ISSN":"1357-2334","author":[{"dropping-particle":"","family":"Hruška","given":"Jan","non-dropping-particle":"","parse-names":false,"suffix":""},{"dropping-particle":"","family":"Balík","given":"Stanislav","non-dropping-particle":"","parse-names":false,"suffix":""}],"container-title":"The Journal of Legislative Studies","id":"ITEM-1","issued":{"date-parts":[["2024"]]},"page":"1-20","publisher":"Taylor &amp; Francis","title":"Control Body, Representative of Regions, or Elitist Chamber of Wisdom? The Perceived Roles of Upper Chambers and the Case of the Czech Senate","type":"article-journal"},"uris":["http://www.mendeley.com/documents/?uuid=2aefc63b-21ab-4aed-b744-8e437acb2bdd"]}],"mendeley":{"formattedCitation":"(Hruška &amp; Balík, 2024)","plainTextFormattedCitation":"(Hruška &amp; Balík, 2024)","previouslyFormattedCitation":"(Hruška &amp; Balík, 2024)"},"properties":{"noteIndex":0},"schema":"https://github.com/citation-style-language/schema/raw/master/csl-citation.json"}</w:instrText>
      </w:r>
      <w:r>
        <w:rPr>
          <w:rFonts w:ascii="Calibri Light" w:cs="Calibri Light"/>
          <w:sz w:val="24"/>
          <w:szCs w:val="24"/>
        </w:rPr>
        <w:fldChar w:fldCharType="separate"/>
      </w:r>
      <w:r>
        <w:rPr>
          <w:rFonts w:ascii="Calibri Light" w:cs="Calibri Light"/>
          <w:sz w:val="24"/>
          <w:szCs w:val="24"/>
          <w:lang w:val="zh-CN" w:eastAsia="zh-CN"/>
        </w:rPr>
        <w:t>(Hruška &amp; Balík, 2024)</w:t>
      </w:r>
      <w:r>
        <w:rPr>
          <w:rFonts w:ascii="Calibri Light" w:cs="Calibri Light"/>
          <w:sz w:val="24"/>
          <w:szCs w:val="24"/>
        </w:rPr>
        <w:fldChar w:fldCharType="end"/>
      </w:r>
      <w:r>
        <w:rPr>
          <w:rFonts w:ascii="Calibri Light" w:cs="Calibri Light"/>
          <w:color w:val="000000"/>
          <w:sz w:val="24"/>
          <w:szCs w:val="24"/>
        </w:rPr>
        <w:t xml:space="preserve">. This process allows for a more in-depth discussion of the implications of the law, as well as providing an opportunity for members to express opinions based on their experience and expertise </w:t>
      </w:r>
      <w:r>
        <w:rPr>
          <w:rFonts w:ascii="Calibri Light" w:cs="Calibri Light"/>
          <w:sz w:val="24"/>
          <w:szCs w:val="24"/>
        </w:rPr>
        <w:fldChar w:fldCharType="begin" w:fldLock="1"/>
      </w:r>
      <w:r>
        <w:rPr>
          <w:rFonts w:ascii="Calibri Light" w:cs="Calibri Light"/>
          <w:sz w:val="24"/>
          <w:szCs w:val="24"/>
        </w:rPr>
        <w:instrText xml:space="preserve">ADDIN CSL_CITATION {"citationItems":[{"id":"ITEM-1","itemData":{"author":[{"dropping-particle":"","family":"Lascelles","given":"Francis","non-dropping-particle":"","parse-names":false,"suffix":""}],"container-title":"Parliament as an Export","id":"ITEM-1","issued":{"date-parts":[["2023"]]},"page":"166-189","publisher":"London: Routledge","title":"The Second Chamber in Parliaments of the Commonwealth","type":"chapter"},"uris":["http://www.mendeley.com/documents/?uuid=13b7542f-c7f8-45c0-9dc2-cf981e92d9a2"]}],"mendeley":{"formattedCitation":"(Lascelles, 2023)","plainTextFormattedCitation":"(Lascelles, 2023)","previouslyFormattedCitation":"(Lascelles, 2023)"},"properties":{"noteIndex":0},"schema":"https://github.com/citation-style-language/schema/raw/master/csl-citation.json"}</w:instrText>
      </w:r>
      <w:r>
        <w:rPr>
          <w:rFonts w:ascii="Calibri Light" w:cs="Calibri Light"/>
          <w:sz w:val="24"/>
          <w:szCs w:val="24"/>
        </w:rPr>
        <w:fldChar w:fldCharType="separate"/>
      </w:r>
      <w:r>
        <w:rPr>
          <w:rFonts w:ascii="Calibri Light" w:cs="Calibri Light"/>
          <w:sz w:val="24"/>
          <w:szCs w:val="24"/>
          <w:lang w:val="zh-CN" w:eastAsia="zh-CN"/>
        </w:rPr>
        <w:t>(Lascelles, 2023)</w:t>
      </w:r>
      <w:r>
        <w:rPr>
          <w:rFonts w:ascii="Calibri Light" w:cs="Calibri Light"/>
          <w:sz w:val="24"/>
          <w:szCs w:val="24"/>
        </w:rPr>
        <w:fldChar w:fldCharType="end"/>
      </w:r>
      <w:r>
        <w:rPr>
          <w:rFonts w:ascii="Calibri Light" w:cs="Calibri Light"/>
          <w:color w:val="000000"/>
          <w:sz w:val="24"/>
          <w:szCs w:val="24"/>
        </w:rPr>
        <w:t xml:space="preserve">. The upper chamber also serves as an additional watchdog that can provide constructive criticism of proposed laws, thereby helping to ensure that the policies adopted are in the best interests of society. The upper chamber also often has committees tasked with investigating particular issues, hearing witnesses, and produce reports that provide recommendations for improvement </w:t>
      </w:r>
      <w:r>
        <w:rPr>
          <w:rFonts w:ascii="Calibri Light" w:cs="Calibri Light"/>
          <w:sz w:val="24"/>
          <w:szCs w:val="24"/>
        </w:rPr>
        <w:fldChar w:fldCharType="begin" w:fldLock="1"/>
      </w:r>
      <w:r>
        <w:rPr>
          <w:rFonts w:ascii="Calibri Light" w:cs="Calibri Light"/>
          <w:sz w:val="24"/>
          <w:szCs w:val="24"/>
        </w:rPr>
        <w:instrText xml:space="preserve">ADDIN CSL_CITATION {"citationItems":[{"id":"ITEM-1","itemData":{"ISSN":"2071-8322","author":[{"dropping-particle":"","family":"Satrio","given":"Abdurrachman","non-dropping-particle":"","parse-names":false,"suffix":""}],"container-title":"German Law Journal","id":"ITEM-1","issue":"2","issued":{"date-parts":[["2023"]]},"page":"402-416","title":"Restoring Indonesia’s (Un) Constitutional Constitution: Soepomo’s Authoritarian Constitution","type":"article-journal","volume":"24"},"uris":["http://www.mendeley.com/documents/?uuid=ad9a68fc-e675-4417-aa02-7d5ab1f4c0d3"]}],"mendeley":{"formattedCitation":"(Satrio, 2023)","plainTextFormattedCitation":"(Satrio, 2023)","previouslyFormattedCitation":"(Satrio, 2023)"},"properties":{"noteIndex":0},"schema":"https://github.com/citation-style-language/schema/raw/master/csl-citation.json"}</w:instrText>
      </w:r>
      <w:r>
        <w:rPr>
          <w:rFonts w:ascii="Calibri Light" w:cs="Calibri Light"/>
          <w:sz w:val="24"/>
          <w:szCs w:val="24"/>
        </w:rPr>
        <w:fldChar w:fldCharType="separate"/>
      </w:r>
      <w:r>
        <w:rPr>
          <w:rFonts w:ascii="Calibri Light" w:cs="Calibri Light"/>
          <w:sz w:val="24"/>
          <w:szCs w:val="24"/>
          <w:lang w:val="zh-CN" w:eastAsia="zh-CN"/>
        </w:rPr>
        <w:t>(Satrio, 2023)</w:t>
      </w:r>
      <w:r>
        <w:rPr>
          <w:rFonts w:ascii="Calibri Light" w:cs="Calibri Light"/>
          <w:sz w:val="24"/>
          <w:szCs w:val="24"/>
        </w:rPr>
        <w:fldChar w:fldCharType="end"/>
      </w:r>
      <w:r>
        <w:rPr>
          <w:rFonts w:ascii="Calibri Light" w:cs="Calibri Light"/>
          <w:color w:val="000000"/>
          <w:sz w:val="24"/>
          <w:szCs w:val="24"/>
        </w:rPr>
        <w:t>. This adds an analytical dimension to the legislative process, which is essential for creating effective and relevant Laws.</w:t>
      </w:r>
    </w:p>
    <w:p w14:paraId="429533CC">
      <w:pPr>
        <w:pStyle w:val="2"/>
        <w:numPr>
          <w:ilvl w:val="1"/>
          <w:numId w:val="7"/>
        </w:numPr>
        <w:ind w:left="720" w:hanging="360"/>
        <w:rPr>
          <w:rFonts w:ascii="Calibri Light" w:cs="Calibri Light"/>
          <w:sz w:val="24"/>
          <w:szCs w:val="24"/>
        </w:rPr>
      </w:pPr>
      <w:r>
        <w:rPr>
          <w:rFonts w:ascii="Calibri Light" w:cs="Calibri Light"/>
          <w:sz w:val="24"/>
          <w:szCs w:val="24"/>
        </w:rPr>
        <w:t>Comparison In Several Countries</w:t>
      </w:r>
    </w:p>
    <w:p w14:paraId="70F0E41C">
      <w:pPr>
        <w:pStyle w:val="2"/>
        <w:numPr>
          <w:ilvl w:val="2"/>
          <w:numId w:val="8"/>
        </w:numPr>
        <w:ind w:left="720" w:hanging="360"/>
        <w:rPr>
          <w:rFonts w:ascii="Calibri Light" w:cs="Calibri Light"/>
          <w:b w:val="0"/>
          <w:sz w:val="24"/>
          <w:szCs w:val="24"/>
        </w:rPr>
      </w:pPr>
      <w:r>
        <w:rPr>
          <w:rFonts w:ascii="Calibri Light" w:cs="Calibri Light"/>
          <w:b w:val="0"/>
          <w:sz w:val="24"/>
          <w:szCs w:val="24"/>
        </w:rPr>
        <w:t>Jerman</w:t>
      </w:r>
    </w:p>
    <w:p w14:paraId="646BFF8E">
      <w:pPr>
        <w:pStyle w:val="53"/>
        <w:numPr>
          <w:ilvl w:val="0"/>
          <w:numId w:val="9"/>
        </w:numPr>
        <w:spacing w:before="240" w:after="0" w:line="240" w:lineRule="auto"/>
        <w:jc w:val="both"/>
        <w:rPr>
          <w:rFonts w:ascii="Calibri Light" w:cs="Calibri Light"/>
          <w:color w:val="000000"/>
          <w:sz w:val="24"/>
          <w:szCs w:val="24"/>
        </w:rPr>
      </w:pPr>
      <w:r>
        <w:rPr>
          <w:rFonts w:ascii="Calibri Light" w:cs="Calibri Light"/>
          <w:color w:val="000000"/>
          <w:sz w:val="24"/>
          <w:szCs w:val="24"/>
        </w:rPr>
        <w:t>The bundestag (lower chamber) is the main legislative body whose members are elected through general elections. this chamber is responsible for proposing and passing laws. bundestag members have an obligation to represent the interests of society and engage in an active legislative process the chamber also has the power to monitor the government through periodic inquiries and debates.</w:t>
      </w:r>
    </w:p>
    <w:p w14:paraId="1E37CE51">
      <w:pPr>
        <w:pStyle w:val="53"/>
        <w:numPr>
          <w:ilvl w:val="0"/>
          <w:numId w:val="9"/>
        </w:numPr>
        <w:spacing w:before="240" w:after="0" w:line="240" w:lineRule="auto"/>
        <w:jc w:val="both"/>
        <w:rPr>
          <w:rFonts w:ascii="Calibri Light" w:cs="Calibri Light"/>
          <w:color w:val="000000"/>
          <w:sz w:val="24"/>
          <w:szCs w:val="24"/>
        </w:rPr>
      </w:pPr>
      <w:r>
        <w:rPr>
          <w:rFonts w:ascii="Calibri Light" w:cs="Calibri Light"/>
          <w:sz w:val="24"/>
          <w:szCs w:val="24"/>
          <w:lang w:val="fi-FI" w:eastAsia="zh-CN"/>
        </w:rPr>
        <w:t xml:space="preserve">The bundesrat (high chamber) consists of representatives from the states (länder) and has the power to give opinions and influence legislation, especially those relating to the interests of the states. the chamber functions to maintain balance between the federal and state governments, ensuring that the voices and needs of each region are represented in the legislative process. in this way, the bundesrat helps prevent the federal government's domination of the states and creates better cooperation between different levels of government </w:t>
      </w:r>
      <w:r>
        <w:rPr>
          <w:rFonts w:ascii="Calibri Light" w:cs="Calibri Light"/>
          <w:sz w:val="24"/>
          <w:szCs w:val="24"/>
        </w:rPr>
        <w:fldChar w:fldCharType="begin" w:fldLock="1"/>
      </w:r>
      <w:r>
        <w:rPr>
          <w:rFonts w:ascii="Calibri Light" w:cs="Calibri Light"/>
          <w:sz w:val="24"/>
          <w:szCs w:val="24"/>
        </w:rPr>
        <w:instrText xml:space="preserve">ADDIN CSL_CITATION {"citationItems":[{"id":"ITEM-1","itemData":{"ISSN":"0022-3816","author":[{"dropping-particle":"","family":"Chiou","given":"Fang-Yi","non-dropping-particle":"","parse-names":false,"suffix":""},{"dropping-particle":"","family":"Goplerud","given":"Max","non-dropping-particle":"","parse-names":false,"suffix":""}],"container-title":"The Journal of Politics","id":"ITEM-1","issue":"3","issued":{"date-parts":[["2024"]]},"page":"997-1012","publisher":"The University of Chicago Press Chicago, IL","title":"Effective Lawmaking across Congressional Eras","type":"article-journal","volume":"86"},"uris":["http://www.mendeley.com/documents/?uuid=11524818-b3c8-4d21-9683-2785c0f75147"]}],"mendeley":{"formattedCitation":"(Chiou &amp; Goplerud, 2024)","plainTextFormattedCitation":"(Chiou &amp; Goplerud, 2024)","previouslyFormattedCitation":"(Chiou &amp; Goplerud, 2024)"},"properties":{"noteIndex":0},"schema":"https://github.com/citation-style-language/schema/raw/master/csl-citation.json"}</w:instrText>
      </w:r>
      <w:r>
        <w:rPr>
          <w:rFonts w:ascii="Calibri Light" w:cs="Calibri Light"/>
          <w:sz w:val="24"/>
          <w:szCs w:val="24"/>
        </w:rPr>
        <w:fldChar w:fldCharType="separate"/>
      </w:r>
      <w:r>
        <w:rPr>
          <w:rFonts w:ascii="Calibri Light" w:cs="Calibri Light"/>
          <w:sz w:val="24"/>
          <w:szCs w:val="24"/>
        </w:rPr>
        <w:t>(Chiou &amp; Goplerud, 2024)</w:t>
      </w:r>
      <w:r>
        <w:rPr>
          <w:rFonts w:ascii="Calibri Light" w:cs="Calibri Light"/>
          <w:sz w:val="24"/>
          <w:szCs w:val="24"/>
        </w:rPr>
        <w:fldChar w:fldCharType="end"/>
      </w:r>
      <w:r>
        <w:rPr>
          <w:rFonts w:ascii="Calibri Light" w:cs="Calibri Light"/>
          <w:sz w:val="24"/>
          <w:szCs w:val="24"/>
          <w:lang w:val="fi-FI" w:eastAsia="zh-CN"/>
        </w:rPr>
        <w:t xml:space="preserve">. in germany, the importance of the bundesrat is seen in legislative processes involving issues related to the states, such as education and environmental policy. by having representatives from each state, the bundesrat ensures that local interests are not ignored by the federal government </w:t>
      </w:r>
      <w:r>
        <w:rPr>
          <w:rFonts w:ascii="Calibri Light" w:cs="Calibri Light"/>
          <w:sz w:val="24"/>
          <w:szCs w:val="24"/>
        </w:rPr>
        <w:fldChar w:fldCharType="begin" w:fldLock="1"/>
      </w:r>
      <w:r>
        <w:rPr>
          <w:rFonts w:ascii="Calibri Light" w:cs="Calibri Light"/>
          <w:sz w:val="24"/>
          <w:szCs w:val="24"/>
        </w:rPr>
        <w:instrText xml:space="preserve">ADDIN CSL_CITATION {"citationItems":[{"id":"ITEM-1","itemData":{"ISSN":"2717-7564","author":[{"dropping-particle":"","family":"Rullyandi","given":"Muhammad","non-dropping-particle":"","parse-names":false,"suffix":""},{"dropping-particle":"","family":"Astawa","given":"I Gede Pantja","non-dropping-particle":"","parse-names":false,"suffix":""},{"dropping-particle":"","family":"Sugiharti","given":"Dewi Kania","non-dropping-particle":"","parse-names":false,"suffix":""},{"dropping-particle":"","family":"Muttaqin","given":"Zainal","non-dropping-particle":"","parse-names":false,"suffix":""}],"container-title":"Journal of Positive School Psychology","id":"ITEM-1","issue":"9","issued":{"date-parts":[["2022"]]},"page":"191-199","title":"Law-Making Power In Indonesia: Beyond General Practices or Uniqueness of Constitutional System?","type":"article-journal","volume":"6"},"uris":["http://www.mendeley.com/documents/?uuid=df8a538c-b00e-4f80-b003-518b65fe1ee8"]}],"mendeley":{"formattedCitation":"(Rullyandi et al., 2022)","plainTextFormattedCitation":"(Rullyandi et al., 2022)","previouslyFormattedCitation":"(Rullyandi et al., 2022)"},"properties":{"noteIndex":0},"schema":"https://github.com/citation-style-language/schema/raw/master/csl-citation.json"}</w:instrText>
      </w:r>
      <w:r>
        <w:rPr>
          <w:rFonts w:ascii="Calibri Light" w:cs="Calibri Light"/>
          <w:sz w:val="24"/>
          <w:szCs w:val="24"/>
        </w:rPr>
        <w:fldChar w:fldCharType="separate"/>
      </w:r>
      <w:r>
        <w:rPr>
          <w:rFonts w:ascii="Calibri Light" w:cs="Calibri Light"/>
          <w:sz w:val="24"/>
          <w:szCs w:val="24"/>
        </w:rPr>
        <w:t>(Rullyandi et al., 2022)</w:t>
      </w:r>
      <w:r>
        <w:rPr>
          <w:rFonts w:ascii="Calibri Light" w:cs="Calibri Light"/>
          <w:sz w:val="24"/>
          <w:szCs w:val="24"/>
        </w:rPr>
        <w:fldChar w:fldCharType="end"/>
      </w:r>
      <w:r>
        <w:rPr>
          <w:rFonts w:ascii="Calibri Light" w:cs="Calibri Light"/>
          <w:sz w:val="24"/>
          <w:szCs w:val="24"/>
          <w:lang w:val="fi-FI" w:eastAsia="zh-CN"/>
        </w:rPr>
        <w:t>.</w:t>
      </w:r>
    </w:p>
    <w:p w14:paraId="5DF2CA32">
      <w:pPr>
        <w:pStyle w:val="2"/>
        <w:numPr>
          <w:ilvl w:val="2"/>
          <w:numId w:val="8"/>
        </w:numPr>
        <w:ind w:left="720" w:hanging="360"/>
        <w:rPr>
          <w:rFonts w:ascii="Calibri Light" w:cs="Calibri Light"/>
          <w:b w:val="0"/>
          <w:sz w:val="24"/>
          <w:szCs w:val="24"/>
        </w:rPr>
      </w:pPr>
      <w:r>
        <w:rPr>
          <w:rFonts w:ascii="Calibri Light" w:cs="Calibri Light"/>
          <w:b w:val="0"/>
          <w:sz w:val="24"/>
          <w:szCs w:val="24"/>
        </w:rPr>
        <w:t>Australia</w:t>
      </w:r>
    </w:p>
    <w:p w14:paraId="4643D906">
      <w:pPr>
        <w:pStyle w:val="53"/>
        <w:numPr>
          <w:ilvl w:val="0"/>
          <w:numId w:val="10"/>
        </w:numPr>
        <w:spacing w:before="240" w:after="0" w:line="240" w:lineRule="auto"/>
        <w:ind w:left="720"/>
        <w:jc w:val="both"/>
        <w:rPr>
          <w:rFonts w:ascii="Calibri Light" w:cs="Calibri Light"/>
          <w:color w:val="000000"/>
          <w:sz w:val="24"/>
          <w:szCs w:val="24"/>
        </w:rPr>
      </w:pPr>
      <w:r>
        <w:rPr>
          <w:rFonts w:ascii="Calibri Light" w:cs="Calibri Light"/>
          <w:color w:val="000000"/>
          <w:sz w:val="24"/>
          <w:szCs w:val="24"/>
        </w:rPr>
        <w:t>The House of Representatives (lower chamber) members are also elected through general elections. This chamber has the power to propose and pass laws, as well as influence government policy. Members of the House of Representatives frequently engage in discussions regarding local and national issues that are important to their constituents. With direct elections, members can be more responsive to the needs and aspirations of the community.</w:t>
      </w:r>
    </w:p>
    <w:p w14:paraId="22F29365">
      <w:pPr>
        <w:pStyle w:val="53"/>
        <w:numPr>
          <w:ilvl w:val="0"/>
          <w:numId w:val="10"/>
        </w:numPr>
        <w:spacing w:before="240" w:after="0" w:line="240" w:lineRule="auto"/>
        <w:ind w:left="720"/>
        <w:jc w:val="both"/>
        <w:rPr>
          <w:rFonts w:ascii="Calibri Light" w:cs="Calibri Light"/>
          <w:color w:val="000000"/>
          <w:sz w:val="24"/>
          <w:szCs w:val="24"/>
        </w:rPr>
      </w:pPr>
      <w:r>
        <w:rPr>
          <w:rFonts w:ascii="Calibri Light" w:cs="Calibri Light"/>
          <w:color w:val="000000"/>
          <w:sz w:val="24"/>
          <w:szCs w:val="24"/>
        </w:rPr>
        <w:t>The Senate (upper chamber) is elected using a proportional system, which allows fairer representation for various political parties. The Senate has an important role in reviewing laws and can reject or amend them, providing additional power in the legislative process. In this way, the Senate functions as an independent watchdog and plays a role in ensuring that proposed legislation takes all points of view into account. This chamber also has the power to examine and assess government policies, thereby creating greater accountability. In Australia, the Senate plays an important role in maintaining the balance of power, especially in the context of a coalition government. When no party holds an absolute majority in the House of Representatives, the Senate can serve as a counterweight that gives votes to smaller parties and independents, creating a more democratic legislative process.</w:t>
      </w:r>
    </w:p>
    <w:p w14:paraId="4F0D5990">
      <w:pPr>
        <w:pStyle w:val="53"/>
        <w:numPr>
          <w:ilvl w:val="2"/>
          <w:numId w:val="8"/>
        </w:numPr>
        <w:spacing w:before="240" w:after="0" w:line="240" w:lineRule="auto"/>
        <w:ind w:left="720" w:hanging="360"/>
        <w:rPr>
          <w:rFonts w:ascii="Calibri Light" w:cs="Calibri Light"/>
          <w:color w:val="000000"/>
          <w:sz w:val="24"/>
          <w:szCs w:val="24"/>
        </w:rPr>
      </w:pPr>
      <w:r>
        <w:rPr>
          <w:rFonts w:ascii="Calibri Light" w:cs="Calibri Light"/>
          <w:color w:val="000000"/>
          <w:sz w:val="24"/>
          <w:szCs w:val="24"/>
          <w:lang w:val="fi-FI" w:eastAsia="zh-CN"/>
        </w:rPr>
        <w:t>India</w:t>
      </w:r>
    </w:p>
    <w:p w14:paraId="4E31DB47">
      <w:pPr>
        <w:pStyle w:val="83"/>
        <w:numPr>
          <w:ilvl w:val="0"/>
          <w:numId w:val="11"/>
        </w:numPr>
        <w:spacing w:before="240"/>
        <w:jc w:val="both"/>
        <w:rPr>
          <w:rFonts w:ascii="Calibri Light" w:cs="Calibri Light"/>
        </w:rPr>
      </w:pPr>
      <w:r>
        <w:rPr>
          <w:rFonts w:ascii="Calibri Light" w:cs="Calibri Light"/>
        </w:rPr>
        <w:t>The lok sabha (lower house) has members who are directly elected by the people. this chamber has the power to pass laws and supervise the executive branch. As the body that represents the voice of the people, the lok sabha works to enact laws that reflect the needs and aspirations of india's diverse society. The chamber also has a role in approving the budget and selecting the prime minister.</w:t>
      </w:r>
    </w:p>
    <w:p w14:paraId="69B61732">
      <w:pPr>
        <w:pStyle w:val="83"/>
        <w:numPr>
          <w:ilvl w:val="0"/>
          <w:numId w:val="11"/>
        </w:numPr>
        <w:jc w:val="both"/>
        <w:rPr>
          <w:rFonts w:ascii="Calibri Light" w:cs="Calibri Light"/>
          <w:color w:val="000000"/>
        </w:rPr>
      </w:pPr>
      <w:r>
        <w:rPr>
          <w:rFonts w:ascii="Calibri Light" w:cs="Calibri Light"/>
        </w:rPr>
        <w:t>The rajya sabha (upper chamber) consists of appointed members and representatives from the states. The chamber functions as a review body that considers laws proposed by the lok sabha. The rajya sabha also has an important role in maintaining stability and fairness in the legislative process, ensuring that the interests of states and minority groups are represented. In this way, the rajya sabha helps create a legislative system that is more inclusive and takes into account the pluralism that exists in india. in the indian context, the importance of the Rajya Sabha Is Seen In The legislative process relating to policies affecting various states. the chamber provides a platform for state representatives to voice their regional concerns and aspirations, resulting in more balanced and fair policies</w:t>
      </w:r>
    </w:p>
    <w:p w14:paraId="09A4C24B">
      <w:pPr>
        <w:pStyle w:val="2"/>
        <w:numPr>
          <w:ilvl w:val="1"/>
          <w:numId w:val="7"/>
        </w:numPr>
        <w:ind w:left="720" w:hanging="360"/>
        <w:rPr>
          <w:rFonts w:ascii="Calibri Light" w:cs="Calibri Light"/>
          <w:sz w:val="24"/>
          <w:szCs w:val="24"/>
        </w:rPr>
      </w:pPr>
      <w:r>
        <w:rPr>
          <w:rFonts w:ascii="Calibri Light" w:cs="Calibri Light"/>
          <w:sz w:val="24"/>
          <w:szCs w:val="24"/>
        </w:rPr>
        <w:t>The Role And Function Of The Chamber In Legislation</w:t>
      </w:r>
    </w:p>
    <w:p w14:paraId="10BE64A8">
      <w:pPr>
        <w:pStyle w:val="2"/>
        <w:ind w:left="360"/>
        <w:jc w:val="both"/>
        <w:rPr>
          <w:rFonts w:ascii="Calibri Light" w:cs="Calibri Light"/>
          <w:b w:val="0"/>
          <w:sz w:val="24"/>
          <w:szCs w:val="24"/>
        </w:rPr>
      </w:pPr>
      <w:r>
        <w:rPr>
          <w:rFonts w:ascii="Calibri Light" w:cs="Calibri Light"/>
          <w:b w:val="0"/>
          <w:sz w:val="24"/>
          <w:szCs w:val="24"/>
          <w:highlight w:val="green"/>
        </w:rPr>
        <w:t>From a theoretical perspective, bicameralism can be analyzed through the lens of Lijphart's consensus model, which emphasizes power-sharing and minority representation, and Tsebelis’ veto player theory, which explains how the presence of two chambers increases the number of institutional veto points, thereby affecting the speed and content of policy-making. These frameworks help assess the effectiveness of bicameral legislatures in balancing responsiveness and stability in democratic governance.</w:t>
      </w:r>
      <w:r>
        <w:rPr>
          <w:rFonts w:ascii="Calibri Light" w:cs="Calibri Light"/>
          <w:b w:val="0"/>
          <w:sz w:val="24"/>
          <w:szCs w:val="24"/>
        </w:rPr>
        <w:t xml:space="preserve"> Both chambers in the parliamentary system have an important role in the legislative process. The lower chamber often has primary power in proposing laws and deciding the budget. instead, the high chamber functions as a supervisory body that provides review and input on legislation.</w:t>
      </w:r>
    </w:p>
    <w:p w14:paraId="7328375A">
      <w:pPr>
        <w:pStyle w:val="83"/>
        <w:numPr>
          <w:ilvl w:val="0"/>
          <w:numId w:val="12"/>
        </w:numPr>
        <w:spacing w:before="240"/>
        <w:jc w:val="both"/>
        <w:rPr>
          <w:rFonts w:ascii="Calibri Light" w:cs="Calibri Light"/>
          <w:color w:val="000000"/>
        </w:rPr>
      </w:pPr>
      <w:r>
        <w:rPr>
          <w:rFonts w:ascii="Calibri Light" w:cs="Calibri Light"/>
        </w:rPr>
        <w:t xml:space="preserve">Passage </w:t>
      </w:r>
      <w:r>
        <w:rPr>
          <w:rFonts w:ascii="Calibri Light" w:cs="Calibri Light"/>
          <w:lang w:val="en-US"/>
        </w:rPr>
        <w:t>o</w:t>
      </w:r>
      <w:r>
        <w:rPr>
          <w:rFonts w:ascii="Calibri Light" w:cs="Calibri Light"/>
        </w:rPr>
        <w:t>f Laws: the lower chamber usually initiates the legislative process. once a law is approved, the upper chamber conducts a review to ensure that the law serves broader interests and that there are no policies that harm specific groups. this process creates space for discussion and debate, which is essential in a democracy. the upper chamber can also propose amendments or changes to the law that are deemed necessary, thereby enriching the substance of the legislation.</w:t>
      </w:r>
    </w:p>
    <w:p w14:paraId="049B78CB">
      <w:pPr>
        <w:pStyle w:val="83"/>
        <w:numPr>
          <w:ilvl w:val="0"/>
          <w:numId w:val="12"/>
        </w:numPr>
        <w:jc w:val="both"/>
        <w:rPr>
          <w:rFonts w:ascii="Calibri Light" w:cs="Calibri Light"/>
        </w:rPr>
      </w:pPr>
      <w:r>
        <w:rPr>
          <w:rFonts w:ascii="Calibri Light" w:cs="Calibri Light"/>
        </w:rPr>
        <w:t>Executive Oversight: both chambers play a role in overseeing government actions and ensuring that the government carries out its duties properly. the lower chamber is more active in demanding accountability from the government, while the upper chamber can function as a balance by providing different points of view. this is important to prevent abuse of power and ensure that decisions taken by the government are always in the interests of the people. this process also allows for checks and balances in government, which is a basic principle of democracy.</w:t>
      </w:r>
    </w:p>
    <w:p w14:paraId="5B75B9D8">
      <w:pPr>
        <w:pStyle w:val="2"/>
        <w:numPr>
          <w:ilvl w:val="1"/>
          <w:numId w:val="7"/>
        </w:numPr>
        <w:ind w:left="720" w:hanging="360"/>
        <w:rPr>
          <w:rFonts w:ascii="Calibri Light" w:cs="Calibri Light"/>
          <w:sz w:val="24"/>
          <w:szCs w:val="24"/>
          <w:lang w:val="fi-FI"/>
        </w:rPr>
      </w:pPr>
      <w:r>
        <w:rPr>
          <w:rFonts w:ascii="Calibri Light" w:cs="Calibri Light"/>
          <w:sz w:val="24"/>
          <w:szCs w:val="24"/>
          <w:lang w:val="fi-FI"/>
        </w:rPr>
        <w:t>Impact And Implications Of Room Division</w:t>
      </w:r>
    </w:p>
    <w:p w14:paraId="4E6772DA">
      <w:pPr>
        <w:spacing w:before="240"/>
        <w:ind w:left="360"/>
        <w:jc w:val="both"/>
        <w:rPr>
          <w:rFonts w:ascii="Calibri Light" w:cs="Calibri Light"/>
          <w:sz w:val="24"/>
          <w:szCs w:val="24"/>
          <w:lang w:val="fi-FI" w:eastAsia="fi-FI"/>
        </w:rPr>
      </w:pPr>
      <w:commentRangeStart w:id="10"/>
      <w:commentRangeStart w:id="11"/>
      <w:r>
        <w:rPr>
          <w:rFonts w:ascii="Calibri Light" w:cs="Calibri Light"/>
          <w:color w:val="000000"/>
          <w:sz w:val="24"/>
          <w:szCs w:val="24"/>
          <w:lang w:val="fi-FI"/>
        </w:rPr>
        <w:t>The division of chambers in a parliamentary system is not just a formal structure</w:t>
      </w:r>
      <w:commentRangeEnd w:id="10"/>
      <w:r>
        <w:rPr>
          <w:rStyle w:val="16"/>
        </w:rPr>
        <w:commentReference w:id="10"/>
      </w:r>
      <w:commentRangeEnd w:id="11"/>
      <w:r>
        <w:rPr>
          <w:rStyle w:val="16"/>
        </w:rPr>
        <w:commentReference w:id="11"/>
      </w:r>
      <w:r>
        <w:rPr>
          <w:rFonts w:ascii="Calibri Light" w:cs="Calibri Light"/>
          <w:color w:val="000000"/>
          <w:sz w:val="24"/>
          <w:szCs w:val="24"/>
          <w:lang w:val="fi-FI"/>
        </w:rPr>
        <w:t xml:space="preserve">, </w:t>
      </w:r>
      <w:r>
        <w:rPr>
          <w:rFonts w:ascii="Calibri Light" w:cs="Calibri Light"/>
          <w:color w:val="000000"/>
          <w:sz w:val="24"/>
          <w:szCs w:val="24"/>
          <w:highlight w:val="yellow"/>
        </w:rPr>
        <w:t>but reflects an essential mechanism for power-sharing among political elites—an idea central to Arend Lijphart’s theory of consociational democracy, which emphasizes institutional arrangements that facilitate consensus and stability in plural societies</w:t>
      </w:r>
      <w:r>
        <w:rPr>
          <w:rFonts w:ascii="Calibri Light" w:cs="Calibri Light"/>
          <w:color w:val="000000"/>
          <w:sz w:val="24"/>
          <w:szCs w:val="24"/>
          <w:highlight w:val="yellow"/>
          <w:lang w:val="fi-FI"/>
        </w:rPr>
        <w:t>.</w:t>
      </w:r>
      <w:r>
        <w:rPr>
          <w:rFonts w:ascii="Calibri Light" w:cs="Calibri Light"/>
          <w:color w:val="000000"/>
          <w:sz w:val="24"/>
          <w:szCs w:val="24"/>
          <w:lang w:val="fi-FI"/>
        </w:rPr>
        <w:t xml:space="preserve"> With two chambers, there are mechanisms to facilitate dialogue and consensus, which is vital in a diverse society. the review process conducted by the upper chamber can help identify potential problems or shortcomings in proposed legislation, thereby reducing the risk of flawed policies.</w:t>
      </w:r>
    </w:p>
    <w:p w14:paraId="71ADF7CC">
      <w:pPr>
        <w:pStyle w:val="2"/>
        <w:ind w:left="360"/>
        <w:jc w:val="both"/>
        <w:rPr>
          <w:rFonts w:ascii="Calibri Light" w:cs="Calibri Light"/>
          <w:b w:val="0"/>
          <w:sz w:val="24"/>
          <w:szCs w:val="24"/>
          <w:lang w:val="fi-FI"/>
        </w:rPr>
      </w:pPr>
      <w:r>
        <w:rPr>
          <w:rFonts w:ascii="Calibri Light" w:cs="Calibri Light"/>
          <w:b w:val="0"/>
          <w:sz w:val="24"/>
          <w:szCs w:val="24"/>
          <w:lang w:val="fi-FI"/>
        </w:rPr>
        <w:t xml:space="preserve">Apart from that, the division of chambers also plays a role in ensuring that the voices of minorities or underrepresented groups are still heard in the legislative process. the upper chamber often consists of individuals with diverse backgrounds, who bring different perspectives and experiences to legislative discussions. this helps create policies that are more inclusive and diverse, and reflect the complex realities of society </w:t>
      </w:r>
      <w:r>
        <w:rPr>
          <w:rFonts w:ascii="Calibri Light" w:cs="Calibri Light"/>
          <w:b w:val="0"/>
          <w:sz w:val="24"/>
          <w:szCs w:val="24"/>
        </w:rPr>
        <w:fldChar w:fldCharType="begin" w:fldLock="1"/>
      </w:r>
      <w:r>
        <w:rPr>
          <w:rFonts w:ascii="Calibri Light" w:cs="Calibri Light"/>
          <w:b w:val="0"/>
          <w:sz w:val="24"/>
          <w:szCs w:val="24"/>
        </w:rPr>
        <w:instrText xml:space="preserve">ADDIN CSL_CITATION {"citationItems":[{"id":"ITEM-1","itemData":{"author":[{"dropping-particle":"","family":"Mutawalli","given":"Muhammad","non-dropping-particle":"","parse-names":false,"suffix":""}],"container-title":"Repository STAIN Majene","id":"ITEM-1","issued":{"date-parts":[["2024"]]},"title":"Penegakan Hukum Deforestasi: Upaya Perbaikan dan Penanganannya di Indonesia","type":"article-journal"},"uris":["http://www.mendeley.com/documents/?uuid=f2e257f8-7eaa-4753-914d-46b97848d4d7"]}],"mendeley":{"formattedCitation":"(Mutawalli, 2024)","plainTextFormattedCitation":"(Mutawalli, 2024)","previouslyFormattedCitation":"(Mutawalli, 2024)"},"properties":{"noteIndex":0},"schema":"https://github.com/citation-style-language/schema/raw/master/csl-citation.json"}</w:instrText>
      </w:r>
      <w:r>
        <w:rPr>
          <w:rFonts w:ascii="Calibri Light" w:cs="Calibri Light"/>
          <w:b w:val="0"/>
          <w:sz w:val="24"/>
          <w:szCs w:val="24"/>
        </w:rPr>
        <w:fldChar w:fldCharType="separate"/>
      </w:r>
      <w:r>
        <w:rPr>
          <w:rFonts w:ascii="Calibri Light" w:cs="Calibri Light"/>
          <w:b w:val="0"/>
          <w:sz w:val="24"/>
          <w:szCs w:val="24"/>
          <w:lang w:val="zh-CN" w:eastAsia="zh-CN"/>
        </w:rPr>
        <w:t>(Mutawalli, 2024)</w:t>
      </w:r>
      <w:r>
        <w:rPr>
          <w:rFonts w:ascii="Calibri Light" w:cs="Calibri Light"/>
          <w:b w:val="0"/>
          <w:sz w:val="24"/>
          <w:szCs w:val="24"/>
        </w:rPr>
        <w:fldChar w:fldCharType="end"/>
      </w:r>
      <w:r>
        <w:rPr>
          <w:rFonts w:ascii="Calibri Light" w:cs="Calibri Light"/>
          <w:b w:val="0"/>
          <w:sz w:val="24"/>
          <w:szCs w:val="24"/>
          <w:lang w:val="fi-FI"/>
        </w:rPr>
        <w:t>.</w:t>
      </w:r>
    </w:p>
    <w:p w14:paraId="3A084ED0">
      <w:pPr>
        <w:pStyle w:val="2"/>
        <w:ind w:left="360"/>
        <w:jc w:val="both"/>
        <w:rPr>
          <w:rFonts w:ascii="Calibri Light" w:cs="Calibri Light"/>
          <w:b w:val="0"/>
          <w:sz w:val="24"/>
          <w:szCs w:val="24"/>
          <w:lang w:val="fi-FI"/>
        </w:rPr>
      </w:pPr>
      <w:r>
        <w:rPr>
          <w:rFonts w:ascii="Calibri Light" w:cs="Calibri Light"/>
          <w:b w:val="0"/>
          <w:sz w:val="24"/>
          <w:szCs w:val="24"/>
          <w:lang w:val="fi-FI"/>
        </w:rPr>
        <w:t>The social impact of this division of rooms is also seen in increased political participation among the community. With two rooms functioning as channels for expressing opinions and aspirations, the community feels better represented in the decision-making process. This can increase public trust in political institutions and strengthen government legitimacy.</w:t>
      </w:r>
    </w:p>
    <w:p w14:paraId="6BC44538">
      <w:pPr>
        <w:pStyle w:val="2"/>
        <w:numPr>
          <w:ilvl w:val="1"/>
          <w:numId w:val="7"/>
        </w:numPr>
        <w:ind w:left="720" w:hanging="360"/>
        <w:rPr>
          <w:rFonts w:ascii="Calibri Light" w:cs="Calibri Light"/>
          <w:sz w:val="24"/>
          <w:szCs w:val="24"/>
          <w:lang w:val="fi-FI"/>
        </w:rPr>
      </w:pPr>
      <w:r>
        <w:rPr>
          <w:rFonts w:ascii="Calibri Light" w:cs="Calibri Light"/>
          <w:sz w:val="24"/>
          <w:szCs w:val="24"/>
          <w:lang w:val="fi-FI"/>
        </w:rPr>
        <w:t>Case Studies And Examples Of Chamber Performance</w:t>
      </w:r>
    </w:p>
    <w:tbl>
      <w:tblPr>
        <w:tblStyle w:val="29"/>
        <w:tblW w:w="0" w:type="auto"/>
        <w:tblInd w:w="70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38"/>
        <w:gridCol w:w="2903"/>
        <w:gridCol w:w="2106"/>
        <w:gridCol w:w="2086"/>
      </w:tblGrid>
      <w:tr w14:paraId="7E49A6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1" w:type="dxa"/>
            <w:vAlign w:val="center"/>
          </w:tcPr>
          <w:p w14:paraId="733B3DA9">
            <w:pPr>
              <w:autoSpaceDE/>
              <w:autoSpaceDN/>
              <w:jc w:val="center"/>
              <w:rPr>
                <w:rFonts w:asciiTheme="majorHAnsi" w:hAnsiTheme="majorHAnsi" w:cstheme="majorHAnsi"/>
                <w:b/>
                <w:bCs/>
                <w:sz w:val="24"/>
                <w:szCs w:val="24"/>
                <w:highlight w:val="green"/>
                <w:lang w:eastAsia="en-US"/>
              </w:rPr>
            </w:pPr>
            <w:r>
              <w:rPr>
                <w:rFonts w:asciiTheme="majorHAnsi" w:hAnsiTheme="majorHAnsi" w:cstheme="majorHAnsi"/>
                <w:b/>
                <w:bCs/>
                <w:sz w:val="24"/>
                <w:szCs w:val="24"/>
                <w:highlight w:val="green"/>
              </w:rPr>
              <w:t>Country</w:t>
            </w:r>
          </w:p>
        </w:tc>
        <w:tc>
          <w:tcPr>
            <w:tcW w:w="2903" w:type="dxa"/>
            <w:vAlign w:val="center"/>
          </w:tcPr>
          <w:p w14:paraId="42B97900">
            <w:pPr>
              <w:jc w:val="center"/>
              <w:rPr>
                <w:rFonts w:asciiTheme="majorHAnsi" w:hAnsiTheme="majorHAnsi" w:cstheme="majorHAnsi"/>
                <w:b/>
                <w:bCs/>
                <w:sz w:val="24"/>
                <w:szCs w:val="24"/>
                <w:highlight w:val="green"/>
                <w:lang w:val="fi-FI"/>
              </w:rPr>
            </w:pPr>
            <w:r>
              <w:rPr>
                <w:rFonts w:asciiTheme="majorHAnsi" w:hAnsiTheme="majorHAnsi" w:cstheme="majorHAnsi"/>
                <w:b/>
                <w:bCs/>
                <w:sz w:val="24"/>
                <w:szCs w:val="24"/>
                <w:highlight w:val="green"/>
              </w:rPr>
              <w:t>Upper Chamber Role</w:t>
            </w:r>
          </w:p>
        </w:tc>
        <w:tc>
          <w:tcPr>
            <w:tcW w:w="2106" w:type="dxa"/>
            <w:vAlign w:val="center"/>
          </w:tcPr>
          <w:tbl>
            <w:tblPr>
              <w:tblStyle w:val="8"/>
              <w:tblW w:w="0" w:type="auto"/>
              <w:tblCellSpacing w:w="15" w:type="dxa"/>
              <w:tblInd w:w="0" w:type="dxa"/>
              <w:tblLayout w:type="autofit"/>
              <w:tblCellMar>
                <w:top w:w="15" w:type="dxa"/>
                <w:left w:w="15" w:type="dxa"/>
                <w:bottom w:w="15" w:type="dxa"/>
                <w:right w:w="15" w:type="dxa"/>
              </w:tblCellMar>
            </w:tblPr>
            <w:tblGrid>
              <w:gridCol w:w="96"/>
            </w:tblGrid>
            <w:tr w14:paraId="706A5B1E">
              <w:tblPrEx>
                <w:tblCellMar>
                  <w:top w:w="15" w:type="dxa"/>
                  <w:left w:w="15" w:type="dxa"/>
                  <w:bottom w:w="15" w:type="dxa"/>
                  <w:right w:w="15" w:type="dxa"/>
                </w:tblCellMar>
              </w:tblPrEx>
              <w:trPr>
                <w:tblCellSpacing w:w="15" w:type="dxa"/>
              </w:trPr>
              <w:tc>
                <w:tcPr>
                  <w:tcW w:w="0" w:type="auto"/>
                  <w:vAlign w:val="center"/>
                </w:tcPr>
                <w:p w14:paraId="6063D189">
                  <w:pPr>
                    <w:jc w:val="center"/>
                    <w:rPr>
                      <w:rFonts w:asciiTheme="majorHAnsi" w:hAnsiTheme="majorHAnsi" w:cstheme="majorHAnsi"/>
                      <w:b/>
                      <w:bCs/>
                      <w:sz w:val="24"/>
                      <w:szCs w:val="24"/>
                      <w:highlight w:val="green"/>
                    </w:rPr>
                  </w:pPr>
                </w:p>
              </w:tc>
            </w:tr>
          </w:tbl>
          <w:p w14:paraId="3B3692BF">
            <w:pPr>
              <w:jc w:val="center"/>
              <w:rPr>
                <w:rFonts w:asciiTheme="majorHAnsi" w:hAnsiTheme="majorHAnsi" w:cstheme="majorHAnsi"/>
                <w:b/>
                <w:bCs/>
                <w:vanish/>
                <w:sz w:val="24"/>
                <w:szCs w:val="24"/>
                <w:highlight w:val="green"/>
              </w:rPr>
            </w:pPr>
          </w:p>
          <w:tbl>
            <w:tblPr>
              <w:tblStyle w:val="8"/>
              <w:tblW w:w="0" w:type="auto"/>
              <w:tblCellSpacing w:w="15" w:type="dxa"/>
              <w:tblInd w:w="0" w:type="dxa"/>
              <w:tblLayout w:type="autofit"/>
              <w:tblCellMar>
                <w:top w:w="15" w:type="dxa"/>
                <w:left w:w="15" w:type="dxa"/>
                <w:bottom w:w="15" w:type="dxa"/>
                <w:right w:w="15" w:type="dxa"/>
              </w:tblCellMar>
            </w:tblPr>
            <w:tblGrid>
              <w:gridCol w:w="1890"/>
            </w:tblGrid>
            <w:tr w14:paraId="5709D661">
              <w:tblPrEx>
                <w:tblCellMar>
                  <w:top w:w="15" w:type="dxa"/>
                  <w:left w:w="15" w:type="dxa"/>
                  <w:bottom w:w="15" w:type="dxa"/>
                  <w:right w:w="15" w:type="dxa"/>
                </w:tblCellMar>
              </w:tblPrEx>
              <w:trPr>
                <w:tblCellSpacing w:w="15" w:type="dxa"/>
              </w:trPr>
              <w:tc>
                <w:tcPr>
                  <w:tcW w:w="0" w:type="auto"/>
                  <w:vAlign w:val="center"/>
                </w:tcPr>
                <w:p w14:paraId="37A8852D">
                  <w:pPr>
                    <w:jc w:val="center"/>
                    <w:rPr>
                      <w:rFonts w:asciiTheme="majorHAnsi" w:hAnsiTheme="majorHAnsi" w:cstheme="majorHAnsi"/>
                      <w:b/>
                      <w:bCs/>
                      <w:sz w:val="24"/>
                      <w:szCs w:val="24"/>
                      <w:highlight w:val="green"/>
                    </w:rPr>
                  </w:pPr>
                  <w:r>
                    <w:rPr>
                      <w:rFonts w:asciiTheme="majorHAnsi" w:hAnsiTheme="majorHAnsi" w:cstheme="majorHAnsi"/>
                      <w:b/>
                      <w:bCs/>
                      <w:sz w:val="24"/>
                      <w:szCs w:val="24"/>
                      <w:highlight w:val="green"/>
                    </w:rPr>
                    <w:t>Lower Chamber Role</w:t>
                  </w:r>
                </w:p>
              </w:tc>
            </w:tr>
          </w:tbl>
          <w:p w14:paraId="2F722892">
            <w:pPr>
              <w:jc w:val="center"/>
              <w:rPr>
                <w:rFonts w:asciiTheme="majorHAnsi" w:hAnsiTheme="majorHAnsi" w:cstheme="majorHAnsi"/>
                <w:b/>
                <w:bCs/>
                <w:sz w:val="24"/>
                <w:szCs w:val="24"/>
                <w:highlight w:val="green"/>
                <w:lang w:val="fi-FI"/>
              </w:rPr>
            </w:pPr>
          </w:p>
        </w:tc>
        <w:tc>
          <w:tcPr>
            <w:tcW w:w="2086" w:type="dxa"/>
            <w:vAlign w:val="center"/>
          </w:tcPr>
          <w:p w14:paraId="498B4101">
            <w:pPr>
              <w:jc w:val="center"/>
              <w:rPr>
                <w:rFonts w:asciiTheme="majorHAnsi" w:hAnsiTheme="majorHAnsi" w:cstheme="majorHAnsi"/>
                <w:b/>
                <w:bCs/>
                <w:sz w:val="24"/>
                <w:szCs w:val="24"/>
                <w:highlight w:val="green"/>
                <w:lang w:val="fi-FI"/>
              </w:rPr>
            </w:pPr>
            <w:r>
              <w:rPr>
                <w:rFonts w:asciiTheme="majorHAnsi" w:hAnsiTheme="majorHAnsi" w:cstheme="majorHAnsi"/>
                <w:b/>
                <w:bCs/>
                <w:sz w:val="24"/>
                <w:szCs w:val="24"/>
                <w:highlight w:val="green"/>
              </w:rPr>
              <w:t>Example of Impact</w:t>
            </w:r>
          </w:p>
        </w:tc>
      </w:tr>
      <w:tr w14:paraId="06A75C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1" w:type="dxa"/>
            <w:vAlign w:val="center"/>
          </w:tcPr>
          <w:p w14:paraId="6A8AD544">
            <w:pPr>
              <w:rPr>
                <w:rFonts w:asciiTheme="majorHAnsi" w:hAnsiTheme="majorHAnsi" w:cstheme="majorHAnsi"/>
                <w:sz w:val="24"/>
                <w:szCs w:val="24"/>
                <w:highlight w:val="green"/>
                <w:lang w:val="fi-FI"/>
              </w:rPr>
            </w:pPr>
            <w:r>
              <w:rPr>
                <w:rFonts w:asciiTheme="majorHAnsi" w:hAnsiTheme="majorHAnsi" w:cstheme="majorHAnsi"/>
                <w:sz w:val="24"/>
                <w:szCs w:val="24"/>
                <w:highlight w:val="green"/>
                <w:lang w:val="fi-FI"/>
              </w:rPr>
              <w:t>UK</w:t>
            </w:r>
          </w:p>
        </w:tc>
        <w:tc>
          <w:tcPr>
            <w:tcW w:w="2903" w:type="dxa"/>
            <w:vAlign w:val="center"/>
          </w:tcPr>
          <w:p w14:paraId="6B247CEC">
            <w:pPr>
              <w:rPr>
                <w:rFonts w:asciiTheme="majorHAnsi" w:hAnsiTheme="majorHAnsi" w:cstheme="majorHAnsi"/>
                <w:sz w:val="24"/>
                <w:szCs w:val="24"/>
                <w:highlight w:val="green"/>
                <w:lang w:val="fi-FI"/>
              </w:rPr>
            </w:pPr>
            <w:r>
              <w:rPr>
                <w:rFonts w:asciiTheme="majorHAnsi" w:hAnsiTheme="majorHAnsi" w:cstheme="majorHAnsi"/>
                <w:sz w:val="24"/>
                <w:szCs w:val="24"/>
                <w:highlight w:val="green"/>
              </w:rPr>
              <w:t>Reviews legislation, sets up committees for detailed scrutiny</w:t>
            </w:r>
          </w:p>
        </w:tc>
        <w:tc>
          <w:tcPr>
            <w:tcW w:w="2106" w:type="dxa"/>
            <w:vAlign w:val="center"/>
          </w:tcPr>
          <w:p w14:paraId="71D96729">
            <w:pPr>
              <w:rPr>
                <w:rFonts w:asciiTheme="majorHAnsi" w:hAnsiTheme="majorHAnsi" w:cstheme="majorHAnsi"/>
                <w:sz w:val="24"/>
                <w:szCs w:val="24"/>
                <w:highlight w:val="green"/>
                <w:lang w:val="fi-FI"/>
              </w:rPr>
            </w:pPr>
            <w:r>
              <w:rPr>
                <w:rFonts w:asciiTheme="majorHAnsi" w:hAnsiTheme="majorHAnsi" w:cstheme="majorHAnsi"/>
                <w:sz w:val="24"/>
                <w:szCs w:val="24"/>
                <w:highlight w:val="green"/>
              </w:rPr>
              <w:t>Proposes and initiates legislation</w:t>
            </w:r>
          </w:p>
        </w:tc>
        <w:tc>
          <w:tcPr>
            <w:tcW w:w="2086" w:type="dxa"/>
            <w:vAlign w:val="center"/>
          </w:tcPr>
          <w:p w14:paraId="3C5792CB">
            <w:pPr>
              <w:rPr>
                <w:rFonts w:asciiTheme="majorHAnsi" w:hAnsiTheme="majorHAnsi" w:cstheme="majorHAnsi"/>
                <w:sz w:val="24"/>
                <w:szCs w:val="24"/>
                <w:highlight w:val="green"/>
                <w:lang w:val="fi-FI"/>
              </w:rPr>
            </w:pPr>
            <w:r>
              <w:rPr>
                <w:rFonts w:asciiTheme="majorHAnsi" w:hAnsiTheme="majorHAnsi" w:cstheme="majorHAnsi"/>
                <w:sz w:val="24"/>
                <w:szCs w:val="24"/>
                <w:highlight w:val="green"/>
              </w:rPr>
              <w:t>House of Lords committee reviewing health system reforms</w:t>
            </w:r>
          </w:p>
        </w:tc>
      </w:tr>
      <w:tr w14:paraId="15C2B3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1" w:type="dxa"/>
            <w:vAlign w:val="center"/>
          </w:tcPr>
          <w:p w14:paraId="5D87E970">
            <w:pPr>
              <w:rPr>
                <w:rFonts w:asciiTheme="majorHAnsi" w:hAnsiTheme="majorHAnsi" w:cstheme="majorHAnsi"/>
                <w:sz w:val="24"/>
                <w:szCs w:val="24"/>
                <w:highlight w:val="green"/>
                <w:lang w:val="fi-FI"/>
              </w:rPr>
            </w:pPr>
            <w:r>
              <w:rPr>
                <w:rFonts w:asciiTheme="majorHAnsi" w:hAnsiTheme="majorHAnsi" w:cstheme="majorHAnsi"/>
                <w:sz w:val="24"/>
                <w:szCs w:val="24"/>
                <w:highlight w:val="green"/>
                <w:lang w:val="fi-FI"/>
              </w:rPr>
              <w:t>Germany</w:t>
            </w:r>
          </w:p>
        </w:tc>
        <w:tc>
          <w:tcPr>
            <w:tcW w:w="2903" w:type="dxa"/>
            <w:vAlign w:val="center"/>
          </w:tcPr>
          <w:p w14:paraId="42134547">
            <w:pPr>
              <w:rPr>
                <w:rFonts w:asciiTheme="majorHAnsi" w:hAnsiTheme="majorHAnsi" w:cstheme="majorHAnsi"/>
                <w:sz w:val="24"/>
                <w:szCs w:val="24"/>
                <w:highlight w:val="green"/>
                <w:lang w:val="fi-FI"/>
              </w:rPr>
            </w:pPr>
            <w:r>
              <w:rPr>
                <w:rFonts w:asciiTheme="majorHAnsi" w:hAnsiTheme="majorHAnsi" w:cstheme="majorHAnsi"/>
                <w:sz w:val="24"/>
                <w:szCs w:val="24"/>
                <w:highlight w:val="green"/>
              </w:rPr>
              <w:t>Represents states, influences federal laws via approval/rejection</w:t>
            </w:r>
          </w:p>
        </w:tc>
        <w:tc>
          <w:tcPr>
            <w:tcW w:w="2106" w:type="dxa"/>
            <w:vAlign w:val="center"/>
          </w:tcPr>
          <w:p w14:paraId="78559B97">
            <w:pPr>
              <w:rPr>
                <w:rFonts w:asciiTheme="majorHAnsi" w:hAnsiTheme="majorHAnsi" w:cstheme="majorHAnsi"/>
                <w:sz w:val="24"/>
                <w:szCs w:val="24"/>
                <w:highlight w:val="green"/>
                <w:lang w:val="fi-FI"/>
              </w:rPr>
            </w:pPr>
            <w:r>
              <w:rPr>
                <w:rFonts w:asciiTheme="majorHAnsi" w:hAnsiTheme="majorHAnsi" w:cstheme="majorHAnsi"/>
                <w:sz w:val="24"/>
                <w:szCs w:val="24"/>
                <w:highlight w:val="green"/>
              </w:rPr>
              <w:t>Initiates federal legislation</w:t>
            </w:r>
          </w:p>
        </w:tc>
        <w:tc>
          <w:tcPr>
            <w:tcW w:w="2086" w:type="dxa"/>
            <w:vAlign w:val="center"/>
          </w:tcPr>
          <w:p w14:paraId="073EF827">
            <w:pPr>
              <w:rPr>
                <w:rFonts w:asciiTheme="majorHAnsi" w:hAnsiTheme="majorHAnsi" w:cstheme="majorHAnsi"/>
                <w:sz w:val="24"/>
                <w:szCs w:val="24"/>
                <w:highlight w:val="green"/>
                <w:lang w:val="fi-FI"/>
              </w:rPr>
            </w:pPr>
            <w:r>
              <w:rPr>
                <w:rFonts w:asciiTheme="majorHAnsi" w:hAnsiTheme="majorHAnsi" w:cstheme="majorHAnsi"/>
                <w:sz w:val="24"/>
                <w:szCs w:val="24"/>
                <w:highlight w:val="green"/>
              </w:rPr>
              <w:t>Bundesrat shaping emission reduction law to address local needs</w:t>
            </w:r>
          </w:p>
        </w:tc>
      </w:tr>
      <w:tr w14:paraId="64F6FD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1" w:type="dxa"/>
            <w:vAlign w:val="center"/>
          </w:tcPr>
          <w:p w14:paraId="6962A7B6">
            <w:pPr>
              <w:rPr>
                <w:rFonts w:asciiTheme="majorHAnsi" w:hAnsiTheme="majorHAnsi" w:cstheme="majorHAnsi"/>
                <w:sz w:val="24"/>
                <w:szCs w:val="24"/>
                <w:highlight w:val="green"/>
                <w:lang w:val="fi-FI"/>
              </w:rPr>
            </w:pPr>
            <w:r>
              <w:rPr>
                <w:rFonts w:asciiTheme="majorHAnsi" w:hAnsiTheme="majorHAnsi" w:cstheme="majorHAnsi"/>
                <w:sz w:val="24"/>
                <w:szCs w:val="24"/>
                <w:highlight w:val="green"/>
                <w:lang w:val="fi-FI"/>
              </w:rPr>
              <w:t>India</w:t>
            </w:r>
          </w:p>
        </w:tc>
        <w:tc>
          <w:tcPr>
            <w:tcW w:w="2903" w:type="dxa"/>
            <w:vAlign w:val="center"/>
          </w:tcPr>
          <w:p w14:paraId="08C8E3B0">
            <w:pPr>
              <w:rPr>
                <w:rFonts w:asciiTheme="majorHAnsi" w:hAnsiTheme="majorHAnsi" w:cstheme="majorHAnsi"/>
                <w:sz w:val="24"/>
                <w:szCs w:val="24"/>
                <w:highlight w:val="green"/>
                <w:lang w:val="fi-FI"/>
              </w:rPr>
            </w:pPr>
            <w:r>
              <w:rPr>
                <w:rFonts w:asciiTheme="majorHAnsi" w:hAnsiTheme="majorHAnsi" w:cstheme="majorHAnsi"/>
                <w:sz w:val="24"/>
                <w:szCs w:val="24"/>
                <w:highlight w:val="green"/>
              </w:rPr>
              <w:t>Represents states and minority interests, proposes amendments</w:t>
            </w:r>
          </w:p>
        </w:tc>
        <w:tc>
          <w:tcPr>
            <w:tcW w:w="2106" w:type="dxa"/>
            <w:vAlign w:val="center"/>
          </w:tcPr>
          <w:p w14:paraId="1DD38000">
            <w:pPr>
              <w:rPr>
                <w:rFonts w:asciiTheme="majorHAnsi" w:hAnsiTheme="majorHAnsi" w:cstheme="majorHAnsi"/>
                <w:sz w:val="24"/>
                <w:szCs w:val="24"/>
                <w:highlight w:val="green"/>
                <w:lang w:val="fi-FI"/>
              </w:rPr>
            </w:pPr>
            <w:r>
              <w:rPr>
                <w:rFonts w:asciiTheme="majorHAnsi" w:hAnsiTheme="majorHAnsi" w:cstheme="majorHAnsi"/>
                <w:sz w:val="24"/>
                <w:szCs w:val="24"/>
                <w:highlight w:val="green"/>
              </w:rPr>
              <w:t>Main legislative body, proposes policies</w:t>
            </w:r>
          </w:p>
        </w:tc>
        <w:tc>
          <w:tcPr>
            <w:tcW w:w="2086" w:type="dxa"/>
            <w:vAlign w:val="center"/>
          </w:tcPr>
          <w:p w14:paraId="55E24828">
            <w:pPr>
              <w:rPr>
                <w:rFonts w:asciiTheme="majorHAnsi" w:hAnsiTheme="majorHAnsi" w:cstheme="majorHAnsi"/>
                <w:sz w:val="24"/>
                <w:szCs w:val="24"/>
                <w:lang w:val="fi-FI"/>
              </w:rPr>
            </w:pPr>
            <w:r>
              <w:rPr>
                <w:rFonts w:asciiTheme="majorHAnsi" w:hAnsiTheme="majorHAnsi" w:cstheme="majorHAnsi"/>
                <w:sz w:val="24"/>
                <w:szCs w:val="24"/>
                <w:highlight w:val="green"/>
              </w:rPr>
              <w:t>Rajya Sabha amendments protecting minority rights</w:t>
            </w:r>
          </w:p>
        </w:tc>
      </w:tr>
    </w:tbl>
    <w:p w14:paraId="175D2D59">
      <w:pPr>
        <w:pStyle w:val="2"/>
        <w:ind w:left="360"/>
        <w:rPr>
          <w:rFonts w:ascii="Calibri Light" w:cs="Calibri Light"/>
          <w:sz w:val="24"/>
          <w:szCs w:val="24"/>
        </w:rPr>
      </w:pPr>
      <w:r>
        <w:rPr>
          <w:rFonts w:ascii="Calibri Light" w:cs="Calibri Light"/>
          <w:sz w:val="24"/>
          <w:szCs w:val="24"/>
        </w:rPr>
        <w:t>Proportional Bicameralism Model in The Parliamentary System in Indonesia</w:t>
      </w:r>
    </w:p>
    <w:p w14:paraId="6CA17B75">
      <w:pPr>
        <w:pStyle w:val="27"/>
        <w:spacing w:before="240" w:after="0"/>
        <w:ind w:left="360"/>
        <w:jc w:val="both"/>
        <w:rPr>
          <w:rFonts w:ascii="Calibri Light" w:cs="Calibri Light"/>
          <w:color w:val="000000"/>
          <w:lang w:val="fi-FI"/>
        </w:rPr>
      </w:pPr>
      <w:r>
        <w:rPr>
          <w:rFonts w:ascii="Calibri Light" w:cs="Calibri Light"/>
          <w:color w:val="000000"/>
        </w:rPr>
        <w:t xml:space="preserve">The bicameral proportional model in Indonesia is a constitutional structure with two main chambers, namely the People's Representative Council (DPR) and the Regional Representative Council (DPD). Each room has a different role and function, but complements each other in an effort to reflect the needs of the community and region. The DPR represents the people in making laws, overseeing government, and preparing the state budget. Consisting of 575 members elected through parliamentary elections every five years, the DPR has significant influence in the legislative process and policy making at the national level. </w:t>
      </w:r>
      <w:r>
        <w:rPr>
          <w:rFonts w:ascii="Calibri Light" w:cs="Calibri Light"/>
          <w:color w:val="000000"/>
          <w:highlight w:val="yellow"/>
        </w:rPr>
        <w:t xml:space="preserve">Structurally, DPR members are elected through an open </w:t>
      </w:r>
      <w:r>
        <w:rPr>
          <w:rFonts w:ascii="Calibri Light" w:cs="Calibri Light"/>
          <w:color w:val="000000"/>
          <w:highlight w:val="yellow"/>
          <w:lang w:val="en-US"/>
        </w:rPr>
        <w:t>proportional system using the pure Sainte-Laguë method as regulated in Law No. 7 of 2017 concerning Elections, meaning that voters can directly choose both political parties and legislative candidates</w:t>
      </w:r>
      <w:r>
        <w:rPr>
          <w:rFonts w:ascii="Calibri Light" w:cs="Calibri Light"/>
          <w:color w:val="000000"/>
          <w:highlight w:val="yellow"/>
        </w:rPr>
        <w:t>.</w:t>
      </w:r>
      <w:r>
        <w:rPr>
          <w:rFonts w:ascii="Calibri Light" w:cs="Calibri Light"/>
          <w:color w:val="000000"/>
        </w:rPr>
        <w:t xml:space="preserve"> This gives voters the opportunity to make their choice based on criteria they consider important, such as the vision, mission and track record of the candidate concerned. In this way, voters are not only tied to political parties, but can also elect individuals they deem worthy to represent them in parliament. This creates better representation for various groups in society </w:t>
      </w:r>
      <w:r>
        <w:rPr>
          <w:rFonts w:ascii="Calibri Light" w:cs="Calibri Light"/>
        </w:rPr>
        <w:fldChar w:fldCharType="begin" w:fldLock="1"/>
      </w:r>
      <w:r>
        <w:rPr>
          <w:rFonts w:ascii="Calibri Light" w:cs="Calibri Light"/>
        </w:rPr>
        <w:instrText xml:space="preserve">ADDIN CSL_CITATION {"citationItems":[{"id":"ITEM-1","itemData":{"ISSN":"0192698176","author":[{"dropping-particle":"","family":"Aman","given":"Adhy","non-dropping-particle":"","parse-names":false,"suffix":""},{"dropping-particle":"","family":"Tomsa","given":"Dirk","non-dropping-particle":"","parse-names":false,"suffix":""}],"container-title":"Constitutional Democracy in Indonesia","id":"ITEM-1","issued":{"date-parts":[["2022"]]},"page":"133","publisher":"Oxford: Oxford University Press","title":"The Constitutional and Legislative Foundations of Indonesia’s Electoral Regime","type":"chapter"},"uris":["http://www.mendeley.com/documents/?uuid=8d7a0e6c-2162-44dc-9734-b4434a827a33"]}],"mendeley":{"formattedCitation":"(Aman &amp; Tomsa, 2022)","plainTextFormattedCitation":"(Aman &amp; Tomsa, 2022)","previouslyFormattedCitation":"(Aman &amp; Tomsa, 2022)"},"properties":{"noteIndex":0},"schema":"https://github.com/citation-style-language/schema/raw/master/csl-citation.json"}</w:instrText>
      </w:r>
      <w:r>
        <w:rPr>
          <w:rFonts w:ascii="Calibri Light" w:cs="Calibri Light"/>
        </w:rPr>
        <w:fldChar w:fldCharType="separate"/>
      </w:r>
      <w:r>
        <w:rPr>
          <w:rFonts w:ascii="Calibri Light" w:cs="Calibri Light"/>
          <w:lang w:val="zh-CN" w:eastAsia="zh-CN"/>
        </w:rPr>
        <w:t>(Aman &amp; Tomsa, 2022)</w:t>
      </w:r>
      <w:r>
        <w:rPr>
          <w:rFonts w:ascii="Calibri Light" w:cs="Calibri Light"/>
        </w:rPr>
        <w:fldChar w:fldCharType="end"/>
      </w:r>
      <w:r>
        <w:rPr>
          <w:rFonts w:ascii="Calibri Light" w:cs="Calibri Light"/>
          <w:color w:val="000000"/>
          <w:lang w:val="en-US"/>
        </w:rPr>
        <w:t>.</w:t>
      </w:r>
    </w:p>
    <w:p w14:paraId="0A0A2654">
      <w:pPr>
        <w:pStyle w:val="27"/>
        <w:spacing w:before="240" w:after="0"/>
        <w:ind w:left="360"/>
        <w:jc w:val="both"/>
        <w:rPr>
          <w:rFonts w:ascii="Calibri Light" w:cs="Calibri Light"/>
          <w:color w:val="000000"/>
        </w:rPr>
      </w:pPr>
      <w:r>
        <w:rPr>
          <w:rFonts w:ascii="Calibri Light" w:cs="Calibri Light"/>
          <w:color w:val="000000"/>
          <w:highlight w:val="green"/>
          <w:lang w:val="en-US"/>
        </w:rPr>
        <w:t>On the other hand, the DPD functions as regional representation in the national legislative structure; however, it does not possess full legislative rights and is limited to providing considerations, particularly in matters related to regional interests</w:t>
      </w:r>
      <w:r>
        <w:rPr>
          <w:rFonts w:ascii="Calibri Light" w:cs="Calibri Light"/>
          <w:color w:val="000000"/>
          <w:highlight w:val="green"/>
        </w:rPr>
        <w:t>.</w:t>
      </w:r>
      <w:r>
        <w:rPr>
          <w:rFonts w:ascii="Calibri Light" w:cs="Calibri Light"/>
          <w:color w:val="000000"/>
        </w:rPr>
        <w:t xml:space="preserve"> The DPD consists of 136 members, where each province is represented by four members without regard to political party affiliation. The function of the DPD is very important to ensure that regional interests can be represented and heard in decision making that takes place at the central level. DPD has a role in providing input and suggestions on draft laws relating to regional autonomy, natural resources and other issues that have a direct impact on society at the local level </w:t>
      </w:r>
      <w:r>
        <w:rPr>
          <w:rFonts w:ascii="Calibri Light" w:cs="Calibri Light"/>
        </w:rPr>
        <w:fldChar w:fldCharType="begin" w:fldLock="1"/>
      </w:r>
      <w:r>
        <w:rPr>
          <w:rFonts w:ascii="Calibri Light" w:cs="Calibri Light"/>
        </w:rPr>
        <w:instrText xml:space="preserve">ADDIN CSL_CITATION {"citationItems":[{"id":"ITEM-1","itemData":{"ISSN":"2656-3797","author":[{"dropping-particle":"","family":"Perbawa","given":"I Ketut Sukawati Lanang Putra","non-dropping-particle":"","parse-names":false,"suffix":""},{"dropping-particle":"","family":"Kusumaningtyas","given":"Reza Octavia","non-dropping-particle":"","parse-names":false,"suffix":""},{"dropping-particle":"","family":"Jailani","given":"Abdul Kadir","non-dropping-particle":"","parse-names":false,"suffix":""}],"container-title":"Wacana Hukum","id":"ITEM-1","issue":"2","issued":{"date-parts":[["2022"]]},"page":"38-53","title":"The Reform of the Parliamentary Threshold System Based on Human Rights: Evidence from the United States","type":"article-journal","volume":"28"},"uris":["http://www.mendeley.com/documents/?uuid=81850778-191f-4e3e-9970-f992c38e2e0d"]}],"mendeley":{"formattedCitation":"(Perbawa et al., 2022)","plainTextFormattedCitation":"(Perbawa et al., 2022)","previouslyFormattedCitation":"(Perbawa et al., 2022)"},"properties":{"noteIndex":0},"schema":"https://github.com/citation-style-language/schema/raw/master/csl-citation.json"}</w:instrText>
      </w:r>
      <w:r>
        <w:rPr>
          <w:rFonts w:ascii="Calibri Light" w:cs="Calibri Light"/>
        </w:rPr>
        <w:fldChar w:fldCharType="separate"/>
      </w:r>
      <w:r>
        <w:rPr>
          <w:rFonts w:ascii="Calibri Light" w:cs="Calibri Light"/>
          <w:lang w:val="zh-CN" w:eastAsia="zh-CN"/>
        </w:rPr>
        <w:t>(Perbawa et al., 2022)</w:t>
      </w:r>
      <w:r>
        <w:rPr>
          <w:rFonts w:ascii="Calibri Light" w:cs="Calibri Light"/>
        </w:rPr>
        <w:fldChar w:fldCharType="end"/>
      </w:r>
      <w:r>
        <w:rPr>
          <w:rFonts w:ascii="Calibri Light" w:cs="Calibri Light"/>
          <w:color w:val="000000"/>
          <w:lang w:val="en-US"/>
        </w:rPr>
        <w:t>.</w:t>
      </w:r>
    </w:p>
    <w:p w14:paraId="426D0A81">
      <w:pPr>
        <w:pStyle w:val="27"/>
        <w:spacing w:before="240" w:after="0"/>
        <w:ind w:left="360"/>
        <w:jc w:val="both"/>
        <w:rPr>
          <w:rFonts w:ascii="Calibri Light" w:cs="Calibri Light"/>
          <w:color w:val="000000"/>
        </w:rPr>
      </w:pPr>
      <w:r>
        <w:rPr>
          <w:rFonts w:ascii="Calibri Light" w:cs="Calibri Light"/>
          <w:color w:val="000000"/>
        </w:rPr>
        <w:t xml:space="preserve">The principle of proportionality in the bicameralism system is clearly visible from the way members of the DPR and DPD are elected. With an open proportional system, it is hoped that fairer and more balanced representation can be created for all elements of society. This is very important in the context of Indonesia which has very diverse cultures, ethnicities and interests. The existence of DPD also provides an opportunity for regions to express their aspirations and needs before the central government, so that the policies taken do not only benefit certain groups but also take into account the interests of the wider community </w:t>
      </w:r>
      <w:r>
        <w:rPr>
          <w:rFonts w:ascii="Calibri Light" w:cs="Calibri Light"/>
        </w:rPr>
        <w:fldChar w:fldCharType="begin" w:fldLock="1"/>
      </w:r>
      <w:r>
        <w:rPr>
          <w:rFonts w:ascii="Calibri Light" w:cs="Calibri Light"/>
        </w:rPr>
        <w:instrText xml:space="preserve">ADDIN CSL_CITATION {"citationItems":[{"id":"ITEM-1","itemData":{"ISSN":"2309-8678","author":[{"dropping-particle":"","family":"Mutawalli","given":"Muhammad","non-dropping-particle":"","parse-names":false,"suffix":""},{"dropping-particle":"","family":"Wahab","given":"Harlida Abdul","non-dropping-particle":"","parse-names":false,"suffix":""},{"dropping-particle":"","family":"Ayub","given":"Zainal Amin","non-dropping-particle":"","parse-names":false,"suffix":""}],"container-title":"Russian Law Journal","id":"ITEM-1","issue":"3S","issued":{"date-parts":[["2023"]]},"page":"132-142","publisher":"Фонд поддержки академических инициатив","title":"Constitutional Complaint: A Comparative Study of The Authority of The Constitutional Courts of The Republic of Indonesia and Croatia","type":"article-journal","volume":"11"},"uris":["http://www.mendeley.com/documents/?uuid=bbae8822-4885-462c-a23d-8ada959f8a64"]}],"mendeley":{"formattedCitation":"(Mutawalli, Wahab, et al., 2023)","plainTextFormattedCitation":"(Mutawalli, Wahab, et al., 2023)","previouslyFormattedCitation":"(Mutawalli, Wahab, et al., 2023)"},"properties":{"noteIndex":0},"schema":"https://github.com/citation-style-language/schema/raw/master/csl-citation.json"}</w:instrText>
      </w:r>
      <w:r>
        <w:rPr>
          <w:rFonts w:ascii="Calibri Light" w:cs="Calibri Light"/>
        </w:rPr>
        <w:fldChar w:fldCharType="separate"/>
      </w:r>
      <w:r>
        <w:rPr>
          <w:rFonts w:ascii="Calibri Light" w:cs="Calibri Light"/>
          <w:lang w:val="zh-CN" w:eastAsia="zh-CN"/>
        </w:rPr>
        <w:t>(Mutawalli, Wahab, et al., 2023)</w:t>
      </w:r>
      <w:r>
        <w:rPr>
          <w:rFonts w:ascii="Calibri Light" w:cs="Calibri Light"/>
        </w:rPr>
        <w:fldChar w:fldCharType="end"/>
      </w:r>
      <w:r>
        <w:rPr>
          <w:rFonts w:ascii="Calibri Light" w:cs="Calibri Light"/>
          <w:color w:val="000000"/>
          <w:lang w:val="en-US"/>
        </w:rPr>
        <w:t>.</w:t>
      </w:r>
    </w:p>
    <w:p w14:paraId="6C38D439">
      <w:pPr>
        <w:pStyle w:val="27"/>
        <w:spacing w:before="240" w:after="0"/>
        <w:ind w:left="360"/>
        <w:jc w:val="both"/>
        <w:rPr>
          <w:rFonts w:ascii="Calibri Light" w:cs="Calibri Light"/>
          <w:color w:val="000000"/>
        </w:rPr>
      </w:pPr>
      <w:r>
        <w:rPr>
          <w:rFonts w:ascii="Calibri Light" w:cs="Calibri Light"/>
          <w:color w:val="000000"/>
        </w:rPr>
        <w:t xml:space="preserve">However, although this proportional bicameralism model has many advantages, such as increased representation and more effective monitoring of government policies, this system also faces several challenges that need to be considered. One of the main challenges is the potential for conflict that could arise between the DPR and DPD. Sometimes, there are differences in views and interests between the two chambers which can cause deadlock in the legislative process. This misalignment can slow down decisions that should be taken quickly, especially in emergency situations or when an immediate response to problems that arise is required </w:t>
      </w:r>
      <w:r>
        <w:rPr>
          <w:rFonts w:ascii="Calibri Light" w:cs="Calibri Light"/>
        </w:rPr>
        <w:fldChar w:fldCharType="begin" w:fldLock="1"/>
      </w:r>
      <w:r>
        <w:rPr>
          <w:rFonts w:ascii="Calibri Light" w:cs="Calibri Light"/>
        </w:rPr>
        <w:instrText xml:space="preserve">ADDIN CSL_CITATION {"citationItems":[{"id":"ITEM-1","itemData":{"ISSN":"2684-9658","author":[{"dropping-particle":"","family":"Handoyo","given":"Trio","non-dropping-particle":"","parse-names":false,"suffix":""}],"container-title":"Journal of Law Science","id":"ITEM-1","issue":"4","issued":{"date-parts":[["2022"]]},"page":"188-196","title":"The Role of the Vice President in the Republic of Indonesia's Administrative System (Post Amendment to the 1945 Constitution)","type":"article-journal","volume":"4"},"uris":["http://www.mendeley.com/documents/?uuid=7c76652f-b57b-4b01-b275-b5c5b5c4df3c"]}],"mendeley":{"formattedCitation":"(Handoyo, 2022)","plainTextFormattedCitation":"(Handoyo, 2022)","previouslyFormattedCitation":"(Handoyo, 2022)"},"properties":{"noteIndex":0},"schema":"https://github.com/citation-style-language/schema/raw/master/csl-citation.json"}</w:instrText>
      </w:r>
      <w:r>
        <w:rPr>
          <w:rFonts w:ascii="Calibri Light" w:cs="Calibri Light"/>
        </w:rPr>
        <w:fldChar w:fldCharType="separate"/>
      </w:r>
      <w:r>
        <w:rPr>
          <w:rFonts w:ascii="Calibri Light" w:cs="Calibri Light"/>
          <w:lang w:val="zh-CN" w:eastAsia="zh-CN"/>
        </w:rPr>
        <w:t>(Handoyo, 2022)</w:t>
      </w:r>
      <w:r>
        <w:rPr>
          <w:rFonts w:ascii="Calibri Light" w:cs="Calibri Light"/>
        </w:rPr>
        <w:fldChar w:fldCharType="end"/>
      </w:r>
      <w:r>
        <w:rPr>
          <w:rFonts w:ascii="Calibri Light" w:cs="Calibri Light"/>
          <w:color w:val="000000"/>
          <w:lang w:val="en-US"/>
        </w:rPr>
        <w:t>.</w:t>
      </w:r>
    </w:p>
    <w:p w14:paraId="5B3274FC">
      <w:pPr>
        <w:pStyle w:val="27"/>
        <w:spacing w:before="240" w:after="0"/>
        <w:ind w:left="360"/>
        <w:jc w:val="both"/>
        <w:rPr>
          <w:rFonts w:ascii="Calibri Light" w:cs="Calibri Light"/>
          <w:color w:val="000000"/>
          <w:lang w:val="fi-FI"/>
        </w:rPr>
      </w:pPr>
      <w:r>
        <w:rPr>
          <w:rFonts w:ascii="Calibri Light" w:cs="Calibri Light"/>
          <w:color w:val="000000"/>
        </w:rPr>
        <w:t xml:space="preserve">The complexity of the legislative process is also an obstacle in this bicameralism system. The process of passing a law becomes more complicated and time consuming because it involves two chambers that must collaborate. This could result in delays in implementing policies that are urgently needed by society. Apart from that, the DPD has limited legislative powers, where its role is more to provide input and recommendations, without having the power to pass laws. This can reduce the effectiveness of the DPD in influencing policies that impact the region, considering that the DPD cannot make final decisions in the legislative process </w:t>
      </w:r>
      <w:r>
        <w:rPr>
          <w:rFonts w:ascii="Calibri Light" w:cs="Calibri Light"/>
        </w:rPr>
        <w:fldChar w:fldCharType="begin" w:fldLock="1"/>
      </w:r>
      <w:r>
        <w:rPr>
          <w:rFonts w:ascii="Calibri Light" w:cs="Calibri Light"/>
        </w:rPr>
        <w:instrText xml:space="preserve">ADDIN CSL_CITATION {"citationItems":[{"id":"ITEM-1","itemData":{"author":[{"dropping-particle":"","family":"Mutawalli","given":"Muhammad","non-dropping-particle":"","parse-names":false,"suffix":""},{"dropping-particle":"","family":"Yeyeng","given":"Andi Tenri","non-dropping-particle":"","parse-names":false,"suffix":""},{"dropping-particle":"","family":"Balebo","given":"Piaget Mpoto","non-dropping-particle":"","parse-names":false,"suffix":""},{"dropping-particle":"","family":"Lulo","given":"Lourenco de Deus Mau","non-dropping-particle":"","parse-names":false,"suffix":""}],"container-title":"Jurnal Politik Profetik","id":"ITEM-1","issue":"2","issued":{"date-parts":[["2023"]]},"page":"146-168","title":"Cancellation of Regional Regulations in Indonesian: An Overview of the Conception of Constitutional Democracy","type":"article-journal","volume":"11"},"uris":["http://www.mendeley.com/documents/?uuid=77535844-a60a-4dd9-b63d-e1249121d4b3"]}],"mendeley":{"formattedCitation":"(Mutawalli, Yeyeng, et al., 2023)","plainTextFormattedCitation":"(Mutawalli, Yeyeng, et al., 2023)","previouslyFormattedCitation":"(Mutawalli, Yeyeng, et al., 2023)"},"properties":{"noteIndex":0},"schema":"https://github.com/citation-style-language/schema/raw/master/csl-citation.json"}</w:instrText>
      </w:r>
      <w:r>
        <w:rPr>
          <w:rFonts w:ascii="Calibri Light" w:cs="Calibri Light"/>
        </w:rPr>
        <w:fldChar w:fldCharType="separate"/>
      </w:r>
      <w:r>
        <w:rPr>
          <w:rFonts w:ascii="Calibri Light" w:cs="Calibri Light"/>
          <w:lang w:val="zh-CN" w:eastAsia="zh-CN"/>
        </w:rPr>
        <w:t>(Mutawalli, Yeyeng, et al., 2023)</w:t>
      </w:r>
      <w:r>
        <w:rPr>
          <w:rFonts w:ascii="Calibri Light" w:cs="Calibri Light"/>
        </w:rPr>
        <w:fldChar w:fldCharType="end"/>
      </w:r>
      <w:r>
        <w:rPr>
          <w:rFonts w:ascii="Calibri Light" w:cs="Calibri Light"/>
          <w:color w:val="000000"/>
        </w:rPr>
        <w:t>.</w:t>
      </w:r>
    </w:p>
    <w:p w14:paraId="39BEBF24">
      <w:pPr>
        <w:pStyle w:val="27"/>
        <w:spacing w:before="240" w:after="0"/>
        <w:ind w:left="360"/>
        <w:jc w:val="both"/>
        <w:rPr>
          <w:rFonts w:ascii="Calibri Light" w:cs="Calibri Light"/>
          <w:color w:val="000000"/>
          <w:lang w:val="fi-FI"/>
        </w:rPr>
      </w:pPr>
      <w:r>
        <w:rPr>
          <w:rFonts w:ascii="Calibri Light" w:cs="Calibri Light"/>
          <w:color w:val="000000"/>
          <w:lang w:val="fi-FI"/>
        </w:rPr>
        <w:t>Another challenge is the issue of identity politics which often arises in the election of members of the DPR and DPD. Elections that are oriented towards ethnic, religious or particular group identities can create polarization among society. This has the potential to disrupt national unity and integrity, as well as reduce public trust in legislative institutions. In addition, a lack of public involvement in the political process and low understanding of the role of the DPR and DPD can reduce support for these institutions. People who do not understand the function and role of the DPD may pay less attention to the issues proposed by this council.</w:t>
      </w:r>
    </w:p>
    <w:p w14:paraId="65B78884">
      <w:pPr>
        <w:pStyle w:val="27"/>
        <w:spacing w:before="240" w:after="0"/>
        <w:ind w:left="360"/>
        <w:jc w:val="both"/>
        <w:rPr>
          <w:rFonts w:ascii="Calibri Light" w:cs="Calibri Light"/>
          <w:color w:val="000000"/>
          <w:lang w:val="fi-FI"/>
        </w:rPr>
      </w:pPr>
      <w:r>
        <w:rPr>
          <w:rFonts w:ascii="Calibri Light" w:cs="Calibri Light"/>
          <w:color w:val="000000"/>
          <w:lang w:val="fi-FI"/>
        </w:rPr>
        <w:t>To improve the proportional bicameralism system in Indonesia, several strategic steps are needed. First, increasing community involvement in the political process is very important. Public education about the functions and roles of the DPR and DPD can encourage more active participation from the community. With a more educated public, it is hoped that they will be able to cast higher quality votes during the general election. Second, reforms in the legislative process need to be carried out to facilitate collaboration between the DPR and DPD. A more transparent and efficient process will help reduce conflict and speed up decision making.</w:t>
      </w:r>
    </w:p>
    <w:p w14:paraId="4CFD11E2">
      <w:pPr>
        <w:pStyle w:val="27"/>
        <w:spacing w:before="240" w:after="0"/>
        <w:ind w:left="360"/>
        <w:jc w:val="both"/>
        <w:rPr>
          <w:rFonts w:ascii="Calibri Light" w:cs="Calibri Light"/>
          <w:color w:val="000000"/>
        </w:rPr>
      </w:pPr>
      <w:r>
        <w:rPr>
          <w:rFonts w:ascii="Calibri Light" w:cs="Calibri Light"/>
          <w:color w:val="000000"/>
        </w:rPr>
        <w:t>Empowering the DPD is also an important recommendation in improving this system. Increasing the power and role of the DPD in the legislative decision-making process can have a greater impact on the policies taken, especially those relating to regional interests. In this way, the DPD can function more effectively as a bridge between the central government and regional communities.</w:t>
      </w:r>
    </w:p>
    <w:p w14:paraId="23A3F474">
      <w:pPr>
        <w:pStyle w:val="27"/>
        <w:spacing w:before="240" w:after="0"/>
        <w:ind w:left="360"/>
        <w:jc w:val="both"/>
        <w:rPr>
          <w:rFonts w:ascii="Calibri Light" w:cs="Calibri Light"/>
          <w:color w:val="000000"/>
        </w:rPr>
      </w:pPr>
      <w:r>
        <w:rPr>
          <w:rFonts w:ascii="Calibri Light" w:cs="Calibri Light"/>
          <w:color w:val="000000"/>
        </w:rPr>
        <w:t xml:space="preserve">Overall, the proportional bicameralism model in Indonesia offers great potential for creating a legislative system that is more representative, accountable and responsive to the needs of the people. With appropriate improvements and attention to existing challenges, this system can contribute significantly to the development of democracy and national development. An actively involved society and optimally functioning legislative institutions will create a healthy and productive political climate, which will ultimately benefit all Indonesian people </w:t>
      </w:r>
      <w:r>
        <w:rPr>
          <w:rFonts w:ascii="Calibri Light" w:cs="Calibri Light"/>
        </w:rPr>
        <w:fldChar w:fldCharType="begin" w:fldLock="1"/>
      </w:r>
      <w:r>
        <w:rPr>
          <w:rFonts w:ascii="Calibri Light" w:cs="Calibri Light"/>
        </w:rPr>
        <w:instrText xml:space="preserve">ADDIN CSL_CITATION {"citationItems":[{"id":"ITEM-1","itemData":{"author":[{"dropping-particle":"","family":"Mutawalli","given":"Muhammad","non-dropping-particle":"","parse-names":false,"suffix":""}],"edition":"1","id":"ITEM-1","issued":{"date-parts":[["2023"]]},"publisher":"Pustaka Aksara","publisher-place":"Surabaya","title":"NEGARA HUKUM KEDAULATAN DAN DEMOKRASI (Konsepsi Teori dan Perkembangannya)","type":"book"},"uris":["http://www.mendeley.com/documents/?uuid=58183bd0-2ea9-48cd-b6c9-3c69e092eea6"]}],"mendeley":{"formattedCitation":"(Mutawalli, 2023)","plainTextFormattedCitation":"(Mutawalli, 2023)","previouslyFormattedCitation":"(Mutawalli, 2023)"},"properties":{"noteIndex":0},"schema":"https://github.com/citation-style-language/schema/raw/master/csl-citation.json"}</w:instrText>
      </w:r>
      <w:r>
        <w:rPr>
          <w:rFonts w:ascii="Calibri Light" w:cs="Calibri Light"/>
        </w:rPr>
        <w:fldChar w:fldCharType="separate"/>
      </w:r>
      <w:r>
        <w:rPr>
          <w:rFonts w:ascii="Calibri Light" w:cs="Calibri Light"/>
          <w:lang w:val="zh-CN" w:eastAsia="zh-CN"/>
        </w:rPr>
        <w:t>(Mutawalli, 2023)</w:t>
      </w:r>
      <w:r>
        <w:rPr>
          <w:rFonts w:ascii="Calibri Light" w:cs="Calibri Light"/>
        </w:rPr>
        <w:fldChar w:fldCharType="end"/>
      </w:r>
      <w:r>
        <w:rPr>
          <w:rFonts w:ascii="Calibri Light" w:cs="Calibri Light"/>
          <w:color w:val="000000"/>
          <w:lang w:val="en-US"/>
        </w:rPr>
        <w:t>.</w:t>
      </w:r>
    </w:p>
    <w:p w14:paraId="63E5C873">
      <w:pPr>
        <w:pStyle w:val="27"/>
        <w:spacing w:before="240" w:after="0"/>
        <w:ind w:left="360"/>
        <w:jc w:val="both"/>
        <w:rPr>
          <w:rFonts w:ascii="Calibri Light" w:cs="Calibri Light"/>
          <w:color w:val="000000"/>
          <w:lang w:val="en-US"/>
        </w:rPr>
      </w:pPr>
      <w:r>
        <w:rPr>
          <w:rFonts w:ascii="Calibri Light" w:cs="Calibri Light"/>
          <w:color w:val="000000"/>
          <w:lang w:val="en-US"/>
        </w:rPr>
        <w:t xml:space="preserve">In the midst of the ever-changing dynamics of political and social developments, it is important for all parties, including the government, legislature and society, to collaborate in creating a better system. Active community involvement in political monitoring and participation, as well as a commitment to maintaining integrity and transparency in the legislative process, will be the key to the success of this bicameral system </w:t>
      </w:r>
      <w:r>
        <w:rPr>
          <w:rFonts w:ascii="Calibri Light" w:cs="Calibri Light"/>
        </w:rPr>
        <w:fldChar w:fldCharType="begin" w:fldLock="1"/>
      </w:r>
      <w:r>
        <w:rPr>
          <w:rFonts w:ascii="Calibri Light" w:cs="Calibri Light"/>
        </w:rPr>
        <w:instrText xml:space="preserve">ADDIN CSL_CITATION {"citationItems":[{"id":"ITEM-1","itemData":{"ISSN":"2583-0031","author":[{"dropping-particle":"","family":"Malik","given":"Ausaf Ahmad","non-dropping-particle":"","parse-names":false,"suffix":""}],"container-title":"Revista Review Index Journal of Multidisciplinary","id":"ITEM-1","issue":"4","issued":{"date-parts":[["2023"]]},"page":"1-9","title":"Parliamentary Democracy: Mechanisms, Challenges, and the Quest for Effective Governance","type":"article-journal","volume":"3"},"uris":["http://www.mendeley.com/documents/?uuid=3a28ab1f-bfbb-46ce-9b8d-a7cfd09c8ac9"]}],"mendeley":{"formattedCitation":"(Malik, 2023)","plainTextFormattedCitation":"(Malik, 2023)","previouslyFormattedCitation":"(Malik, 2023)"},"properties":{"noteIndex":0},"schema":"https://github.com/citation-style-language/schema/raw/master/csl-citation.json"}</w:instrText>
      </w:r>
      <w:r>
        <w:rPr>
          <w:rFonts w:ascii="Calibri Light" w:cs="Calibri Light"/>
        </w:rPr>
        <w:fldChar w:fldCharType="separate"/>
      </w:r>
      <w:r>
        <w:rPr>
          <w:rFonts w:ascii="Calibri Light" w:cs="Calibri Light"/>
          <w:lang w:val="zh-CN" w:eastAsia="zh-CN"/>
        </w:rPr>
        <w:t>(Malik, 2023)</w:t>
      </w:r>
      <w:r>
        <w:rPr>
          <w:rFonts w:ascii="Calibri Light" w:cs="Calibri Light"/>
        </w:rPr>
        <w:fldChar w:fldCharType="end"/>
      </w:r>
      <w:r>
        <w:rPr>
          <w:rFonts w:ascii="Calibri Light" w:cs="Calibri Light"/>
          <w:color w:val="000000"/>
          <w:lang w:val="en-US"/>
        </w:rPr>
        <w:t xml:space="preserve">. With the strategic steps taken, it is hoped that Indonesia can achieve its ideals of becoming a just and prosperous democratic country, where every voice is respected and every interest is represented proportionally </w:t>
      </w:r>
      <w:r>
        <w:rPr>
          <w:rFonts w:ascii="Calibri Light" w:cs="Calibri Light"/>
        </w:rPr>
        <w:fldChar w:fldCharType="begin" w:fldLock="1"/>
      </w:r>
      <w:r>
        <w:rPr>
          <w:rFonts w:ascii="Calibri Light" w:cs="Calibri Light"/>
        </w:rPr>
        <w:instrText xml:space="preserve">ADDIN CSL_CITATION {"citationItems":[{"id":"ITEM-1","itemData":{"author":[{"dropping-particle":"","family":"Utami","given":"Nofi Sri","non-dropping-particle":"","parse-names":false,"suffix":""}],"container-title":"Proceedings of the 2nd International Conference on Multidisciplinary Sciences for Humanity in Society 5.0 Era (ICOMSH 2022)","id":"ITEM-1","issued":{"date-parts":[["2023"]]},"page":"498-502","title":"Dynamics of The Parliamentary System in The Indonesian State System","type":"paper-conference"},"uris":["http://www.mendeley.com/documents/?uuid=b653d090-9a10-47e5-b204-476460775738"]}],"mendeley":{"formattedCitation":"(Utami, 2023)","plainTextFormattedCitation":"(Utami, 2023)","previouslyFormattedCitation":"(Utami, 2023)"},"properties":{"noteIndex":0},"schema":"https://github.com/citation-style-language/schema/raw/master/csl-citation.json"}</w:instrText>
      </w:r>
      <w:r>
        <w:rPr>
          <w:rFonts w:ascii="Calibri Light" w:cs="Calibri Light"/>
        </w:rPr>
        <w:fldChar w:fldCharType="separate"/>
      </w:r>
      <w:r>
        <w:rPr>
          <w:rFonts w:ascii="Calibri Light" w:cs="Calibri Light"/>
          <w:lang w:val="zh-CN" w:eastAsia="zh-CN"/>
        </w:rPr>
        <w:t>(Utami, 2023)</w:t>
      </w:r>
      <w:r>
        <w:rPr>
          <w:rFonts w:ascii="Calibri Light" w:cs="Calibri Light"/>
        </w:rPr>
        <w:fldChar w:fldCharType="end"/>
      </w:r>
      <w:r>
        <w:rPr>
          <w:rFonts w:ascii="Calibri Light" w:cs="Calibri Light"/>
          <w:color w:val="000000"/>
          <w:lang w:val="en-US"/>
        </w:rPr>
        <w:t xml:space="preserve">. Furthermore, the role of political education cannot be ignored. The public needs to be given a deep understanding of legislative mechanisms and the importance of their participation in the democratic process. Through effective political education programs, people can better understand their rights and obligations as citizens </w:t>
      </w:r>
      <w:r>
        <w:rPr>
          <w:rFonts w:ascii="Calibri Light" w:cs="Calibri Light"/>
        </w:rPr>
        <w:fldChar w:fldCharType="begin" w:fldLock="1"/>
      </w:r>
      <w:r>
        <w:rPr>
          <w:rFonts w:ascii="Calibri Light" w:cs="Calibri Light"/>
        </w:rPr>
        <w:instrText xml:space="preserve">ADDIN CSL_CITATION {"citationItems":[{"id":"ITEM-1","itemData":{"ISSN":"2685-550X","author":[{"dropping-particle":"","family":"Rohmah","given":"Elva Imeldatur","non-dropping-particle":"","parse-names":false,"suffix":""},{"dropping-particle":"","family":"Huroirah","given":"Ernawati","non-dropping-particle":"","parse-names":false,"suffix":""},{"dropping-particle":"","family":"Prasetya","given":"Jean Arya Putra","non-dropping-particle":"","parse-names":false,"suffix":""}],"container-title":"Al-Adalah: Jurnal Hukum dan Politik Islam","id":"ITEM-1","issue":"1","issued":{"date-parts":[["2024"]]},"page":"1-23","publisher":"Program Studi Hukum Tata Negara, Fakultas Syariah dan Hukum Islam IAIN Bone","title":"Parliamentary Systems in Continental European Countries and its Relationship to the Effectiveness of Legislative Institutions","type":"article-journal","volume":"9"},"uris":["http://www.mendeley.com/documents/?uuid=fb041f16-5b84-4803-9849-d6d25c7239f7"]}],"mendeley":{"formattedCitation":"(Rohmah et al., 2024)","plainTextFormattedCitation":"(Rohmah et al., 2024)","previouslyFormattedCitation":"(Rohmah et al., 2024)"},"properties":{"noteIndex":0},"schema":"https://github.com/citation-style-language/schema/raw/master/csl-citation.json"}</w:instrText>
      </w:r>
      <w:r>
        <w:rPr>
          <w:rFonts w:ascii="Calibri Light" w:cs="Calibri Light"/>
        </w:rPr>
        <w:fldChar w:fldCharType="separate"/>
      </w:r>
      <w:r>
        <w:rPr>
          <w:rFonts w:ascii="Calibri Light" w:cs="Calibri Light"/>
          <w:lang w:val="zh-CN" w:eastAsia="zh-CN"/>
        </w:rPr>
        <w:t>(Rohmah et al., 2024)</w:t>
      </w:r>
      <w:r>
        <w:rPr>
          <w:rFonts w:ascii="Calibri Light" w:cs="Calibri Light"/>
        </w:rPr>
        <w:fldChar w:fldCharType="end"/>
      </w:r>
      <w:r>
        <w:rPr>
          <w:rFonts w:ascii="Calibri Light" w:cs="Calibri Light"/>
          <w:color w:val="000000"/>
          <w:lang w:val="en-US"/>
        </w:rPr>
        <w:t xml:space="preserve">. This will strengthen collective awareness of the importance of involvement in decision making, as well as encourage the younger generation to participate actively in politics. In this way, the mission to create a better and more democratic legislative system will be closer to reality, producing a government that truly reflects the voices and aspirations of all Indonesian people </w:t>
      </w:r>
      <w:r>
        <w:rPr>
          <w:rFonts w:ascii="Calibri Light" w:cs="Calibri Light"/>
        </w:rPr>
        <w:fldChar w:fldCharType="begin" w:fldLock="1"/>
      </w:r>
      <w:r>
        <w:rPr>
          <w:rFonts w:ascii="Calibri Light" w:cs="Calibri Light"/>
        </w:rPr>
        <w:instrText xml:space="preserve">ADDIN CSL_CITATION {"citationItems":[{"id":"ITEM-1","itemData":{"ISSN":"2158-2440","author":[{"dropping-particle":"","family":"Faiz","given":"Pan Mohamad","non-dropping-particle":"","parse-names":false,"suffix":""},{"dropping-particle":"","family":"Isra","given":"Saldi","non-dropping-particle":"","parse-names":false,"suffix":""},{"dropping-particle":"","family":"Agustine","given":"Oly Viana","non-dropping-particle":"","parse-names":false,"suffix":""}],"container-title":"SAGE Open","id":"ITEM-1","issue":"4","issued":{"date-parts":[["2023"]]},"publisher":"SAGE Publications Sage CA: Los Angeles, CA","title":"Strengthening Indonesia’s Regional Representative Council Through Judicial Review by the Constitutional Court","type":"article-journal","volume":"13"},"uris":["http://www.mendeley.com/documents/?uuid=af6c62eb-9e4c-4c15-b762-3da7cc2fb95f"]}],"mendeley":{"formattedCitation":"(Faiz et al., 2023)","plainTextFormattedCitation":"(Faiz et al., 2023)","previouslyFormattedCitation":"(Faiz et al., 2023)"},"properties":{"noteIndex":0},"schema":"https://github.com/citation-style-language/schema/raw/master/csl-citation.json"}</w:instrText>
      </w:r>
      <w:r>
        <w:rPr>
          <w:rFonts w:ascii="Calibri Light" w:cs="Calibri Light"/>
        </w:rPr>
        <w:fldChar w:fldCharType="separate"/>
      </w:r>
      <w:r>
        <w:rPr>
          <w:rFonts w:ascii="Calibri Light" w:cs="Calibri Light"/>
          <w:lang w:val="zh-CN" w:eastAsia="zh-CN"/>
        </w:rPr>
        <w:t>(Faiz et al., 2023)</w:t>
      </w:r>
      <w:r>
        <w:rPr>
          <w:rFonts w:ascii="Calibri Light" w:cs="Calibri Light"/>
        </w:rPr>
        <w:fldChar w:fldCharType="end"/>
      </w:r>
      <w:r>
        <w:rPr>
          <w:rFonts w:ascii="Calibri Light" w:cs="Calibri Light"/>
          <w:color w:val="000000"/>
          <w:lang w:val="en-US"/>
        </w:rPr>
        <w:t>.</w:t>
      </w:r>
    </w:p>
    <w:p w14:paraId="0147DA78">
      <w:pPr>
        <w:pStyle w:val="2"/>
        <w:ind w:left="360"/>
        <w:rPr>
          <w:rFonts w:ascii="Calibri Light" w:cs="Calibri Light"/>
          <w:b w:val="0"/>
          <w:sz w:val="24"/>
          <w:szCs w:val="24"/>
        </w:rPr>
      </w:pPr>
      <w:r>
        <w:rPr>
          <w:rFonts w:ascii="Calibri Light" w:cs="Calibri Light"/>
          <w:sz w:val="24"/>
          <w:szCs w:val="24"/>
        </w:rPr>
        <w:t>Balanced Bicameral Reconstruction of Lawmaking Power</w:t>
      </w:r>
    </w:p>
    <w:p w14:paraId="3C94D648">
      <w:pPr>
        <w:pStyle w:val="10"/>
        <w:spacing w:before="240"/>
        <w:ind w:left="360"/>
        <w:jc w:val="both"/>
        <w:rPr>
          <w:rFonts w:ascii="Calibri Light" w:cs="Calibri Light"/>
          <w:color w:val="000000"/>
          <w:sz w:val="24"/>
          <w:szCs w:val="24"/>
        </w:rPr>
      </w:pPr>
      <w:r>
        <w:rPr>
          <w:rFonts w:ascii="Calibri Light" w:cs="Calibri Light"/>
          <w:color w:val="000000"/>
          <w:sz w:val="24"/>
          <w:szCs w:val="24"/>
        </w:rPr>
        <w:t>The condition of representative offices in Indonesia shows that both chambers need to be reformed so that they can carry out their legal duties in the interests of society, the nation and the government. In the opinion of the Constitutional Court, all public institutions are part of the overall government administration system, this can be seen from the Constitutional Court Decision Number 92/PUU-X/2012 dated 27 March 2013. This means that working conditions and procedures between government agencies must be part of the implementation of authority government and empowering public institutions to achieve these goals.</w:t>
      </w:r>
    </w:p>
    <w:p w14:paraId="34ED53D6">
      <w:pPr>
        <w:pStyle w:val="10"/>
        <w:spacing w:before="240"/>
        <w:ind w:left="360"/>
        <w:jc w:val="both"/>
        <w:rPr>
          <w:rFonts w:ascii="Calibri Light" w:cs="Calibri Light"/>
          <w:color w:val="000000"/>
          <w:sz w:val="24"/>
          <w:szCs w:val="24"/>
        </w:rPr>
      </w:pPr>
      <w:r>
        <w:rPr>
          <w:rFonts w:ascii="Calibri Light" w:cs="Calibri Light"/>
          <w:color w:val="000000"/>
          <w:sz w:val="24"/>
          <w:szCs w:val="24"/>
        </w:rPr>
        <w:t xml:space="preserve">As institutions regulated by the constitution, the two representative chambers must operate in accordance with the authority they have, within the framework of a system of checks and balances </w:t>
      </w:r>
      <w:r>
        <w:rPr>
          <w:rFonts w:ascii="Calibri Light" w:cs="Calibri Light"/>
          <w:sz w:val="24"/>
          <w:szCs w:val="24"/>
        </w:rPr>
        <w:fldChar w:fldCharType="begin" w:fldLock="1"/>
      </w:r>
      <w:r>
        <w:rPr>
          <w:rFonts w:ascii="Calibri Light" w:cs="Calibri Light"/>
          <w:sz w:val="24"/>
          <w:szCs w:val="24"/>
        </w:rPr>
        <w:instrText xml:space="preserve">ADDIN CSL_CITATION {"citationItems":[{"id":"ITEM-1","itemData":{"ISSN":"1731-6375","author":[{"dropping-particle":"","family":"Patyra","given":"Sławomir","non-dropping-particle":"","parse-names":false,"suffix":""}],"container-title":"Studia Iuridica Lublinensia","id":"ITEM-1","issue":"5","issued":{"date-parts":[["2022"]]},"page":"187-199","publisher":"Wydawnictwo Naukowe Uniwersytetu Marii Curie-Sklodowskiej","title":"Participation of the Polish Senate in the Legislative Process: Towards Equal Bicameralism?","type":"article-journal","volume":"31"},"uris":["http://www.mendeley.com/documents/?uuid=17993978-608c-437b-802b-ed0d0037d7dc"]}],"mendeley":{"formattedCitation":"(Patyra, 2022)","plainTextFormattedCitation":"(Patyra, 2022)","previouslyFormattedCitation":"(Patyra, 2022)"},"properties":{"noteIndex":0},"schema":"https://github.com/citation-style-language/schema/raw/master/csl-citation.json"}</w:instrText>
      </w:r>
      <w:r>
        <w:rPr>
          <w:rFonts w:ascii="Calibri Light" w:cs="Calibri Light"/>
          <w:sz w:val="24"/>
          <w:szCs w:val="24"/>
        </w:rPr>
        <w:fldChar w:fldCharType="separate"/>
      </w:r>
      <w:r>
        <w:rPr>
          <w:rFonts w:ascii="Calibri Light" w:cs="Calibri Light"/>
          <w:sz w:val="24"/>
          <w:szCs w:val="24"/>
          <w:lang w:val="zh-CN" w:eastAsia="zh-CN"/>
        </w:rPr>
        <w:t>(Patyra, 2022)</w:t>
      </w:r>
      <w:r>
        <w:rPr>
          <w:rFonts w:ascii="Calibri Light" w:cs="Calibri Light"/>
          <w:sz w:val="24"/>
          <w:szCs w:val="24"/>
        </w:rPr>
        <w:fldChar w:fldCharType="end"/>
      </w:r>
      <w:r>
        <w:rPr>
          <w:rFonts w:ascii="Calibri Light" w:cs="Calibri Light"/>
          <w:color w:val="000000"/>
          <w:sz w:val="24"/>
          <w:szCs w:val="24"/>
        </w:rPr>
        <w:t xml:space="preserve">. This ensures that no public institution is in a subordinate position, but rather has an equal relationship </w:t>
      </w:r>
      <w:r>
        <w:rPr>
          <w:rFonts w:ascii="Calibri Light" w:cs="Calibri Light"/>
          <w:sz w:val="24"/>
          <w:szCs w:val="24"/>
        </w:rPr>
        <w:fldChar w:fldCharType="begin" w:fldLock="1"/>
      </w:r>
      <w:r>
        <w:rPr>
          <w:rFonts w:ascii="Calibri Light" w:cs="Calibri Light"/>
          <w:sz w:val="24"/>
          <w:szCs w:val="24"/>
        </w:rPr>
        <w:instrText xml:space="preserve">ADDIN CSL_CITATION {"citationItems":[{"id":"ITEM-1","itemData":{"author":[{"dropping-particle":"","family":"Mukhlis","given":"Muhammad Mutawalli","non-dropping-particle":"","parse-names":false,"suffix":""},{"dropping-particle":"","family":"Maskun","given":"","non-dropping-particle":"","parse-names":false,"suffix":""},{"dropping-particle":"","family":"Tajuddin","given":"Muhammad Saleh","non-dropping-particle":"","parse-names":false,"suffix":""},{"dropping-particle":"","family":"Paidi","given":"Zulhilmi","non-dropping-particle":"","parse-names":false,"suffix":""}],"container-title":"Journal of Law and Legal Reform","id":"ITEM-1","issue":"2","issued":{"date-parts":[["2024"]]},"page":"485-530","title":"Regional government according to the 1945 constitution: ideas refinements and law reform","type":"article-journal","volume":"5"},"uris":["http://www.mendeley.com/documents/?uuid=be74b120-abf3-44e7-bb2f-81a525ab98ae"]}],"mendeley":{"formattedCitation":"(Mukhlis et al., 2024)","plainTextFormattedCitation":"(Mukhlis et al., 2024)","previouslyFormattedCitation":"(Mukhlis et al., 2024)"},"properties":{"noteIndex":0},"schema":"https://github.com/citation-style-language/schema/raw/master/csl-citation.json"}</w:instrText>
      </w:r>
      <w:r>
        <w:rPr>
          <w:rFonts w:ascii="Calibri Light" w:cs="Calibri Light"/>
          <w:sz w:val="24"/>
          <w:szCs w:val="24"/>
        </w:rPr>
        <w:fldChar w:fldCharType="separate"/>
      </w:r>
      <w:r>
        <w:rPr>
          <w:rFonts w:ascii="Calibri Light" w:cs="Calibri Light"/>
          <w:sz w:val="24"/>
          <w:szCs w:val="24"/>
          <w:lang w:val="zh-CN" w:eastAsia="zh-CN"/>
        </w:rPr>
        <w:t>(Mukhlis et al., 2024)</w:t>
      </w:r>
      <w:r>
        <w:rPr>
          <w:rFonts w:ascii="Calibri Light" w:cs="Calibri Light"/>
          <w:sz w:val="24"/>
          <w:szCs w:val="24"/>
        </w:rPr>
        <w:fldChar w:fldCharType="end"/>
      </w:r>
      <w:r>
        <w:rPr>
          <w:rFonts w:ascii="Calibri Light" w:cs="Calibri Light"/>
          <w:color w:val="000000"/>
          <w:sz w:val="24"/>
          <w:szCs w:val="24"/>
        </w:rPr>
        <w:t xml:space="preserve">. The balance of power mechanism is very important, especially in lawmaking by parliament which has a bicameral structure. According to R. Hogue and Martin Harrop </w:t>
      </w:r>
      <w:r>
        <w:rPr>
          <w:rFonts w:ascii="Calibri Light" w:cs="Calibri Light"/>
          <w:sz w:val="24"/>
          <w:szCs w:val="24"/>
        </w:rPr>
        <w:fldChar w:fldCharType="begin" w:fldLock="1"/>
      </w:r>
      <w:r>
        <w:rPr>
          <w:rFonts w:ascii="Calibri Light" w:cs="Calibri Light"/>
          <w:sz w:val="24"/>
          <w:szCs w:val="24"/>
        </w:rPr>
        <w:instrText xml:space="preserve">ADDIN CSL_CITATION {"citationItems":[{"id":"ITEM-1","itemData":{"DOI":"10.24246/alethea.vol4.no1.p75-94","ISSN":"2723-2298","author":[{"dropping-particle":"","family":"Chidqi","given":"Achmad Labib","non-dropping-particle":"","parse-names":false,"suffix":""}],"container-title":"Jurnal Ilmu Hukum: ALETHEA","id":"ITEM-1","issue":"1","issued":{"date-parts":[["2020"]]},"page":"75-94","title":"Perluasan Kewenangan Dewan Perwakilan Daerah Ditinjau dari Bikameral yang Ideal","type":"article-journal","volume":"4"},"uris":["http://www.mendeley.com/documents/?uuid=bdaedaf2-13fb-4a1f-ae23-db4e002a218d"]}],"mendeley":{"formattedCitation":"(Chidqi, 2020)","plainTextFormattedCitation":"(Chidqi, 2020)","previouslyFormattedCitation":"(Chidqi, 2020)"},"properties":{"noteIndex":0},"schema":"https://github.com/citation-style-language/schema/raw/master/csl-citation.json"}</w:instrText>
      </w:r>
      <w:r>
        <w:rPr>
          <w:rFonts w:ascii="Calibri Light" w:cs="Calibri Light"/>
          <w:sz w:val="24"/>
          <w:szCs w:val="24"/>
        </w:rPr>
        <w:fldChar w:fldCharType="separate"/>
      </w:r>
      <w:r>
        <w:rPr>
          <w:rFonts w:ascii="Calibri Light" w:cs="Calibri Light"/>
          <w:sz w:val="24"/>
          <w:szCs w:val="24"/>
          <w:lang w:val="zh-CN" w:eastAsia="zh-CN"/>
        </w:rPr>
        <w:t>(Chidqi, 2020)</w:t>
      </w:r>
      <w:r>
        <w:rPr>
          <w:rFonts w:ascii="Calibri Light" w:cs="Calibri Light"/>
          <w:sz w:val="24"/>
          <w:szCs w:val="24"/>
        </w:rPr>
        <w:fldChar w:fldCharType="end"/>
      </w:r>
      <w:r>
        <w:rPr>
          <w:rFonts w:ascii="Calibri Light" w:cs="Calibri Light"/>
          <w:color w:val="000000"/>
          <w:sz w:val="24"/>
          <w:szCs w:val="24"/>
        </w:rPr>
        <w:t>, the main aim of establishing a dual-chamber system is to represent diverse interests in society and provide a checks and balances mechanism between legislative institutions.</w:t>
      </w:r>
    </w:p>
    <w:p w14:paraId="0FB60938">
      <w:pPr>
        <w:pStyle w:val="10"/>
        <w:spacing w:before="240"/>
        <w:ind w:left="360"/>
        <w:jc w:val="both"/>
        <w:rPr>
          <w:rFonts w:ascii="Calibri Light" w:cs="Calibri Light"/>
          <w:color w:val="000000"/>
          <w:sz w:val="24"/>
          <w:szCs w:val="24"/>
        </w:rPr>
      </w:pPr>
      <w:r>
        <w:rPr>
          <w:rFonts w:ascii="Calibri Light" w:cs="Calibri Light"/>
          <w:color w:val="000000"/>
          <w:sz w:val="24"/>
          <w:szCs w:val="24"/>
          <w:highlight w:val="yellow"/>
        </w:rPr>
        <w:t>This comparative analysis of bicameral systems in several unitary states is not intended to propose wholesale adoption of foreign models, but rather to offer reflective insights into the potential for reconstructing Indonesia’s parliamentary framework in accordance with its own constitutional identity and political context.</w:t>
      </w:r>
      <w:r>
        <w:rPr>
          <w:rFonts w:ascii="Calibri Light" w:cs="Calibri Light"/>
          <w:color w:val="000000"/>
          <w:sz w:val="24"/>
          <w:szCs w:val="24"/>
        </w:rPr>
        <w:t xml:space="preserve"> While the bicameral system is prevalent in federal governments, it does not preclude the possibility of its adoption by a unitary government. The assertion that a bicameral system may jeopardize national unity has become increasingly untenable. A balanced bicameral parliament has been established in various unitary nations, including England, France, the Netherlands, and Italy </w:t>
      </w:r>
      <w:r>
        <w:rPr>
          <w:rFonts w:ascii="Calibri Light" w:cs="Calibri Light"/>
          <w:sz w:val="24"/>
          <w:szCs w:val="24"/>
        </w:rPr>
        <w:fldChar w:fldCharType="begin" w:fldLock="1"/>
      </w:r>
      <w:r>
        <w:rPr>
          <w:rFonts w:ascii="Calibri Light" w:cs="Calibri Light"/>
          <w:sz w:val="24"/>
          <w:szCs w:val="24"/>
        </w:rPr>
        <w:instrText xml:space="preserve">ADDIN CSL_CITATION {"citationItems":[{"id":"ITEM-1","itemData":{"DOI":"10.14710/mmh.48.3.2019.266-274","ISSN":"2527-4716","author":[{"dropping-particle":"","family":"Tinambunan","given":"Hezron Sabar Rotua","non-dropping-particle":"","parse-names":false,"suffix":""},{"dropping-particle":"","family":"Prasetio","given":"Dicky Eko","non-dropping-particle":"","parse-names":false,"suffix":""}],"container-title":"Masalah-Masalah Hukum","id":"ITEM-1","issue":"3","issued":{"date-parts":[["2019"]]},"page":"266-274","title":"Rekonstruksi Konstitusi dalam Regional Representative Dewan Perwakilan Daerah terhadap Fungsi Legislatif","type":"article-journal","volume":"48"},"uris":["http://www.mendeley.com/documents/?uuid=948e70e8-fd34-4954-9bd1-ccdcf33eb271"]}],"mendeley":{"formattedCitation":"(Tinambunan &amp; Prasetio, 2019)","plainTextFormattedCitation":"(Tinambunan &amp; Prasetio, 2019)","previouslyFormattedCitation":"(Tinambunan &amp; Prasetio, 2019)"},"properties":{"noteIndex":0},"schema":"https://github.com/citation-style-language/schema/raw/master/csl-citation.json"}</w:instrText>
      </w:r>
      <w:r>
        <w:rPr>
          <w:rFonts w:ascii="Calibri Light" w:cs="Calibri Light"/>
          <w:sz w:val="24"/>
          <w:szCs w:val="24"/>
        </w:rPr>
        <w:fldChar w:fldCharType="separate"/>
      </w:r>
      <w:r>
        <w:rPr>
          <w:rFonts w:ascii="Calibri Light" w:cs="Calibri Light"/>
          <w:sz w:val="24"/>
          <w:szCs w:val="24"/>
          <w:lang w:val="zh-CN" w:eastAsia="zh-CN"/>
        </w:rPr>
        <w:t>(Tinambunan &amp; Prasetio, 2019)</w:t>
      </w:r>
      <w:r>
        <w:rPr>
          <w:rFonts w:ascii="Calibri Light" w:cs="Calibri Light"/>
          <w:sz w:val="24"/>
          <w:szCs w:val="24"/>
        </w:rPr>
        <w:fldChar w:fldCharType="end"/>
      </w:r>
      <w:r>
        <w:rPr>
          <w:rFonts w:ascii="Calibri Light" w:cs="Calibri Light"/>
          <w:color w:val="000000"/>
          <w:sz w:val="24"/>
          <w:szCs w:val="24"/>
        </w:rPr>
        <w:t>. In the Netherlands, the legislative body, referred to as "the whole country," consists of two chambers: the Eerste Kamer (upper house) and the Tweede Kamer (lower house). The Eerste Kamer serves a function akin to that of the Second Chamber in Indonesia, with its members embodying the interests of their respective regions. The two assemblies possess equivalent authority to enact legislation, endorse or disapprove proposed laws from the Prime Minister or the Council of Ministers, and to appoint or remove the Prime Minister and Chief Justice.</w:t>
      </w:r>
    </w:p>
    <w:p w14:paraId="558C5FF7">
      <w:pPr>
        <w:pStyle w:val="10"/>
        <w:spacing w:before="240"/>
        <w:ind w:left="360"/>
        <w:jc w:val="both"/>
        <w:rPr>
          <w:rFonts w:ascii="Calibri Light" w:cs="Calibri Light"/>
          <w:color w:val="000000"/>
          <w:sz w:val="24"/>
          <w:szCs w:val="24"/>
        </w:rPr>
      </w:pPr>
      <w:r>
        <w:rPr>
          <w:rFonts w:ascii="Calibri Light" w:cs="Calibri Light"/>
          <w:color w:val="000000"/>
          <w:sz w:val="24"/>
          <w:szCs w:val="24"/>
        </w:rPr>
        <w:t xml:space="preserve">During the establishment of the British Parliament, the House of Commons and the House of Lords possessed equivalent powers, particularly concerning legislative matters, as elucidated in The Role of the House of Lords: The functions, responsibilities, and authorities it encompasses. The House of Lords, serving as the upper chamber, assumes a pivotal function in the reform of legislation and the oversight of the government by meticulously examining all its policies and procedures. The House of Lords, akin to the House of Commons, serves as a platform for the examination and discourse surrounding executive policy </w:t>
      </w:r>
      <w:r>
        <w:rPr>
          <w:rFonts w:ascii="Calibri Light" w:cs="Calibri Light"/>
          <w:sz w:val="24"/>
          <w:szCs w:val="24"/>
        </w:rPr>
        <w:fldChar w:fldCharType="begin" w:fldLock="1"/>
      </w:r>
      <w:r>
        <w:rPr>
          <w:rFonts w:ascii="Calibri Light" w:cs="Calibri Light"/>
          <w:sz w:val="24"/>
          <w:szCs w:val="24"/>
        </w:rPr>
        <w:instrText xml:space="preserve">ADDIN CSL_CITATION {"citationItems":[{"id":"ITEM-1","itemData":{"DOI":"10.1111/lsq.12267","ISSN":"0362-9805","author":[{"dropping-particle":"","family":"Ryan","given":"Josh M","non-dropping-particle":"","parse-names":false,"suffix":""}],"container-title":</w:instrText>
      </w:r>
      <w:r>
        <w:rPr>
          <w:rFonts w:hint="eastAsia" w:ascii="Calibri Light" w:cs="Calibri Light"/>
          <w:sz w:val="24"/>
          <w:szCs w:val="24"/>
        </w:rPr>
        <w:instrText xml:space="preserve">"Legislative Studies Quarterly","id":"ITEM-1","issue":"3","issued":{"date-parts":[["2020"]]},"page":"365-396","publisher":"Wiley Online Library","title":"Bicameralism and Minority‐Party Influence on Legislative Development: Evidence from House Standing Co</w:instrText>
      </w:r>
      <w:r>
        <w:rPr>
          <w:rFonts w:ascii="Calibri Light" w:cs="Calibri Light"/>
          <w:sz w:val="24"/>
          <w:szCs w:val="24"/>
        </w:rPr>
        <w:instrText xml:space="preserve">mmittee Votes","type":"article-journal","volume":"45"},"uris":["http://www.mendeley.com/documents/?uuid=c51ce3c3-a2a6-4303-8758-67ec96a77ff8"]}],"mendeley":{"formattedCitation":"(Ryan, 2020)","plainTextFormattedCitation":"(Ryan, 2020)","previouslyFormattedCitation":"(Ryan, 2020)"},"properties":{"noteIndex":0},"schema":"https://github.com/citation-style-language/schema/raw/master/csl-citation.json"}</w:instrText>
      </w:r>
      <w:r>
        <w:rPr>
          <w:rFonts w:ascii="Calibri Light" w:cs="Calibri Light"/>
          <w:sz w:val="24"/>
          <w:szCs w:val="24"/>
        </w:rPr>
        <w:fldChar w:fldCharType="separate"/>
      </w:r>
      <w:r>
        <w:rPr>
          <w:rFonts w:ascii="Calibri Light" w:cs="Calibri Light"/>
          <w:sz w:val="24"/>
          <w:szCs w:val="24"/>
          <w:lang w:val="zh-CN" w:eastAsia="zh-CN"/>
        </w:rPr>
        <w:t>(Ryan, 2020)</w:t>
      </w:r>
      <w:r>
        <w:rPr>
          <w:rFonts w:ascii="Calibri Light" w:cs="Calibri Light"/>
          <w:sz w:val="24"/>
          <w:szCs w:val="24"/>
        </w:rPr>
        <w:fldChar w:fldCharType="end"/>
      </w:r>
      <w:r>
        <w:rPr>
          <w:rFonts w:ascii="Calibri Light" w:cs="Calibri Light"/>
          <w:color w:val="000000"/>
          <w:sz w:val="24"/>
          <w:szCs w:val="24"/>
        </w:rPr>
        <w:t>. Typically, all legislative measures require approval from both chambers prior to their enactment, with the initiation of the submission process occurring within each chamber. Typically, the endorsement of the House of Lords is necessary prior to the ratification of an Act of Parliament, and the Lords possess the authority to modify all legislation, with the exception of those pertaining to taxation, which fall under the jurisdiction of the Commons. Approval from both houses is requisite for the changes to be enacted. The House of Lords engages in the meticulous process of amending draft laws, dedicating two-thirds of its time to the revision of these legislative texts.</w:t>
      </w:r>
    </w:p>
    <w:p w14:paraId="054A7088">
      <w:pPr>
        <w:pStyle w:val="10"/>
        <w:spacing w:before="240"/>
        <w:ind w:left="360"/>
        <w:jc w:val="both"/>
        <w:rPr>
          <w:rFonts w:ascii="Calibri Light" w:cs="Calibri Light"/>
          <w:color w:val="000000"/>
          <w:sz w:val="24"/>
          <w:szCs w:val="24"/>
        </w:rPr>
      </w:pPr>
      <w:r>
        <w:rPr>
          <w:rFonts w:ascii="Calibri Light" w:cs="Calibri Light"/>
          <w:color w:val="000000"/>
          <w:sz w:val="24"/>
          <w:szCs w:val="24"/>
        </w:rPr>
        <w:t xml:space="preserve">The notion of equality in legislative authority suggests a necessity for the reformation of the Indonesian parliament towards a more balanced or robust bicameral framework. </w:t>
      </w:r>
      <w:r>
        <w:rPr>
          <w:rFonts w:ascii="Calibri Light" w:cs="Calibri Light"/>
          <w:color w:val="000000"/>
          <w:sz w:val="24"/>
          <w:szCs w:val="24"/>
          <w:highlight w:val="green"/>
        </w:rPr>
        <w:t>This reconstruction aimed not merely to establish equilibrium between the two assemblies, but also, as articulated by C.F. Strong, bicameralism serves to avert the precipitous enactment of legislation by a single chamber. Jimly Asshiddiqie posited that robust bicameralism has the potential to foster a more stable dynamic between the executive and the legislature, which is particularly relevant in the Indonesian context where the swift passage of the Omnibus Law on Job Creation in 2020—despite public controversy and limited DPD oversight—highlighted the potential risks of weak bicameral practices</w:t>
      </w:r>
      <w:r>
        <w:rPr>
          <w:rFonts w:ascii="Calibri Light" w:cs="Calibri Light"/>
          <w:color w:val="000000"/>
          <w:sz w:val="24"/>
          <w:szCs w:val="24"/>
        </w:rPr>
        <w:t xml:space="preserve">. Consequently, a well-structured or robust bicameral system can mitigate legislative mistakes from a single assembly and establish a reciprocal oversight mechanism within parliament, ensuring that the resultant policies garner supermajority backing and achieve greater acceptance and stability </w:t>
      </w:r>
      <w:r>
        <w:rPr>
          <w:rFonts w:ascii="Calibri Light" w:cs="Calibri Light"/>
          <w:sz w:val="24"/>
          <w:szCs w:val="24"/>
        </w:rPr>
        <w:fldChar w:fldCharType="begin" w:fldLock="1"/>
      </w:r>
      <w:r>
        <w:rPr>
          <w:rFonts w:ascii="Calibri Light" w:cs="Calibri Light"/>
          <w:sz w:val="24"/>
          <w:szCs w:val="24"/>
        </w:rPr>
        <w:instrText xml:space="preserve">ADDIN CSL_CITATION {"citationItems":[{"id":"ITEM-1","itemData":{"DOI":"10.1111/dome.12217","ISSN":"1060-4367","author":[{"dropping-particle":"","family":"Badran","given":"Simon","non-dropping-particle":"","parse-names":false,"suffix":""}],"container-title":"Digest of Middle East Studies","id":"ITEM-1","issue":"2","issued":{"date-parts":[["2020"]]},"page":"200-214","publisher":"Wiley Online Library","title":"The Dissolution of The Lebanese Parliament: A Perverted Application of The Parliamentary System","type":"article-journal","volume":"29"},"uris":["http://www.mendeley.com/documents/?uuid=c4c80b3a-31c9-40af-9c9f-074303bec8c8"]},{"id":"ITEM-2","itemData":{"DOI":"10.1111/jcms.13026","ISSN":"0021-9886","author":[{"dropping-particle":"","family":"Theodoro Luciano","given":"Bruno","non-dropping-particle":"","parse-names":false,"suffix":""}],"container-title":"JCMS: Journal of Common Market Studies","id":"ITEM-2","issue":"5","issued":{"date-parts":[["2020"]]},"page":"1182-1198","publisher":"Wiley Online Librar</w:instrText>
      </w:r>
      <w:r>
        <w:rPr>
          <w:rFonts w:hint="eastAsia" w:ascii="Calibri Light" w:cs="Calibri Light"/>
          <w:sz w:val="24"/>
          <w:szCs w:val="24"/>
        </w:rPr>
        <w:instrText xml:space="preserve">y","title":"A Clash between Creature and Creator? Contemporary Relations between the Pan‐African Parliament and the European Parliament","type":"article-journal","volume":"58"},"uris":["http://www.mendeley.com/documents/?uuid=fd993476-695c-4d9d-93fa-20b7f</w:instrText>
      </w:r>
      <w:r>
        <w:rPr>
          <w:rFonts w:ascii="Calibri Light" w:cs="Calibri Light"/>
          <w:sz w:val="24"/>
          <w:szCs w:val="24"/>
        </w:rPr>
        <w:instrText xml:space="preserve">3e02f07"]}],"mendeley":{"formattedCitation":"(Badran, 2020; Theodoro Luciano, 2020)","plainTextFormattedCitation":"(Badran, 2020; Theodoro Luciano, 2020)","previouslyFormattedCitation":"(Badran, 2020; Theodoro Luciano, 2020)"},"properties":{"noteIndex":0},"schema":"https://github.com/citation-style-language/schema/raw/master/csl-citation.json"}</w:instrText>
      </w:r>
      <w:r>
        <w:rPr>
          <w:rFonts w:ascii="Calibri Light" w:cs="Calibri Light"/>
          <w:sz w:val="24"/>
          <w:szCs w:val="24"/>
        </w:rPr>
        <w:fldChar w:fldCharType="separate"/>
      </w:r>
      <w:r>
        <w:rPr>
          <w:rFonts w:ascii="Calibri Light" w:cs="Calibri Light"/>
          <w:sz w:val="24"/>
          <w:szCs w:val="24"/>
          <w:lang w:val="zh-CN" w:eastAsia="zh-CN"/>
        </w:rPr>
        <w:t>(Badran, 2020; Theodoro Luciano, 2020)</w:t>
      </w:r>
      <w:r>
        <w:rPr>
          <w:rFonts w:ascii="Calibri Light" w:cs="Calibri Light"/>
          <w:sz w:val="24"/>
          <w:szCs w:val="24"/>
        </w:rPr>
        <w:fldChar w:fldCharType="end"/>
      </w:r>
      <w:r>
        <w:rPr>
          <w:rFonts w:ascii="Calibri Light" w:cs="Calibri Light"/>
          <w:color w:val="000000"/>
          <w:sz w:val="24"/>
          <w:szCs w:val="24"/>
        </w:rPr>
        <w:t>.</w:t>
      </w:r>
    </w:p>
    <w:p w14:paraId="13CBD72B">
      <w:pPr>
        <w:pStyle w:val="10"/>
        <w:spacing w:before="240"/>
        <w:ind w:left="360"/>
        <w:jc w:val="both"/>
        <w:rPr>
          <w:rFonts w:ascii="Calibri Light" w:cs="Calibri Light"/>
          <w:color w:val="000000"/>
          <w:sz w:val="24"/>
          <w:szCs w:val="24"/>
        </w:rPr>
      </w:pPr>
      <w:r>
        <w:rPr>
          <w:rFonts w:ascii="Calibri Light" w:cs="Calibri Light"/>
          <w:color w:val="000000"/>
          <w:sz w:val="24"/>
          <w:szCs w:val="24"/>
        </w:rPr>
        <w:t xml:space="preserve">It is difficult to achieve this condition in an unbalanced or weak two-chamber system. The main criterion in determining the strength of this system is that if the status of the two houses is different then the system is considered weak. Article 22D shows that the Indonesian constitution adheres to a weak bicameral system where one body has greater power than the other. As a result, the DPD is in a weak position as a secondary chamber that has limited authority </w:t>
      </w:r>
      <w:r>
        <w:rPr>
          <w:rFonts w:ascii="Calibri Light" w:cs="Calibri Light"/>
          <w:sz w:val="24"/>
          <w:szCs w:val="24"/>
        </w:rPr>
        <w:fldChar w:fldCharType="begin" w:fldLock="1"/>
      </w:r>
      <w:r>
        <w:rPr>
          <w:rFonts w:ascii="Calibri Light" w:cs="Calibri Light"/>
          <w:sz w:val="24"/>
          <w:szCs w:val="24"/>
        </w:rPr>
        <w:instrText xml:space="preserve">ADDIN CSL_CITATION {"citationItems":[{"id":"ITEM-1","itemData":{"author":[{"dropping-particle":"","family":"Jackson","given":"Katharine","non-dropping-particle":"","parse-names":false,"suffix":""}],"container-title":"Conn. L. Rev.","id":"ITEM-1","issued":{"date-parts":[["2023"]]},"page":"1","publisher":"HeinOnline","title":"The Public Trust: Administrative Legitimacy and Democratic Lawmaking","type":"article-journal","volume":"56"},"uris":["http://www.mendeley.com/documents/?uuid=918d34f8-8555-4fca-b5db-4e7cfa1c13db"]}],"mendeley":{"formattedCitation":"(Jackson, 2023)","plainTextFormattedCitation":"(Jackson, 2023)","previouslyFormattedCitation":"(Jackson, 2023)"},"properties":{"noteIndex":0},"schema":"https://github.com/citation-style-language/schema/raw/master/csl-citation.json"}</w:instrText>
      </w:r>
      <w:r>
        <w:rPr>
          <w:rFonts w:ascii="Calibri Light" w:cs="Calibri Light"/>
          <w:sz w:val="24"/>
          <w:szCs w:val="24"/>
        </w:rPr>
        <w:fldChar w:fldCharType="separate"/>
      </w:r>
      <w:r>
        <w:rPr>
          <w:rFonts w:ascii="Calibri Light" w:cs="Calibri Light"/>
          <w:sz w:val="24"/>
          <w:szCs w:val="24"/>
          <w:lang w:val="zh-CN" w:eastAsia="zh-CN"/>
        </w:rPr>
        <w:t>(Jackson, 2023)</w:t>
      </w:r>
      <w:r>
        <w:rPr>
          <w:rFonts w:ascii="Calibri Light" w:cs="Calibri Light"/>
          <w:sz w:val="24"/>
          <w:szCs w:val="24"/>
        </w:rPr>
        <w:fldChar w:fldCharType="end"/>
      </w:r>
      <w:r>
        <w:rPr>
          <w:rFonts w:ascii="Calibri Light" w:cs="Calibri Light"/>
          <w:color w:val="000000"/>
          <w:sz w:val="24"/>
          <w:szCs w:val="24"/>
        </w:rPr>
        <w:t xml:space="preserve">. This power structure does not reflect the authority of institutions in the constitution and is contrary to the government's position in the legal field and has an impact on the budget, protocols and other facilities which are not much different from the first incident. Apart from that, the challenges of being a DPD member are greater than being a member of the first assembly, even though the DPD's authority is smaller </w:t>
      </w:r>
      <w:r>
        <w:rPr>
          <w:rFonts w:ascii="Calibri Light" w:cs="Calibri Light"/>
          <w:sz w:val="24"/>
          <w:szCs w:val="24"/>
        </w:rPr>
        <w:fldChar w:fldCharType="begin" w:fldLock="1"/>
      </w:r>
      <w:r>
        <w:rPr>
          <w:rFonts w:ascii="Calibri Light" w:cs="Calibri Light"/>
          <w:sz w:val="24"/>
          <w:szCs w:val="24"/>
        </w:rPr>
        <w:instrText xml:space="preserve">ADDIN CSL_CITATION {"citationItems":[{"id":"ITEM-1","itemData":{"author":[{"dropping-particle":"","family":"Akbal","given":"Muhammad","non-dropping-particle":"","parse-names":false,"suffix":""},{"dropping-particle":"","family":"Amin","given":"Muhammad","non-dropping-particle":"","parse-names":false,"suffix":""},{"dropping-particle":"","family":"Bakhtiar","given":"Bakhtiar","non-dropping-particle":"","parse-names":false,"suffix":""}],"container-title":"SUPREMASI: Jurnal Pemikiran, Penelitian Ilmu-ilmu Sosial, Hukum dan Pengajarannya","id":"ITEM-1","issue":"1","issued":{"date-parts":[["2022"]]},"page":"031-043","title":"Kewenangan Dewan Perwakilan Daerah dalam Sistem Bikameral Berdasarkan Prinsip Check and Balances","type":"article-journal","volume":"17"},"uris":["http://www.mendeley.com/documents/?uuid=ba98fc9b-bcee-4541-ba54-82195879d8ba"]}],"mendeley":{"formattedCitation":"(Akbal et al., 2022)","plainTextFormattedCitation":"(Akbal et al., 2022)","previouslyFormattedCitation":"(Akbal et al., 2022)"},"properties":{"noteIndex":0},"schema":"https://github.com/citation-style-language/schema/raw/master/csl-citation.json"}</w:instrText>
      </w:r>
      <w:r>
        <w:rPr>
          <w:rFonts w:ascii="Calibri Light" w:cs="Calibri Light"/>
          <w:sz w:val="24"/>
          <w:szCs w:val="24"/>
        </w:rPr>
        <w:fldChar w:fldCharType="separate"/>
      </w:r>
      <w:r>
        <w:rPr>
          <w:rFonts w:ascii="Calibri Light" w:cs="Calibri Light"/>
          <w:sz w:val="24"/>
          <w:szCs w:val="24"/>
          <w:lang w:val="zh-CN" w:eastAsia="zh-CN"/>
        </w:rPr>
        <w:t>(Akbal et al., 2022)</w:t>
      </w:r>
      <w:r>
        <w:rPr>
          <w:rFonts w:ascii="Calibri Light" w:cs="Calibri Light"/>
          <w:sz w:val="24"/>
          <w:szCs w:val="24"/>
        </w:rPr>
        <w:fldChar w:fldCharType="end"/>
      </w:r>
      <w:r>
        <w:rPr>
          <w:rFonts w:ascii="Calibri Light" w:cs="Calibri Light"/>
          <w:color w:val="000000"/>
          <w:sz w:val="24"/>
          <w:szCs w:val="24"/>
        </w:rPr>
        <w:t>.</w:t>
      </w:r>
    </w:p>
    <w:p w14:paraId="0E0A4439">
      <w:pPr>
        <w:pStyle w:val="10"/>
        <w:spacing w:before="240"/>
        <w:ind w:left="360"/>
        <w:jc w:val="both"/>
        <w:rPr>
          <w:rFonts w:ascii="Calibri Light" w:cs="Calibri Light"/>
          <w:color w:val="000000"/>
          <w:sz w:val="24"/>
          <w:szCs w:val="24"/>
        </w:rPr>
      </w:pPr>
      <w:r>
        <w:rPr>
          <w:rFonts w:ascii="Calibri Light" w:cs="Calibri Light"/>
          <w:color w:val="000000"/>
          <w:sz w:val="24"/>
          <w:szCs w:val="24"/>
        </w:rPr>
        <w:t>The necessity for a well-structured bicameral parliamentary system, grounded in the tenets of robust bicameralism, holds significant importance for tourism matters in Indonesia. In this context, the DPD, established to represent regional interests following the amendments to the 1945 Constitution, is required to fulfill a balanced function in both accommodating and articulating regional aspirations, in conjunction with the DPR, which serves as the political representative. Three primary justifications exist for the reconstruction of the bicameral system in Indonesia: Initially, a well-structured bicameral system possesses the capacity to encapsulate a diverse array of voter perspectives, thereby enhancing its representational efficacy. Secondly, an analytical approach in formulating regulations serves as a manifestation of the fourth principle of Pancasila. Third, as a proactive measure to enhance the quality of legislative outputs, thereby ensuring that the legislative process operates with greater effectiveness and efficiency, while simultaneously minimizing the likelihood of judicial review by the Constitutional Court. Fourth, to enhance oversight of executive institutions and achieve integrity in governance and effective administration.</w:t>
      </w:r>
    </w:p>
    <w:p w14:paraId="3AE7E9A4">
      <w:pPr>
        <w:pStyle w:val="10"/>
        <w:spacing w:before="240"/>
        <w:ind w:left="360"/>
        <w:jc w:val="both"/>
        <w:rPr>
          <w:rFonts w:ascii="Calibri Light" w:cs="Calibri Light"/>
          <w:color w:val="000000"/>
          <w:sz w:val="24"/>
          <w:szCs w:val="24"/>
          <w:lang w:val="fi-FI"/>
        </w:rPr>
      </w:pPr>
      <w:r>
        <w:rPr>
          <w:rFonts w:ascii="Calibri Light" w:cs="Calibri Light"/>
          <w:color w:val="000000"/>
          <w:sz w:val="24"/>
          <w:szCs w:val="24"/>
        </w:rPr>
        <w:t>In Decision Number 92/PUU-X/2012, the Constitutional Court implemented responsive and progressive reforms by restoring the authority of the DPD, especially in the legislative sector.</w:t>
      </w:r>
    </w:p>
    <w:p w14:paraId="6DFB157D">
      <w:pPr>
        <w:pStyle w:val="10"/>
        <w:spacing w:before="240"/>
        <w:ind w:left="360"/>
        <w:jc w:val="both"/>
        <w:rPr>
          <w:rFonts w:ascii="Calibri Light" w:cs="Calibri Light"/>
          <w:color w:val="000000"/>
          <w:sz w:val="24"/>
          <w:szCs w:val="24"/>
          <w:lang w:val="fi-FI"/>
        </w:rPr>
      </w:pPr>
      <w:r>
        <w:rPr>
          <w:rFonts w:ascii="Calibri Light" w:cs="Calibri Light"/>
          <w:color w:val="000000"/>
          <w:sz w:val="24"/>
          <w:szCs w:val="24"/>
          <w:lang w:val="fi-FI"/>
        </w:rPr>
        <w:t xml:space="preserve">In its decision, the court emphasized the following five points: </w:t>
      </w:r>
    </w:p>
    <w:p w14:paraId="54743F3D">
      <w:pPr>
        <w:pStyle w:val="10"/>
        <w:widowControl w:val="0"/>
        <w:numPr>
          <w:ilvl w:val="0"/>
          <w:numId w:val="13"/>
        </w:numPr>
        <w:spacing w:after="0"/>
        <w:jc w:val="both"/>
        <w:rPr>
          <w:rFonts w:ascii="Calibri Light" w:cs="Calibri Light"/>
          <w:color w:val="000000"/>
          <w:sz w:val="24"/>
          <w:szCs w:val="24"/>
          <w:lang w:val="fi-FI"/>
        </w:rPr>
      </w:pPr>
      <w:r>
        <w:rPr>
          <w:rFonts w:ascii="Calibri Light" w:cs="Calibri Light"/>
          <w:color w:val="000000"/>
          <w:sz w:val="24"/>
          <w:szCs w:val="24"/>
          <w:lang w:val="fi-FI"/>
        </w:rPr>
        <w:t>DPD RI is involved in preparing the national legislation program (Prolegnas).</w:t>
      </w:r>
    </w:p>
    <w:p w14:paraId="0AAAF77B">
      <w:pPr>
        <w:pStyle w:val="10"/>
        <w:widowControl w:val="0"/>
        <w:numPr>
          <w:ilvl w:val="0"/>
          <w:numId w:val="13"/>
        </w:numPr>
        <w:spacing w:after="0"/>
        <w:jc w:val="both"/>
        <w:rPr>
          <w:rFonts w:ascii="Calibri Light" w:cs="Calibri Light"/>
          <w:color w:val="000000"/>
          <w:sz w:val="24"/>
          <w:szCs w:val="24"/>
          <w:lang w:val="fi-FI"/>
        </w:rPr>
      </w:pPr>
      <w:r>
        <w:rPr>
          <w:rFonts w:ascii="Calibri Light" w:cs="Calibri Light"/>
          <w:color w:val="000000"/>
          <w:sz w:val="24"/>
          <w:szCs w:val="24"/>
          <w:lang w:val="fi-FI"/>
        </w:rPr>
        <w:t>The DPD RI has the right, based on Article 22 D paragraph (1) of the 1945 Constitution, alone or together with the DPR and the President, to propose legislative regulations, including statutory regulations regarding the repeal of substitute government regulations About the law.</w:t>
      </w:r>
    </w:p>
    <w:p w14:paraId="5BE4E7DF">
      <w:pPr>
        <w:pStyle w:val="10"/>
        <w:widowControl w:val="0"/>
        <w:numPr>
          <w:ilvl w:val="0"/>
          <w:numId w:val="13"/>
        </w:numPr>
        <w:spacing w:after="0"/>
        <w:jc w:val="both"/>
        <w:rPr>
          <w:rFonts w:ascii="Calibri Light" w:cs="Calibri Light"/>
          <w:color w:val="000000"/>
          <w:sz w:val="24"/>
          <w:szCs w:val="24"/>
          <w:lang w:val="fi-FI"/>
        </w:rPr>
      </w:pPr>
      <w:r>
        <w:rPr>
          <w:rFonts w:ascii="Calibri Light" w:cs="Calibri Light"/>
          <w:color w:val="000000"/>
          <w:sz w:val="24"/>
          <w:szCs w:val="24"/>
          <w:lang w:val="fi-FI"/>
        </w:rPr>
        <w:t>DPD RI has the right to discuss draft laws within the framework of Article 22 paragraph D (2) of the Constitution.</w:t>
      </w:r>
    </w:p>
    <w:p w14:paraId="77A04D12">
      <w:pPr>
        <w:pStyle w:val="10"/>
        <w:widowControl w:val="0"/>
        <w:numPr>
          <w:ilvl w:val="0"/>
          <w:numId w:val="13"/>
        </w:numPr>
        <w:spacing w:after="0"/>
        <w:jc w:val="both"/>
        <w:rPr>
          <w:rFonts w:ascii="Calibri Light" w:cs="Calibri Light"/>
          <w:color w:val="000000"/>
          <w:sz w:val="24"/>
          <w:szCs w:val="24"/>
          <w:lang w:val="fi-FI"/>
        </w:rPr>
      </w:pPr>
      <w:r>
        <w:rPr>
          <w:rFonts w:ascii="Calibri Light" w:cs="Calibri Light"/>
          <w:color w:val="000000"/>
          <w:sz w:val="24"/>
          <w:szCs w:val="24"/>
          <w:lang w:val="fi-FI"/>
        </w:rPr>
        <w:t xml:space="preserve">Discussion of this bill takes place in a triangular relationship: DPR, DPD, and government </w:t>
      </w:r>
    </w:p>
    <w:p w14:paraId="5BB99D6E">
      <w:pPr>
        <w:pStyle w:val="10"/>
        <w:spacing w:before="240"/>
        <w:ind w:left="360"/>
        <w:jc w:val="both"/>
        <w:rPr>
          <w:rFonts w:ascii="Calibri Light" w:cs="Calibri Light"/>
          <w:color w:val="000000"/>
          <w:sz w:val="24"/>
          <w:szCs w:val="24"/>
          <w:lang w:val="fi-FI"/>
        </w:rPr>
      </w:pPr>
      <w:r>
        <w:rPr>
          <w:rFonts w:ascii="Calibri Light" w:cs="Calibri Light"/>
          <w:color w:val="000000"/>
          <w:sz w:val="24"/>
          <w:szCs w:val="24"/>
          <w:lang w:val="fi-FI"/>
        </w:rPr>
        <w:t>It is anticipated that legal norms will be established to enhance the execution of the DPD's legislative authority, encompassing the formulation of plans and proposals as well as facilitating deliberations and debates in accordance with Article 22D of the 1945 Constitution, while considering the following aspects: There exist a multitude of perspectives. The decision rendered by the Constitutional Court was perceived as lacking conviction, as the DPD was not endowed with the authority to endorse it. The legislation is enacted. In this instance, the Constitutional Court notably reinforces the standing of the Second Chamber. To date, the Second Chamber has engaged solely in the discourse surrounding the Bill during Level II plenary meetings by providing a succinct report (Letter a Article 69 of the Law). (No. 12, 2011).</w:t>
      </w:r>
    </w:p>
    <w:p w14:paraId="7AD96265">
      <w:pPr>
        <w:pStyle w:val="10"/>
        <w:spacing w:before="240"/>
        <w:ind w:left="360"/>
        <w:jc w:val="both"/>
        <w:rPr>
          <w:rFonts w:ascii="Calibri Light" w:cs="Calibri Light"/>
          <w:color w:val="000000"/>
          <w:sz w:val="24"/>
          <w:szCs w:val="24"/>
          <w:lang w:val="fi-FI"/>
        </w:rPr>
      </w:pPr>
      <w:r>
        <w:rPr>
          <w:rFonts w:ascii="Calibri Light" w:cs="Calibri Light"/>
          <w:color w:val="000000"/>
          <w:sz w:val="24"/>
          <w:szCs w:val="24"/>
          <w:lang w:val="fi-FI"/>
        </w:rPr>
        <w:t xml:space="preserve"> On the other hand, the Constitutional Court has emphasized that the first assembly and the executive branch are the only institutions authorized to approve all draft laws, so that Article 20(2) does not reflect the aspects that were originally intended. We are considering ratifying the bill from this perspective. On the other hand, the authority of the Second Chamber under Article 22D(2) of the Constitution only confirms participation in the debate without giving approval. This brings the level of the second chamber a step closer to the first chamber, which the authors argue is insufficient to achieve the idealized balanced bicameral parliamentary structure with a strong bicameral system. Therefore, further efforts are needed to develop more strategic rebuilding procedures.</w:t>
      </w:r>
    </w:p>
    <w:p w14:paraId="00A0A9F1">
      <w:pPr>
        <w:pStyle w:val="10"/>
        <w:spacing w:before="240"/>
        <w:ind w:left="360"/>
        <w:jc w:val="both"/>
        <w:rPr>
          <w:rFonts w:ascii="Calibri Light" w:cs="Calibri Light"/>
          <w:color w:val="000000"/>
          <w:sz w:val="24"/>
          <w:szCs w:val="24"/>
          <w:lang w:val="fi-FI"/>
        </w:rPr>
      </w:pPr>
      <w:r>
        <w:rPr>
          <w:rFonts w:ascii="Calibri Light" w:cs="Calibri Light"/>
          <w:color w:val="000000"/>
          <w:sz w:val="24"/>
          <w:szCs w:val="24"/>
          <w:lang w:val="fi-FI"/>
        </w:rPr>
        <w:t>It is inevitable that the two chambers will be rearranged or reconstructed into a balanced two-chamber representative institution (strong bicameralism) in order to effectuate a process of formulating laws that is harmonious, balanced, and democratic. This can only be accomplished through a resolute commitment and a political will that is not tepid. The following provisions can be implemented to achieve a proportionate bicameral reconstruction, as determined by the analysis of the current state of the Indonesian parliament.</w:t>
      </w:r>
    </w:p>
    <w:p w14:paraId="7283321C">
      <w:pPr>
        <w:pStyle w:val="10"/>
        <w:spacing w:before="240"/>
        <w:ind w:left="360"/>
        <w:jc w:val="both"/>
        <w:rPr>
          <w:rFonts w:ascii="Calibri Light" w:cs="Calibri Light"/>
          <w:color w:val="000000"/>
          <w:sz w:val="24"/>
          <w:szCs w:val="24"/>
          <w:lang w:val="fi-FI"/>
        </w:rPr>
      </w:pPr>
      <w:r>
        <w:rPr>
          <w:rFonts w:ascii="Calibri Light" w:cs="Calibri Light"/>
          <w:color w:val="000000"/>
          <w:sz w:val="24"/>
          <w:szCs w:val="24"/>
          <w:highlight w:val="yellow"/>
        </w:rPr>
        <w:t xml:space="preserve">In light of the current imbalance between the two chambers, there is an urgent need to reconstruct the legislative process by granting equal authority to the DPR and DPD in initiating and deliberating legislation. This entails amending Article 22D paragraph (1) to establish a clearer and binding legal foundation for the DPD's legislative function, thus reinforcing its position as a representative of regional interests within a unitary system </w:t>
      </w:r>
      <w:r>
        <w:rPr>
          <w:rFonts w:ascii="Calibri Light" w:cs="Calibri Light"/>
          <w:sz w:val="24"/>
          <w:szCs w:val="24"/>
          <w:highlight w:val="yellow"/>
        </w:rPr>
        <w:fldChar w:fldCharType="begin" w:fldLock="1"/>
      </w:r>
      <w:r>
        <w:rPr>
          <w:rFonts w:ascii="Calibri Light" w:cs="Calibri Light"/>
          <w:sz w:val="24"/>
          <w:szCs w:val="24"/>
          <w:highlight w:val="yellow"/>
        </w:rPr>
        <w:instrText xml:space="preserve">ADDIN CSL_CITATION {"citationItems":[{"id":"ITEM-1","itemData":{"author":[{"dropping-particle":"","family":"Akbal","given":"Muhammad","non-dropping-particle":"","parse-names":false,"suffix":""},{"dropping-particle":"","family":"Amin","given":"Muhammad","non-dropping-particle":"","parse-names":false,"suffix":""},{"dropping-particle":"","family":"Bakhtiar","given":"Bakhtiar","non-dropping-particle":"","parse-names":false,"suffix":""}],"container-title":"SUPREMASI: Jurnal Pemikiran, Penelitian Ilmu-ilmu Sosial, Hukum dan Pengajarannya","id":"ITEM-1","issue":"1","issued":{"date-parts":[["2022"]]},"page":"031-043","title":"Kewenangan Dewan Perwakilan Daerah dalam Sistem Bikameral Berdasarkan Prinsip Check and Balances","type":"article-journal","volume":"17"},"uris":["http://www.mendeley.com/documents/?uuid=ba98fc9b-bcee-4541-ba54-82195879d8ba"]}],"mendeley":{"formattedCitation":"(Akbal et al., 2022)","plainTextFormattedCitation":"(Akbal et al., 2022)","previouslyFormattedCitation":"(Akbal et al., 2022)"},"properties":{"noteIndex":0},"schema":"https://github.com/citation-style-language/schema/raw/master/csl-citation.json"}</w:instrText>
      </w:r>
      <w:r>
        <w:rPr>
          <w:rFonts w:ascii="Calibri Light" w:cs="Calibri Light"/>
          <w:sz w:val="24"/>
          <w:szCs w:val="24"/>
          <w:highlight w:val="yellow"/>
        </w:rPr>
        <w:fldChar w:fldCharType="separate"/>
      </w:r>
      <w:r>
        <w:rPr>
          <w:rFonts w:ascii="Calibri Light" w:cs="Calibri Light"/>
          <w:sz w:val="24"/>
          <w:szCs w:val="24"/>
          <w:highlight w:val="yellow"/>
        </w:rPr>
        <w:t>(Akbal et al., 2022)</w:t>
      </w:r>
      <w:r>
        <w:rPr>
          <w:rFonts w:ascii="Calibri Light" w:cs="Calibri Light"/>
          <w:sz w:val="24"/>
          <w:szCs w:val="24"/>
          <w:highlight w:val="yellow"/>
        </w:rPr>
        <w:fldChar w:fldCharType="end"/>
      </w:r>
      <w:r>
        <w:rPr>
          <w:rFonts w:ascii="Calibri Light" w:cs="Calibri Light"/>
          <w:color w:val="000000"/>
          <w:sz w:val="24"/>
          <w:szCs w:val="24"/>
          <w:highlight w:val="yellow"/>
        </w:rPr>
        <w:t>. Strengthening the DPD's authority is essential not only for enhancing democratic representation and promoting regional equity but also for ensuring that national legislation reflects the aspirations of all societal segments. Ultimately, a more inclusive and equitable legislative process will contribute to better intergovernmental relations, improved regional development, and the advancement of constitutional democracy in Indonesia.</w:t>
      </w:r>
    </w:p>
    <w:p w14:paraId="24F75E84">
      <w:pPr>
        <w:pStyle w:val="53"/>
        <w:spacing w:before="120" w:after="120" w:line="240" w:lineRule="auto"/>
        <w:ind w:left="360" w:right="-1"/>
        <w:jc w:val="both"/>
        <w:rPr>
          <w:rFonts w:ascii="Calibri Light" w:cs="Calibri Light"/>
          <w:color w:val="FF0000"/>
          <w:sz w:val="24"/>
          <w:szCs w:val="24"/>
        </w:rPr>
      </w:pPr>
      <w:r>
        <w:rPr>
          <w:rFonts w:ascii="Calibri Light" w:cs="Calibri Light"/>
          <w:color w:val="000000"/>
          <w:sz w:val="24"/>
          <w:szCs w:val="24"/>
        </w:rPr>
        <w:t xml:space="preserve">It is anticipated that the reconstruction formulation above will enable both chambers to exercise a proportionate role in the formation of laws, in accordance with the principle of checks and balances. Additionally, the aforementioned provisions have the potential to eliminate the stigma associated with the second chamber as an auxiliary or co-legislator institution that is overshadowed by the first chamber. Marzuki has stated that the only way to legitimate the two chambers in a balanced and effective manner is to incorporate this substantive formulation into a constitutional amendment. Additionally, it is feasible to modify the constitution </w:t>
      </w:r>
      <w:r>
        <w:rPr>
          <w:rFonts w:ascii="Calibri Light" w:cs="Calibri Light"/>
          <w:sz w:val="24"/>
          <w:szCs w:val="24"/>
        </w:rPr>
        <w:fldChar w:fldCharType="begin" w:fldLock="1"/>
      </w:r>
      <w:r>
        <w:rPr>
          <w:rFonts w:ascii="Calibri Light" w:cs="Calibri Light"/>
          <w:sz w:val="24"/>
          <w:szCs w:val="24"/>
        </w:rPr>
        <w:instrText xml:space="preserve">ADDIN CSL_CITATION {"citationItems":[{"id":"ITEM-1","itemData":{"DOI":"10.20885/iustum.vol15.iss1.art7","ISSN":"2527-502X","author":[{"dropping-particle":"","family":"Marzuki","given":"Masnur","non-dropping-particle":"","parse-names":false,"suffix":""}],"container-title":"Jurnal Hukum Ius Quia Iustum","id":"ITEM-1","issue":"1","issued":{"date-parts":[["2008"]]},"page":"81-100","title":"Analisis Kontestasi Kelembagaan DPD dan Upaya Mengefektifkan Keberadaannya","type":"article-journal","volume":"15"},"uris":["http://www.mendeley.com/documents/?uuid=134bbdad-ec2f-4ba3-886b-3c29f41659c9"]}],"mendeley":{"formattedCitation":"(Marzuki, 2008)","plainTextFormattedCitation":"(Marzuki, 2008)","previouslyFormattedCitation":"(Marzuki, 2008)"},"properties":{"noteIndex":0},"schema":"https://github.com/citation-style-language/schema/raw/master/csl-citation.json"}</w:instrText>
      </w:r>
      <w:r>
        <w:rPr>
          <w:rFonts w:ascii="Calibri Light" w:cs="Calibri Light"/>
          <w:sz w:val="24"/>
          <w:szCs w:val="24"/>
        </w:rPr>
        <w:fldChar w:fldCharType="separate"/>
      </w:r>
      <w:r>
        <w:rPr>
          <w:rFonts w:ascii="Calibri Light" w:cs="Calibri Light"/>
          <w:sz w:val="24"/>
          <w:szCs w:val="24"/>
        </w:rPr>
        <w:t>(Marzuki, 2008)</w:t>
      </w:r>
      <w:r>
        <w:rPr>
          <w:rFonts w:ascii="Calibri Light" w:cs="Calibri Light"/>
          <w:sz w:val="24"/>
          <w:szCs w:val="24"/>
        </w:rPr>
        <w:fldChar w:fldCharType="end"/>
      </w:r>
      <w:r>
        <w:rPr>
          <w:rFonts w:ascii="Calibri Light" w:cs="Calibri Light"/>
          <w:color w:val="000000"/>
          <w:sz w:val="24"/>
          <w:szCs w:val="24"/>
        </w:rPr>
        <w:t>.</w:t>
      </w:r>
    </w:p>
    <w:p w14:paraId="40F1BF2D">
      <w:pPr>
        <w:pStyle w:val="53"/>
        <w:spacing w:before="120" w:after="120" w:line="240" w:lineRule="auto"/>
        <w:ind w:left="440" w:right="-1" w:firstLine="677"/>
        <w:jc w:val="both"/>
        <w:rPr>
          <w:rFonts w:ascii="Calibri Light" w:cs="Calibri Light"/>
          <w:color w:val="FF0000"/>
          <w:sz w:val="24"/>
          <w:szCs w:val="24"/>
        </w:rPr>
      </w:pPr>
    </w:p>
    <w:p w14:paraId="153FF74B">
      <w:pPr>
        <w:numPr>
          <w:ilvl w:val="0"/>
          <w:numId w:val="14"/>
        </w:numPr>
        <w:autoSpaceDE/>
        <w:autoSpaceDN/>
        <w:spacing w:line="240" w:lineRule="atLeast"/>
        <w:ind w:left="360" w:hanging="360"/>
        <w:rPr>
          <w:rFonts w:ascii="Calibri Light" w:cs="Calibri Light"/>
          <w:b/>
          <w:color w:val="A6A6A6"/>
          <w:sz w:val="24"/>
          <w:szCs w:val="24"/>
        </w:rPr>
      </w:pPr>
      <w:r>
        <w:rPr>
          <w:rFonts w:ascii="Calibri Light" w:cs="Calibri Light"/>
          <w:b/>
          <w:sz w:val="24"/>
          <w:szCs w:val="24"/>
        </w:rPr>
        <w:t>CONCLUSION</w:t>
      </w:r>
    </w:p>
    <w:p w14:paraId="51FEB8D5">
      <w:pPr>
        <w:pStyle w:val="53"/>
        <w:spacing w:before="120" w:after="120" w:line="240" w:lineRule="auto"/>
        <w:ind w:left="360" w:right="-1"/>
        <w:jc w:val="both"/>
        <w:rPr>
          <w:rFonts w:ascii="Calibri Light" w:cs="Calibri Light"/>
          <w:color w:val="FF0000"/>
          <w:sz w:val="24"/>
          <w:szCs w:val="24"/>
        </w:rPr>
      </w:pPr>
      <w:r>
        <w:rPr>
          <w:rFonts w:ascii="Calibri Light" w:cs="Calibri Light"/>
          <w:sz w:val="24"/>
          <w:szCs w:val="24"/>
        </w:rPr>
        <w:t xml:space="preserve">The legal structure of the DPD, which is the second chamber with the authority to create laws in the construction of the Constitution and statutory regulations, is still not propor-tional due to the limited scope of authority in proposing and discussing draft laws, which also fail to receive final approval. The political bid for the second chamber has been lifted by the Constitutional Court's progressive decision; however, it is insufficient to completely balance the power of the DPR as the first chamber. Consequently, </w:t>
      </w:r>
      <w:r>
        <w:rPr>
          <w:rFonts w:ascii="Calibri Light" w:cs="Calibri Light"/>
          <w:sz w:val="24"/>
          <w:szCs w:val="24"/>
          <w:highlight w:val="yellow"/>
          <w:lang w:val="en-US"/>
        </w:rPr>
        <w:t xml:space="preserve">considering the prevailing disparity in legislative authority, which characterizes Indonesia’s parliamentary framework as one of </w:t>
      </w:r>
      <w:r>
        <w:rPr>
          <w:rFonts w:ascii="Calibri Light" w:cs="Calibri Light"/>
          <w:i/>
          <w:iCs/>
          <w:sz w:val="24"/>
          <w:szCs w:val="24"/>
          <w:highlight w:val="yellow"/>
          <w:lang w:val="en-US"/>
        </w:rPr>
        <w:t>weak bicameralism</w:t>
      </w:r>
      <w:r>
        <w:rPr>
          <w:rFonts w:ascii="Calibri Light" w:cs="Calibri Light"/>
          <w:sz w:val="24"/>
          <w:szCs w:val="24"/>
          <w:highlight w:val="yellow"/>
          <w:lang w:val="en-US"/>
        </w:rPr>
        <w:t>, it remains imperative to reestablish the relationship between the two legislatures</w:t>
      </w:r>
      <w:r>
        <w:rPr>
          <w:rFonts w:ascii="Calibri Light" w:cs="Calibri Light"/>
          <w:sz w:val="24"/>
          <w:szCs w:val="24"/>
        </w:rPr>
        <w:t xml:space="preserve"> in the capacity to establish laws based on a system of balanced bicameralism or strong bicameralism. By revising the edito-rial provisions of Article 22D paragraph (1) in the Constitution and making modifications to a variety of other statutory regulations, reconstruction efforts must be implemented. </w:t>
      </w:r>
      <w:r>
        <w:rPr>
          <w:rFonts w:ascii="Calibri Light" w:cs="Calibri Light"/>
          <w:sz w:val="24"/>
          <w:szCs w:val="24"/>
          <w:highlight w:val="green"/>
          <w:lang w:val="en-US"/>
        </w:rPr>
        <w:t>Without constitutional reinforcement, the DPD will remain a symbolic legislative body, unable to fulfill its function as an equal chamber within Indonesia's bicameral framework.</w:t>
      </w:r>
      <w:r>
        <w:rPr>
          <w:rFonts w:ascii="Calibri Light" w:cs="Calibri Light"/>
          <w:sz w:val="24"/>
          <w:szCs w:val="24"/>
        </w:rPr>
        <w:t xml:space="preserve"> This will enable the two chambers to collaborate in a synergis-tic manner through the principle of checks and balances.</w:t>
      </w:r>
    </w:p>
    <w:p w14:paraId="3405B33F">
      <w:pPr>
        <w:pStyle w:val="53"/>
        <w:spacing w:before="120" w:after="120" w:line="240" w:lineRule="auto"/>
        <w:ind w:left="440" w:right="-1" w:firstLine="677"/>
        <w:jc w:val="both"/>
        <w:rPr>
          <w:rFonts w:ascii="Calibri Light" w:cs="Calibri Light"/>
          <w:color w:val="FF0000"/>
          <w:sz w:val="23"/>
        </w:rPr>
      </w:pPr>
    </w:p>
    <w:p w14:paraId="59BA58FE">
      <w:pPr>
        <w:numPr>
          <w:ilvl w:val="0"/>
          <w:numId w:val="14"/>
        </w:numPr>
        <w:spacing w:after="240" w:line="240" w:lineRule="atLeast"/>
        <w:ind w:left="360" w:hanging="360"/>
        <w:jc w:val="both"/>
        <w:rPr>
          <w:rFonts w:ascii="Calibri Light" w:cs="Calibri Light"/>
          <w:b/>
          <w:color w:val="A6A6A6"/>
          <w:sz w:val="24"/>
          <w:szCs w:val="24"/>
          <w:lang w:val="id-ID"/>
        </w:rPr>
      </w:pPr>
      <w:commentRangeStart w:id="12"/>
      <w:commentRangeStart w:id="13"/>
      <w:r>
        <w:rPr>
          <w:rFonts w:ascii="Calibri Light" w:cs="Calibri Light"/>
          <w:b/>
          <w:sz w:val="24"/>
          <w:szCs w:val="24"/>
        </w:rPr>
        <w:t>REFERENCES</w:t>
      </w:r>
      <w:commentRangeEnd w:id="12"/>
      <w:r>
        <w:rPr>
          <w:rStyle w:val="16"/>
        </w:rPr>
        <w:commentReference w:id="12"/>
      </w:r>
      <w:commentRangeEnd w:id="13"/>
      <w:r>
        <w:rPr>
          <w:rStyle w:val="16"/>
        </w:rPr>
        <w:commentReference w:id="13"/>
      </w:r>
    </w:p>
    <w:p w14:paraId="63F95FCC">
      <w:pPr>
        <w:widowControl w:val="0"/>
        <w:adjustRightInd w:val="0"/>
        <w:ind w:left="480" w:hanging="480"/>
        <w:jc w:val="both"/>
        <w:rPr>
          <w:rFonts w:ascii="Calibri Light" w:hAnsi="Calibri Light" w:cs="Calibri Light"/>
          <w:sz w:val="24"/>
        </w:rPr>
      </w:pPr>
      <w:r>
        <w:rPr>
          <w:rFonts w:ascii="Calibri Light" w:cs="Calibri Light"/>
          <w:color w:val="000000"/>
          <w:sz w:val="24"/>
          <w:szCs w:val="24"/>
        </w:rPr>
        <w:t xml:space="preserve">  </w:t>
      </w:r>
      <w:r>
        <w:rPr>
          <w:rFonts w:ascii="Calibri Light" w:cs="Calibri Light"/>
          <w:color w:val="000000"/>
          <w:sz w:val="24"/>
          <w:szCs w:val="24"/>
          <w:highlight w:val="yellow"/>
        </w:rPr>
        <w:fldChar w:fldCharType="begin" w:fldLock="1"/>
      </w:r>
      <w:r>
        <w:rPr>
          <w:rFonts w:ascii="Calibri Light" w:cs="Calibri Light"/>
          <w:color w:val="000000"/>
          <w:sz w:val="24"/>
          <w:szCs w:val="24"/>
          <w:highlight w:val="yellow"/>
        </w:rPr>
        <w:instrText xml:space="preserve">ADDIN Mendeley Bibliography CSL_BIBLIOGRAPHY </w:instrText>
      </w:r>
      <w:r>
        <w:rPr>
          <w:rFonts w:ascii="Calibri Light" w:cs="Calibri Light"/>
          <w:color w:val="000000"/>
          <w:sz w:val="24"/>
          <w:szCs w:val="24"/>
          <w:highlight w:val="yellow"/>
        </w:rPr>
        <w:fldChar w:fldCharType="separate"/>
      </w:r>
      <w:r>
        <w:rPr>
          <w:rFonts w:ascii="Calibri Light" w:hAnsi="Calibri Light" w:cs="Calibri Light"/>
          <w:sz w:val="24"/>
        </w:rPr>
        <w:t xml:space="preserve">Agustiwi, A. (2017). DYNAMICS OF CONSTITUTION IN 1945 AMENDMENTS AS A CONSTITUTIONAL IN INDONESIA. </w:t>
      </w:r>
      <w:r>
        <w:rPr>
          <w:rFonts w:ascii="Calibri Light" w:hAnsi="Calibri Light" w:cs="Calibri Light"/>
          <w:i/>
          <w:iCs/>
          <w:sz w:val="24"/>
        </w:rPr>
        <w:t>UNTAG Law Review</w:t>
      </w:r>
      <w:r>
        <w:rPr>
          <w:rFonts w:ascii="Calibri Light" w:hAnsi="Calibri Light" w:cs="Calibri Light"/>
          <w:sz w:val="24"/>
        </w:rPr>
        <w:t xml:space="preserve">, </w:t>
      </w:r>
      <w:r>
        <w:rPr>
          <w:rFonts w:ascii="Calibri Light" w:hAnsi="Calibri Light" w:cs="Calibri Light"/>
          <w:i/>
          <w:iCs/>
          <w:sz w:val="24"/>
        </w:rPr>
        <w:t>1</w:t>
      </w:r>
      <w:r>
        <w:rPr>
          <w:rFonts w:ascii="Calibri Light" w:hAnsi="Calibri Light" w:cs="Calibri Light"/>
          <w:sz w:val="24"/>
        </w:rPr>
        <w:t>(2), 51. https://doi.org/10.36356/ulrev.v1i2.597</w:t>
      </w:r>
    </w:p>
    <w:p w14:paraId="70DD0C3E">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Akbal, M., Amin, M., &amp; Bakhtiar, B. (2022). Kewenangan Dewan Perwakilan Daerah dalam Sistem Bikameral Berdasarkan Prinsip Check and Balances. </w:t>
      </w:r>
      <w:r>
        <w:rPr>
          <w:rFonts w:ascii="Calibri Light" w:hAnsi="Calibri Light" w:cs="Calibri Light"/>
          <w:i/>
          <w:iCs/>
          <w:sz w:val="24"/>
        </w:rPr>
        <w:t>SUPREMASI: Jurnal Pemikiran, Penelitian Ilmu-Ilmu Sosial, Hukum Dan Pengajarannya</w:t>
      </w:r>
      <w:r>
        <w:rPr>
          <w:rFonts w:ascii="Calibri Light" w:hAnsi="Calibri Light" w:cs="Calibri Light"/>
          <w:sz w:val="24"/>
        </w:rPr>
        <w:t xml:space="preserve">, </w:t>
      </w:r>
      <w:r>
        <w:rPr>
          <w:rFonts w:ascii="Calibri Light" w:hAnsi="Calibri Light" w:cs="Calibri Light"/>
          <w:i/>
          <w:iCs/>
          <w:sz w:val="24"/>
        </w:rPr>
        <w:t>17</w:t>
      </w:r>
      <w:r>
        <w:rPr>
          <w:rFonts w:ascii="Calibri Light" w:hAnsi="Calibri Light" w:cs="Calibri Light"/>
          <w:sz w:val="24"/>
        </w:rPr>
        <w:t>(1), 031–043.</w:t>
      </w:r>
    </w:p>
    <w:p w14:paraId="6B2B9F61">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Akili, R. H. S. (2023). The Role of The Legislature, in Maintaining the Balance of Power in The Constitutional Legal System. </w:t>
      </w:r>
      <w:r>
        <w:rPr>
          <w:rFonts w:ascii="Calibri Light" w:hAnsi="Calibri Light" w:cs="Calibri Light"/>
          <w:i/>
          <w:iCs/>
          <w:sz w:val="24"/>
        </w:rPr>
        <w:t>Jurnal Multidisiplin Sahombu</w:t>
      </w:r>
      <w:r>
        <w:rPr>
          <w:rFonts w:ascii="Calibri Light" w:hAnsi="Calibri Light" w:cs="Calibri Light"/>
          <w:sz w:val="24"/>
        </w:rPr>
        <w:t xml:space="preserve">, </w:t>
      </w:r>
      <w:r>
        <w:rPr>
          <w:rFonts w:ascii="Calibri Light" w:hAnsi="Calibri Light" w:cs="Calibri Light"/>
          <w:i/>
          <w:iCs/>
          <w:sz w:val="24"/>
        </w:rPr>
        <w:t>3</w:t>
      </w:r>
      <w:r>
        <w:rPr>
          <w:rFonts w:ascii="Calibri Light" w:hAnsi="Calibri Light" w:cs="Calibri Light"/>
          <w:sz w:val="24"/>
        </w:rPr>
        <w:t xml:space="preserve">(01), 77–85. </w:t>
      </w:r>
      <w:r>
        <w:fldChar w:fldCharType="begin"/>
      </w:r>
      <w:r>
        <w:instrText xml:space="preserve"> HYPERLINK "https://doi.org/10.58471/jms.v3i01.1791" </w:instrText>
      </w:r>
      <w:r>
        <w:fldChar w:fldCharType="separate"/>
      </w:r>
      <w:r>
        <w:rPr>
          <w:rStyle w:val="26"/>
          <w:rFonts w:ascii="Calibri Light" w:hAnsi="Calibri Light" w:cs="Calibri Light"/>
          <w:sz w:val="24"/>
        </w:rPr>
        <w:t>https://doi.org/10.58471/jms.v3i01.1791</w:t>
      </w:r>
      <w:r>
        <w:rPr>
          <w:rStyle w:val="26"/>
          <w:rFonts w:ascii="Calibri Light" w:hAnsi="Calibri Light" w:cs="Calibri Light"/>
          <w:sz w:val="24"/>
        </w:rPr>
        <w:fldChar w:fldCharType="end"/>
      </w:r>
    </w:p>
    <w:p w14:paraId="038E4BFF">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Alemán, E., Mimica, N., &amp; Navia, P. (2022). Bicameral Lawmaking: Analysing the Choices of Revising Chambers. </w:t>
      </w:r>
      <w:r>
        <w:rPr>
          <w:rFonts w:ascii="Calibri Light" w:hAnsi="Calibri Light" w:cs="Calibri Light"/>
          <w:i/>
          <w:iCs/>
          <w:sz w:val="24"/>
        </w:rPr>
        <w:t>Parliamentary Affairs</w:t>
      </w:r>
      <w:r>
        <w:rPr>
          <w:rFonts w:ascii="Calibri Light" w:hAnsi="Calibri Light" w:cs="Calibri Light"/>
          <w:sz w:val="24"/>
        </w:rPr>
        <w:t xml:space="preserve">, </w:t>
      </w:r>
      <w:r>
        <w:rPr>
          <w:rFonts w:ascii="Calibri Light" w:hAnsi="Calibri Light" w:cs="Calibri Light"/>
          <w:i/>
          <w:iCs/>
          <w:sz w:val="24"/>
        </w:rPr>
        <w:t>75</w:t>
      </w:r>
      <w:r>
        <w:rPr>
          <w:rFonts w:ascii="Calibri Light" w:hAnsi="Calibri Light" w:cs="Calibri Light"/>
          <w:sz w:val="24"/>
        </w:rPr>
        <w:t xml:space="preserve">(2), 362–381. </w:t>
      </w:r>
      <w:r>
        <w:fldChar w:fldCharType="begin"/>
      </w:r>
      <w:r>
        <w:instrText xml:space="preserve"> HYPERLINK "https://doi.org/10.1093/pa/gsaa067" </w:instrText>
      </w:r>
      <w:r>
        <w:fldChar w:fldCharType="separate"/>
      </w:r>
      <w:r>
        <w:rPr>
          <w:rStyle w:val="26"/>
          <w:rFonts w:ascii="Calibri Light" w:hAnsi="Calibri Light" w:cs="Calibri Light"/>
          <w:sz w:val="24"/>
        </w:rPr>
        <w:t>https://doi.org/10.1093/pa/gsaa067</w:t>
      </w:r>
      <w:r>
        <w:rPr>
          <w:rStyle w:val="26"/>
          <w:rFonts w:ascii="Calibri Light" w:hAnsi="Calibri Light" w:cs="Calibri Light"/>
          <w:sz w:val="24"/>
        </w:rPr>
        <w:fldChar w:fldCharType="end"/>
      </w:r>
    </w:p>
    <w:p w14:paraId="05061D94">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Aman, A., &amp; Tomsa, D. (2022). The Constitutional and Legislative Foundations of Indonesia’s Electoral Regime. In </w:t>
      </w:r>
      <w:r>
        <w:rPr>
          <w:rFonts w:ascii="Calibri Light" w:hAnsi="Calibri Light" w:cs="Calibri Light"/>
          <w:i/>
          <w:iCs/>
          <w:sz w:val="24"/>
        </w:rPr>
        <w:t>Constitutional Democracy in Indonesia</w:t>
      </w:r>
      <w:r>
        <w:rPr>
          <w:rFonts w:ascii="Calibri Light" w:hAnsi="Calibri Light" w:cs="Calibri Light"/>
          <w:sz w:val="24"/>
        </w:rPr>
        <w:t xml:space="preserve"> (p. 133). Oxford: Oxford University Press.</w:t>
      </w:r>
    </w:p>
    <w:p w14:paraId="56A9631F">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Azahra, A., &amp; Lubis, F. A. (2021). Peran DPRD dalam Pengawasan dan Kendala-Kendala terhadap Pelaksanaan Anggaran Pendapatan dan Belanja Daerah (APBD) di Provinsi Sumatera Utara Kota Medan. </w:t>
      </w:r>
      <w:r>
        <w:rPr>
          <w:rFonts w:ascii="Calibri Light" w:hAnsi="Calibri Light" w:cs="Calibri Light"/>
          <w:i/>
          <w:iCs/>
          <w:sz w:val="24"/>
        </w:rPr>
        <w:t>Jurnal Pendidikan Tambusai</w:t>
      </w:r>
      <w:r>
        <w:rPr>
          <w:rFonts w:ascii="Calibri Light" w:hAnsi="Calibri Light" w:cs="Calibri Light"/>
          <w:sz w:val="24"/>
        </w:rPr>
        <w:t xml:space="preserve">, </w:t>
      </w:r>
      <w:r>
        <w:rPr>
          <w:rFonts w:ascii="Calibri Light" w:hAnsi="Calibri Light" w:cs="Calibri Light"/>
          <w:i/>
          <w:iCs/>
          <w:sz w:val="24"/>
        </w:rPr>
        <w:t>5</w:t>
      </w:r>
      <w:r>
        <w:rPr>
          <w:rFonts w:ascii="Calibri Light" w:hAnsi="Calibri Light" w:cs="Calibri Light"/>
          <w:sz w:val="24"/>
        </w:rPr>
        <w:t>(3), 8234–8245. https://www.jptam.org/index.php/jptam/article/view/2324</w:t>
      </w:r>
    </w:p>
    <w:p w14:paraId="3B4C8A7B">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Badran, S. (2020). The Dissolution of The Lebanese Parliament: A Perverted Application of The Parliamentary System. </w:t>
      </w:r>
      <w:r>
        <w:rPr>
          <w:rFonts w:ascii="Calibri Light" w:hAnsi="Calibri Light" w:cs="Calibri Light"/>
          <w:i/>
          <w:iCs/>
          <w:sz w:val="24"/>
        </w:rPr>
        <w:t>Digest of Middle East Studies</w:t>
      </w:r>
      <w:r>
        <w:rPr>
          <w:rFonts w:ascii="Calibri Light" w:hAnsi="Calibri Light" w:cs="Calibri Light"/>
          <w:sz w:val="24"/>
        </w:rPr>
        <w:t xml:space="preserve">, </w:t>
      </w:r>
      <w:r>
        <w:rPr>
          <w:rFonts w:ascii="Calibri Light" w:hAnsi="Calibri Light" w:cs="Calibri Light"/>
          <w:i/>
          <w:iCs/>
          <w:sz w:val="24"/>
        </w:rPr>
        <w:t>29</w:t>
      </w:r>
      <w:r>
        <w:rPr>
          <w:rFonts w:ascii="Calibri Light" w:hAnsi="Calibri Light" w:cs="Calibri Light"/>
          <w:sz w:val="24"/>
        </w:rPr>
        <w:t>(2), 200–214. https://doi.org/10.1111/dome.12217</w:t>
      </w:r>
    </w:p>
    <w:p w14:paraId="026971F2">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Cheibub, J. A., Martin, S., &amp; Rasch, B. E. (2023). Government Selection and Executive Powers: Constitutional Design in Parliamentary Democracies. In </w:t>
      </w:r>
      <w:r>
        <w:rPr>
          <w:rFonts w:ascii="Calibri Light" w:hAnsi="Calibri Light" w:cs="Calibri Light"/>
          <w:i/>
          <w:iCs/>
          <w:sz w:val="24"/>
        </w:rPr>
        <w:t>Parliaments and Government Termination</w:t>
      </w:r>
      <w:r>
        <w:rPr>
          <w:rFonts w:ascii="Calibri Light" w:hAnsi="Calibri Light" w:cs="Calibri Light"/>
          <w:sz w:val="24"/>
        </w:rPr>
        <w:t xml:space="preserve"> (pp. 208–235). London: Routledge.</w:t>
      </w:r>
    </w:p>
    <w:p w14:paraId="2244FB8D">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Chidqi, A. L. (2020). Perluasan Kewenangan Dewan Perwakilan Daerah Ditinjau dari Bikameral yang Ideal. </w:t>
      </w:r>
      <w:r>
        <w:rPr>
          <w:rFonts w:ascii="Calibri Light" w:hAnsi="Calibri Light" w:cs="Calibri Light"/>
          <w:i/>
          <w:iCs/>
          <w:sz w:val="24"/>
        </w:rPr>
        <w:t>Jurnal Ilmu Hukum: ALETHEA</w:t>
      </w:r>
      <w:r>
        <w:rPr>
          <w:rFonts w:ascii="Calibri Light" w:hAnsi="Calibri Light" w:cs="Calibri Light"/>
          <w:sz w:val="24"/>
        </w:rPr>
        <w:t xml:space="preserve">, </w:t>
      </w:r>
      <w:r>
        <w:rPr>
          <w:rFonts w:ascii="Calibri Light" w:hAnsi="Calibri Light" w:cs="Calibri Light"/>
          <w:i/>
          <w:iCs/>
          <w:sz w:val="24"/>
        </w:rPr>
        <w:t>4</w:t>
      </w:r>
      <w:r>
        <w:rPr>
          <w:rFonts w:ascii="Calibri Light" w:hAnsi="Calibri Light" w:cs="Calibri Light"/>
          <w:sz w:val="24"/>
        </w:rPr>
        <w:t>(1), 75–94. https://doi.org/10.24246/alethea.vol4.no1.p75-94</w:t>
      </w:r>
    </w:p>
    <w:p w14:paraId="4B731143">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Chiou, F.-Y., &amp; Goplerud, M. (2024). Effective Lawmaking across Congressional Eras. </w:t>
      </w:r>
      <w:r>
        <w:rPr>
          <w:rFonts w:ascii="Calibri Light" w:hAnsi="Calibri Light" w:cs="Calibri Light"/>
          <w:i/>
          <w:iCs/>
          <w:sz w:val="24"/>
        </w:rPr>
        <w:t>The Journal of Politics</w:t>
      </w:r>
      <w:r>
        <w:rPr>
          <w:rFonts w:ascii="Calibri Light" w:hAnsi="Calibri Light" w:cs="Calibri Light"/>
          <w:sz w:val="24"/>
        </w:rPr>
        <w:t xml:space="preserve">, </w:t>
      </w:r>
      <w:r>
        <w:rPr>
          <w:rFonts w:ascii="Calibri Light" w:hAnsi="Calibri Light" w:cs="Calibri Light"/>
          <w:i/>
          <w:iCs/>
          <w:sz w:val="24"/>
        </w:rPr>
        <w:t>86</w:t>
      </w:r>
      <w:r>
        <w:rPr>
          <w:rFonts w:ascii="Calibri Light" w:hAnsi="Calibri Light" w:cs="Calibri Light"/>
          <w:sz w:val="24"/>
        </w:rPr>
        <w:t xml:space="preserve">(3), 997–1012. https://www.journals.uchicago.edu/doi/abs/10.1086/729963 </w:t>
      </w:r>
    </w:p>
    <w:p w14:paraId="186A1B4C">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Epstein, L., McGuire, K. T., &amp; Walker, T. G. (2022). </w:t>
      </w:r>
      <w:r>
        <w:rPr>
          <w:rFonts w:ascii="Calibri Light" w:hAnsi="Calibri Light" w:cs="Calibri Light"/>
          <w:i/>
          <w:iCs/>
          <w:sz w:val="24"/>
        </w:rPr>
        <w:t>Constitutional Law for a Changing America: Institutional Powers and Constraints</w:t>
      </w:r>
      <w:r>
        <w:rPr>
          <w:rFonts w:ascii="Calibri Light" w:hAnsi="Calibri Light" w:cs="Calibri Light"/>
          <w:sz w:val="24"/>
        </w:rPr>
        <w:t>. Washington, DC: CQ Press.</w:t>
      </w:r>
    </w:p>
    <w:p w14:paraId="39A5F1ED">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Faiz, P. M., Isra, S., &amp; Agustine, O. V. (2023). Strengthening Indonesia’s Regional Representative Council Through Judicial Review by the Constitutional Court. </w:t>
      </w:r>
      <w:r>
        <w:rPr>
          <w:rFonts w:ascii="Calibri Light" w:hAnsi="Calibri Light" w:cs="Calibri Light"/>
          <w:i/>
          <w:iCs/>
          <w:sz w:val="24"/>
        </w:rPr>
        <w:t>SAGE Open</w:t>
      </w:r>
      <w:r>
        <w:rPr>
          <w:rFonts w:ascii="Calibri Light" w:hAnsi="Calibri Light" w:cs="Calibri Light"/>
          <w:sz w:val="24"/>
        </w:rPr>
        <w:t xml:space="preserve">, </w:t>
      </w:r>
      <w:r>
        <w:rPr>
          <w:rFonts w:ascii="Calibri Light" w:hAnsi="Calibri Light" w:cs="Calibri Light"/>
          <w:i/>
          <w:iCs/>
          <w:sz w:val="24"/>
        </w:rPr>
        <w:t>13</w:t>
      </w:r>
      <w:r>
        <w:rPr>
          <w:rFonts w:ascii="Calibri Light" w:hAnsi="Calibri Light" w:cs="Calibri Light"/>
          <w:sz w:val="24"/>
        </w:rPr>
        <w:t xml:space="preserve">(4). </w:t>
      </w:r>
      <w:r>
        <w:fldChar w:fldCharType="begin"/>
      </w:r>
      <w:r>
        <w:instrText xml:space="preserve"> HYPERLINK "https://doi.org/10.1177/21582440231204408" </w:instrText>
      </w:r>
      <w:r>
        <w:fldChar w:fldCharType="separate"/>
      </w:r>
      <w:r>
        <w:rPr>
          <w:rStyle w:val="26"/>
          <w:rFonts w:ascii="Calibri Light" w:hAnsi="Calibri Light" w:cs="Calibri Light"/>
          <w:sz w:val="24"/>
        </w:rPr>
        <w:t>https://doi.org/10.1177/2158244023120440</w:t>
      </w:r>
      <w:r>
        <w:rPr>
          <w:rStyle w:val="26"/>
          <w:rFonts w:ascii="Calibri Light" w:hAnsi="Calibri Light" w:cs="Calibri Light"/>
          <w:sz w:val="24"/>
        </w:rPr>
        <w:fldChar w:fldCharType="end"/>
      </w:r>
    </w:p>
    <w:p w14:paraId="2E3ED73B">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Handoyo, T. (2022). The Role of the Vice President in the Republic of Indonesia’s Administrative System (Post Amendment to the 1945 Constitution). </w:t>
      </w:r>
      <w:r>
        <w:rPr>
          <w:rFonts w:ascii="Calibri Light" w:hAnsi="Calibri Light" w:cs="Calibri Light"/>
          <w:i/>
          <w:iCs/>
          <w:sz w:val="24"/>
        </w:rPr>
        <w:t>Journal of Law Science</w:t>
      </w:r>
      <w:r>
        <w:rPr>
          <w:rFonts w:ascii="Calibri Light" w:hAnsi="Calibri Light" w:cs="Calibri Light"/>
          <w:sz w:val="24"/>
        </w:rPr>
        <w:t xml:space="preserve">, </w:t>
      </w:r>
      <w:r>
        <w:rPr>
          <w:rFonts w:ascii="Calibri Light" w:hAnsi="Calibri Light" w:cs="Calibri Light"/>
          <w:i/>
          <w:iCs/>
          <w:sz w:val="24"/>
        </w:rPr>
        <w:t>4</w:t>
      </w:r>
      <w:r>
        <w:rPr>
          <w:rFonts w:ascii="Calibri Light" w:hAnsi="Calibri Light" w:cs="Calibri Light"/>
          <w:sz w:val="24"/>
        </w:rPr>
        <w:t>(4), 188–196. https://iocscience.org/ejournal/index.php/JLS/article/view/3251</w:t>
      </w:r>
    </w:p>
    <w:p w14:paraId="3BD3CCDF">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Hruška, J., &amp; Balík, S. (2024). Control Body, Representative of Regions, or Elitist Chamber of Wisdom? The Perceived Roles of Upper Chambers and the Case of the Czech Senate. </w:t>
      </w:r>
      <w:r>
        <w:rPr>
          <w:rFonts w:ascii="Calibri Light" w:hAnsi="Calibri Light" w:cs="Calibri Light"/>
          <w:i/>
          <w:iCs/>
          <w:sz w:val="24"/>
        </w:rPr>
        <w:t>The Journal of Legislative Studies</w:t>
      </w:r>
      <w:r>
        <w:rPr>
          <w:rFonts w:ascii="Calibri Light" w:hAnsi="Calibri Light" w:cs="Calibri Light"/>
          <w:sz w:val="24"/>
        </w:rPr>
        <w:t xml:space="preserve">, 1–20. </w:t>
      </w:r>
      <w:r>
        <w:fldChar w:fldCharType="begin"/>
      </w:r>
      <w:r>
        <w:instrText xml:space="preserve"> HYPERLINK "https://doi.org/10.1080/13572334.2024.2355729" </w:instrText>
      </w:r>
      <w:r>
        <w:fldChar w:fldCharType="separate"/>
      </w:r>
      <w:r>
        <w:rPr>
          <w:rStyle w:val="26"/>
          <w:rFonts w:ascii="Calibri Light" w:hAnsi="Calibri Light" w:cs="Calibri Light"/>
          <w:sz w:val="24"/>
        </w:rPr>
        <w:t>https://doi.org/10.1080/13572334.2024.2355729</w:t>
      </w:r>
      <w:r>
        <w:rPr>
          <w:rStyle w:val="26"/>
          <w:rFonts w:ascii="Calibri Light" w:hAnsi="Calibri Light" w:cs="Calibri Light"/>
          <w:sz w:val="24"/>
        </w:rPr>
        <w:fldChar w:fldCharType="end"/>
      </w:r>
    </w:p>
    <w:p w14:paraId="47676A11">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Jackson, K. (2023). The Public Trust: Administrative Legitimacy and Democratic Lawmaking. </w:t>
      </w:r>
      <w:r>
        <w:rPr>
          <w:rFonts w:ascii="Calibri Light" w:hAnsi="Calibri Light" w:cs="Calibri Light"/>
          <w:i/>
          <w:iCs/>
          <w:sz w:val="24"/>
        </w:rPr>
        <w:t>Conn. L. Rev.</w:t>
      </w:r>
      <w:r>
        <w:rPr>
          <w:rFonts w:ascii="Calibri Light" w:hAnsi="Calibri Light" w:cs="Calibri Light"/>
          <w:sz w:val="24"/>
        </w:rPr>
        <w:t xml:space="preserve">, </w:t>
      </w:r>
      <w:r>
        <w:rPr>
          <w:rFonts w:ascii="Calibri Light" w:hAnsi="Calibri Light" w:cs="Calibri Light"/>
          <w:i/>
          <w:iCs/>
          <w:sz w:val="24"/>
        </w:rPr>
        <w:t>56</w:t>
      </w:r>
      <w:r>
        <w:rPr>
          <w:rFonts w:ascii="Calibri Light" w:hAnsi="Calibri Light" w:cs="Calibri Light"/>
          <w:sz w:val="24"/>
        </w:rPr>
        <w:t>, 1. https://digitalcommons.lib.uconn.edu/law_review/584</w:t>
      </w:r>
    </w:p>
    <w:p w14:paraId="655CECF5">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Kaharudin. (2022). Reconstruction of the Legislative Authority of the Regional Representative Council of the Republic of Indonesia in the Indonesian State System. </w:t>
      </w:r>
      <w:r>
        <w:rPr>
          <w:rFonts w:ascii="Calibri Light" w:hAnsi="Calibri Light" w:cs="Calibri Light"/>
          <w:i/>
          <w:iCs/>
          <w:sz w:val="24"/>
        </w:rPr>
        <w:t>J. Legal Ethical &amp; Regul. Isses</w:t>
      </w:r>
      <w:r>
        <w:rPr>
          <w:rFonts w:ascii="Calibri Light" w:hAnsi="Calibri Light" w:cs="Calibri Light"/>
          <w:sz w:val="24"/>
        </w:rPr>
        <w:t xml:space="preserve">, </w:t>
      </w:r>
      <w:r>
        <w:rPr>
          <w:rFonts w:ascii="Calibri Light" w:hAnsi="Calibri Light" w:cs="Calibri Light"/>
          <w:i/>
          <w:iCs/>
          <w:sz w:val="24"/>
        </w:rPr>
        <w:t>25</w:t>
      </w:r>
      <w:r>
        <w:rPr>
          <w:rFonts w:ascii="Calibri Light" w:hAnsi="Calibri Light" w:cs="Calibri Light"/>
          <w:sz w:val="24"/>
        </w:rPr>
        <w:t>, 1. https://www.abacademies.org/abstract/reconstruction-of-the-legislative-authority-of-the-regional-representative-council-of-the-republic-of-indonesia-in-the-i-13879.html</w:t>
      </w:r>
    </w:p>
    <w:p w14:paraId="38FB6A97">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Lascelles, F. (2023). The Second Chamber in Parliaments of the Commonwealth. In </w:t>
      </w:r>
      <w:r>
        <w:rPr>
          <w:rFonts w:ascii="Calibri Light" w:hAnsi="Calibri Light" w:cs="Calibri Light"/>
          <w:i/>
          <w:iCs/>
          <w:sz w:val="24"/>
        </w:rPr>
        <w:t>Parliament as an Export</w:t>
      </w:r>
      <w:r>
        <w:rPr>
          <w:rFonts w:ascii="Calibri Light" w:hAnsi="Calibri Light" w:cs="Calibri Light"/>
          <w:sz w:val="24"/>
        </w:rPr>
        <w:t xml:space="preserve"> (pp. 166–189). London: Routledge.</w:t>
      </w:r>
    </w:p>
    <w:p w14:paraId="2034F8CD">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Lord, C. (2017). An Indirect Legitimacy Argument for a Directly Elected European Parliament. </w:t>
      </w:r>
      <w:r>
        <w:rPr>
          <w:rFonts w:ascii="Calibri Light" w:hAnsi="Calibri Light" w:cs="Calibri Light"/>
          <w:i/>
          <w:iCs/>
          <w:sz w:val="24"/>
        </w:rPr>
        <w:t>European Journal of Political Research</w:t>
      </w:r>
      <w:r>
        <w:rPr>
          <w:rFonts w:ascii="Calibri Light" w:hAnsi="Calibri Light" w:cs="Calibri Light"/>
          <w:sz w:val="24"/>
        </w:rPr>
        <w:t xml:space="preserve">, </w:t>
      </w:r>
      <w:r>
        <w:rPr>
          <w:rFonts w:ascii="Calibri Light" w:hAnsi="Calibri Light" w:cs="Calibri Light"/>
          <w:i/>
          <w:iCs/>
          <w:sz w:val="24"/>
        </w:rPr>
        <w:t>56</w:t>
      </w:r>
      <w:r>
        <w:rPr>
          <w:rFonts w:ascii="Calibri Light" w:hAnsi="Calibri Light" w:cs="Calibri Light"/>
          <w:sz w:val="24"/>
        </w:rPr>
        <w:t>(3), 512–528. https://doi.org/10.1111/1475- 6765.12204</w:t>
      </w:r>
    </w:p>
    <w:p w14:paraId="2B399110">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Malik, A. A. (2023). Parliamentary Democracy: Mechanisms, Challenges, and the Quest for Effective Governance. </w:t>
      </w:r>
      <w:r>
        <w:rPr>
          <w:rFonts w:ascii="Calibri Light" w:hAnsi="Calibri Light" w:cs="Calibri Light"/>
          <w:i/>
          <w:iCs/>
          <w:sz w:val="24"/>
        </w:rPr>
        <w:t>Revista Review Index Journal of Multidisciplinary</w:t>
      </w:r>
      <w:r>
        <w:rPr>
          <w:rFonts w:ascii="Calibri Light" w:hAnsi="Calibri Light" w:cs="Calibri Light"/>
          <w:sz w:val="24"/>
        </w:rPr>
        <w:t xml:space="preserve">, </w:t>
      </w:r>
      <w:r>
        <w:rPr>
          <w:rFonts w:ascii="Calibri Light" w:hAnsi="Calibri Light" w:cs="Calibri Light"/>
          <w:i/>
          <w:iCs/>
          <w:sz w:val="24"/>
        </w:rPr>
        <w:t>3</w:t>
      </w:r>
      <w:r>
        <w:rPr>
          <w:rFonts w:ascii="Calibri Light" w:hAnsi="Calibri Light" w:cs="Calibri Light"/>
          <w:sz w:val="24"/>
        </w:rPr>
        <w:t xml:space="preserve">(4), 1–9. </w:t>
      </w:r>
      <w:r>
        <w:fldChar w:fldCharType="begin"/>
      </w:r>
      <w:r>
        <w:instrText xml:space="preserve"> HYPERLINK "https://doi.org/10.31305/rrijm2023.v03.n04.001" </w:instrText>
      </w:r>
      <w:r>
        <w:fldChar w:fldCharType="separate"/>
      </w:r>
      <w:r>
        <w:rPr>
          <w:rStyle w:val="26"/>
          <w:rFonts w:ascii="Calibri Light" w:hAnsi="Calibri Light" w:cs="Calibri Light"/>
          <w:sz w:val="24"/>
        </w:rPr>
        <w:t>https://doi.org/10.31305/rrijm2023.v03.n04.001</w:t>
      </w:r>
      <w:r>
        <w:rPr>
          <w:rStyle w:val="26"/>
          <w:rFonts w:ascii="Calibri Light" w:hAnsi="Calibri Light" w:cs="Calibri Light"/>
          <w:sz w:val="24"/>
        </w:rPr>
        <w:fldChar w:fldCharType="end"/>
      </w:r>
    </w:p>
    <w:p w14:paraId="5A7EDC51">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Malleson, T. (2023). The Corporation, Democracy, and The Idea of The Bicameral Firm. </w:t>
      </w:r>
      <w:r>
        <w:rPr>
          <w:rFonts w:ascii="Calibri Light" w:hAnsi="Calibri Light" w:cs="Calibri Light"/>
          <w:i/>
          <w:iCs/>
          <w:sz w:val="24"/>
        </w:rPr>
        <w:t>Politics &amp; Society</w:t>
      </w:r>
      <w:r>
        <w:rPr>
          <w:rFonts w:ascii="Calibri Light" w:hAnsi="Calibri Light" w:cs="Calibri Light"/>
          <w:sz w:val="24"/>
        </w:rPr>
        <w:t xml:space="preserve">, </w:t>
      </w:r>
      <w:r>
        <w:rPr>
          <w:rFonts w:ascii="Calibri Light" w:hAnsi="Calibri Light" w:cs="Calibri Light"/>
          <w:i/>
          <w:iCs/>
          <w:sz w:val="24"/>
        </w:rPr>
        <w:t>51</w:t>
      </w:r>
      <w:r>
        <w:rPr>
          <w:rFonts w:ascii="Calibri Light" w:hAnsi="Calibri Light" w:cs="Calibri Light"/>
          <w:sz w:val="24"/>
        </w:rPr>
        <w:t xml:space="preserve">(2), 167–187. </w:t>
      </w:r>
      <w:r>
        <w:fldChar w:fldCharType="begin"/>
      </w:r>
      <w:r>
        <w:instrText xml:space="preserve"> HYPERLINK "https://doi.org/10.1177/00323292231163690" </w:instrText>
      </w:r>
      <w:r>
        <w:fldChar w:fldCharType="separate"/>
      </w:r>
      <w:r>
        <w:rPr>
          <w:rStyle w:val="26"/>
          <w:rFonts w:ascii="Calibri Light" w:hAnsi="Calibri Light" w:cs="Calibri Light"/>
          <w:sz w:val="24"/>
        </w:rPr>
        <w:t>https://doi.org/10.1177/00323292231163690</w:t>
      </w:r>
      <w:r>
        <w:rPr>
          <w:rStyle w:val="26"/>
          <w:rFonts w:ascii="Calibri Light" w:hAnsi="Calibri Light" w:cs="Calibri Light"/>
          <w:sz w:val="24"/>
        </w:rPr>
        <w:fldChar w:fldCharType="end"/>
      </w:r>
    </w:p>
    <w:p w14:paraId="4FD6F088">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Marzuki, M. (2008). Analisis Kontestasi Kelembagaan DPD dan Upaya Mengefektifkan Keberadaannya. </w:t>
      </w:r>
      <w:r>
        <w:rPr>
          <w:rFonts w:ascii="Calibri Light" w:hAnsi="Calibri Light" w:cs="Calibri Light"/>
          <w:i/>
          <w:iCs/>
          <w:sz w:val="24"/>
        </w:rPr>
        <w:t>Jurnal Hukum Ius Quia Iustum</w:t>
      </w:r>
      <w:r>
        <w:rPr>
          <w:rFonts w:ascii="Calibri Light" w:hAnsi="Calibri Light" w:cs="Calibri Light"/>
          <w:sz w:val="24"/>
        </w:rPr>
        <w:t xml:space="preserve">, </w:t>
      </w:r>
      <w:r>
        <w:rPr>
          <w:rFonts w:ascii="Calibri Light" w:hAnsi="Calibri Light" w:cs="Calibri Light"/>
          <w:i/>
          <w:iCs/>
          <w:sz w:val="24"/>
        </w:rPr>
        <w:t>15</w:t>
      </w:r>
      <w:r>
        <w:rPr>
          <w:rFonts w:ascii="Calibri Light" w:hAnsi="Calibri Light" w:cs="Calibri Light"/>
          <w:sz w:val="24"/>
        </w:rPr>
        <w:t>(1), 81–100. https://doi.org/10.20885/iustum.vol15.iss1.art7</w:t>
      </w:r>
    </w:p>
    <w:p w14:paraId="03D67AD6">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Marzuki, &amp; Sitompul, R. (2020). The Existence of People’s Consultative Assembly in Indonesian State System in the Pancasila Democracy Perspective. </w:t>
      </w:r>
      <w:r>
        <w:rPr>
          <w:rFonts w:ascii="Calibri Light" w:hAnsi="Calibri Light" w:cs="Calibri Light"/>
          <w:i/>
          <w:iCs/>
          <w:sz w:val="24"/>
        </w:rPr>
        <w:t>Journal Of Advanced Research In Law And Economics</w:t>
      </w:r>
      <w:r>
        <w:rPr>
          <w:rFonts w:ascii="Calibri Light" w:hAnsi="Calibri Light" w:cs="Calibri Light"/>
          <w:sz w:val="24"/>
        </w:rPr>
        <w:t xml:space="preserve">, </w:t>
      </w:r>
      <w:r>
        <w:rPr>
          <w:rFonts w:ascii="Calibri Light" w:hAnsi="Calibri Light" w:cs="Calibri Light"/>
          <w:i/>
          <w:iCs/>
          <w:sz w:val="24"/>
        </w:rPr>
        <w:t>11</w:t>
      </w:r>
      <w:r>
        <w:rPr>
          <w:rFonts w:ascii="Calibri Light" w:hAnsi="Calibri Light" w:cs="Calibri Light"/>
          <w:sz w:val="24"/>
        </w:rPr>
        <w:t>(3 (49)), 947–950. https://doi.org/10.14505/jarle.v11.3(45).30</w:t>
      </w:r>
    </w:p>
    <w:p w14:paraId="563306A8">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Mukhlis, M. M., Maskun, Tajuddin, M. S., &amp; Paidi, Z. (2024). Regional government according to the 1945 constitution: ideas refinements and law reform. </w:t>
      </w:r>
      <w:r>
        <w:rPr>
          <w:rFonts w:ascii="Calibri Light" w:hAnsi="Calibri Light" w:cs="Calibri Light"/>
          <w:i/>
          <w:iCs/>
          <w:sz w:val="24"/>
        </w:rPr>
        <w:t>Journal of Law and Legal Reform</w:t>
      </w:r>
      <w:r>
        <w:rPr>
          <w:rFonts w:ascii="Calibri Light" w:hAnsi="Calibri Light" w:cs="Calibri Light"/>
          <w:sz w:val="24"/>
        </w:rPr>
        <w:t xml:space="preserve">, </w:t>
      </w:r>
      <w:r>
        <w:rPr>
          <w:rFonts w:ascii="Calibri Light" w:hAnsi="Calibri Light" w:cs="Calibri Light"/>
          <w:i/>
          <w:iCs/>
          <w:sz w:val="24"/>
        </w:rPr>
        <w:t>5</w:t>
      </w:r>
      <w:r>
        <w:rPr>
          <w:rFonts w:ascii="Calibri Light" w:hAnsi="Calibri Light" w:cs="Calibri Light"/>
          <w:sz w:val="24"/>
        </w:rPr>
        <w:t xml:space="preserve">(2), 485–530. </w:t>
      </w:r>
      <w:r>
        <w:fldChar w:fldCharType="begin"/>
      </w:r>
      <w:r>
        <w:instrText xml:space="preserve"> HYPERLINK "https://doi.org/10.15294/jllr.vol5i1.3125" </w:instrText>
      </w:r>
      <w:r>
        <w:fldChar w:fldCharType="separate"/>
      </w:r>
      <w:r>
        <w:rPr>
          <w:rStyle w:val="26"/>
          <w:rFonts w:ascii="Calibri Light" w:hAnsi="Calibri Light" w:cs="Calibri Light"/>
          <w:sz w:val="24"/>
        </w:rPr>
        <w:t>https://doi.org/10.15294/jllr.vol5i1.3125</w:t>
      </w:r>
      <w:r>
        <w:rPr>
          <w:rStyle w:val="26"/>
          <w:rFonts w:ascii="Calibri Light" w:hAnsi="Calibri Light" w:cs="Calibri Light"/>
          <w:sz w:val="24"/>
        </w:rPr>
        <w:fldChar w:fldCharType="end"/>
      </w:r>
    </w:p>
    <w:p w14:paraId="7E934D98">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Mutawalli, M. (2023). </w:t>
      </w:r>
      <w:r>
        <w:rPr>
          <w:rFonts w:ascii="Calibri Light" w:hAnsi="Calibri Light" w:cs="Calibri Light"/>
          <w:i/>
          <w:iCs/>
          <w:sz w:val="24"/>
        </w:rPr>
        <w:t>NEGARA HUKUM KEDAULATAN DAN DEMOKRASI (Konsepsi Teori dan Perkembangannya)</w:t>
      </w:r>
      <w:r>
        <w:rPr>
          <w:rFonts w:ascii="Calibri Light" w:hAnsi="Calibri Light" w:cs="Calibri Light"/>
          <w:sz w:val="24"/>
        </w:rPr>
        <w:t xml:space="preserve"> (1st ed.). Pustaka Aksara.</w:t>
      </w:r>
    </w:p>
    <w:p w14:paraId="7414B601">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Mutawalli, M. (2024). Penegakan Hukum Deforestasi: Upaya Perbaikan dan Penanganannya di Indonesia. </w:t>
      </w:r>
      <w:r>
        <w:rPr>
          <w:rFonts w:ascii="Calibri Light" w:hAnsi="Calibri Light" w:cs="Calibri Light"/>
          <w:i/>
          <w:iCs/>
          <w:sz w:val="24"/>
        </w:rPr>
        <w:t>Repository STAIN Majene</w:t>
      </w:r>
      <w:r>
        <w:rPr>
          <w:rFonts w:ascii="Calibri Light" w:hAnsi="Calibri Light" w:cs="Calibri Light"/>
          <w:sz w:val="24"/>
        </w:rPr>
        <w:t>.</w:t>
      </w:r>
    </w:p>
    <w:p w14:paraId="599732E2">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Mutawalli, M., Wahab, H. A., &amp; Ayub, Z. A. (2023). Constitutional Complaint: A Comparative Study of The Authority of The Constitutional Courts of The Republic of Indonesia and Croatia. </w:t>
      </w:r>
      <w:r>
        <w:rPr>
          <w:rFonts w:ascii="Calibri Light" w:hAnsi="Calibri Light" w:cs="Calibri Light"/>
          <w:i/>
          <w:iCs/>
          <w:sz w:val="24"/>
        </w:rPr>
        <w:t>Russian Law Journal</w:t>
      </w:r>
      <w:r>
        <w:rPr>
          <w:rFonts w:ascii="Calibri Light" w:hAnsi="Calibri Light" w:cs="Calibri Light"/>
          <w:sz w:val="24"/>
        </w:rPr>
        <w:t xml:space="preserve">, </w:t>
      </w:r>
      <w:r>
        <w:rPr>
          <w:rFonts w:ascii="Calibri Light" w:hAnsi="Calibri Light" w:cs="Calibri Light"/>
          <w:i/>
          <w:iCs/>
          <w:sz w:val="24"/>
        </w:rPr>
        <w:t>11</w:t>
      </w:r>
      <w:r>
        <w:rPr>
          <w:rFonts w:ascii="Calibri Light" w:hAnsi="Calibri Light" w:cs="Calibri Light"/>
          <w:sz w:val="24"/>
        </w:rPr>
        <w:t xml:space="preserve">(3S), 132–142. </w:t>
      </w:r>
      <w:r>
        <w:fldChar w:fldCharType="begin"/>
      </w:r>
      <w:r>
        <w:instrText xml:space="preserve"> HYPERLINK "https://doi.org/10.52783/rlj.v11i3s.744" </w:instrText>
      </w:r>
      <w:r>
        <w:fldChar w:fldCharType="separate"/>
      </w:r>
      <w:r>
        <w:rPr>
          <w:rStyle w:val="26"/>
          <w:rFonts w:ascii="Calibri Light" w:hAnsi="Calibri Light" w:cs="Calibri Light"/>
          <w:sz w:val="24"/>
        </w:rPr>
        <w:t>https://doi.org/10.52783/rlj.v11i3s.744</w:t>
      </w:r>
      <w:r>
        <w:rPr>
          <w:rStyle w:val="26"/>
          <w:rFonts w:ascii="Calibri Light" w:hAnsi="Calibri Light" w:cs="Calibri Light"/>
          <w:sz w:val="24"/>
        </w:rPr>
        <w:fldChar w:fldCharType="end"/>
      </w:r>
    </w:p>
    <w:p w14:paraId="1887DEF2">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Mutawalli, M., Yeyeng, A. T., Balebo, P. M., &amp; Lulo, L. de D. M. (2023). Cancellation of Regional Regulations in Indonesian: An Overview of the Conception of Constitutional Democracy. </w:t>
      </w:r>
      <w:r>
        <w:rPr>
          <w:rFonts w:ascii="Calibri Light" w:hAnsi="Calibri Light" w:cs="Calibri Light"/>
          <w:i/>
          <w:iCs/>
          <w:sz w:val="24"/>
        </w:rPr>
        <w:t>Jurnal Politik Profetik</w:t>
      </w:r>
      <w:r>
        <w:rPr>
          <w:rFonts w:ascii="Calibri Light" w:hAnsi="Calibri Light" w:cs="Calibri Light"/>
          <w:sz w:val="24"/>
        </w:rPr>
        <w:t xml:space="preserve">, </w:t>
      </w:r>
      <w:r>
        <w:rPr>
          <w:rFonts w:ascii="Calibri Light" w:hAnsi="Calibri Light" w:cs="Calibri Light"/>
          <w:i/>
          <w:iCs/>
          <w:sz w:val="24"/>
        </w:rPr>
        <w:t>11</w:t>
      </w:r>
      <w:r>
        <w:rPr>
          <w:rFonts w:ascii="Calibri Light" w:hAnsi="Calibri Light" w:cs="Calibri Light"/>
          <w:sz w:val="24"/>
        </w:rPr>
        <w:t xml:space="preserve">(2), 146–168. </w:t>
      </w:r>
      <w:r>
        <w:fldChar w:fldCharType="begin"/>
      </w:r>
      <w:r>
        <w:instrText xml:space="preserve"> HYPERLINK "http://dx.doi.org/10.24252/profetik.v11i2a2" \t "_blank" </w:instrText>
      </w:r>
      <w:r>
        <w:fldChar w:fldCharType="separate"/>
      </w:r>
      <w:r>
        <w:rPr>
          <w:rStyle w:val="26"/>
          <w:rFonts w:ascii="Calibri Light" w:hAnsi="Calibri Light" w:cs="Calibri Light"/>
          <w:sz w:val="24"/>
        </w:rPr>
        <w:t>10.24252/profetik.v11i2a2</w:t>
      </w:r>
      <w:r>
        <w:rPr>
          <w:rStyle w:val="26"/>
          <w:rFonts w:ascii="Calibri Light" w:hAnsi="Calibri Light" w:cs="Calibri Light"/>
          <w:sz w:val="24"/>
        </w:rPr>
        <w:fldChar w:fldCharType="end"/>
      </w:r>
    </w:p>
    <w:p w14:paraId="2F80B166">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Patyra, S. (2022). Participation of the Polish Senate in the Legislative Process: Towards Equal Bicameralism? </w:t>
      </w:r>
      <w:r>
        <w:rPr>
          <w:rFonts w:ascii="Calibri Light" w:hAnsi="Calibri Light" w:cs="Calibri Light"/>
          <w:i/>
          <w:iCs/>
          <w:sz w:val="24"/>
        </w:rPr>
        <w:t>Studia Iuridica Lublinensia</w:t>
      </w:r>
      <w:r>
        <w:rPr>
          <w:rFonts w:ascii="Calibri Light" w:hAnsi="Calibri Light" w:cs="Calibri Light"/>
          <w:sz w:val="24"/>
        </w:rPr>
        <w:t xml:space="preserve">, </w:t>
      </w:r>
      <w:r>
        <w:rPr>
          <w:rFonts w:ascii="Calibri Light" w:hAnsi="Calibri Light" w:cs="Calibri Light"/>
          <w:i/>
          <w:iCs/>
          <w:sz w:val="24"/>
        </w:rPr>
        <w:t>31</w:t>
      </w:r>
      <w:r>
        <w:rPr>
          <w:rFonts w:ascii="Calibri Light" w:hAnsi="Calibri Light" w:cs="Calibri Light"/>
          <w:sz w:val="24"/>
        </w:rPr>
        <w:t xml:space="preserve">(5), 187–199. </w:t>
      </w:r>
      <w:r>
        <w:fldChar w:fldCharType="begin"/>
      </w:r>
      <w:r>
        <w:instrText xml:space="preserve"> HYPERLINK "http://dx.doi.org/10.17951/sil.2022.31.5.187-199" \t "_blank" </w:instrText>
      </w:r>
      <w:r>
        <w:fldChar w:fldCharType="separate"/>
      </w:r>
      <w:r>
        <w:rPr>
          <w:rStyle w:val="26"/>
          <w:rFonts w:ascii="Calibri Light" w:hAnsi="Calibri Light" w:cs="Calibri Light"/>
          <w:sz w:val="24"/>
        </w:rPr>
        <w:t>10.17951/sil.2022.31.5.187-199</w:t>
      </w:r>
      <w:r>
        <w:rPr>
          <w:rStyle w:val="26"/>
          <w:rFonts w:ascii="Calibri Light" w:hAnsi="Calibri Light" w:cs="Calibri Light"/>
          <w:sz w:val="24"/>
        </w:rPr>
        <w:fldChar w:fldCharType="end"/>
      </w:r>
    </w:p>
    <w:p w14:paraId="77225478">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Perbawa, I. K. S. L. P., Kusumaningtyas, R. O., &amp; Jailani, A. K. (2022). The Reform of the Parliamentary Threshold System Based on Human Rights: Evidence from the United States. </w:t>
      </w:r>
      <w:r>
        <w:rPr>
          <w:rFonts w:ascii="Calibri Light" w:hAnsi="Calibri Light" w:cs="Calibri Light"/>
          <w:i/>
          <w:iCs/>
          <w:sz w:val="24"/>
        </w:rPr>
        <w:t>Wacana Hukum</w:t>
      </w:r>
      <w:r>
        <w:rPr>
          <w:rFonts w:ascii="Calibri Light" w:hAnsi="Calibri Light" w:cs="Calibri Light"/>
          <w:sz w:val="24"/>
        </w:rPr>
        <w:t xml:space="preserve">, </w:t>
      </w:r>
      <w:r>
        <w:rPr>
          <w:rFonts w:ascii="Calibri Light" w:hAnsi="Calibri Light" w:cs="Calibri Light"/>
          <w:i/>
          <w:iCs/>
          <w:sz w:val="24"/>
        </w:rPr>
        <w:t>28</w:t>
      </w:r>
      <w:r>
        <w:rPr>
          <w:rFonts w:ascii="Calibri Light" w:hAnsi="Calibri Light" w:cs="Calibri Light"/>
          <w:sz w:val="24"/>
        </w:rPr>
        <w:t>(2), 38–53. https://doi.org/10.33061/wh.v28i2.10962</w:t>
      </w:r>
    </w:p>
    <w:p w14:paraId="7B0F6531">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Ramadani, R., &amp; Mamonto, M. A. W. W. (2018). Independency of the Corruption Eradication Commission of the Republic of Indonesia (KPK RI) in Indicators of Independent Regulatory Agencies (IRAs). </w:t>
      </w:r>
      <w:r>
        <w:rPr>
          <w:rFonts w:ascii="Calibri Light" w:hAnsi="Calibri Light" w:cs="Calibri Light"/>
          <w:i/>
          <w:iCs/>
          <w:sz w:val="24"/>
        </w:rPr>
        <w:t>Substantive Justice International Journal of Law</w:t>
      </w:r>
      <w:r>
        <w:rPr>
          <w:rFonts w:ascii="Calibri Light" w:hAnsi="Calibri Light" w:cs="Calibri Light"/>
          <w:sz w:val="24"/>
        </w:rPr>
        <w:t xml:space="preserve">, </w:t>
      </w:r>
      <w:r>
        <w:rPr>
          <w:rFonts w:ascii="Calibri Light" w:hAnsi="Calibri Light" w:cs="Calibri Light"/>
          <w:i/>
          <w:iCs/>
          <w:sz w:val="24"/>
        </w:rPr>
        <w:t>1</w:t>
      </w:r>
      <w:r>
        <w:rPr>
          <w:rFonts w:ascii="Calibri Light" w:hAnsi="Calibri Light" w:cs="Calibri Light"/>
          <w:sz w:val="24"/>
        </w:rPr>
        <w:t>(2), 82–94. https://doi.org/10.33096/substantivejustice.v1i2.18</w:t>
      </w:r>
    </w:p>
    <w:p w14:paraId="18AA14B2">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Rohmah, E. I. (2018). Fungsi Legislasi DPR dan DPD Perspektif Maslahah Mursalah (Implikasi Putusan Mahkamah Konstitusi Nomor 92/Puu-X/2012). </w:t>
      </w:r>
      <w:r>
        <w:rPr>
          <w:rFonts w:ascii="Calibri Light" w:hAnsi="Calibri Light" w:cs="Calibri Light"/>
          <w:i/>
          <w:iCs/>
          <w:sz w:val="24"/>
        </w:rPr>
        <w:t>Ummul Qura Jurnal Institut Pesantren Sunan Drajat (INSUD) Lamongan</w:t>
      </w:r>
      <w:r>
        <w:rPr>
          <w:rFonts w:ascii="Calibri Light" w:hAnsi="Calibri Light" w:cs="Calibri Light"/>
          <w:sz w:val="24"/>
        </w:rPr>
        <w:t xml:space="preserve">, </w:t>
      </w:r>
      <w:r>
        <w:rPr>
          <w:rFonts w:ascii="Calibri Light" w:hAnsi="Calibri Light" w:cs="Calibri Light"/>
          <w:i/>
          <w:iCs/>
          <w:sz w:val="24"/>
        </w:rPr>
        <w:t>11</w:t>
      </w:r>
      <w:r>
        <w:rPr>
          <w:rFonts w:ascii="Calibri Light" w:hAnsi="Calibri Light" w:cs="Calibri Light"/>
          <w:sz w:val="24"/>
        </w:rPr>
        <w:t xml:space="preserve">(1), 16–33. </w:t>
      </w:r>
      <w:r>
        <w:fldChar w:fldCharType="begin"/>
      </w:r>
      <w:r>
        <w:instrText xml:space="preserve"> HYPERLINK "https://doi.org/10.55352/uq.v11i1.425" </w:instrText>
      </w:r>
      <w:r>
        <w:fldChar w:fldCharType="separate"/>
      </w:r>
      <w:r>
        <w:rPr>
          <w:rStyle w:val="26"/>
          <w:rFonts w:ascii="Calibri Light" w:hAnsi="Calibri Light" w:cs="Calibri Light"/>
          <w:sz w:val="24"/>
        </w:rPr>
        <w:t>https://doi.org/10.55352/uq.v11i1.425</w:t>
      </w:r>
      <w:r>
        <w:rPr>
          <w:rStyle w:val="26"/>
          <w:rFonts w:ascii="Calibri Light" w:hAnsi="Calibri Light" w:cs="Calibri Light"/>
          <w:sz w:val="24"/>
        </w:rPr>
        <w:fldChar w:fldCharType="end"/>
      </w:r>
    </w:p>
    <w:p w14:paraId="4FE8A8EF">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Rohmah, E. I., Huroirah, E., &amp; Prasetya, J. A. P. (2024). Parliamentary Systems in Continental European Countries and its Relationship to the Effectiveness of Legislative Institutions. </w:t>
      </w:r>
      <w:r>
        <w:rPr>
          <w:rFonts w:ascii="Calibri Light" w:hAnsi="Calibri Light" w:cs="Calibri Light"/>
          <w:i/>
          <w:iCs/>
          <w:sz w:val="24"/>
        </w:rPr>
        <w:t>Al-Adalah: Jurnal Hukum Dan Politik Islam</w:t>
      </w:r>
      <w:r>
        <w:rPr>
          <w:rFonts w:ascii="Calibri Light" w:hAnsi="Calibri Light" w:cs="Calibri Light"/>
          <w:sz w:val="24"/>
        </w:rPr>
        <w:t xml:space="preserve">, </w:t>
      </w:r>
      <w:r>
        <w:rPr>
          <w:rFonts w:ascii="Calibri Light" w:hAnsi="Calibri Light" w:cs="Calibri Light"/>
          <w:i/>
          <w:iCs/>
          <w:sz w:val="24"/>
        </w:rPr>
        <w:t>9</w:t>
      </w:r>
      <w:r>
        <w:rPr>
          <w:rFonts w:ascii="Calibri Light" w:hAnsi="Calibri Light" w:cs="Calibri Light"/>
          <w:sz w:val="24"/>
        </w:rPr>
        <w:t>(1), 1–23. </w:t>
      </w:r>
      <w:r>
        <w:fldChar w:fldCharType="begin"/>
      </w:r>
      <w:r>
        <w:instrText xml:space="preserve"> HYPERLINK "http://dx.doi.org/10.30863/ajmpi.v9i1.3092" </w:instrText>
      </w:r>
      <w:r>
        <w:fldChar w:fldCharType="separate"/>
      </w:r>
      <w:r>
        <w:rPr>
          <w:rStyle w:val="26"/>
          <w:rFonts w:ascii="Calibri Light" w:hAnsi="Calibri Light" w:cs="Calibri Light"/>
          <w:sz w:val="24"/>
        </w:rPr>
        <w:t>10.30863/ajmpi.v9i1.3092</w:t>
      </w:r>
      <w:r>
        <w:rPr>
          <w:rStyle w:val="26"/>
          <w:rFonts w:ascii="Calibri Light" w:hAnsi="Calibri Light" w:cs="Calibri Light"/>
          <w:sz w:val="24"/>
        </w:rPr>
        <w:fldChar w:fldCharType="end"/>
      </w:r>
    </w:p>
    <w:p w14:paraId="2BA5C27A">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Rubinelli, L. (2019). Sieyès Versus Bicameralism. </w:t>
      </w:r>
      <w:r>
        <w:rPr>
          <w:rFonts w:ascii="Calibri Light" w:hAnsi="Calibri Light" w:cs="Calibri Light"/>
          <w:i/>
          <w:iCs/>
          <w:sz w:val="24"/>
        </w:rPr>
        <w:t>The Review of Politics</w:t>
      </w:r>
      <w:r>
        <w:rPr>
          <w:rFonts w:ascii="Calibri Light" w:hAnsi="Calibri Light" w:cs="Calibri Light"/>
          <w:sz w:val="24"/>
        </w:rPr>
        <w:t xml:space="preserve">, </w:t>
      </w:r>
      <w:r>
        <w:rPr>
          <w:rFonts w:ascii="Calibri Light" w:hAnsi="Calibri Light" w:cs="Calibri Light"/>
          <w:i/>
          <w:iCs/>
          <w:sz w:val="24"/>
        </w:rPr>
        <w:t>81</w:t>
      </w:r>
      <w:r>
        <w:rPr>
          <w:rFonts w:ascii="Calibri Light" w:hAnsi="Calibri Light" w:cs="Calibri Light"/>
          <w:sz w:val="24"/>
        </w:rPr>
        <w:t>(2), 255–279. https://doi.org/10.1017/S0034670518001201</w:t>
      </w:r>
    </w:p>
    <w:p w14:paraId="11227A25">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Rullyandi, M., Astawa, I. G. P., Sugiharti, D. K., &amp; Muttaqin, Z. (2022). Law-Making Power In Indonesia: Beyond General Practices or Uniqueness of Constitutional System? </w:t>
      </w:r>
      <w:r>
        <w:rPr>
          <w:rFonts w:ascii="Calibri Light" w:hAnsi="Calibri Light" w:cs="Calibri Light"/>
          <w:i/>
          <w:iCs/>
          <w:sz w:val="24"/>
        </w:rPr>
        <w:t>Journal of Positive School Psychology</w:t>
      </w:r>
      <w:r>
        <w:rPr>
          <w:rFonts w:ascii="Calibri Light" w:hAnsi="Calibri Light" w:cs="Calibri Light"/>
          <w:sz w:val="24"/>
        </w:rPr>
        <w:t xml:space="preserve">, </w:t>
      </w:r>
      <w:r>
        <w:rPr>
          <w:rFonts w:ascii="Calibri Light" w:hAnsi="Calibri Light" w:cs="Calibri Light"/>
          <w:i/>
          <w:iCs/>
          <w:sz w:val="24"/>
        </w:rPr>
        <w:t>6</w:t>
      </w:r>
      <w:r>
        <w:rPr>
          <w:rFonts w:ascii="Calibri Light" w:hAnsi="Calibri Light" w:cs="Calibri Light"/>
          <w:sz w:val="24"/>
        </w:rPr>
        <w:t>(9), 191–199. https://journalppw.com/index.php/jpsp/article/view/12072</w:t>
      </w:r>
    </w:p>
    <w:p w14:paraId="72B49D47">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Ryan, J. M. (2020). Bicameralism and Minority‐Party Influence on Legislative Development: Evidence from House Standing Committee Votes. </w:t>
      </w:r>
      <w:r>
        <w:rPr>
          <w:rFonts w:ascii="Calibri Light" w:hAnsi="Calibri Light" w:cs="Calibri Light"/>
          <w:i/>
          <w:iCs/>
          <w:sz w:val="24"/>
        </w:rPr>
        <w:t>Legislative Studies Quarterly</w:t>
      </w:r>
      <w:r>
        <w:rPr>
          <w:rFonts w:ascii="Calibri Light" w:hAnsi="Calibri Light" w:cs="Calibri Light"/>
          <w:sz w:val="24"/>
        </w:rPr>
        <w:t xml:space="preserve">, </w:t>
      </w:r>
      <w:r>
        <w:rPr>
          <w:rFonts w:ascii="Calibri Light" w:hAnsi="Calibri Light" w:cs="Calibri Light"/>
          <w:i/>
          <w:iCs/>
          <w:sz w:val="24"/>
        </w:rPr>
        <w:t>45</w:t>
      </w:r>
      <w:r>
        <w:rPr>
          <w:rFonts w:ascii="Calibri Light" w:hAnsi="Calibri Light" w:cs="Calibri Light"/>
          <w:sz w:val="24"/>
        </w:rPr>
        <w:t>(3), 365–396. https://doi.org/10.1111/lsq.12267</w:t>
      </w:r>
    </w:p>
    <w:p w14:paraId="1602A3B5">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Satrio, A. (2023). Restoring Indonesia’s (Un) Constitutional Constitution: Soepomo’s Authoritarian Constitution. </w:t>
      </w:r>
      <w:r>
        <w:rPr>
          <w:rFonts w:ascii="Calibri Light" w:hAnsi="Calibri Light" w:cs="Calibri Light"/>
          <w:i/>
          <w:iCs/>
          <w:sz w:val="24"/>
        </w:rPr>
        <w:t>German Law Journal</w:t>
      </w:r>
      <w:r>
        <w:rPr>
          <w:rFonts w:ascii="Calibri Light" w:hAnsi="Calibri Light" w:cs="Calibri Light"/>
          <w:sz w:val="24"/>
        </w:rPr>
        <w:t xml:space="preserve">, </w:t>
      </w:r>
      <w:r>
        <w:rPr>
          <w:rFonts w:ascii="Calibri Light" w:hAnsi="Calibri Light" w:cs="Calibri Light"/>
          <w:i/>
          <w:iCs/>
          <w:sz w:val="24"/>
        </w:rPr>
        <w:t>24</w:t>
      </w:r>
      <w:r>
        <w:rPr>
          <w:rFonts w:ascii="Calibri Light" w:hAnsi="Calibri Light" w:cs="Calibri Light"/>
          <w:sz w:val="24"/>
        </w:rPr>
        <w:t xml:space="preserve">(2), 402–416. </w:t>
      </w:r>
      <w:r>
        <w:fldChar w:fldCharType="begin"/>
      </w:r>
      <w:r>
        <w:instrText xml:space="preserve"> HYPERLINK "https://doi.org/10.1017/glj.2023.16" \t "_blank" </w:instrText>
      </w:r>
      <w:r>
        <w:fldChar w:fldCharType="separate"/>
      </w:r>
      <w:r>
        <w:rPr>
          <w:rStyle w:val="26"/>
          <w:rFonts w:ascii="Calibri Light" w:hAnsi="Calibri Light" w:cs="Calibri Light"/>
          <w:sz w:val="24"/>
        </w:rPr>
        <w:t>https://doi.org/10.1017/glj.2023.16</w:t>
      </w:r>
      <w:r>
        <w:rPr>
          <w:rStyle w:val="26"/>
          <w:rFonts w:ascii="Calibri Light" w:hAnsi="Calibri Light" w:cs="Calibri Light"/>
          <w:sz w:val="24"/>
        </w:rPr>
        <w:fldChar w:fldCharType="end"/>
      </w:r>
    </w:p>
    <w:p w14:paraId="7E4F146B">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Sori, A. (2019). Bicameral System in The Practice of Organizing The Indonesian Parliament (A Study of The Transformation of The Regional Representative Council Into The Second Chamber in The Parliamentary System in Indonesia). </w:t>
      </w:r>
      <w:r>
        <w:rPr>
          <w:rFonts w:ascii="Calibri Light" w:hAnsi="Calibri Light" w:cs="Calibri Light"/>
          <w:i/>
          <w:iCs/>
          <w:sz w:val="24"/>
        </w:rPr>
        <w:t>Awang Long Law Review</w:t>
      </w:r>
      <w:r>
        <w:rPr>
          <w:rFonts w:ascii="Calibri Light" w:hAnsi="Calibri Light" w:cs="Calibri Light"/>
          <w:sz w:val="24"/>
        </w:rPr>
        <w:t xml:space="preserve">, </w:t>
      </w:r>
      <w:r>
        <w:rPr>
          <w:rFonts w:ascii="Calibri Light" w:hAnsi="Calibri Light" w:cs="Calibri Light"/>
          <w:i/>
          <w:iCs/>
          <w:sz w:val="24"/>
        </w:rPr>
        <w:t>1</w:t>
      </w:r>
      <w:r>
        <w:rPr>
          <w:rFonts w:ascii="Calibri Light" w:hAnsi="Calibri Light" w:cs="Calibri Light"/>
          <w:sz w:val="24"/>
        </w:rPr>
        <w:t xml:space="preserve">(2), 69–84. </w:t>
      </w:r>
      <w:r>
        <w:fldChar w:fldCharType="begin"/>
      </w:r>
      <w:r>
        <w:instrText xml:space="preserve"> HYPERLINK "https://doi.org/10.56301/awl.v1i2.60" </w:instrText>
      </w:r>
      <w:r>
        <w:fldChar w:fldCharType="separate"/>
      </w:r>
      <w:r>
        <w:rPr>
          <w:rStyle w:val="26"/>
          <w:rFonts w:ascii="Calibri Light" w:hAnsi="Calibri Light" w:cs="Calibri Light"/>
          <w:sz w:val="24"/>
        </w:rPr>
        <w:t>https://doi.org/10.56301/awl.v1i2.60</w:t>
      </w:r>
      <w:r>
        <w:rPr>
          <w:rStyle w:val="26"/>
          <w:rFonts w:ascii="Calibri Light" w:hAnsi="Calibri Light" w:cs="Calibri Light"/>
          <w:sz w:val="24"/>
        </w:rPr>
        <w:fldChar w:fldCharType="end"/>
      </w:r>
    </w:p>
    <w:p w14:paraId="3ACF3985">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Suryawan, I. G. B. (2018). Articulation of Regional Community Interest Through DPD RI. </w:t>
      </w:r>
      <w:r>
        <w:rPr>
          <w:rFonts w:ascii="Calibri Light" w:hAnsi="Calibri Light" w:cs="Calibri Light"/>
          <w:i/>
          <w:iCs/>
          <w:sz w:val="24"/>
        </w:rPr>
        <w:t>Sociological Jurisprudence Journal</w:t>
      </w:r>
      <w:r>
        <w:rPr>
          <w:rFonts w:ascii="Calibri Light" w:hAnsi="Calibri Light" w:cs="Calibri Light"/>
          <w:sz w:val="24"/>
        </w:rPr>
        <w:t xml:space="preserve">, </w:t>
      </w:r>
      <w:r>
        <w:rPr>
          <w:rFonts w:ascii="Calibri Light" w:hAnsi="Calibri Light" w:cs="Calibri Light"/>
          <w:i/>
          <w:iCs/>
          <w:sz w:val="24"/>
        </w:rPr>
        <w:t>1</w:t>
      </w:r>
      <w:r>
        <w:rPr>
          <w:rFonts w:ascii="Calibri Light" w:hAnsi="Calibri Light" w:cs="Calibri Light"/>
          <w:sz w:val="24"/>
        </w:rPr>
        <w:t xml:space="preserve">(2), 95–102. </w:t>
      </w:r>
      <w:r>
        <w:fldChar w:fldCharType="begin"/>
      </w:r>
      <w:r>
        <w:instrText xml:space="preserve"> HYPERLINK "https://doi.org/10.22225/scj.1.2.729.95-102" </w:instrText>
      </w:r>
      <w:r>
        <w:fldChar w:fldCharType="separate"/>
      </w:r>
      <w:r>
        <w:rPr>
          <w:rStyle w:val="26"/>
          <w:rFonts w:ascii="Calibri Light" w:hAnsi="Calibri Light" w:cs="Calibri Light"/>
          <w:sz w:val="24"/>
        </w:rPr>
        <w:t>https://doi.org/10.22225/scj.1.2.729.95-102</w:t>
      </w:r>
      <w:r>
        <w:rPr>
          <w:rStyle w:val="26"/>
          <w:rFonts w:ascii="Calibri Light" w:hAnsi="Calibri Light" w:cs="Calibri Light"/>
          <w:sz w:val="24"/>
        </w:rPr>
        <w:fldChar w:fldCharType="end"/>
      </w:r>
    </w:p>
    <w:p w14:paraId="3ADE657B">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Susanto, M. (2018). The Legislative Role in The Budgeting Process in Indonesia. </w:t>
      </w:r>
      <w:r>
        <w:rPr>
          <w:rFonts w:ascii="Calibri Light" w:hAnsi="Calibri Light" w:cs="Calibri Light"/>
          <w:i/>
          <w:iCs/>
          <w:sz w:val="24"/>
        </w:rPr>
        <w:t>NEGARA HUKUM</w:t>
      </w:r>
      <w:r>
        <w:rPr>
          <w:rFonts w:ascii="Calibri Light" w:hAnsi="Calibri Light" w:cs="Calibri Light"/>
          <w:sz w:val="24"/>
        </w:rPr>
        <w:t xml:space="preserve">, </w:t>
      </w:r>
      <w:r>
        <w:rPr>
          <w:rFonts w:ascii="Calibri Light" w:hAnsi="Calibri Light" w:cs="Calibri Light"/>
          <w:i/>
          <w:iCs/>
          <w:sz w:val="24"/>
        </w:rPr>
        <w:t>9</w:t>
      </w:r>
      <w:r>
        <w:rPr>
          <w:rFonts w:ascii="Calibri Light" w:hAnsi="Calibri Light" w:cs="Calibri Light"/>
          <w:sz w:val="24"/>
        </w:rPr>
        <w:t>(2), 163–180. https://www.researchgate.net/publication/332342743_The_Legislative_Role_In_The_Budgeting_Process_In_Indonesia</w:t>
      </w:r>
    </w:p>
    <w:p w14:paraId="00E7E213">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Susilowati, E. (2017). Kelumpuhan Dewan Perwakilan Daerah dalam Proses Legislasi di Indonesia. </w:t>
      </w:r>
      <w:r>
        <w:rPr>
          <w:rFonts w:ascii="Calibri Light" w:hAnsi="Calibri Light" w:cs="Calibri Light"/>
          <w:i/>
          <w:iCs/>
          <w:sz w:val="24"/>
        </w:rPr>
        <w:t>MORALITY: Jurnal Ilmu Hukum</w:t>
      </w:r>
      <w:r>
        <w:rPr>
          <w:rFonts w:ascii="Calibri Light" w:hAnsi="Calibri Light" w:cs="Calibri Light"/>
          <w:sz w:val="24"/>
        </w:rPr>
        <w:t xml:space="preserve">, </w:t>
      </w:r>
      <w:r>
        <w:rPr>
          <w:rFonts w:ascii="Calibri Light" w:hAnsi="Calibri Light" w:cs="Calibri Light"/>
          <w:i/>
          <w:iCs/>
          <w:sz w:val="24"/>
        </w:rPr>
        <w:t>2</w:t>
      </w:r>
      <w:r>
        <w:rPr>
          <w:rFonts w:ascii="Calibri Light" w:hAnsi="Calibri Light" w:cs="Calibri Light"/>
          <w:sz w:val="24"/>
        </w:rPr>
        <w:t>(2), 193–206. https://www.neliti.com/id/publications/280206/kelumpuhan-dewan-perwakilan-daerah-dalam-proses-legislasi-di-indonesia#cite</w:t>
      </w:r>
    </w:p>
    <w:p w14:paraId="5AD8A3D4">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Theodoro Luciano, B. (2020). A Clash between Creature and Creator? Contemporary Relations between the Pan‐African Parliament and the European Parliament. </w:t>
      </w:r>
      <w:r>
        <w:rPr>
          <w:rFonts w:ascii="Calibri Light" w:hAnsi="Calibri Light" w:cs="Calibri Light"/>
          <w:i/>
          <w:iCs/>
          <w:sz w:val="24"/>
        </w:rPr>
        <w:t>JCMS: Journal of Common Market Studies</w:t>
      </w:r>
      <w:r>
        <w:rPr>
          <w:rFonts w:ascii="Calibri Light" w:hAnsi="Calibri Light" w:cs="Calibri Light"/>
          <w:sz w:val="24"/>
        </w:rPr>
        <w:t xml:space="preserve">, </w:t>
      </w:r>
      <w:r>
        <w:rPr>
          <w:rFonts w:ascii="Calibri Light" w:hAnsi="Calibri Light" w:cs="Calibri Light"/>
          <w:i/>
          <w:iCs/>
          <w:sz w:val="24"/>
        </w:rPr>
        <w:t>58</w:t>
      </w:r>
      <w:r>
        <w:rPr>
          <w:rFonts w:ascii="Calibri Light" w:hAnsi="Calibri Light" w:cs="Calibri Light"/>
          <w:sz w:val="24"/>
        </w:rPr>
        <w:t>(5), 1182–1198. https://doi.org/10.1111/jcms.13026</w:t>
      </w:r>
    </w:p>
    <w:p w14:paraId="4411ED4F">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Tinambunan, H. S. R., &amp; Prasetio, D. E. (2019). Rekonstruksi Konstitusi dalam Regional Representative Dewan Perwakilan Daerah terhadap Fungsi Legislatif. </w:t>
      </w:r>
      <w:r>
        <w:rPr>
          <w:rFonts w:ascii="Calibri Light" w:hAnsi="Calibri Light" w:cs="Calibri Light"/>
          <w:i/>
          <w:iCs/>
          <w:sz w:val="24"/>
        </w:rPr>
        <w:t>Masalah-Masalah Hukum</w:t>
      </w:r>
      <w:r>
        <w:rPr>
          <w:rFonts w:ascii="Calibri Light" w:hAnsi="Calibri Light" w:cs="Calibri Light"/>
          <w:sz w:val="24"/>
        </w:rPr>
        <w:t xml:space="preserve">, </w:t>
      </w:r>
      <w:r>
        <w:rPr>
          <w:rFonts w:ascii="Calibri Light" w:hAnsi="Calibri Light" w:cs="Calibri Light"/>
          <w:i/>
          <w:iCs/>
          <w:sz w:val="24"/>
        </w:rPr>
        <w:t>48</w:t>
      </w:r>
      <w:r>
        <w:rPr>
          <w:rFonts w:ascii="Calibri Light" w:hAnsi="Calibri Light" w:cs="Calibri Light"/>
          <w:sz w:val="24"/>
        </w:rPr>
        <w:t>(3), 266–274. https://doi.org/10.14710/mmh.48.3.2019.266-274</w:t>
      </w:r>
    </w:p>
    <w:p w14:paraId="7EC9C736">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Toding, A. (2017). DPD dalam Struktur Parlemen Indonesia: Wacana Pemusnahan Versus Penguatan. </w:t>
      </w:r>
      <w:r>
        <w:rPr>
          <w:rFonts w:ascii="Calibri Light" w:hAnsi="Calibri Light" w:cs="Calibri Light"/>
          <w:i/>
          <w:iCs/>
          <w:sz w:val="24"/>
        </w:rPr>
        <w:t>Jurnal Konstitusi</w:t>
      </w:r>
      <w:r>
        <w:rPr>
          <w:rFonts w:ascii="Calibri Light" w:hAnsi="Calibri Light" w:cs="Calibri Light"/>
          <w:sz w:val="24"/>
        </w:rPr>
        <w:t xml:space="preserve">, </w:t>
      </w:r>
      <w:r>
        <w:rPr>
          <w:rFonts w:ascii="Calibri Light" w:hAnsi="Calibri Light" w:cs="Calibri Light"/>
          <w:i/>
          <w:iCs/>
          <w:sz w:val="24"/>
        </w:rPr>
        <w:t>14</w:t>
      </w:r>
      <w:r>
        <w:rPr>
          <w:rFonts w:ascii="Calibri Light" w:hAnsi="Calibri Light" w:cs="Calibri Light"/>
          <w:sz w:val="24"/>
        </w:rPr>
        <w:t xml:space="preserve">(2), 295–314. </w:t>
      </w:r>
      <w:r>
        <w:fldChar w:fldCharType="begin"/>
      </w:r>
      <w:r>
        <w:instrText xml:space="preserve"> HYPERLINK "https://doi.org/10.31078/jk1423" </w:instrText>
      </w:r>
      <w:r>
        <w:fldChar w:fldCharType="separate"/>
      </w:r>
      <w:r>
        <w:rPr>
          <w:rStyle w:val="26"/>
          <w:rFonts w:ascii="Calibri Light" w:hAnsi="Calibri Light" w:cs="Calibri Light"/>
          <w:sz w:val="24"/>
        </w:rPr>
        <w:t>https://doi.org/10.31078/jk1423</w:t>
      </w:r>
      <w:r>
        <w:rPr>
          <w:rStyle w:val="26"/>
          <w:rFonts w:ascii="Calibri Light" w:hAnsi="Calibri Light" w:cs="Calibri Light"/>
          <w:sz w:val="24"/>
        </w:rPr>
        <w:fldChar w:fldCharType="end"/>
      </w:r>
    </w:p>
    <w:p w14:paraId="1DEC68D1">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Utami, N. S. (2023). Dynamics of The Parliamentary System in The Indonesian State System. </w:t>
      </w:r>
      <w:r>
        <w:rPr>
          <w:rFonts w:ascii="Calibri Light" w:hAnsi="Calibri Light" w:cs="Calibri Light"/>
          <w:i/>
          <w:iCs/>
          <w:sz w:val="24"/>
        </w:rPr>
        <w:t>Proceedings of the 2nd International Conference on Multidisciplinary Sciences for Humanity in Society 5.0 Era (ICOMSH 2022)</w:t>
      </w:r>
      <w:r>
        <w:rPr>
          <w:rFonts w:ascii="Calibri Light" w:hAnsi="Calibri Light" w:cs="Calibri Light"/>
          <w:sz w:val="24"/>
        </w:rPr>
        <w:t xml:space="preserve">, 498–502. </w:t>
      </w:r>
      <w:r>
        <w:fldChar w:fldCharType="begin"/>
      </w:r>
      <w:r>
        <w:instrText xml:space="preserve"> HYPERLINK "https://doi.org/10.2991/978-2-38476-204-0_43" </w:instrText>
      </w:r>
      <w:r>
        <w:fldChar w:fldCharType="separate"/>
      </w:r>
      <w:r>
        <w:rPr>
          <w:rStyle w:val="26"/>
          <w:rFonts w:ascii="Calibri Light" w:hAnsi="Calibri Light" w:cs="Calibri Light"/>
          <w:sz w:val="24"/>
        </w:rPr>
        <w:t>10.2991/978-2-38476-204-0_43</w:t>
      </w:r>
      <w:r>
        <w:rPr>
          <w:rStyle w:val="26"/>
          <w:rFonts w:ascii="Calibri Light" w:hAnsi="Calibri Light" w:cs="Calibri Light"/>
          <w:sz w:val="24"/>
        </w:rPr>
        <w:fldChar w:fldCharType="end"/>
      </w:r>
    </w:p>
    <w:p w14:paraId="117DD9B1">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Wegmann, S. (2022). Policy-Making Power of Opposition Players: A Comparative Institutional Perspective. </w:t>
      </w:r>
      <w:r>
        <w:rPr>
          <w:rFonts w:ascii="Calibri Light" w:hAnsi="Calibri Light" w:cs="Calibri Light"/>
          <w:i/>
          <w:iCs/>
          <w:sz w:val="24"/>
        </w:rPr>
        <w:t>The Journal of Legislative Studies</w:t>
      </w:r>
      <w:r>
        <w:rPr>
          <w:rFonts w:ascii="Calibri Light" w:hAnsi="Calibri Light" w:cs="Calibri Light"/>
          <w:sz w:val="24"/>
        </w:rPr>
        <w:t xml:space="preserve">, </w:t>
      </w:r>
      <w:r>
        <w:rPr>
          <w:rFonts w:ascii="Calibri Light" w:hAnsi="Calibri Light" w:cs="Calibri Light"/>
          <w:i/>
          <w:iCs/>
          <w:sz w:val="24"/>
        </w:rPr>
        <w:t>28</w:t>
      </w:r>
      <w:r>
        <w:rPr>
          <w:rFonts w:ascii="Calibri Light" w:hAnsi="Calibri Light" w:cs="Calibri Light"/>
          <w:sz w:val="24"/>
        </w:rPr>
        <w:t xml:space="preserve">(1), 1–25. </w:t>
      </w:r>
      <w:r>
        <w:fldChar w:fldCharType="begin"/>
      </w:r>
      <w:r>
        <w:instrText xml:space="preserve"> HYPERLINK "https://doi.org/10.1080/13572334.2020.1843233" </w:instrText>
      </w:r>
      <w:r>
        <w:fldChar w:fldCharType="separate"/>
      </w:r>
      <w:r>
        <w:rPr>
          <w:rStyle w:val="26"/>
          <w:rFonts w:ascii="Calibri Light" w:hAnsi="Calibri Light" w:cs="Calibri Light"/>
          <w:sz w:val="24"/>
        </w:rPr>
        <w:t>https://doi.org/10.1080/13572334.2020.1843233</w:t>
      </w:r>
      <w:r>
        <w:rPr>
          <w:rStyle w:val="26"/>
          <w:rFonts w:ascii="Calibri Light" w:hAnsi="Calibri Light" w:cs="Calibri Light"/>
          <w:sz w:val="24"/>
        </w:rPr>
        <w:fldChar w:fldCharType="end"/>
      </w:r>
    </w:p>
    <w:p w14:paraId="241524E2">
      <w:pPr>
        <w:widowControl w:val="0"/>
        <w:adjustRightInd w:val="0"/>
        <w:ind w:left="480" w:hanging="480"/>
        <w:jc w:val="both"/>
        <w:rPr>
          <w:rFonts w:ascii="Calibri Light" w:hAnsi="Calibri Light" w:cs="Calibri Light"/>
          <w:sz w:val="24"/>
        </w:rPr>
      </w:pPr>
      <w:r>
        <w:rPr>
          <w:rFonts w:ascii="Calibri Light" w:hAnsi="Calibri Light" w:cs="Calibri Light"/>
          <w:sz w:val="24"/>
        </w:rPr>
        <w:t xml:space="preserve">Yani, A. (2018). Analisis Kontruksi Struktural dan Kewenangan DPR dalam Fungsi Legislasi Berdasarkan Undang-Undang Dasar 1945. </w:t>
      </w:r>
      <w:r>
        <w:rPr>
          <w:rFonts w:ascii="Calibri Light" w:hAnsi="Calibri Light" w:cs="Calibri Light"/>
          <w:i/>
          <w:iCs/>
          <w:sz w:val="24"/>
        </w:rPr>
        <w:t>Jurnal Konstitusi</w:t>
      </w:r>
      <w:r>
        <w:rPr>
          <w:rFonts w:ascii="Calibri Light" w:hAnsi="Calibri Light" w:cs="Calibri Light"/>
          <w:sz w:val="24"/>
        </w:rPr>
        <w:t xml:space="preserve">, </w:t>
      </w:r>
      <w:r>
        <w:rPr>
          <w:rFonts w:ascii="Calibri Light" w:hAnsi="Calibri Light" w:cs="Calibri Light"/>
          <w:i/>
          <w:iCs/>
          <w:sz w:val="24"/>
        </w:rPr>
        <w:t>15</w:t>
      </w:r>
      <w:r>
        <w:rPr>
          <w:rFonts w:ascii="Calibri Light" w:hAnsi="Calibri Light" w:cs="Calibri Light"/>
          <w:sz w:val="24"/>
        </w:rPr>
        <w:t>(2), 348–368. https://doi.org/10.31078/jk1526</w:t>
      </w:r>
    </w:p>
    <w:p w14:paraId="0108C8A0">
      <w:pPr>
        <w:widowControl w:val="0"/>
        <w:adjustRightInd w:val="0"/>
        <w:ind w:left="851"/>
        <w:jc w:val="both"/>
        <w:rPr>
          <w:rFonts w:ascii="Calibri Light" w:cs="Calibri Light"/>
          <w:sz w:val="22"/>
          <w:lang w:val="id-ID" w:eastAsia="id-ID"/>
        </w:rPr>
      </w:pPr>
      <w:r>
        <w:rPr>
          <w:rFonts w:ascii="Calibri Light" w:cs="Calibri Light"/>
          <w:color w:val="000000"/>
          <w:sz w:val="24"/>
          <w:szCs w:val="24"/>
          <w:highlight w:val="yellow"/>
        </w:rPr>
        <w:fldChar w:fldCharType="end"/>
      </w:r>
    </w:p>
    <w:p w14:paraId="490549E9">
      <w:pPr>
        <w:pStyle w:val="53"/>
        <w:tabs>
          <w:tab w:val="left" w:pos="1134"/>
        </w:tabs>
        <w:spacing w:before="120" w:after="120" w:line="240" w:lineRule="auto"/>
        <w:ind w:left="0" w:right="-1"/>
        <w:jc w:val="both"/>
        <w:rPr>
          <w:rFonts w:ascii="Calibri Light" w:cs="Calibri Light"/>
          <w:color w:val="A6A6A6"/>
          <w:sz w:val="24"/>
          <w:szCs w:val="24"/>
        </w:rPr>
      </w:pPr>
    </w:p>
    <w:sectPr>
      <w:headerReference r:id="rId9" w:type="first"/>
      <w:footerReference r:id="rId12" w:type="first"/>
      <w:headerReference r:id="rId7" w:type="default"/>
      <w:footerReference r:id="rId10" w:type="default"/>
      <w:headerReference r:id="rId8" w:type="even"/>
      <w:footerReference r:id="rId11" w:type="even"/>
      <w:pgSz w:w="11907" w:h="16840"/>
      <w:pgMar w:top="1411" w:right="1411" w:bottom="1411" w:left="1411" w:header="720" w:footer="720" w:gutter="0"/>
      <w:pgNumType w:start="1"/>
      <w:cols w:space="720" w:num="1"/>
      <w:titlePg/>
      <w:docGrid w:linePitch="272" w:charSpace="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comment w:id="0" w:author="U" w:date="2025-04-28T14:07:00Z" w:initials="U">
    <w:p w14:paraId="176A97FE">
      <w:pPr>
        <w:pStyle w:val="17"/>
      </w:pPr>
      <w:r>
        <w:t>Add 1 short sentence for the limitations of your study or the originality of your findings. Keep your findings short, and do not exceed 250 words because you have not explained the originality and limitations.</w:t>
      </w:r>
    </w:p>
  </w:comment>
  <w:comment w:id="1" w:author="asus.RBN0CV07Z617466@outlook.com" w:date="2025-06-09T13:23:00Z" w:initials="a">
    <w:p w14:paraId="30F88BDD">
      <w:pPr>
        <w:pStyle w:val="17"/>
      </w:pPr>
      <w:r>
        <w:rPr>
          <w:rFonts w:hint="default"/>
        </w:rPr>
        <w:t>We have made improvements according to the input and instructions of Prof. Thank you for your guidance, Prof.</w:t>
      </w:r>
    </w:p>
  </w:comment>
  <w:comment w:id="2" w:author="U" w:date="2025-04-28T14:16:00Z" w:initials="U">
    <w:p w14:paraId="78C542A9">
      <w:pPr>
        <w:pStyle w:val="17"/>
      </w:pPr>
      <w:r>
        <w:t>When mentioning "tricameral parliament," it is advisable to provide a little clarification of what is meant by the term (for example, "tricameral means that the DPR, DPD, and MPR are positioned equally but with different functions") to avoid confusing readers.</w:t>
      </w:r>
    </w:p>
  </w:comment>
  <w:comment w:id="3" w:author="asus.RBN0CV07Z617466@outlook.com" w:date="2025-06-09T12:41:00Z" w:initials="a">
    <w:p w14:paraId="69EE0D30">
      <w:pPr>
        <w:pStyle w:val="17"/>
      </w:pPr>
      <w:r>
        <w:rPr>
          <w:rFonts w:hint="default"/>
        </w:rPr>
        <w:t>We have made improvements according to the input and instructions of Prof. Thank you for your guidance, Prof.</w:t>
      </w:r>
    </w:p>
  </w:comment>
  <w:comment w:id="4" w:author="U" w:date="2025-04-28T14:17:00Z" w:initials="U">
    <w:p w14:paraId="4B3C1455">
      <w:pPr>
        <w:pStyle w:val="17"/>
      </w:pPr>
      <w:r>
        <w:t>In the section comparing strong-weak bicameral systems in other countries (such as the United States), you are correct in taking examples, but it would be better to provide a smoother transition as to why this comparison is relevant to the Indonesian context.</w:t>
      </w:r>
    </w:p>
  </w:comment>
  <w:comment w:id="5" w:author="asus.RBN0CV07Z617466@outlook.com" w:date="2025-06-09T12:50:00Z" w:initials="a">
    <w:p w14:paraId="3A4A0448">
      <w:pPr>
        <w:pStyle w:val="17"/>
      </w:pPr>
      <w:r>
        <w:rPr>
          <w:rFonts w:hint="default"/>
        </w:rPr>
        <w:t>We have made improvements according to the input and instructions of Prof. Thank you for your guidance, Prof.</w:t>
      </w:r>
    </w:p>
  </w:comment>
  <w:comment w:id="6" w:author="U" w:date="2025-04-28T14:21:00Z" w:initials="U">
    <w:p w14:paraId="56BD9B62">
      <w:pPr>
        <w:pStyle w:val="17"/>
      </w:pPr>
      <w:r>
        <w:t>There must be a major improvement in the method, the method must contain clear types, approaches, analysis techniques and validity. Your method only presents and explains normative law, even then it is not clear whether it falls into the category of type or approach.</w:t>
      </w:r>
    </w:p>
  </w:comment>
  <w:comment w:id="7" w:author="asus.RBN0CV07Z617466@outlook.com" w:date="2025-06-09T13:21:00Z" w:initials="a">
    <w:p w14:paraId="0ABE7862">
      <w:pPr>
        <w:pStyle w:val="17"/>
      </w:pPr>
      <w:r>
        <w:rPr>
          <w:rFonts w:hint="default"/>
        </w:rPr>
        <w:t>We have made improvements according to the input and instructions of Prof. Thank you for your guidance, Prof.</w:t>
      </w:r>
    </w:p>
  </w:comment>
  <w:comment w:id="8" w:author="U" w:date="2025-04-29T15:30:00Z" w:initials="U">
    <w:p w14:paraId="0D2337B3">
      <w:pPr>
        <w:pStyle w:val="17"/>
      </w:pPr>
      <w:r>
        <w:t>Can you add the legal and political implications: Is a constitutional amendment necessary? Is a revision of the MD3 Law or Prolegnas sufficient?</w:t>
      </w:r>
    </w:p>
  </w:comment>
  <w:comment w:id="9" w:author="asus.RBN0CV07Z617466@outlook.com" w:date="2025-06-09T12:58:00Z" w:initials="a">
    <w:p w14:paraId="700031B8">
      <w:pPr>
        <w:pStyle w:val="17"/>
      </w:pPr>
      <w:r>
        <w:rPr>
          <w:rFonts w:hint="default"/>
        </w:rPr>
        <w:t>We have made improvements according to the input and instructions of Prof. Thank you for your guidance, Prof.</w:t>
      </w:r>
    </w:p>
  </w:comment>
  <w:comment w:id="10" w:author="U" w:date="2025-04-29T15:33:00Z" w:initials="U">
    <w:p w14:paraId="4A86B2D0">
      <w:pPr>
        <w:pStyle w:val="17"/>
      </w:pPr>
      <w:r>
        <w:t>Add theoretical approaches, such as Arend Lijphart's opinion on consociational democracy in the context of power sharing.</w:t>
      </w:r>
    </w:p>
  </w:comment>
  <w:comment w:id="11" w:author="asus.RBN0CV07Z617466@outlook.com" w:date="2025-06-09T13:00:00Z" w:initials="a">
    <w:p w14:paraId="5674CA32">
      <w:pPr>
        <w:pStyle w:val="17"/>
      </w:pPr>
      <w:r>
        <w:rPr>
          <w:rFonts w:hint="default"/>
        </w:rPr>
        <w:t>We have made improvements according to the input and instructions of Prof. Thank you for your guidance, Prof.</w:t>
      </w:r>
    </w:p>
  </w:comment>
  <w:comment w:id="12" w:author="U" w:date="2025-04-29T13:41:00Z" w:initials="U">
    <w:p w14:paraId="70E6A49A">
      <w:pPr>
        <w:pStyle w:val="17"/>
      </w:pPr>
      <w:r>
        <w:t>Many references still use old sources, make sure the references you use are from the last 10 years, the lowest that can be used is 2017, below that limit please change it.</w:t>
      </w:r>
    </w:p>
  </w:comment>
  <w:comment w:id="13" w:author="asus.RBN0CV07Z617466@outlook.com" w:date="2025-06-09T15:09:00Z" w:initials="a">
    <w:p w14:paraId="036DEEAC">
      <w:pPr>
        <w:pStyle w:val="17"/>
      </w:pPr>
      <w:r>
        <w:rPr>
          <w:rFonts w:hint="default"/>
        </w:rPr>
        <w:t>We have made improvements according to the input and instructions of Prof. Thank you for your guidance, Prof.</w:t>
      </w:r>
      <w:bookmarkStart w:id="1" w:name="_GoBack"/>
      <w:bookmarkEnd w:id="1"/>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commentEx w15:paraId="176A97FE" w15:done="1"/>
  <w15:commentEx w15:paraId="30F88BDD" w15:done="1" w15:paraIdParent="176A97FE"/>
  <w15:commentEx w15:paraId="78C542A9" w15:done="1"/>
  <w15:commentEx w15:paraId="69EE0D30" w15:done="1" w15:paraIdParent="78C542A9"/>
  <w15:commentEx w15:paraId="4B3C1455" w15:done="1"/>
  <w15:commentEx w15:paraId="3A4A0448" w15:done="1" w15:paraIdParent="4B3C1455"/>
  <w15:commentEx w15:paraId="56BD9B62" w15:done="1"/>
  <w15:commentEx w15:paraId="0ABE7862" w15:done="1" w15:paraIdParent="56BD9B62"/>
  <w15:commentEx w15:paraId="0D2337B3" w15:done="1"/>
  <w15:commentEx w15:paraId="700031B8" w15:done="1" w15:paraIdParent="0D2337B3"/>
  <w15:commentEx w15:paraId="4A86B2D0" w15:done="1"/>
  <w15:commentEx w15:paraId="5674CA32" w15:done="1" w15:paraIdParent="4A86B2D0"/>
  <w15:commentEx w15:paraId="70E6A49A" w15:done="1"/>
  <w15:commentEx w15:paraId="036DEEAC" w15:done="1" w15:paraIdParent="70E6A49A"/>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黑体">
    <w:altName w:val="SimSun"/>
    <w:panose1 w:val="02010600030101010101"/>
    <w:charset w:val="86"/>
    <w:family w:val="auto"/>
    <w:pitch w:val="default"/>
    <w:sig w:usb0="00000001" w:usb1="080E0000" w:usb2="00000010" w:usb3="00000000" w:csb0="00040000" w:csb1="00000000"/>
  </w:font>
  <w:font w:name="Courier New">
    <w:panose1 w:val="02070309020205020404"/>
    <w:charset w:val="00"/>
    <w:family w:val="modern"/>
    <w:pitch w:val="default"/>
    <w:sig w:usb0="E0002EFF" w:usb1="C0007843" w:usb2="00000009" w:usb3="00000000" w:csb0="400001FF" w:csb1="FFFF0000"/>
  </w:font>
  <w:font w:name="Wingdings">
    <w:panose1 w:val="05000000000000000000"/>
    <w:charset w:val="02"/>
    <w:family w:val="auto"/>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altName w:val="Microsoft YaHei"/>
    <w:panose1 w:val="00000000000000000000"/>
    <w:charset w:val="86"/>
    <w:family w:val="auto"/>
    <w:pitch w:val="default"/>
    <w:sig w:usb0="00000000" w:usb1="00000000" w:usb2="00000000" w:usb3="00000000" w:csb0="00000000" w:csb1="00000000"/>
  </w:font>
  <w:font w:name="Cambria">
    <w:panose1 w:val="02040503050406030204"/>
    <w:charset w:val="00"/>
    <w:family w:val="roman"/>
    <w:pitch w:val="default"/>
    <w:sig w:usb0="E00006FF" w:usb1="420024FF" w:usb2="02000000" w:usb3="00000000" w:csb0="2000019F" w:csb1="00000000"/>
  </w:font>
  <w:font w:name="Garamond">
    <w:panose1 w:val="02020404030301010803"/>
    <w:charset w:val="00"/>
    <w:family w:val="roman"/>
    <w:pitch w:val="default"/>
    <w:sig w:usb0="00000287" w:usb1="00000000" w:usb2="00000000" w:usb3="00000000" w:csb0="0000009F" w:csb1="DFD70000"/>
  </w:font>
  <w:font w:name="Tahoma">
    <w:panose1 w:val="020B0604030504040204"/>
    <w:charset w:val="00"/>
    <w:family w:val="swiss"/>
    <w:pitch w:val="default"/>
    <w:sig w:usb0="E1002EFF" w:usb1="C000605B" w:usb2="00000029" w:usb3="00000000" w:csb0="200101FF" w:csb1="20280000"/>
  </w:font>
  <w:font w:name="等线 Light">
    <w:altName w:val="Segoe Print"/>
    <w:panose1 w:val="00000000000000000000"/>
    <w:charset w:val="00"/>
    <w:family w:val="auto"/>
    <w:pitch w:val="default"/>
    <w:sig w:usb0="00000000" w:usb1="00000000" w:usb2="00000000" w:usb3="00000000" w:csb0="00000000" w:csb1="00000000"/>
  </w:font>
  <w:font w:name="Segoe UI">
    <w:panose1 w:val="020B0502040204020203"/>
    <w:charset w:val="00"/>
    <w:family w:val="swiss"/>
    <w:pitch w:val="default"/>
    <w:sig w:usb0="E4002EFF" w:usb1="C000E47F" w:usb2="00000009" w:usb3="00000000" w:csb0="200001FF" w:csb1="00000000"/>
  </w:font>
  <w:font w:name="Calibri Light">
    <w:panose1 w:val="020F0302020204030204"/>
    <w:charset w:val="00"/>
    <w:family w:val="swiss"/>
    <w:pitch w:val="default"/>
    <w:sig w:usb0="E4002EFF" w:usb1="C200247B" w:usb2="00000009" w:usb3="00000000" w:csb0="200001FF" w:csb1="00000000"/>
  </w:font>
  <w:font w:name="Microsoft YaHei">
    <w:panose1 w:val="020B0503020204020204"/>
    <w:charset w:val="86"/>
    <w:family w:val="auto"/>
    <w:pitch w:val="default"/>
    <w:sig w:usb0="80000287" w:usb1="2ACF3C50" w:usb2="00000016" w:usb3="00000000" w:csb0="0004001F"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46AFBEA">
    <w:pPr>
      <w:pStyle w:val="21"/>
      <w:ind w:right="357"/>
      <w:rPr>
        <w:rFonts w:ascii="Calibri Light" w:cs="Calibri Light"/>
        <w:sz w:val="16"/>
        <w:szCs w:val="16"/>
      </w:rPr>
    </w:pPr>
    <w:r>
      <mc:AlternateContent>
        <mc:Choice Requires="wps">
          <w:drawing>
            <wp:anchor distT="0" distB="0" distL="114300" distR="114300" simplePos="0" relativeHeight="251670528" behindDoc="0" locked="0" layoutInCell="1" allowOverlap="1">
              <wp:simplePos x="0" y="0"/>
              <wp:positionH relativeFrom="column">
                <wp:posOffset>5151755</wp:posOffset>
              </wp:positionH>
              <wp:positionV relativeFrom="paragraph">
                <wp:posOffset>-64770</wp:posOffset>
              </wp:positionV>
              <wp:extent cx="619760" cy="278130"/>
              <wp:effectExtent l="8890" t="7620" r="9525" b="9525"/>
              <wp:wrapNone/>
              <wp:docPr id="8" name="Persegi panjang 8"/>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cmpd="sng">
                        <a:solidFill>
                          <a:srgbClr val="FFFFFF"/>
                        </a:solidFill>
                        <a:miter lim="800000"/>
                      </a:ln>
                    </wps:spPr>
                    <wps:txbx>
                      <w:txbxContent>
                        <w:p w14:paraId="320BC7E2">
                          <w:pPr>
                            <w:jc w:val="center"/>
                            <w:rPr>
                              <w:rFonts w:ascii="Calibri" w:cs="Calibri"/>
                              <w:sz w:val="16"/>
                              <w:szCs w:val="16"/>
                            </w:rPr>
                          </w:pPr>
                          <w:r>
                            <w:rPr>
                              <w:rFonts w:ascii="Calibri" w:cs="Calibri"/>
                              <w:sz w:val="16"/>
                              <w:szCs w:val="16"/>
                            </w:rPr>
                            <w:t>2025</w:t>
                          </w: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405.65pt;margin-top:-5.1pt;height:21.9pt;width:48.8pt;z-index:251670528;mso-width-relative:page;mso-height-relative:page;" fillcolor="#FFFFFF" filled="t" stroked="t" coordsize="21600,21600" o:gfxdata="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6oy7k9gAAAAKAQAADwAAAAAAAAABACAAAAAiAAAAZHJzL2Rvd25y&#10;ZXYueG1sUEsBAhQAFAAAAAgAh07iQCkxEaY3AgAAjQQAAA4AAAAAAAAAAQAgAAAAJwEAAGRycy9l&#10;Mm9Eb2MueG1sUEsFBgAAAAAGAAYAWQEAANAFAAAAAA==&#10;">
              <v:fill on="t" focussize="0,0"/>
              <v:stroke color="#FFFFFF" miterlimit="8" joinstyle="miter"/>
              <v:imagedata o:title=""/>
              <o:lock v:ext="edit" aspectratio="f"/>
              <v:textbox>
                <w:txbxContent>
                  <w:p w14:paraId="320BC7E2">
                    <w:pPr>
                      <w:jc w:val="center"/>
                      <w:rPr>
                        <w:rFonts w:ascii="Calibri" w:cs="Calibri"/>
                        <w:sz w:val="16"/>
                        <w:szCs w:val="16"/>
                      </w:rPr>
                    </w:pPr>
                    <w:r>
                      <w:rPr>
                        <w:rFonts w:ascii="Calibri" w:cs="Calibri"/>
                        <w:sz w:val="16"/>
                        <w:szCs w:val="16"/>
                      </w:rPr>
                      <w:t>2025</w:t>
                    </w:r>
                  </w:p>
                </w:txbxContent>
              </v:textbox>
            </v:rect>
          </w:pict>
        </mc:Fallback>
      </mc:AlternateContent>
    </w:r>
    <w:r>
      <w:rPr>
        <w:rFonts w:ascii="Calibri Light" w:cs="Calibri Light"/>
        <w:sz w:val="16"/>
        <w:szCs w:val="16"/>
      </w:rPr>
      <w:t>International Journal Law and Society</w:t>
    </w:r>
  </w:p>
  <w:p w14:paraId="574F1593">
    <w:pPr>
      <w:pStyle w:val="21"/>
      <w:ind w:right="357"/>
      <w:rPr>
        <w:rFonts w:ascii="Calibri Light" w:cs="Calibri Light"/>
        <w:sz w:val="16"/>
        <w:szCs w:val="16"/>
      </w:rPr>
    </w:pPr>
    <w:r>
      <w:rPr>
        <w:rFonts w:ascii="Calibri Light" w:cs="Calibri Light"/>
        <w:sz w:val="16"/>
        <w:szCs w:val="16"/>
      </w:rPr>
      <w:t xml:space="preserve">E-ISSN: ….-….   </w:t>
    </w:r>
    <w:r>
      <w:fldChar w:fldCharType="begin"/>
    </w:r>
    <w:r>
      <w:instrText xml:space="preserve"> HYPERLINK "https://najahaofficial.id/najahajournal/index.php/IJLS/" </w:instrText>
    </w:r>
    <w:r>
      <w:fldChar w:fldCharType="separate"/>
    </w:r>
    <w:r>
      <w:rPr>
        <w:rStyle w:val="26"/>
        <w:rFonts w:ascii="Calibri Light" w:cs="Calibri Light"/>
        <w:sz w:val="16"/>
        <w:szCs w:val="16"/>
      </w:rPr>
      <w:t>https://najahaofficial.id/najahajournal/index.php/IJLS/</w:t>
    </w:r>
    <w:r>
      <w:rPr>
        <w:rStyle w:val="26"/>
        <w:rFonts w:ascii="Calibri Light" w:cs="Calibri Light"/>
        <w:sz w:val="16"/>
        <w:szCs w:val="16"/>
      </w:rPr>
      <w:fldChar w:fldCharType="end"/>
    </w:r>
    <w:r>
      <w:rPr>
        <w:rFonts w:ascii="Calibri Light" w:cs="Calibri Light"/>
        <w:sz w:val="16"/>
        <w:szCs w:val="16"/>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3DB13EB">
    <w:pPr>
      <w:pStyle w:val="21"/>
      <w:ind w:right="357"/>
      <w:rPr>
        <w:rFonts w:ascii="Calibri Light" w:cs="Calibri Light"/>
        <w:sz w:val="16"/>
        <w:szCs w:val="16"/>
      </w:rPr>
    </w:pPr>
    <w:r>
      <mc:AlternateContent>
        <mc:Choice Requires="wps">
          <w:drawing>
            <wp:anchor distT="0" distB="0" distL="114300" distR="114300" simplePos="0" relativeHeight="251662336" behindDoc="0" locked="0" layoutInCell="1" allowOverlap="1">
              <wp:simplePos x="0" y="0"/>
              <wp:positionH relativeFrom="column">
                <wp:posOffset>5151755</wp:posOffset>
              </wp:positionH>
              <wp:positionV relativeFrom="paragraph">
                <wp:posOffset>-64770</wp:posOffset>
              </wp:positionV>
              <wp:extent cx="619760" cy="278130"/>
              <wp:effectExtent l="8890" t="7620" r="9525" b="9525"/>
              <wp:wrapNone/>
              <wp:docPr id="9" name="Persegi panjang 7"/>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cmpd="sng">
                        <a:solidFill>
                          <a:srgbClr val="FFFFFF"/>
                        </a:solidFill>
                        <a:miter lim="800000"/>
                      </a:ln>
                    </wps:spPr>
                    <wps:txbx>
                      <w:txbxContent>
                        <w:p w14:paraId="7C35512D">
                          <w:pPr>
                            <w:jc w:val="center"/>
                            <w:rPr>
                              <w:rFonts w:ascii="Calibri" w:cs="Calibri"/>
                              <w:sz w:val="16"/>
                              <w:szCs w:val="16"/>
                            </w:rPr>
                          </w:pPr>
                          <w:r>
                            <w:rPr>
                              <w:rFonts w:ascii="Calibri" w:cs="Calibri"/>
                              <w:sz w:val="16"/>
                              <w:szCs w:val="16"/>
                            </w:rPr>
                            <w:t>2025</w:t>
                          </w:r>
                        </w:p>
                      </w:txbxContent>
                    </wps:txbx>
                    <wps:bodyPr rot="0" vert="horz" wrap="square" lIns="91440" tIns="45720" rIns="91440" bIns="45720" anchor="t" anchorCtr="0" upright="1">
                      <a:noAutofit/>
                    </wps:bodyPr>
                  </wps:wsp>
                </a:graphicData>
              </a:graphic>
            </wp:anchor>
          </w:drawing>
        </mc:Choice>
        <mc:Fallback>
          <w:pict>
            <v:rect id="Persegi panjang 7" o:spid="_x0000_s1026" o:spt="1" style="position:absolute;left:0pt;margin-left:405.65pt;margin-top:-5.1pt;height:21.9pt;width:48.8pt;z-index:251662336;mso-width-relative:page;mso-height-relative:page;" fillcolor="#FFFFFF" filled="t" stroked="t" coordsize="21600,21600" o:gfxdata="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6oy7k9gAAAAKAQAADwAAAAAAAAABACAAAAAiAAAAZHJzL2Rvd25y&#10;ZXYueG1sUEsBAhQAFAAAAAgAh07iQA8ygTU3AgAAjQQAAA4AAAAAAAAAAQAgAAAAJwEAAGRycy9l&#10;Mm9Eb2MueG1sUEsFBgAAAAAGAAYAWQEAANAFAAAAAA==&#10;">
              <v:fill on="t" focussize="0,0"/>
              <v:stroke color="#FFFFFF" miterlimit="8" joinstyle="miter"/>
              <v:imagedata o:title=""/>
              <o:lock v:ext="edit" aspectratio="f"/>
              <v:textbox>
                <w:txbxContent>
                  <w:p w14:paraId="7C35512D">
                    <w:pPr>
                      <w:jc w:val="center"/>
                      <w:rPr>
                        <w:rFonts w:ascii="Calibri" w:cs="Calibri"/>
                        <w:sz w:val="16"/>
                        <w:szCs w:val="16"/>
                      </w:rPr>
                    </w:pPr>
                    <w:r>
                      <w:rPr>
                        <w:rFonts w:ascii="Calibri" w:cs="Calibri"/>
                        <w:sz w:val="16"/>
                        <w:szCs w:val="16"/>
                      </w:rPr>
                      <w:t>2025</w:t>
                    </w:r>
                  </w:p>
                </w:txbxContent>
              </v:textbox>
            </v:rect>
          </w:pict>
        </mc:Fallback>
      </mc:AlternateContent>
    </w:r>
    <w:r>
      <w:rPr>
        <w:rFonts w:ascii="Calibri Light" w:cs="Calibri Light"/>
        <w:sz w:val="16"/>
        <w:szCs w:val="16"/>
      </w:rPr>
      <w:t>International Journal Law and Society</w:t>
    </w:r>
  </w:p>
  <w:p w14:paraId="5697DAFD">
    <w:pPr>
      <w:pStyle w:val="21"/>
      <w:ind w:right="357"/>
      <w:rPr>
        <w:rFonts w:ascii="Calibri Light" w:cs="Calibri Light"/>
        <w:sz w:val="16"/>
        <w:szCs w:val="16"/>
      </w:rPr>
    </w:pPr>
    <w:r>
      <w:rPr>
        <w:rFonts w:ascii="Calibri Light" w:cs="Calibri Light"/>
        <w:sz w:val="16"/>
        <w:szCs w:val="16"/>
      </w:rPr>
      <w:t xml:space="preserve">E-ISSN: ….-….   </w:t>
    </w:r>
    <w:r>
      <w:fldChar w:fldCharType="begin"/>
    </w:r>
    <w:r>
      <w:instrText xml:space="preserve"> HYPERLINK "https://najahaofficial.id/najahajournal/index.php/IJLS/" </w:instrText>
    </w:r>
    <w:r>
      <w:fldChar w:fldCharType="separate"/>
    </w:r>
    <w:r>
      <w:rPr>
        <w:rStyle w:val="26"/>
        <w:rFonts w:ascii="Calibri Light" w:cs="Calibri Light"/>
        <w:sz w:val="16"/>
        <w:szCs w:val="16"/>
      </w:rPr>
      <w:t>https://najahaofficial.id/najahajournal/index.php/IJLS/</w:t>
    </w:r>
    <w:r>
      <w:rPr>
        <w:rStyle w:val="26"/>
        <w:rFonts w:ascii="Calibri Light" w:cs="Calibri Light"/>
        <w:sz w:val="16"/>
        <w:szCs w:val="16"/>
      </w:rPr>
      <w:fldChar w:fldCharType="end"/>
    </w:r>
    <w:r>
      <w:rPr>
        <w:rFonts w:ascii="Calibri Light" w:cs="Calibri Light"/>
        <w:sz w:val="16"/>
        <w:szCs w:val="16"/>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369C296">
    <w:pPr>
      <w:pStyle w:val="21"/>
      <w:ind w:right="357"/>
      <w:rPr>
        <w:rFonts w:ascii="Calibri Light" w:cs="Calibri Light"/>
        <w:sz w:val="16"/>
        <w:szCs w:val="16"/>
      </w:rPr>
    </w:pPr>
    <w:r>
      <mc:AlternateContent>
        <mc:Choice Requires="wps">
          <w:drawing>
            <wp:anchor distT="0" distB="0" distL="114300" distR="114300" simplePos="0" relativeHeight="251661312" behindDoc="0" locked="0" layoutInCell="1" allowOverlap="1">
              <wp:simplePos x="0" y="0"/>
              <wp:positionH relativeFrom="column">
                <wp:posOffset>5151755</wp:posOffset>
              </wp:positionH>
              <wp:positionV relativeFrom="paragraph">
                <wp:posOffset>-64770</wp:posOffset>
              </wp:positionV>
              <wp:extent cx="619760" cy="278130"/>
              <wp:effectExtent l="8890" t="7620" r="9525" b="9525"/>
              <wp:wrapNone/>
              <wp:docPr id="1" name="Persegi panjang 12"/>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cmpd="sng">
                        <a:solidFill>
                          <a:srgbClr val="FFFFFF"/>
                        </a:solidFill>
                        <a:miter lim="800000"/>
                      </a:ln>
                    </wps:spPr>
                    <wps:txbx>
                      <w:txbxContent>
                        <w:p w14:paraId="1F7CE9A0">
                          <w:pPr>
                            <w:jc w:val="center"/>
                            <w:rPr>
                              <w:rFonts w:ascii="Calibri" w:cs="Calibri"/>
                              <w:sz w:val="16"/>
                              <w:szCs w:val="16"/>
                            </w:rPr>
                          </w:pPr>
                          <w:r>
                            <w:rPr>
                              <w:rFonts w:ascii="Calibri" w:cs="Calibri"/>
                              <w:sz w:val="16"/>
                              <w:szCs w:val="16"/>
                            </w:rPr>
                            <w:t>2022</w:t>
                          </w:r>
                        </w:p>
                      </w:txbxContent>
                    </wps:txbx>
                    <wps:bodyPr rot="0" vert="horz" wrap="square" lIns="91440" tIns="45720" rIns="91440" bIns="45720" anchor="t" anchorCtr="0" upright="1">
                      <a:noAutofit/>
                    </wps:bodyPr>
                  </wps:wsp>
                </a:graphicData>
              </a:graphic>
            </wp:anchor>
          </w:drawing>
        </mc:Choice>
        <mc:Fallback>
          <w:pict>
            <v:rect id="Persegi panjang 12" o:spid="_x0000_s1026" o:spt="1" style="position:absolute;left:0pt;margin-left:405.65pt;margin-top:-5.1pt;height:21.9pt;width:48.8pt;z-index:251661312;mso-width-relative:page;mso-height-relative:page;" fillcolor="#FFFFFF" filled="t" stroked="t" coordsize="21600,21600" o:gfxdata="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OqMu5PYAAAACgEAAA8AAAAAAAAAAQAgAAAAIgAAAGRycy9kb3du&#10;cmV2LnhtbFBLAQIUABQAAAAIAIdO4kArvf+0OAIAAI4EAAAOAAAAAAAAAAEAIAAAACcBAABkcnMv&#10;ZTJvRG9jLnhtbFBLBQYAAAAABgAGAFkBAADRBQAAAAA=&#10;">
              <v:fill on="t" focussize="0,0"/>
              <v:stroke color="#FFFFFF" miterlimit="8" joinstyle="miter"/>
              <v:imagedata o:title=""/>
              <o:lock v:ext="edit" aspectratio="f"/>
              <v:textbox>
                <w:txbxContent>
                  <w:p w14:paraId="1F7CE9A0">
                    <w:pPr>
                      <w:jc w:val="center"/>
                      <w:rPr>
                        <w:rFonts w:ascii="Calibri" w:cs="Calibri"/>
                        <w:sz w:val="16"/>
                        <w:szCs w:val="16"/>
                      </w:rPr>
                    </w:pPr>
                    <w:r>
                      <w:rPr>
                        <w:rFonts w:ascii="Calibri" w:cs="Calibri"/>
                        <w:sz w:val="16"/>
                        <w:szCs w:val="16"/>
                      </w:rPr>
                      <w:t>2022</w:t>
                    </w:r>
                  </w:p>
                </w:txbxContent>
              </v:textbox>
            </v:rect>
          </w:pict>
        </mc:Fallback>
      </mc:AlternateContent>
    </w:r>
    <w:r>
      <w:rPr>
        <w:rFonts w:ascii="Calibri Light" w:cs="Calibri Light"/>
        <w:sz w:val="16"/>
        <w:szCs w:val="16"/>
      </w:rPr>
      <w:t>International Journal Law and Society</w:t>
    </w:r>
  </w:p>
  <w:p w14:paraId="6B5AF36B">
    <w:pPr>
      <w:pStyle w:val="21"/>
      <w:ind w:right="357"/>
      <w:rPr>
        <w:rFonts w:ascii="Calibri Light" w:cs="Calibri Light"/>
        <w:sz w:val="16"/>
        <w:szCs w:val="16"/>
      </w:rPr>
    </w:pPr>
    <w:r>
      <w:rPr>
        <w:rFonts w:ascii="Calibri Light" w:cs="Calibri Light"/>
        <w:sz w:val="16"/>
        <w:szCs w:val="16"/>
      </w:rPr>
      <w:t xml:space="preserve">E-ISSN: ….-….   </w:t>
    </w:r>
    <w:r>
      <w:fldChar w:fldCharType="begin"/>
    </w:r>
    <w:r>
      <w:instrText xml:space="preserve"> HYPERLINK "https://najahaofficial.id/najahajournal/index.php/IJLS/" </w:instrText>
    </w:r>
    <w:r>
      <w:fldChar w:fldCharType="separate"/>
    </w:r>
    <w:r>
      <w:rPr>
        <w:rStyle w:val="26"/>
        <w:rFonts w:ascii="Calibri Light" w:cs="Calibri Light"/>
        <w:sz w:val="16"/>
        <w:szCs w:val="16"/>
      </w:rPr>
      <w:t>https://najahaofficial.id/najahajournal/index.php/IJLS/</w:t>
    </w:r>
    <w:r>
      <w:rPr>
        <w:rStyle w:val="26"/>
        <w:rFonts w:ascii="Calibri Light" w:cs="Calibri Light"/>
        <w:sz w:val="16"/>
        <w:szCs w:val="16"/>
      </w:rPr>
      <w:fldChar w:fldCharType="end"/>
    </w:r>
    <w:r>
      <w:rPr>
        <w:rFonts w:ascii="Calibri Light" w:cs="Calibri Light"/>
        <w:sz w:val="16"/>
        <w:szCs w:val="16"/>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40" w:lineRule="auto"/>
      </w:pPr>
      <w:r>
        <w:separator/>
      </w:r>
    </w:p>
  </w:footnote>
  <w:footnote w:type="continuationSeparator" w:id="1">
    <w:p>
      <w:pPr>
        <w:spacing w:before="0"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6304C79">
    <w:pPr>
      <w:pStyle w:val="24"/>
    </w:pPr>
    <w:r>
      <mc:AlternateContent>
        <mc:Choice Requires="wps">
          <w:drawing>
            <wp:anchor distT="0" distB="0" distL="114300" distR="114300" simplePos="0" relativeHeight="251665408" behindDoc="1" locked="0" layoutInCell="1" allowOverlap="1">
              <wp:simplePos x="0" y="0"/>
              <wp:positionH relativeFrom="page">
                <wp:posOffset>962025</wp:posOffset>
              </wp:positionH>
              <wp:positionV relativeFrom="page">
                <wp:posOffset>947420</wp:posOffset>
              </wp:positionV>
              <wp:extent cx="1998980" cy="229870"/>
              <wp:effectExtent l="0" t="4445" r="1270" b="3810"/>
              <wp:wrapNone/>
              <wp:docPr id="12" name="Kotak Teks 4"/>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wps:spPr>
                    <wps:txbx>
                      <w:txbxContent>
                        <w:p w14:paraId="54CF4450">
                          <w:pPr>
                            <w:pStyle w:val="24"/>
                            <w:rPr>
                              <w:rFonts w:ascii="Calibri Light" w:cs="Calibri Light"/>
                              <w:sz w:val="12"/>
                              <w:szCs w:val="12"/>
                            </w:rPr>
                          </w:pPr>
                          <w:r>
                            <w:rPr>
                              <w:rFonts w:ascii="Calibri Light" w:cs="Calibri Light"/>
                              <w:sz w:val="12"/>
                              <w:szCs w:val="12"/>
                            </w:rPr>
                            <w:t>https://najahaofficial.id/najahajournal/index.php/IJLS/</w:t>
                          </w:r>
                        </w:p>
                        <w:p w14:paraId="2E7C9A57">
                          <w:pPr>
                            <w:rPr>
                              <w:rFonts w:ascii="Calibri Light" w:cs="Calibri Light"/>
                              <w:sz w:val="12"/>
                              <w:szCs w:val="12"/>
                            </w:rPr>
                          </w:pPr>
                          <w:r>
                            <w:rPr>
                              <w:rFonts w:ascii="Calibri Light" w:cs="Calibri Light"/>
                              <w:sz w:val="12"/>
                              <w:szCs w:val="12"/>
                            </w:rPr>
                            <w:t>Volume 1, Issue 1, 2022</w:t>
                          </w:r>
                        </w:p>
                      </w:txbxContent>
                    </wps:txbx>
                    <wps:bodyPr rot="0" vert="horz" wrap="square" lIns="0" tIns="0" rIns="0" bIns="0" anchor="t" anchorCtr="0" upright="1">
                      <a:noAutofit/>
                    </wps:bodyPr>
                  </wps:wsp>
                </a:graphicData>
              </a:graphic>
            </wp:anchor>
          </w:drawing>
        </mc:Choice>
        <mc:Fallback>
          <w:pict>
            <v:shape id="Kotak Teks 4" o:spid="_x0000_s1026" o:spt="202" type="#_x0000_t202" style="position:absolute;left:0pt;margin-left:75.75pt;margin-top:74.6pt;height:18.1pt;width:157.4pt;mso-position-horizontal-relative:page;mso-position-vertical-relative:page;z-index:-251651072;mso-width-relative:page;mso-height-relative:page;" filled="f" stroked="f" coordsize="21600,21600" o:gfxdata="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DSgzBzaAAAACwEAAA8AAAAAAAAAAQAgAAAAIgAAAGRycy9k&#10;b3ducmV2LnhtbFBLAQIUABQAAAAIAIdO4kDBAhU7AAIAAAcEAAAOAAAAAAAAAAEAIAAAACkBAABk&#10;cnMvZTJvRG9jLnhtbFBLBQYAAAAABgAGAFkBAACbBQAAAAA=&#10;">
              <v:fill on="f" focussize="0,0"/>
              <v:stroke on="f"/>
              <v:imagedata o:title=""/>
              <o:lock v:ext="edit" aspectratio="f"/>
              <v:textbox inset="0mm,0mm,0mm,0mm">
                <w:txbxContent>
                  <w:p w14:paraId="54CF4450">
                    <w:pPr>
                      <w:pStyle w:val="24"/>
                      <w:rPr>
                        <w:rFonts w:ascii="Calibri Light" w:cs="Calibri Light"/>
                        <w:sz w:val="12"/>
                        <w:szCs w:val="12"/>
                      </w:rPr>
                    </w:pPr>
                    <w:r>
                      <w:rPr>
                        <w:rFonts w:ascii="Calibri Light" w:cs="Calibri Light"/>
                        <w:sz w:val="12"/>
                        <w:szCs w:val="12"/>
                      </w:rPr>
                      <w:t>https://najahaofficial.id/najahajournal/index.php/IJLS/</w:t>
                    </w:r>
                  </w:p>
                  <w:p w14:paraId="2E7C9A57">
                    <w:pPr>
                      <w:rPr>
                        <w:rFonts w:ascii="Calibri Light" w:cs="Calibri Light"/>
                        <w:sz w:val="12"/>
                        <w:szCs w:val="12"/>
                      </w:rPr>
                    </w:pPr>
                    <w:r>
                      <w:rPr>
                        <w:rFonts w:ascii="Calibri Light" w:cs="Calibri Light"/>
                        <w:sz w:val="12"/>
                        <w:szCs w:val="12"/>
                      </w:rPr>
                      <w:t>Volume 1, Issue 1, 2022</w:t>
                    </w:r>
                  </w:p>
                </w:txbxContent>
              </v:textbox>
            </v:shape>
          </w:pict>
        </mc:Fallback>
      </mc:AlternateContent>
    </w:r>
    <w:r>
      <mc:AlternateContent>
        <mc:Choice Requires="wps">
          <w:drawing>
            <wp:anchor distT="0" distB="0" distL="114300" distR="114300" simplePos="0" relativeHeight="251669504" behindDoc="1" locked="0" layoutInCell="1" allowOverlap="1">
              <wp:simplePos x="0" y="0"/>
              <wp:positionH relativeFrom="page">
                <wp:posOffset>6464300</wp:posOffset>
              </wp:positionH>
              <wp:positionV relativeFrom="page">
                <wp:posOffset>467360</wp:posOffset>
              </wp:positionV>
              <wp:extent cx="231775" cy="177800"/>
              <wp:effectExtent l="0" t="635" r="0" b="2540"/>
              <wp:wrapNone/>
              <wp:docPr id="11" name="Kotak Teks 5"/>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wps:spPr>
                    <wps:txbx>
                      <w:txbxContent>
                        <w:p w14:paraId="2A2C5CB9">
                          <w:pPr>
                            <w:pStyle w:val="10"/>
                            <w:spacing w:line="264" w:lineRule="exact"/>
                            <w:ind w:left="60"/>
                            <w:jc w:val="center"/>
                            <w:rPr>
                              <w:rFonts w:ascii="Calibri Light" w:cs="Calibri Light"/>
                            </w:rPr>
                          </w:pPr>
                          <w:r>
                            <w:rPr>
                              <w:rFonts w:ascii="Calibri Light" w:cs="Calibri Light"/>
                            </w:rPr>
                            <w:fldChar w:fldCharType="begin"/>
                          </w:r>
                          <w:r>
                            <w:rPr>
                              <w:rFonts w:ascii="Calibri Light" w:cs="Calibri Light"/>
                            </w:rPr>
                            <w:instrText xml:space="preserve"> PAGE </w:instrText>
                          </w:r>
                          <w:r>
                            <w:rPr>
                              <w:rFonts w:ascii="Calibri Light" w:cs="Calibri Light"/>
                            </w:rPr>
                            <w:fldChar w:fldCharType="separate"/>
                          </w:r>
                          <w:r>
                            <w:rPr>
                              <w:rFonts w:ascii="Calibri Light" w:cs="Calibri Light"/>
                            </w:rPr>
                            <w:t>14</w:t>
                          </w:r>
                          <w:r>
                            <w:rPr>
                              <w:rFonts w:ascii="Calibri Light" w:cs="Calibri Light"/>
                            </w:rPr>
                            <w:fldChar w:fldCharType="end"/>
                          </w:r>
                        </w:p>
                      </w:txbxContent>
                    </wps:txbx>
                    <wps:bodyPr rot="0" vert="horz" wrap="square" lIns="0" tIns="0" rIns="0" bIns="0" anchor="t" anchorCtr="0" upright="1">
                      <a:noAutofit/>
                    </wps:bodyPr>
                  </wps:wsp>
                </a:graphicData>
              </a:graphic>
            </wp:anchor>
          </w:drawing>
        </mc:Choice>
        <mc:Fallback>
          <w:pict>
            <v:shape id="Kotak Teks 5" o:spid="_x0000_s1026" o:spt="202" type="#_x0000_t202" style="position:absolute;left:0pt;margin-left:509pt;margin-top:36.8pt;height:14pt;width:18.25pt;mso-position-horizontal-relative:page;mso-position-vertical-relative:page;z-index:-251646976;mso-width-relative:page;mso-height-relative:page;" filled="f" stroked="f" coordsize="21600,21600" o:gfxdata="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F8s4T/ZAAAADAEAAA8AAAAAAAAAAQAgAAAAIgAAAGRycy9kb3du&#10;cmV2LnhtbFBLAQIUABQAAAAIAIdO4kCc9TFU/gEAAAYEAAAOAAAAAAAAAAEAIAAAACgBAABkcnMv&#10;ZTJvRG9jLnhtbFBLBQYAAAAABgAGAFkBAACYBQAAAAA=&#10;">
              <v:fill on="f" focussize="0,0"/>
              <v:stroke on="f"/>
              <v:imagedata o:title=""/>
              <o:lock v:ext="edit" aspectratio="f"/>
              <v:textbox inset="0mm,0mm,0mm,0mm">
                <w:txbxContent>
                  <w:p w14:paraId="2A2C5CB9">
                    <w:pPr>
                      <w:pStyle w:val="10"/>
                      <w:spacing w:line="264" w:lineRule="exact"/>
                      <w:ind w:left="60"/>
                      <w:jc w:val="center"/>
                      <w:rPr>
                        <w:rFonts w:ascii="Calibri Light" w:cs="Calibri Light"/>
                      </w:rPr>
                    </w:pPr>
                    <w:r>
                      <w:rPr>
                        <w:rFonts w:ascii="Calibri Light" w:cs="Calibri Light"/>
                      </w:rPr>
                      <w:fldChar w:fldCharType="begin"/>
                    </w:r>
                    <w:r>
                      <w:rPr>
                        <w:rFonts w:ascii="Calibri Light" w:cs="Calibri Light"/>
                      </w:rPr>
                      <w:instrText xml:space="preserve"> PAGE </w:instrText>
                    </w:r>
                    <w:r>
                      <w:rPr>
                        <w:rFonts w:ascii="Calibri Light" w:cs="Calibri Light"/>
                      </w:rPr>
                      <w:fldChar w:fldCharType="separate"/>
                    </w:r>
                    <w:r>
                      <w:rPr>
                        <w:rFonts w:ascii="Calibri Light" w:cs="Calibri Light"/>
                      </w:rPr>
                      <w:t>14</w:t>
                    </w:r>
                    <w:r>
                      <w:rPr>
                        <w:rFonts w:ascii="Calibri Light" w:cs="Calibri Light"/>
                      </w:rPr>
                      <w:fldChar w:fldCharType="end"/>
                    </w:r>
                  </w:p>
                </w:txbxContent>
              </v:textbox>
            </v:shape>
          </w:pict>
        </mc:Fallback>
      </mc:AlternateContent>
    </w:r>
    <w:r>
      <mc:AlternateContent>
        <mc:Choice Requires="wps">
          <w:drawing>
            <wp:anchor distT="0" distB="0" distL="114300" distR="114300" simplePos="0" relativeHeight="251666432" behindDoc="1" locked="0" layoutInCell="1" allowOverlap="1">
              <wp:simplePos x="0" y="0"/>
              <wp:positionH relativeFrom="page">
                <wp:posOffset>3143250</wp:posOffset>
              </wp:positionH>
              <wp:positionV relativeFrom="page">
                <wp:posOffset>784860</wp:posOffset>
              </wp:positionV>
              <wp:extent cx="3523615" cy="416560"/>
              <wp:effectExtent l="0" t="3810" r="635" b="0"/>
              <wp:wrapNone/>
              <wp:docPr id="10" name="Kotak Teks 6"/>
              <wp:cNvGraphicFramePr/>
              <a:graphic xmlns:a="http://schemas.openxmlformats.org/drawingml/2006/main">
                <a:graphicData uri="http://schemas.microsoft.com/office/word/2010/wordprocessingShape">
                  <wps:wsp>
                    <wps:cNvSpPr txBox="1">
                      <a:spLocks noChangeArrowheads="1"/>
                    </wps:cNvSpPr>
                    <wps:spPr bwMode="auto">
                      <a:xfrm>
                        <a:off x="0" y="0"/>
                        <a:ext cx="3523615" cy="416560"/>
                      </a:xfrm>
                      <a:prstGeom prst="rect">
                        <a:avLst/>
                      </a:prstGeom>
                      <a:noFill/>
                      <a:ln>
                        <a:noFill/>
                      </a:ln>
                    </wps:spPr>
                    <wps:txbx>
                      <w:txbxContent>
                        <w:p w14:paraId="7DB4D42B">
                          <w:pPr>
                            <w:rPr>
                              <w:rFonts w:ascii="Calibri Light" w:cs="Calibri Light"/>
                              <w:sz w:val="18"/>
                            </w:rPr>
                          </w:pPr>
                          <w:r>
                            <w:rPr>
                              <w:rFonts w:ascii="Calibri Light" w:cs="Calibri Light"/>
                              <w:sz w:val="18"/>
                            </w:rPr>
                            <w:t>M. M Mukhlis, Maskun, Irwansyah, Budiyanto, G Olemanu L., Disparity in Parliamentary Power in the Formation of Laws in Indonesia: Considering Proportional Bicameralism</w:t>
                          </w:r>
                        </w:p>
                        <w:p w14:paraId="1D3C717B">
                          <w:pPr>
                            <w:ind w:left="23"/>
                            <w:jc w:val="both"/>
                            <w:rPr>
                              <w:rFonts w:ascii="Calibri Light" w:cs="Calibri Light"/>
                              <w:i/>
                              <w:sz w:val="18"/>
                            </w:rPr>
                          </w:pPr>
                        </w:p>
                      </w:txbxContent>
                    </wps:txbx>
                    <wps:bodyPr rot="0" vert="horz" wrap="square" lIns="0" tIns="0" rIns="0" bIns="0" anchor="t" anchorCtr="0" upright="1">
                      <a:noAutofit/>
                    </wps:bodyPr>
                  </wps:wsp>
                </a:graphicData>
              </a:graphic>
            </wp:anchor>
          </w:drawing>
        </mc:Choice>
        <mc:Fallback>
          <w:pict>
            <v:shape id="Kotak Teks 6" o:spid="_x0000_s1026" o:spt="202" type="#_x0000_t202" style="position:absolute;left:0pt;margin-left:247.5pt;margin-top:61.8pt;height:32.8pt;width:277.45pt;mso-position-horizontal-relative:page;mso-position-vertical-relative:page;z-index:-251650048;mso-width-relative:page;mso-height-relative:page;" filled="f" stroked="f" coordsize="21600,21600" o:gfxdata="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D0GzdraAAAADAEAAA8AAAAAAAAAAQAgAAAAIgAAAGRycy9k&#10;b3ducmV2LnhtbFBLAQIUABQAAAAIAIdO4kD1VjmJAAIAAAcEAAAOAAAAAAAAAAEAIAAAACkBAABk&#10;cnMvZTJvRG9jLnhtbFBLBQYAAAAABgAGAFkBAACbBQAAAAA=&#10;">
              <v:fill on="f" focussize="0,0"/>
              <v:stroke on="f"/>
              <v:imagedata o:title=""/>
              <o:lock v:ext="edit" aspectratio="f"/>
              <v:textbox inset="0mm,0mm,0mm,0mm">
                <w:txbxContent>
                  <w:p w14:paraId="7DB4D42B">
                    <w:pPr>
                      <w:rPr>
                        <w:rFonts w:ascii="Calibri Light" w:cs="Calibri Light"/>
                        <w:sz w:val="18"/>
                      </w:rPr>
                    </w:pPr>
                    <w:r>
                      <w:rPr>
                        <w:rFonts w:ascii="Calibri Light" w:cs="Calibri Light"/>
                        <w:sz w:val="18"/>
                      </w:rPr>
                      <w:t>M. M Mukhlis, Maskun, Irwansyah, Budiyanto, G Olemanu L., Disparity in Parliamentary Power in the Formation of Laws in Indonesia: Considering Proportional Bicameralism</w:t>
                    </w:r>
                  </w:p>
                  <w:p w14:paraId="1D3C717B">
                    <w:pPr>
                      <w:ind w:left="23"/>
                      <w:jc w:val="both"/>
                      <w:rPr>
                        <w:rFonts w:ascii="Calibri Light" w:cs="Calibri Light"/>
                        <w:i/>
                        <w:sz w:val="18"/>
                      </w:rPr>
                    </w:pPr>
                  </w:p>
                </w:txbxContent>
              </v:textbox>
            </v:shape>
          </w:pict>
        </mc:Fallback>
      </mc:AlternateContent>
    </w:r>
    <w:r>
      <w:drawing>
        <wp:inline distT="0" distB="0" distL="0" distR="0">
          <wp:extent cx="1095375" cy="499745"/>
          <wp:effectExtent l="0" t="0" r="0" b="0"/>
          <wp:docPr id="4" name="Gambar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ambar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095375" cy="499745"/>
                  </a:xfrm>
                  <a:prstGeom prst="rect">
                    <a:avLst/>
                  </a:prstGeom>
                  <a:noFill/>
                  <a:ln>
                    <a:noFill/>
                  </a:ln>
                </pic:spPr>
              </pic:pic>
            </a:graphicData>
          </a:graphic>
        </wp:inline>
      </w:drawing>
    </w:r>
  </w:p>
  <w:p w14:paraId="65F2A3B5">
    <w:pPr>
      <w:pStyle w:val="24"/>
      <w:tabs>
        <w:tab w:val="left" w:pos="5308"/>
        <w:tab w:val="clear" w:pos="4680"/>
        <w:tab w:val="clear" w:pos="9360"/>
      </w:tabs>
      <w:rPr>
        <w:sz w:val="16"/>
        <w:szCs w:val="16"/>
      </w:rPr>
    </w:pPr>
    <w:r>
      <w:rPr>
        <w:sz w:val="16"/>
        <w:szCs w:val="16"/>
      </w:rPr>
      <w:tab/>
    </w:r>
  </w:p>
  <w:p w14:paraId="287F4A38">
    <w:pPr>
      <w:pStyle w:val="24"/>
      <w:rPr>
        <w:sz w:val="16"/>
        <w:szCs w:val="16"/>
      </w:rPr>
    </w:pPr>
  </w:p>
  <w:p w14:paraId="364F1CA9">
    <w:pPr>
      <w:pStyle w:val="24"/>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BDF08F6">
    <w:pPr>
      <w:pStyle w:val="24"/>
    </w:pPr>
    <w:r>
      <mc:AlternateContent>
        <mc:Choice Requires="wps">
          <w:drawing>
            <wp:anchor distT="0" distB="0" distL="114300" distR="114300" simplePos="0" relativeHeight="251663360" behindDoc="1" locked="0" layoutInCell="1" allowOverlap="1">
              <wp:simplePos x="0" y="0"/>
              <wp:positionH relativeFrom="page">
                <wp:posOffset>962025</wp:posOffset>
              </wp:positionH>
              <wp:positionV relativeFrom="page">
                <wp:posOffset>947420</wp:posOffset>
              </wp:positionV>
              <wp:extent cx="1998980" cy="229870"/>
              <wp:effectExtent l="0" t="4445" r="1270" b="3810"/>
              <wp:wrapNone/>
              <wp:docPr id="15" name="Kotak Teks 1"/>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wps:spPr>
                    <wps:txbx>
                      <w:txbxContent>
                        <w:p w14:paraId="523D47F7">
                          <w:pPr>
                            <w:pStyle w:val="24"/>
                            <w:rPr>
                              <w:rFonts w:ascii="Calibri Light" w:cs="Calibri Light"/>
                              <w:sz w:val="12"/>
                              <w:szCs w:val="12"/>
                            </w:rPr>
                          </w:pPr>
                          <w:r>
                            <w:rPr>
                              <w:rFonts w:ascii="Calibri Light" w:cs="Calibri Light"/>
                              <w:sz w:val="12"/>
                              <w:szCs w:val="12"/>
                            </w:rPr>
                            <w:t>https://najahaofficial.id/najahajournal/index.php/IJLS/</w:t>
                          </w:r>
                        </w:p>
                        <w:p w14:paraId="13FEC100">
                          <w:pPr>
                            <w:rPr>
                              <w:rFonts w:ascii="Calibri Light" w:cs="Calibri Light"/>
                              <w:sz w:val="12"/>
                              <w:szCs w:val="12"/>
                            </w:rPr>
                          </w:pPr>
                          <w:r>
                            <w:rPr>
                              <w:rFonts w:ascii="Calibri Light" w:cs="Calibri Light"/>
                              <w:sz w:val="12"/>
                              <w:szCs w:val="12"/>
                            </w:rPr>
                            <w:t>Volume 1, Issue 1, 2022</w:t>
                          </w:r>
                        </w:p>
                      </w:txbxContent>
                    </wps:txbx>
                    <wps:bodyPr rot="0" vert="horz" wrap="square" lIns="0" tIns="0" rIns="0" bIns="0" anchor="t" anchorCtr="0" upright="1">
                      <a:noAutofit/>
                    </wps:bodyPr>
                  </wps:wsp>
                </a:graphicData>
              </a:graphic>
            </wp:anchor>
          </w:drawing>
        </mc:Choice>
        <mc:Fallback>
          <w:pict>
            <v:shape id="Kotak Teks 1" o:spid="_x0000_s1026" o:spt="202" type="#_x0000_t202" style="position:absolute;left:0pt;margin-left:75.75pt;margin-top:74.6pt;height:18.1pt;width:157.4pt;mso-position-horizontal-relative:page;mso-position-vertical-relative:page;z-index:-251653120;mso-width-relative:page;mso-height-relative:page;" filled="f" stroked="f" coordsize="21600,21600" o:gfxdata="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NKDMHNoAAAALAQAADwAAAAAAAAABACAAAAAiAAAAZHJzL2Rv&#10;d25yZXYueG1sUEsBAhQAFAAAAAgAh07iQFalQl7/AQAABwQAAA4AAAAAAAAAAQAgAAAAKQEAAGRy&#10;cy9lMm9Eb2MueG1sUEsFBgAAAAAGAAYAWQEAAJoFAAAAAA==&#10;">
              <v:fill on="f" focussize="0,0"/>
              <v:stroke on="f"/>
              <v:imagedata o:title=""/>
              <o:lock v:ext="edit" aspectratio="f"/>
              <v:textbox inset="0mm,0mm,0mm,0mm">
                <w:txbxContent>
                  <w:p w14:paraId="523D47F7">
                    <w:pPr>
                      <w:pStyle w:val="24"/>
                      <w:rPr>
                        <w:rFonts w:ascii="Calibri Light" w:cs="Calibri Light"/>
                        <w:sz w:val="12"/>
                        <w:szCs w:val="12"/>
                      </w:rPr>
                    </w:pPr>
                    <w:r>
                      <w:rPr>
                        <w:rFonts w:ascii="Calibri Light" w:cs="Calibri Light"/>
                        <w:sz w:val="12"/>
                        <w:szCs w:val="12"/>
                      </w:rPr>
                      <w:t>https://najahaofficial.id/najahajournal/index.php/IJLS/</w:t>
                    </w:r>
                  </w:p>
                  <w:p w14:paraId="13FEC100">
                    <w:pPr>
                      <w:rPr>
                        <w:rFonts w:ascii="Calibri Light" w:cs="Calibri Light"/>
                        <w:sz w:val="12"/>
                        <w:szCs w:val="12"/>
                      </w:rPr>
                    </w:pPr>
                    <w:r>
                      <w:rPr>
                        <w:rFonts w:ascii="Calibri Light" w:cs="Calibri Light"/>
                        <w:sz w:val="12"/>
                        <w:szCs w:val="12"/>
                      </w:rPr>
                      <w:t>Volume 1, Issue 1, 2022</w:t>
                    </w:r>
                  </w:p>
                </w:txbxContent>
              </v:textbox>
            </v:shape>
          </w:pict>
        </mc:Fallback>
      </mc:AlternateContent>
    </w:r>
    <w:r>
      <mc:AlternateContent>
        <mc:Choice Requires="wps">
          <w:drawing>
            <wp:anchor distT="0" distB="0" distL="114300" distR="114300" simplePos="0" relativeHeight="251668480" behindDoc="1" locked="0" layoutInCell="1" allowOverlap="1">
              <wp:simplePos x="0" y="0"/>
              <wp:positionH relativeFrom="page">
                <wp:posOffset>6497955</wp:posOffset>
              </wp:positionH>
              <wp:positionV relativeFrom="page">
                <wp:posOffset>445135</wp:posOffset>
              </wp:positionV>
              <wp:extent cx="231775" cy="177800"/>
              <wp:effectExtent l="1905" t="0" r="4445" b="0"/>
              <wp:wrapNone/>
              <wp:docPr id="14" name="Kotak Teks 2"/>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wps:spPr>
                    <wps:txbx>
                      <w:txbxContent>
                        <w:p w14:paraId="17D389DE">
                          <w:pPr>
                            <w:pStyle w:val="10"/>
                            <w:spacing w:line="264" w:lineRule="exact"/>
                            <w:ind w:left="60"/>
                            <w:jc w:val="center"/>
                            <w:rPr>
                              <w:rFonts w:ascii="Calibri Light" w:cs="Calibri Light"/>
                            </w:rPr>
                          </w:pPr>
                          <w:r>
                            <w:rPr>
                              <w:rFonts w:ascii="Calibri Light" w:cs="Calibri Light"/>
                            </w:rPr>
                            <w:fldChar w:fldCharType="begin"/>
                          </w:r>
                          <w:r>
                            <w:rPr>
                              <w:rFonts w:ascii="Calibri Light" w:cs="Calibri Light"/>
                            </w:rPr>
                            <w:instrText xml:space="preserve"> PAGE </w:instrText>
                          </w:r>
                          <w:r>
                            <w:rPr>
                              <w:rFonts w:ascii="Calibri Light" w:cs="Calibri Light"/>
                            </w:rPr>
                            <w:fldChar w:fldCharType="separate"/>
                          </w:r>
                          <w:r>
                            <w:rPr>
                              <w:rFonts w:ascii="Calibri Light" w:cs="Calibri Light"/>
                            </w:rPr>
                            <w:t>14</w:t>
                          </w:r>
                          <w:r>
                            <w:rPr>
                              <w:rFonts w:ascii="Calibri Light" w:cs="Calibri Light"/>
                            </w:rPr>
                            <w:fldChar w:fldCharType="end"/>
                          </w:r>
                        </w:p>
                      </w:txbxContent>
                    </wps:txbx>
                    <wps:bodyPr rot="0" vert="horz" wrap="square" lIns="0" tIns="0" rIns="0" bIns="0" anchor="t" anchorCtr="0" upright="1">
                      <a:noAutofit/>
                    </wps:bodyPr>
                  </wps:wsp>
                </a:graphicData>
              </a:graphic>
            </wp:anchor>
          </w:drawing>
        </mc:Choice>
        <mc:Fallback>
          <w:pict>
            <v:shape id="Kotak Teks 2" o:spid="_x0000_s1026" o:spt="202" type="#_x0000_t202" style="position:absolute;left:0pt;margin-left:511.65pt;margin-top:35.05pt;height:14pt;width:18.25pt;mso-position-horizontal-relative:page;mso-position-vertical-relative:page;z-index:-251648000;mso-width-relative:page;mso-height-relative:page;" filled="f" stroked="f" coordsize="21600,21600" o:gfxdata="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SJSb42QAAAAsBAAAPAAAAAAAAAAEAIAAAACIAAABkcnMvZG93&#10;bnJldi54bWxQSwECFAAUAAAACACHTuJArsrOs/8BAAAGBAAADgAAAAAAAAABACAAAAAoAQAAZHJz&#10;L2Uyb0RvYy54bWxQSwUGAAAAAAYABgBZAQAAmQUAAAAA&#10;">
              <v:fill on="f" focussize="0,0"/>
              <v:stroke on="f"/>
              <v:imagedata o:title=""/>
              <o:lock v:ext="edit" aspectratio="f"/>
              <v:textbox inset="0mm,0mm,0mm,0mm">
                <w:txbxContent>
                  <w:p w14:paraId="17D389DE">
                    <w:pPr>
                      <w:pStyle w:val="10"/>
                      <w:spacing w:line="264" w:lineRule="exact"/>
                      <w:ind w:left="60"/>
                      <w:jc w:val="center"/>
                      <w:rPr>
                        <w:rFonts w:ascii="Calibri Light" w:cs="Calibri Light"/>
                      </w:rPr>
                    </w:pPr>
                    <w:r>
                      <w:rPr>
                        <w:rFonts w:ascii="Calibri Light" w:cs="Calibri Light"/>
                      </w:rPr>
                      <w:fldChar w:fldCharType="begin"/>
                    </w:r>
                    <w:r>
                      <w:rPr>
                        <w:rFonts w:ascii="Calibri Light" w:cs="Calibri Light"/>
                      </w:rPr>
                      <w:instrText xml:space="preserve"> PAGE </w:instrText>
                    </w:r>
                    <w:r>
                      <w:rPr>
                        <w:rFonts w:ascii="Calibri Light" w:cs="Calibri Light"/>
                      </w:rPr>
                      <w:fldChar w:fldCharType="separate"/>
                    </w:r>
                    <w:r>
                      <w:rPr>
                        <w:rFonts w:ascii="Calibri Light" w:cs="Calibri Light"/>
                      </w:rPr>
                      <w:t>14</w:t>
                    </w:r>
                    <w:r>
                      <w:rPr>
                        <w:rFonts w:ascii="Calibri Light" w:cs="Calibri Light"/>
                      </w:rPr>
                      <w:fldChar w:fldCharType="end"/>
                    </w:r>
                  </w:p>
                </w:txbxContent>
              </v:textbox>
            </v:shape>
          </w:pict>
        </mc:Fallback>
      </mc:AlternateContent>
    </w:r>
    <w:r>
      <mc:AlternateContent>
        <mc:Choice Requires="wps">
          <w:drawing>
            <wp:anchor distT="0" distB="0" distL="114300" distR="114300" simplePos="0" relativeHeight="251664384" behindDoc="1" locked="0" layoutInCell="1" allowOverlap="1">
              <wp:simplePos x="0" y="0"/>
              <wp:positionH relativeFrom="page">
                <wp:posOffset>3143250</wp:posOffset>
              </wp:positionH>
              <wp:positionV relativeFrom="page">
                <wp:posOffset>784860</wp:posOffset>
              </wp:positionV>
              <wp:extent cx="3523615" cy="416560"/>
              <wp:effectExtent l="0" t="3810" r="635" b="0"/>
              <wp:wrapNone/>
              <wp:docPr id="13" name="Kotak Teks 3"/>
              <wp:cNvGraphicFramePr/>
              <a:graphic xmlns:a="http://schemas.openxmlformats.org/drawingml/2006/main">
                <a:graphicData uri="http://schemas.microsoft.com/office/word/2010/wordprocessingShape">
                  <wps:wsp>
                    <wps:cNvSpPr txBox="1">
                      <a:spLocks noChangeArrowheads="1"/>
                    </wps:cNvSpPr>
                    <wps:spPr bwMode="auto">
                      <a:xfrm>
                        <a:off x="0" y="0"/>
                        <a:ext cx="3523615" cy="416560"/>
                      </a:xfrm>
                      <a:prstGeom prst="rect">
                        <a:avLst/>
                      </a:prstGeom>
                      <a:noFill/>
                      <a:ln>
                        <a:noFill/>
                      </a:ln>
                    </wps:spPr>
                    <wps:txbx>
                      <w:txbxContent>
                        <w:p w14:paraId="6520EE2F">
                          <w:pPr>
                            <w:ind w:left="23"/>
                            <w:jc w:val="both"/>
                            <w:rPr>
                              <w:rFonts w:ascii="Calibri Light" w:cs="Calibri Light"/>
                              <w:i/>
                              <w:sz w:val="18"/>
                            </w:rPr>
                          </w:pPr>
                          <w:r>
                            <w:rPr>
                              <w:rFonts w:ascii="Calibri Light" w:cs="Calibri Light"/>
                              <w:sz w:val="18"/>
                            </w:rPr>
                            <w:t>M. M Mukhlis, Maskun, Irwansyah, Budiyanto, G Olemanu L.,</w:t>
                          </w:r>
                          <w:r>
                            <w:rPr>
                              <w:rFonts w:ascii="Calibri Light" w:cs="Calibri Light"/>
                              <w:spacing w:val="-3"/>
                              <w:sz w:val="18"/>
                            </w:rPr>
                            <w:t xml:space="preserve"> </w:t>
                          </w:r>
                          <w:r>
                            <w:rPr>
                              <w:rFonts w:ascii="Calibri Light" w:cs="Calibri Light"/>
                              <w:i/>
                              <w:sz w:val="18"/>
                            </w:rPr>
                            <w:t>Disparity in Parliamentary Power in the Formation of Laws in Indonesia: Considering Proportional Bicameralism</w:t>
                          </w:r>
                        </w:p>
                        <w:p w14:paraId="3B5E6FAB">
                          <w:pPr>
                            <w:ind w:left="23"/>
                            <w:jc w:val="both"/>
                            <w:rPr>
                              <w:rFonts w:ascii="Calibri Light" w:cs="Calibri Light"/>
                              <w:i/>
                              <w:sz w:val="18"/>
                            </w:rPr>
                          </w:pPr>
                        </w:p>
                      </w:txbxContent>
                    </wps:txbx>
                    <wps:bodyPr rot="0" vert="horz" wrap="square" lIns="0" tIns="0" rIns="0" bIns="0" anchor="t" anchorCtr="0" upright="1">
                      <a:noAutofit/>
                    </wps:bodyPr>
                  </wps:wsp>
                </a:graphicData>
              </a:graphic>
            </wp:anchor>
          </w:drawing>
        </mc:Choice>
        <mc:Fallback>
          <w:pict>
            <v:shape id="Kotak Teks 3" o:spid="_x0000_s1026" o:spt="202" type="#_x0000_t202" style="position:absolute;left:0pt;margin-left:247.5pt;margin-top:61.8pt;height:32.8pt;width:277.45pt;mso-position-horizontal-relative:page;mso-position-vertical-relative:page;z-index:-251652096;mso-width-relative:page;mso-height-relative:page;" filled="f" stroked="f" coordsize="21600,21600" o:gfxdata="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9Bs3a2gAAAAwBAAAPAAAAAAAAAAEAIAAAACIAAABkcnMv&#10;ZG93bnJldi54bWxQSwECFAAUAAAACACHTuJAB5mpUwECAAAHBAAADgAAAAAAAAABACAAAAApAQAA&#10;ZHJzL2Uyb0RvYy54bWxQSwUGAAAAAAYABgBZAQAAnAUAAAAA&#10;">
              <v:fill on="f" focussize="0,0"/>
              <v:stroke on="f"/>
              <v:imagedata o:title=""/>
              <o:lock v:ext="edit" aspectratio="f"/>
              <v:textbox inset="0mm,0mm,0mm,0mm">
                <w:txbxContent>
                  <w:p w14:paraId="6520EE2F">
                    <w:pPr>
                      <w:ind w:left="23"/>
                      <w:jc w:val="both"/>
                      <w:rPr>
                        <w:rFonts w:ascii="Calibri Light" w:cs="Calibri Light"/>
                        <w:i/>
                        <w:sz w:val="18"/>
                      </w:rPr>
                    </w:pPr>
                    <w:r>
                      <w:rPr>
                        <w:rFonts w:ascii="Calibri Light" w:cs="Calibri Light"/>
                        <w:sz w:val="18"/>
                      </w:rPr>
                      <w:t>M. M Mukhlis, Maskun, Irwansyah, Budiyanto, G Olemanu L.,</w:t>
                    </w:r>
                    <w:r>
                      <w:rPr>
                        <w:rFonts w:ascii="Calibri Light" w:cs="Calibri Light"/>
                        <w:spacing w:val="-3"/>
                        <w:sz w:val="18"/>
                      </w:rPr>
                      <w:t xml:space="preserve"> </w:t>
                    </w:r>
                    <w:r>
                      <w:rPr>
                        <w:rFonts w:ascii="Calibri Light" w:cs="Calibri Light"/>
                        <w:i/>
                        <w:sz w:val="18"/>
                      </w:rPr>
                      <w:t>Disparity in Parliamentary Power in the Formation of Laws in Indonesia: Considering Proportional Bicameralism</w:t>
                    </w:r>
                  </w:p>
                  <w:p w14:paraId="3B5E6FAB">
                    <w:pPr>
                      <w:ind w:left="23"/>
                      <w:jc w:val="both"/>
                      <w:rPr>
                        <w:rFonts w:ascii="Calibri Light" w:cs="Calibri Light"/>
                        <w:i/>
                        <w:sz w:val="18"/>
                      </w:rPr>
                    </w:pPr>
                  </w:p>
                </w:txbxContent>
              </v:textbox>
            </v:shape>
          </w:pict>
        </mc:Fallback>
      </mc:AlternateContent>
    </w:r>
    <w:r>
      <w:drawing>
        <wp:inline distT="0" distB="0" distL="0" distR="0">
          <wp:extent cx="1095375" cy="499745"/>
          <wp:effectExtent l="0" t="0" r="0" b="0"/>
          <wp:docPr id="2" name="Gambar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ambar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095375" cy="499745"/>
                  </a:xfrm>
                  <a:prstGeom prst="rect">
                    <a:avLst/>
                  </a:prstGeom>
                  <a:noFill/>
                  <a:ln>
                    <a:noFill/>
                  </a:ln>
                </pic:spPr>
              </pic:pic>
            </a:graphicData>
          </a:graphic>
        </wp:inline>
      </w:drawing>
    </w:r>
  </w:p>
  <w:p w14:paraId="06677374">
    <w:pPr>
      <w:pStyle w:val="24"/>
      <w:rPr>
        <w:sz w:val="16"/>
        <w:szCs w:val="16"/>
      </w:rPr>
    </w:pPr>
  </w:p>
  <w:p w14:paraId="49C4D174">
    <w:pPr>
      <w:pStyle w:val="24"/>
      <w:rPr>
        <w:sz w:val="16"/>
        <w:szCs w:val="16"/>
      </w:rPr>
    </w:pPr>
  </w:p>
  <w:p w14:paraId="1EA41E58">
    <w:pPr>
      <w:pStyle w:val="24"/>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13E797C">
    <w:pPr>
      <w:pStyle w:val="24"/>
    </w:pPr>
    <w:r>
      <mc:AlternateContent>
        <mc:Choice Requires="wps">
          <w:drawing>
            <wp:anchor distT="0" distB="0" distL="114300" distR="114300" simplePos="0" relativeHeight="251659264" behindDoc="1" locked="0" layoutInCell="1" allowOverlap="1">
              <wp:simplePos x="0" y="0"/>
              <wp:positionH relativeFrom="page">
                <wp:posOffset>942975</wp:posOffset>
              </wp:positionH>
              <wp:positionV relativeFrom="page">
                <wp:posOffset>947420</wp:posOffset>
              </wp:positionV>
              <wp:extent cx="1998980" cy="229870"/>
              <wp:effectExtent l="0" t="4445" r="1270" b="3810"/>
              <wp:wrapNone/>
              <wp:docPr id="7" name="Kotak Teks 9"/>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wps:spPr>
                    <wps:txbx>
                      <w:txbxContent>
                        <w:p w14:paraId="5F4A170F">
                          <w:pPr>
                            <w:pStyle w:val="24"/>
                            <w:rPr>
                              <w:rFonts w:ascii="Calibri Light" w:cs="Calibri Light"/>
                              <w:sz w:val="12"/>
                              <w:szCs w:val="12"/>
                            </w:rPr>
                          </w:pPr>
                          <w:r>
                            <w:rPr>
                              <w:rFonts w:ascii="Calibri Light" w:cs="Calibri Light"/>
                              <w:sz w:val="12"/>
                              <w:szCs w:val="12"/>
                            </w:rPr>
                            <w:t>https://najahaofficial.id/najahajournal/index.php/IJLS/</w:t>
                          </w:r>
                        </w:p>
                        <w:p w14:paraId="386386CC">
                          <w:pPr>
                            <w:rPr>
                              <w:rFonts w:ascii="Calibri Light" w:cs="Calibri Light"/>
                              <w:sz w:val="12"/>
                              <w:szCs w:val="12"/>
                            </w:rPr>
                          </w:pPr>
                          <w:r>
                            <w:rPr>
                              <w:rFonts w:ascii="Calibri Light" w:cs="Calibri Light"/>
                              <w:sz w:val="12"/>
                              <w:szCs w:val="12"/>
                            </w:rPr>
                            <w:t>Volume 1, Issue 1, 2022</w:t>
                          </w:r>
                        </w:p>
                      </w:txbxContent>
                    </wps:txbx>
                    <wps:bodyPr rot="0" vert="horz" wrap="square" lIns="0" tIns="0" rIns="0" bIns="0" anchor="t" anchorCtr="0" upright="1">
                      <a:noAutofit/>
                    </wps:bodyPr>
                  </wps:wsp>
                </a:graphicData>
              </a:graphic>
            </wp:anchor>
          </w:drawing>
        </mc:Choice>
        <mc:Fallback>
          <w:pict>
            <v:shape id="Kotak Teks 9" o:spid="_x0000_s1026" o:spt="202" type="#_x0000_t202" style="position:absolute;left:0pt;margin-left:74.25pt;margin-top:74.6pt;height:18.1pt;width:157.4pt;mso-position-horizontal-relative:page;mso-position-vertical-relative:page;z-index:-251657216;mso-width-relative:page;mso-height-relative:page;" filled="f" stroked="f" coordsize="21600,21600" o:gfxdata="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0qtHgdoAAAALAQAADwAAAAAAAAABACAAAAAiAAAAZHJzL2Rv&#10;d25yZXYueG1sUEsBAhQAFAAAAAgAh07iQKoKxNP/AQAABgQAAA4AAAAAAAAAAQAgAAAAKQEAAGRy&#10;cy9lMm9Eb2MueG1sUEsFBgAAAAAGAAYAWQEAAJoFAAAAAA==&#10;">
              <v:fill on="f" focussize="0,0"/>
              <v:stroke on="f"/>
              <v:imagedata o:title=""/>
              <o:lock v:ext="edit" aspectratio="f"/>
              <v:textbox inset="0mm,0mm,0mm,0mm">
                <w:txbxContent>
                  <w:p w14:paraId="5F4A170F">
                    <w:pPr>
                      <w:pStyle w:val="24"/>
                      <w:rPr>
                        <w:rFonts w:ascii="Calibri Light" w:cs="Calibri Light"/>
                        <w:sz w:val="12"/>
                        <w:szCs w:val="12"/>
                      </w:rPr>
                    </w:pPr>
                    <w:r>
                      <w:rPr>
                        <w:rFonts w:ascii="Calibri Light" w:cs="Calibri Light"/>
                        <w:sz w:val="12"/>
                        <w:szCs w:val="12"/>
                      </w:rPr>
                      <w:t>https://najahaofficial.id/najahajournal/index.php/IJLS/</w:t>
                    </w:r>
                  </w:p>
                  <w:p w14:paraId="386386CC">
                    <w:pPr>
                      <w:rPr>
                        <w:rFonts w:ascii="Calibri Light" w:cs="Calibri Light"/>
                        <w:sz w:val="12"/>
                        <w:szCs w:val="12"/>
                      </w:rPr>
                    </w:pPr>
                    <w:r>
                      <w:rPr>
                        <w:rFonts w:ascii="Calibri Light" w:cs="Calibri Light"/>
                        <w:sz w:val="12"/>
                        <w:szCs w:val="12"/>
                      </w:rPr>
                      <w:t>Volume 1, Issue 1, 2022</w:t>
                    </w:r>
                  </w:p>
                </w:txbxContent>
              </v:textbox>
            </v:shape>
          </w:pict>
        </mc:Fallback>
      </mc:AlternateContent>
    </w:r>
    <w:r>
      <mc:AlternateContent>
        <mc:Choice Requires="wps">
          <w:drawing>
            <wp:anchor distT="0" distB="0" distL="114300" distR="114300" simplePos="0" relativeHeight="251667456" behindDoc="1" locked="0" layoutInCell="1" allowOverlap="1">
              <wp:simplePos x="0" y="0"/>
              <wp:positionH relativeFrom="page">
                <wp:posOffset>6464300</wp:posOffset>
              </wp:positionH>
              <wp:positionV relativeFrom="page">
                <wp:posOffset>439420</wp:posOffset>
              </wp:positionV>
              <wp:extent cx="231775" cy="177800"/>
              <wp:effectExtent l="0" t="1270" r="0" b="1905"/>
              <wp:wrapNone/>
              <wp:docPr id="5" name="Kotak Teks 10"/>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wps:spPr>
                    <wps:txbx>
                      <w:txbxContent>
                        <w:p w14:paraId="23EBA7F9">
                          <w:pPr>
                            <w:pStyle w:val="10"/>
                            <w:spacing w:line="264" w:lineRule="exact"/>
                            <w:ind w:left="60"/>
                            <w:jc w:val="center"/>
                            <w:rPr>
                              <w:rFonts w:ascii="Calibri Light" w:cs="Calibri Light"/>
                            </w:rPr>
                          </w:pPr>
                          <w:r>
                            <w:rPr>
                              <w:rFonts w:ascii="Calibri Light" w:cs="Calibri Light"/>
                            </w:rPr>
                            <w:fldChar w:fldCharType="begin"/>
                          </w:r>
                          <w:r>
                            <w:rPr>
                              <w:rFonts w:ascii="Calibri Light" w:cs="Calibri Light"/>
                            </w:rPr>
                            <w:instrText xml:space="preserve"> PAGE </w:instrText>
                          </w:r>
                          <w:r>
                            <w:rPr>
                              <w:rFonts w:ascii="Calibri Light" w:cs="Calibri Light"/>
                            </w:rPr>
                            <w:fldChar w:fldCharType="separate"/>
                          </w:r>
                          <w:r>
                            <w:rPr>
                              <w:rFonts w:ascii="Calibri Light" w:cs="Calibri Light"/>
                            </w:rPr>
                            <w:t>14</w:t>
                          </w:r>
                          <w:r>
                            <w:rPr>
                              <w:rFonts w:ascii="Calibri Light" w:cs="Calibri Light"/>
                            </w:rPr>
                            <w:fldChar w:fldCharType="end"/>
                          </w:r>
                        </w:p>
                      </w:txbxContent>
                    </wps:txbx>
                    <wps:bodyPr rot="0" vert="horz" wrap="square" lIns="0" tIns="0" rIns="0" bIns="0" anchor="t" anchorCtr="0" upright="1">
                      <a:noAutofit/>
                    </wps:bodyPr>
                  </wps:wsp>
                </a:graphicData>
              </a:graphic>
            </wp:anchor>
          </w:drawing>
        </mc:Choice>
        <mc:Fallback>
          <w:pict>
            <v:shape id="Kotak Teks 10" o:spid="_x0000_s1026" o:spt="202" type="#_x0000_t202" style="position:absolute;left:0pt;margin-left:509pt;margin-top:34.6pt;height:14pt;width:18.25pt;mso-position-horizontal-relative:page;mso-position-vertical-relative:page;z-index:-251649024;mso-width-relative:page;mso-height-relative:page;" filled="f" stroked="f" coordsize="21600,21600" o:gfxdata="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9uNiC2QAAAAsBAAAPAAAAAAAAAAEAIAAAACIAAABkcnMvZG93&#10;bnJldi54bWxQSwECFAAUAAAACACHTuJARmarN/8BAAAGBAAADgAAAAAAAAABACAAAAAoAQAAZHJz&#10;L2Uyb0RvYy54bWxQSwUGAAAAAAYABgBZAQAAmQUAAAAA&#10;">
              <v:fill on="f" focussize="0,0"/>
              <v:stroke on="f"/>
              <v:imagedata o:title=""/>
              <o:lock v:ext="edit" aspectratio="f"/>
              <v:textbox inset="0mm,0mm,0mm,0mm">
                <w:txbxContent>
                  <w:p w14:paraId="23EBA7F9">
                    <w:pPr>
                      <w:pStyle w:val="10"/>
                      <w:spacing w:line="264" w:lineRule="exact"/>
                      <w:ind w:left="60"/>
                      <w:jc w:val="center"/>
                      <w:rPr>
                        <w:rFonts w:ascii="Calibri Light" w:cs="Calibri Light"/>
                      </w:rPr>
                    </w:pPr>
                    <w:r>
                      <w:rPr>
                        <w:rFonts w:ascii="Calibri Light" w:cs="Calibri Light"/>
                      </w:rPr>
                      <w:fldChar w:fldCharType="begin"/>
                    </w:r>
                    <w:r>
                      <w:rPr>
                        <w:rFonts w:ascii="Calibri Light" w:cs="Calibri Light"/>
                      </w:rPr>
                      <w:instrText xml:space="preserve"> PAGE </w:instrText>
                    </w:r>
                    <w:r>
                      <w:rPr>
                        <w:rFonts w:ascii="Calibri Light" w:cs="Calibri Light"/>
                      </w:rPr>
                      <w:fldChar w:fldCharType="separate"/>
                    </w:r>
                    <w:r>
                      <w:rPr>
                        <w:rFonts w:ascii="Calibri Light" w:cs="Calibri Light"/>
                      </w:rPr>
                      <w:t>14</w:t>
                    </w:r>
                    <w:r>
                      <w:rPr>
                        <w:rFonts w:ascii="Calibri Light" w:cs="Calibri Light"/>
                      </w:rPr>
                      <w:fldChar w:fldCharType="end"/>
                    </w:r>
                  </w:p>
                </w:txbxContent>
              </v:textbox>
            </v:shape>
          </w:pict>
        </mc:Fallback>
      </mc:AlternateContent>
    </w:r>
    <w:r>
      <mc:AlternateContent>
        <mc:Choice Requires="wps">
          <w:drawing>
            <wp:anchor distT="0" distB="0" distL="114300" distR="114300" simplePos="0" relativeHeight="251660288" behindDoc="1" locked="0" layoutInCell="1" allowOverlap="1">
              <wp:simplePos x="0" y="0"/>
              <wp:positionH relativeFrom="page">
                <wp:posOffset>3143250</wp:posOffset>
              </wp:positionH>
              <wp:positionV relativeFrom="page">
                <wp:posOffset>784860</wp:posOffset>
              </wp:positionV>
              <wp:extent cx="3516630" cy="416560"/>
              <wp:effectExtent l="0" t="3810" r="0" b="0"/>
              <wp:wrapNone/>
              <wp:docPr id="3" name="Kotak Teks 11"/>
              <wp:cNvGraphicFramePr/>
              <a:graphic xmlns:a="http://schemas.openxmlformats.org/drawingml/2006/main">
                <a:graphicData uri="http://schemas.microsoft.com/office/word/2010/wordprocessingShape">
                  <wps:wsp>
                    <wps:cNvSpPr txBox="1">
                      <a:spLocks noChangeArrowheads="1"/>
                    </wps:cNvSpPr>
                    <wps:spPr bwMode="auto">
                      <a:xfrm>
                        <a:off x="0" y="0"/>
                        <a:ext cx="3516630" cy="416560"/>
                      </a:xfrm>
                      <a:prstGeom prst="rect">
                        <a:avLst/>
                      </a:prstGeom>
                      <a:noFill/>
                      <a:ln>
                        <a:noFill/>
                      </a:ln>
                    </wps:spPr>
                    <wps:txbx>
                      <w:txbxContent>
                        <w:p w14:paraId="30BFD141">
                          <w:pPr>
                            <w:ind w:left="23"/>
                            <w:jc w:val="both"/>
                            <w:rPr>
                              <w:rFonts w:ascii="Calibri Light" w:cs="Calibri Light"/>
                              <w:i/>
                              <w:sz w:val="18"/>
                            </w:rPr>
                          </w:pPr>
                          <w:r>
                            <w:rPr>
                              <w:rFonts w:ascii="Calibri Light" w:cs="Calibri Light"/>
                              <w:sz w:val="18"/>
                            </w:rPr>
                            <w:t>M. M Mukhlis, Maskun, Irwansyah, Budiyanto, G Olemanu L.,</w:t>
                          </w:r>
                          <w:r>
                            <w:rPr>
                              <w:rFonts w:ascii="Calibri Light" w:cs="Calibri Light"/>
                              <w:spacing w:val="-3"/>
                              <w:sz w:val="18"/>
                            </w:rPr>
                            <w:t xml:space="preserve"> </w:t>
                          </w:r>
                          <w:r>
                            <w:rPr>
                              <w:rFonts w:ascii="Calibri Light" w:cs="Calibri Light"/>
                              <w:i/>
                              <w:sz w:val="18"/>
                            </w:rPr>
                            <w:t>Disparity in Parliamentary Power in the Formation of Laws in Indonesia: Considering Proportional Bicameralism</w:t>
                          </w:r>
                        </w:p>
                      </w:txbxContent>
                    </wps:txbx>
                    <wps:bodyPr rot="0" vert="horz" wrap="square" lIns="0" tIns="0" rIns="0" bIns="0" anchor="t" anchorCtr="0" upright="1">
                      <a:noAutofit/>
                    </wps:bodyPr>
                  </wps:wsp>
                </a:graphicData>
              </a:graphic>
            </wp:anchor>
          </w:drawing>
        </mc:Choice>
        <mc:Fallback>
          <w:pict>
            <v:shape id="Kotak Teks 11" o:spid="_x0000_s1026" o:spt="202" type="#_x0000_t202" style="position:absolute;left:0pt;margin-left:247.5pt;margin-top:61.8pt;height:32.8pt;width:276.9pt;mso-position-horizontal-relative:page;mso-position-vertical-relative:page;z-index:-251656192;mso-width-relative:page;mso-height-relative:page;" filled="f" stroked="f" coordsize="21600,21600" o:gfxdata="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AQif7jaAAAADAEAAA8AAAAAAAAAAQAgAAAAIgAAAGRycy9k&#10;b3ducmV2LnhtbFBLAQIUABQAAAAIAIdO4kDGa5xAAAIAAAcEAAAOAAAAAAAAAAEAIAAAACkBAABk&#10;cnMvZTJvRG9jLnhtbFBLBQYAAAAABgAGAFkBAACbBQAAAAA=&#10;">
              <v:fill on="f" focussize="0,0"/>
              <v:stroke on="f"/>
              <v:imagedata o:title=""/>
              <o:lock v:ext="edit" aspectratio="f"/>
              <v:textbox inset="0mm,0mm,0mm,0mm">
                <w:txbxContent>
                  <w:p w14:paraId="30BFD141">
                    <w:pPr>
                      <w:ind w:left="23"/>
                      <w:jc w:val="both"/>
                      <w:rPr>
                        <w:rFonts w:ascii="Calibri Light" w:cs="Calibri Light"/>
                        <w:i/>
                        <w:sz w:val="18"/>
                      </w:rPr>
                    </w:pPr>
                    <w:r>
                      <w:rPr>
                        <w:rFonts w:ascii="Calibri Light" w:cs="Calibri Light"/>
                        <w:sz w:val="18"/>
                      </w:rPr>
                      <w:t>M. M Mukhlis, Maskun, Irwansyah, Budiyanto, G Olemanu L.,</w:t>
                    </w:r>
                    <w:r>
                      <w:rPr>
                        <w:rFonts w:ascii="Calibri Light" w:cs="Calibri Light"/>
                        <w:spacing w:val="-3"/>
                        <w:sz w:val="18"/>
                      </w:rPr>
                      <w:t xml:space="preserve"> </w:t>
                    </w:r>
                    <w:r>
                      <w:rPr>
                        <w:rFonts w:ascii="Calibri Light" w:cs="Calibri Light"/>
                        <w:i/>
                        <w:sz w:val="18"/>
                      </w:rPr>
                      <w:t>Disparity in Parliamentary Power in the Formation of Laws in Indonesia: Considering Proportional Bicameralism</w:t>
                    </w:r>
                  </w:p>
                </w:txbxContent>
              </v:textbox>
            </v:shape>
          </w:pict>
        </mc:Fallback>
      </mc:AlternateContent>
    </w:r>
    <w:r>
      <w:drawing>
        <wp:inline distT="0" distB="0" distL="0" distR="0">
          <wp:extent cx="1095375" cy="499745"/>
          <wp:effectExtent l="0" t="0" r="0" b="0"/>
          <wp:docPr id="6" name="Gambar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ambar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095375" cy="499745"/>
                  </a:xfrm>
                  <a:prstGeom prst="rect">
                    <a:avLst/>
                  </a:prstGeom>
                  <a:noFill/>
                  <a:ln>
                    <a:noFill/>
                  </a:ln>
                </pic:spPr>
              </pic:pic>
            </a:graphicData>
          </a:graphic>
        </wp:inline>
      </w:drawing>
    </w:r>
  </w:p>
  <w:p w14:paraId="14C76949">
    <w:pPr>
      <w:pStyle w:val="24"/>
      <w:rPr>
        <w:sz w:val="16"/>
        <w:szCs w:val="16"/>
      </w:rPr>
    </w:pPr>
  </w:p>
  <w:p w14:paraId="411EC3D3">
    <w:pPr>
      <w:pStyle w:val="24"/>
      <w:rPr>
        <w:sz w:val="16"/>
        <w:szCs w:val="16"/>
      </w:rPr>
    </w:pPr>
  </w:p>
  <w:p w14:paraId="544B593B">
    <w:pPr>
      <w:pStyle w:val="24"/>
      <w:rPr>
        <w:sz w:val="16"/>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28430C3"/>
    <w:multiLevelType w:val="multilevel"/>
    <w:tmpl w:val="028430C3"/>
    <w:lvl w:ilvl="0" w:tentative="0">
      <w:start w:val="4"/>
      <w:numFmt w:val="upperRoman"/>
      <w:lvlText w:val="%1."/>
      <w:lvlJc w:val="left"/>
      <w:pPr>
        <w:ind w:left="1146" w:hanging="720"/>
      </w:pPr>
      <w:rPr>
        <w:rFonts w:cs="Times New Roman"/>
        <w:color w:val="auto"/>
      </w:rPr>
    </w:lvl>
    <w:lvl w:ilvl="1" w:tentative="0">
      <w:start w:val="1"/>
      <w:numFmt w:val="lowerLetter"/>
      <w:lvlText w:val="%2."/>
      <w:lvlJc w:val="left"/>
      <w:pPr>
        <w:ind w:left="1506" w:hanging="360"/>
      </w:pPr>
      <w:rPr>
        <w:rFonts w:cs="Times New Roman"/>
      </w:rPr>
    </w:lvl>
    <w:lvl w:ilvl="2" w:tentative="0">
      <w:start w:val="1"/>
      <w:numFmt w:val="lowerRoman"/>
      <w:lvlText w:val="%3."/>
      <w:lvlJc w:val="right"/>
      <w:pPr>
        <w:ind w:left="2226" w:hanging="180"/>
      </w:pPr>
      <w:rPr>
        <w:rFonts w:cs="Times New Roman"/>
      </w:rPr>
    </w:lvl>
    <w:lvl w:ilvl="3" w:tentative="0">
      <w:start w:val="1"/>
      <w:numFmt w:val="decimal"/>
      <w:lvlText w:val="%4."/>
      <w:lvlJc w:val="left"/>
      <w:pPr>
        <w:ind w:left="2946" w:hanging="360"/>
      </w:pPr>
      <w:rPr>
        <w:rFonts w:cs="Times New Roman"/>
      </w:rPr>
    </w:lvl>
    <w:lvl w:ilvl="4" w:tentative="0">
      <w:start w:val="1"/>
      <w:numFmt w:val="lowerLetter"/>
      <w:lvlText w:val="%5."/>
      <w:lvlJc w:val="left"/>
      <w:pPr>
        <w:ind w:left="3666" w:hanging="360"/>
      </w:pPr>
      <w:rPr>
        <w:rFonts w:cs="Times New Roman"/>
      </w:rPr>
    </w:lvl>
    <w:lvl w:ilvl="5" w:tentative="0">
      <w:start w:val="1"/>
      <w:numFmt w:val="lowerRoman"/>
      <w:lvlText w:val="%6."/>
      <w:lvlJc w:val="right"/>
      <w:pPr>
        <w:ind w:left="4386" w:hanging="180"/>
      </w:pPr>
      <w:rPr>
        <w:rFonts w:cs="Times New Roman"/>
      </w:rPr>
    </w:lvl>
    <w:lvl w:ilvl="6" w:tentative="0">
      <w:start w:val="1"/>
      <w:numFmt w:val="decimal"/>
      <w:lvlText w:val="%7."/>
      <w:lvlJc w:val="left"/>
      <w:pPr>
        <w:ind w:left="5106" w:hanging="360"/>
      </w:pPr>
      <w:rPr>
        <w:rFonts w:cs="Times New Roman"/>
      </w:rPr>
    </w:lvl>
    <w:lvl w:ilvl="7" w:tentative="0">
      <w:start w:val="1"/>
      <w:numFmt w:val="lowerLetter"/>
      <w:lvlText w:val="%8."/>
      <w:lvlJc w:val="left"/>
      <w:pPr>
        <w:ind w:left="5826" w:hanging="360"/>
      </w:pPr>
      <w:rPr>
        <w:rFonts w:cs="Times New Roman"/>
      </w:rPr>
    </w:lvl>
    <w:lvl w:ilvl="8" w:tentative="0">
      <w:start w:val="1"/>
      <w:numFmt w:val="lowerRoman"/>
      <w:lvlText w:val="%9."/>
      <w:lvlJc w:val="right"/>
      <w:pPr>
        <w:ind w:left="6546" w:hanging="180"/>
      </w:pPr>
      <w:rPr>
        <w:rFonts w:cs="Times New Roman"/>
      </w:rPr>
    </w:lvl>
  </w:abstractNum>
  <w:abstractNum w:abstractNumId="1">
    <w:nsid w:val="15D52E67"/>
    <w:multiLevelType w:val="multilevel"/>
    <w:tmpl w:val="15D52E67"/>
    <w:lvl w:ilvl="0" w:tentative="0">
      <w:start w:val="1"/>
      <w:numFmt w:val="lowerLetter"/>
      <w:lvlText w:val="%1."/>
      <w:lvlJc w:val="left"/>
      <w:pPr>
        <w:ind w:left="720" w:hanging="360"/>
      </w:pPr>
      <w:rPr>
        <w:rFonts w:cs="Times New Roman"/>
      </w:rPr>
    </w:lvl>
    <w:lvl w:ilvl="1" w:tentative="0">
      <w:start w:val="1"/>
      <w:numFmt w:val="lowerLetter"/>
      <w:lvlText w:val="%2."/>
      <w:lvlJc w:val="left"/>
      <w:pPr>
        <w:ind w:left="1440" w:hanging="360"/>
      </w:pPr>
      <w:rPr>
        <w:rFonts w:cs="Times New Roman"/>
      </w:rPr>
    </w:lvl>
    <w:lvl w:ilvl="2" w:tentative="0">
      <w:start w:val="1"/>
      <w:numFmt w:val="lowerRoman"/>
      <w:lvlText w:val="%3."/>
      <w:lvlJc w:val="right"/>
      <w:pPr>
        <w:ind w:left="2160" w:hanging="180"/>
      </w:pPr>
      <w:rPr>
        <w:rFonts w:cs="Times New Roman"/>
      </w:rPr>
    </w:lvl>
    <w:lvl w:ilvl="3" w:tentative="0">
      <w:start w:val="1"/>
      <w:numFmt w:val="decimal"/>
      <w:lvlText w:val="%4."/>
      <w:lvlJc w:val="left"/>
      <w:pPr>
        <w:ind w:left="2880" w:hanging="360"/>
      </w:pPr>
      <w:rPr>
        <w:rFonts w:cs="Times New Roman"/>
      </w:rPr>
    </w:lvl>
    <w:lvl w:ilvl="4" w:tentative="0">
      <w:start w:val="1"/>
      <w:numFmt w:val="lowerLetter"/>
      <w:lvlText w:val="%5."/>
      <w:lvlJc w:val="left"/>
      <w:pPr>
        <w:ind w:left="3600" w:hanging="360"/>
      </w:pPr>
      <w:rPr>
        <w:rFonts w:cs="Times New Roman"/>
      </w:rPr>
    </w:lvl>
    <w:lvl w:ilvl="5" w:tentative="0">
      <w:start w:val="1"/>
      <w:numFmt w:val="lowerRoman"/>
      <w:lvlText w:val="%6."/>
      <w:lvlJc w:val="right"/>
      <w:pPr>
        <w:ind w:left="4320" w:hanging="180"/>
      </w:pPr>
      <w:rPr>
        <w:rFonts w:cs="Times New Roman"/>
      </w:rPr>
    </w:lvl>
    <w:lvl w:ilvl="6" w:tentative="0">
      <w:start w:val="1"/>
      <w:numFmt w:val="decimal"/>
      <w:lvlText w:val="%7."/>
      <w:lvlJc w:val="left"/>
      <w:pPr>
        <w:ind w:left="5040" w:hanging="360"/>
      </w:pPr>
      <w:rPr>
        <w:rFonts w:cs="Times New Roman"/>
      </w:rPr>
    </w:lvl>
    <w:lvl w:ilvl="7" w:tentative="0">
      <w:start w:val="1"/>
      <w:numFmt w:val="lowerLetter"/>
      <w:lvlText w:val="%8."/>
      <w:lvlJc w:val="left"/>
      <w:pPr>
        <w:ind w:left="5760" w:hanging="360"/>
      </w:pPr>
      <w:rPr>
        <w:rFonts w:cs="Times New Roman"/>
      </w:rPr>
    </w:lvl>
    <w:lvl w:ilvl="8" w:tentative="0">
      <w:start w:val="1"/>
      <w:numFmt w:val="lowerRoman"/>
      <w:lvlText w:val="%9."/>
      <w:lvlJc w:val="right"/>
      <w:pPr>
        <w:ind w:left="6480" w:hanging="180"/>
      </w:pPr>
      <w:rPr>
        <w:rFonts w:cs="Times New Roman"/>
      </w:rPr>
    </w:lvl>
  </w:abstractNum>
  <w:abstractNum w:abstractNumId="2">
    <w:nsid w:val="15E93AB6"/>
    <w:multiLevelType w:val="multilevel"/>
    <w:tmpl w:val="15E93AB6"/>
    <w:lvl w:ilvl="0" w:tentative="0">
      <w:start w:val="1"/>
      <w:numFmt w:val="lowerLetter"/>
      <w:lvlText w:val="%1."/>
      <w:lvlJc w:val="left"/>
      <w:pPr>
        <w:ind w:left="720" w:hanging="360"/>
      </w:pPr>
      <w:rPr>
        <w:rFonts w:cs="Times New Roman"/>
      </w:rPr>
    </w:lvl>
    <w:lvl w:ilvl="1" w:tentative="0">
      <w:start w:val="1"/>
      <w:numFmt w:val="lowerLetter"/>
      <w:lvlText w:val="%2."/>
      <w:lvlJc w:val="left"/>
      <w:pPr>
        <w:ind w:left="1440" w:hanging="360"/>
      </w:pPr>
      <w:rPr>
        <w:rFonts w:cs="Times New Roman"/>
      </w:rPr>
    </w:lvl>
    <w:lvl w:ilvl="2" w:tentative="0">
      <w:start w:val="1"/>
      <w:numFmt w:val="lowerRoman"/>
      <w:lvlText w:val="%3."/>
      <w:lvlJc w:val="right"/>
      <w:pPr>
        <w:ind w:left="2160" w:hanging="180"/>
      </w:pPr>
      <w:rPr>
        <w:rFonts w:cs="Times New Roman"/>
      </w:rPr>
    </w:lvl>
    <w:lvl w:ilvl="3" w:tentative="0">
      <w:start w:val="1"/>
      <w:numFmt w:val="decimal"/>
      <w:lvlText w:val="%4."/>
      <w:lvlJc w:val="left"/>
      <w:pPr>
        <w:ind w:left="2880" w:hanging="360"/>
      </w:pPr>
      <w:rPr>
        <w:rFonts w:cs="Times New Roman"/>
      </w:rPr>
    </w:lvl>
    <w:lvl w:ilvl="4" w:tentative="0">
      <w:start w:val="1"/>
      <w:numFmt w:val="lowerLetter"/>
      <w:lvlText w:val="%5."/>
      <w:lvlJc w:val="left"/>
      <w:pPr>
        <w:ind w:left="3600" w:hanging="360"/>
      </w:pPr>
      <w:rPr>
        <w:rFonts w:cs="Times New Roman"/>
      </w:rPr>
    </w:lvl>
    <w:lvl w:ilvl="5" w:tentative="0">
      <w:start w:val="1"/>
      <w:numFmt w:val="lowerRoman"/>
      <w:lvlText w:val="%6."/>
      <w:lvlJc w:val="right"/>
      <w:pPr>
        <w:ind w:left="4320" w:hanging="180"/>
      </w:pPr>
      <w:rPr>
        <w:rFonts w:cs="Times New Roman"/>
      </w:rPr>
    </w:lvl>
    <w:lvl w:ilvl="6" w:tentative="0">
      <w:start w:val="1"/>
      <w:numFmt w:val="decimal"/>
      <w:lvlText w:val="%7."/>
      <w:lvlJc w:val="left"/>
      <w:pPr>
        <w:ind w:left="5040" w:hanging="360"/>
      </w:pPr>
      <w:rPr>
        <w:rFonts w:cs="Times New Roman"/>
      </w:rPr>
    </w:lvl>
    <w:lvl w:ilvl="7" w:tentative="0">
      <w:start w:val="1"/>
      <w:numFmt w:val="lowerLetter"/>
      <w:lvlText w:val="%8."/>
      <w:lvlJc w:val="left"/>
      <w:pPr>
        <w:ind w:left="5760" w:hanging="360"/>
      </w:pPr>
      <w:rPr>
        <w:rFonts w:cs="Times New Roman"/>
      </w:rPr>
    </w:lvl>
    <w:lvl w:ilvl="8" w:tentative="0">
      <w:start w:val="1"/>
      <w:numFmt w:val="lowerRoman"/>
      <w:lvlText w:val="%9."/>
      <w:lvlJc w:val="right"/>
      <w:pPr>
        <w:ind w:left="6480" w:hanging="180"/>
      </w:pPr>
      <w:rPr>
        <w:rFonts w:cs="Times New Roman"/>
      </w:rPr>
    </w:lvl>
  </w:abstractNum>
  <w:abstractNum w:abstractNumId="3">
    <w:nsid w:val="1A880BE8"/>
    <w:multiLevelType w:val="multilevel"/>
    <w:tmpl w:val="1A880BE8"/>
    <w:lvl w:ilvl="0" w:tentative="0">
      <w:start w:val="1"/>
      <w:numFmt w:val="lowerLetter"/>
      <w:lvlText w:val="%1)"/>
      <w:lvlJc w:val="left"/>
      <w:pPr>
        <w:ind w:left="720" w:hanging="360"/>
      </w:pPr>
      <w:rPr>
        <w:rFonts w:cs="Times New Roman"/>
      </w:rPr>
    </w:lvl>
    <w:lvl w:ilvl="1" w:tentative="0">
      <w:start w:val="1"/>
      <w:numFmt w:val="lowerLetter"/>
      <w:lvlText w:val="%2."/>
      <w:lvlJc w:val="left"/>
      <w:pPr>
        <w:ind w:left="1440" w:hanging="360"/>
      </w:pPr>
      <w:rPr>
        <w:rFonts w:cs="Times New Roman"/>
      </w:rPr>
    </w:lvl>
    <w:lvl w:ilvl="2" w:tentative="0">
      <w:start w:val="1"/>
      <w:numFmt w:val="lowerRoman"/>
      <w:lvlText w:val="%3."/>
      <w:lvlJc w:val="right"/>
      <w:pPr>
        <w:ind w:left="2160" w:hanging="180"/>
      </w:pPr>
      <w:rPr>
        <w:rFonts w:cs="Times New Roman"/>
      </w:rPr>
    </w:lvl>
    <w:lvl w:ilvl="3" w:tentative="0">
      <w:start w:val="1"/>
      <w:numFmt w:val="decimal"/>
      <w:lvlText w:val="%4."/>
      <w:lvlJc w:val="left"/>
      <w:pPr>
        <w:ind w:left="2880" w:hanging="360"/>
      </w:pPr>
      <w:rPr>
        <w:rFonts w:cs="Times New Roman"/>
      </w:rPr>
    </w:lvl>
    <w:lvl w:ilvl="4" w:tentative="0">
      <w:start w:val="1"/>
      <w:numFmt w:val="lowerLetter"/>
      <w:lvlText w:val="%5."/>
      <w:lvlJc w:val="left"/>
      <w:pPr>
        <w:ind w:left="3600" w:hanging="360"/>
      </w:pPr>
      <w:rPr>
        <w:rFonts w:cs="Times New Roman"/>
      </w:rPr>
    </w:lvl>
    <w:lvl w:ilvl="5" w:tentative="0">
      <w:start w:val="1"/>
      <w:numFmt w:val="lowerRoman"/>
      <w:lvlText w:val="%6."/>
      <w:lvlJc w:val="right"/>
      <w:pPr>
        <w:ind w:left="4320" w:hanging="180"/>
      </w:pPr>
      <w:rPr>
        <w:rFonts w:cs="Times New Roman"/>
      </w:rPr>
    </w:lvl>
    <w:lvl w:ilvl="6" w:tentative="0">
      <w:start w:val="1"/>
      <w:numFmt w:val="decimal"/>
      <w:lvlText w:val="%7."/>
      <w:lvlJc w:val="left"/>
      <w:pPr>
        <w:ind w:left="5040" w:hanging="360"/>
      </w:pPr>
      <w:rPr>
        <w:rFonts w:cs="Times New Roman"/>
      </w:rPr>
    </w:lvl>
    <w:lvl w:ilvl="7" w:tentative="0">
      <w:start w:val="1"/>
      <w:numFmt w:val="lowerLetter"/>
      <w:lvlText w:val="%8."/>
      <w:lvlJc w:val="left"/>
      <w:pPr>
        <w:ind w:left="5760" w:hanging="360"/>
      </w:pPr>
      <w:rPr>
        <w:rFonts w:cs="Times New Roman"/>
      </w:rPr>
    </w:lvl>
    <w:lvl w:ilvl="8" w:tentative="0">
      <w:start w:val="1"/>
      <w:numFmt w:val="lowerRoman"/>
      <w:lvlText w:val="%9."/>
      <w:lvlJc w:val="right"/>
      <w:pPr>
        <w:ind w:left="6480" w:hanging="180"/>
      </w:pPr>
      <w:rPr>
        <w:rFonts w:cs="Times New Roman"/>
      </w:rPr>
    </w:lvl>
  </w:abstractNum>
  <w:abstractNum w:abstractNumId="4">
    <w:nsid w:val="2AD15A50"/>
    <w:multiLevelType w:val="multilevel"/>
    <w:tmpl w:val="2AD15A50"/>
    <w:lvl w:ilvl="0" w:tentative="0">
      <w:start w:val="4"/>
      <w:numFmt w:val="decimal"/>
      <w:lvlText w:val="%1"/>
      <w:lvlJc w:val="left"/>
      <w:pPr>
        <w:ind w:left="480" w:hanging="480"/>
      </w:pPr>
      <w:rPr>
        <w:rFonts w:cs="Times New Roman"/>
      </w:rPr>
    </w:lvl>
    <w:lvl w:ilvl="1" w:tentative="0">
      <w:start w:val="3"/>
      <w:numFmt w:val="decimal"/>
      <w:lvlText w:val="%1.%2"/>
      <w:lvlJc w:val="left"/>
      <w:pPr>
        <w:ind w:left="911" w:hanging="480"/>
      </w:pPr>
      <w:rPr>
        <w:rFonts w:cs="Times New Roman"/>
      </w:rPr>
    </w:lvl>
    <w:lvl w:ilvl="2" w:tentative="0">
      <w:start w:val="1"/>
      <w:numFmt w:val="decimal"/>
      <w:lvlText w:val="%3)"/>
      <w:lvlJc w:val="left"/>
      <w:pPr>
        <w:ind w:left="1582" w:hanging="720"/>
      </w:pPr>
      <w:rPr>
        <w:rFonts w:cs="Times New Roman"/>
      </w:rPr>
    </w:lvl>
    <w:lvl w:ilvl="3" w:tentative="0">
      <w:start w:val="1"/>
      <w:numFmt w:val="decimal"/>
      <w:lvlText w:val="%1.%2.%3.%4"/>
      <w:lvlJc w:val="left"/>
      <w:pPr>
        <w:ind w:left="2013" w:hanging="720"/>
      </w:pPr>
      <w:rPr>
        <w:rFonts w:cs="Times New Roman"/>
      </w:rPr>
    </w:lvl>
    <w:lvl w:ilvl="4" w:tentative="0">
      <w:start w:val="1"/>
      <w:numFmt w:val="decimal"/>
      <w:lvlText w:val="%1.%2.%3.%4.%5"/>
      <w:lvlJc w:val="left"/>
      <w:pPr>
        <w:ind w:left="2804" w:hanging="1080"/>
      </w:pPr>
      <w:rPr>
        <w:rFonts w:cs="Times New Roman"/>
      </w:rPr>
    </w:lvl>
    <w:lvl w:ilvl="5" w:tentative="0">
      <w:start w:val="1"/>
      <w:numFmt w:val="decimal"/>
      <w:lvlText w:val="%1.%2.%3.%4.%5.%6"/>
      <w:lvlJc w:val="left"/>
      <w:pPr>
        <w:ind w:left="3235" w:hanging="1080"/>
      </w:pPr>
      <w:rPr>
        <w:rFonts w:cs="Times New Roman"/>
      </w:rPr>
    </w:lvl>
    <w:lvl w:ilvl="6" w:tentative="0">
      <w:start w:val="1"/>
      <w:numFmt w:val="decimal"/>
      <w:lvlText w:val="%1.%2.%3.%4.%5.%6.%7"/>
      <w:lvlJc w:val="left"/>
      <w:pPr>
        <w:ind w:left="4026" w:hanging="1440"/>
      </w:pPr>
      <w:rPr>
        <w:rFonts w:cs="Times New Roman"/>
      </w:rPr>
    </w:lvl>
    <w:lvl w:ilvl="7" w:tentative="0">
      <w:start w:val="1"/>
      <w:numFmt w:val="decimal"/>
      <w:lvlText w:val="%1.%2.%3.%4.%5.%6.%7.%8"/>
      <w:lvlJc w:val="left"/>
      <w:pPr>
        <w:ind w:left="4457" w:hanging="1440"/>
      </w:pPr>
      <w:rPr>
        <w:rFonts w:cs="Times New Roman"/>
      </w:rPr>
    </w:lvl>
    <w:lvl w:ilvl="8" w:tentative="0">
      <w:start w:val="1"/>
      <w:numFmt w:val="decimal"/>
      <w:lvlText w:val="%1.%2.%3.%4.%5.%6.%7.%8.%9"/>
      <w:lvlJc w:val="left"/>
      <w:pPr>
        <w:ind w:left="4888" w:hanging="1440"/>
      </w:pPr>
      <w:rPr>
        <w:rFonts w:cs="Times New Roman"/>
      </w:rPr>
    </w:lvl>
  </w:abstractNum>
  <w:abstractNum w:abstractNumId="5">
    <w:nsid w:val="312E6646"/>
    <w:multiLevelType w:val="multilevel"/>
    <w:tmpl w:val="312E6646"/>
    <w:lvl w:ilvl="0" w:tentative="0">
      <w:start w:val="1"/>
      <w:numFmt w:val="lowerLetter"/>
      <w:lvlText w:val="%1)"/>
      <w:lvlJc w:val="left"/>
      <w:pPr>
        <w:ind w:left="644" w:hanging="360"/>
      </w:pPr>
      <w:rPr>
        <w:rFonts w:cs="Times New Roman"/>
      </w:rPr>
    </w:lvl>
    <w:lvl w:ilvl="1" w:tentative="0">
      <w:start w:val="1"/>
      <w:numFmt w:val="lowerLetter"/>
      <w:lvlText w:val="%2."/>
      <w:lvlJc w:val="left"/>
      <w:pPr>
        <w:ind w:left="1364" w:hanging="360"/>
      </w:pPr>
      <w:rPr>
        <w:rFonts w:cs="Times New Roman"/>
      </w:rPr>
    </w:lvl>
    <w:lvl w:ilvl="2" w:tentative="0">
      <w:start w:val="1"/>
      <w:numFmt w:val="lowerRoman"/>
      <w:lvlText w:val="%3."/>
      <w:lvlJc w:val="right"/>
      <w:pPr>
        <w:ind w:left="2084" w:hanging="180"/>
      </w:pPr>
      <w:rPr>
        <w:rFonts w:cs="Times New Roman"/>
      </w:rPr>
    </w:lvl>
    <w:lvl w:ilvl="3" w:tentative="0">
      <w:start w:val="1"/>
      <w:numFmt w:val="decimal"/>
      <w:lvlText w:val="%4."/>
      <w:lvlJc w:val="left"/>
      <w:pPr>
        <w:ind w:left="2804" w:hanging="360"/>
      </w:pPr>
      <w:rPr>
        <w:rFonts w:cs="Times New Roman"/>
      </w:rPr>
    </w:lvl>
    <w:lvl w:ilvl="4" w:tentative="0">
      <w:start w:val="1"/>
      <w:numFmt w:val="lowerLetter"/>
      <w:lvlText w:val="%5."/>
      <w:lvlJc w:val="left"/>
      <w:pPr>
        <w:ind w:left="3524" w:hanging="360"/>
      </w:pPr>
      <w:rPr>
        <w:rFonts w:cs="Times New Roman"/>
      </w:rPr>
    </w:lvl>
    <w:lvl w:ilvl="5" w:tentative="0">
      <w:start w:val="1"/>
      <w:numFmt w:val="lowerRoman"/>
      <w:lvlText w:val="%6."/>
      <w:lvlJc w:val="right"/>
      <w:pPr>
        <w:ind w:left="4244" w:hanging="180"/>
      </w:pPr>
      <w:rPr>
        <w:rFonts w:cs="Times New Roman"/>
      </w:rPr>
    </w:lvl>
    <w:lvl w:ilvl="6" w:tentative="0">
      <w:start w:val="1"/>
      <w:numFmt w:val="decimal"/>
      <w:lvlText w:val="%7."/>
      <w:lvlJc w:val="left"/>
      <w:pPr>
        <w:ind w:left="4964" w:hanging="360"/>
      </w:pPr>
      <w:rPr>
        <w:rFonts w:cs="Times New Roman"/>
      </w:rPr>
    </w:lvl>
    <w:lvl w:ilvl="7" w:tentative="0">
      <w:start w:val="1"/>
      <w:numFmt w:val="lowerLetter"/>
      <w:lvlText w:val="%8."/>
      <w:lvlJc w:val="left"/>
      <w:pPr>
        <w:ind w:left="5684" w:hanging="360"/>
      </w:pPr>
      <w:rPr>
        <w:rFonts w:cs="Times New Roman"/>
      </w:rPr>
    </w:lvl>
    <w:lvl w:ilvl="8" w:tentative="0">
      <w:start w:val="1"/>
      <w:numFmt w:val="lowerRoman"/>
      <w:lvlText w:val="%9."/>
      <w:lvlJc w:val="right"/>
      <w:pPr>
        <w:ind w:left="6404" w:hanging="180"/>
      </w:pPr>
      <w:rPr>
        <w:rFonts w:cs="Times New Roman"/>
      </w:rPr>
    </w:lvl>
  </w:abstractNum>
  <w:abstractNum w:abstractNumId="6">
    <w:nsid w:val="39826D9A"/>
    <w:multiLevelType w:val="multilevel"/>
    <w:tmpl w:val="39826D9A"/>
    <w:lvl w:ilvl="0" w:tentative="0">
      <w:start w:val="1"/>
      <w:numFmt w:val="lowerLetter"/>
      <w:lvlText w:val="%1)"/>
      <w:lvlJc w:val="left"/>
      <w:pPr>
        <w:ind w:left="720" w:hanging="360"/>
      </w:pPr>
      <w:rPr>
        <w:rFonts w:cs="Times New Roman"/>
      </w:rPr>
    </w:lvl>
    <w:lvl w:ilvl="1" w:tentative="0">
      <w:start w:val="1"/>
      <w:numFmt w:val="lowerLetter"/>
      <w:lvlText w:val="%2."/>
      <w:lvlJc w:val="left"/>
      <w:pPr>
        <w:ind w:left="1440" w:hanging="360"/>
      </w:pPr>
      <w:rPr>
        <w:rFonts w:cs="Times New Roman"/>
      </w:rPr>
    </w:lvl>
    <w:lvl w:ilvl="2" w:tentative="0">
      <w:start w:val="1"/>
      <w:numFmt w:val="lowerRoman"/>
      <w:lvlText w:val="%3."/>
      <w:lvlJc w:val="right"/>
      <w:pPr>
        <w:ind w:left="2160" w:hanging="180"/>
      </w:pPr>
      <w:rPr>
        <w:rFonts w:cs="Times New Roman"/>
      </w:rPr>
    </w:lvl>
    <w:lvl w:ilvl="3" w:tentative="0">
      <w:start w:val="1"/>
      <w:numFmt w:val="decimal"/>
      <w:lvlText w:val="%4."/>
      <w:lvlJc w:val="left"/>
      <w:pPr>
        <w:ind w:left="2880" w:hanging="360"/>
      </w:pPr>
      <w:rPr>
        <w:rFonts w:cs="Times New Roman"/>
      </w:rPr>
    </w:lvl>
    <w:lvl w:ilvl="4" w:tentative="0">
      <w:start w:val="1"/>
      <w:numFmt w:val="lowerLetter"/>
      <w:lvlText w:val="%5."/>
      <w:lvlJc w:val="left"/>
      <w:pPr>
        <w:ind w:left="3600" w:hanging="360"/>
      </w:pPr>
      <w:rPr>
        <w:rFonts w:cs="Times New Roman"/>
      </w:rPr>
    </w:lvl>
    <w:lvl w:ilvl="5" w:tentative="0">
      <w:start w:val="1"/>
      <w:numFmt w:val="lowerRoman"/>
      <w:lvlText w:val="%6."/>
      <w:lvlJc w:val="right"/>
      <w:pPr>
        <w:ind w:left="4320" w:hanging="180"/>
      </w:pPr>
      <w:rPr>
        <w:rFonts w:cs="Times New Roman"/>
      </w:rPr>
    </w:lvl>
    <w:lvl w:ilvl="6" w:tentative="0">
      <w:start w:val="1"/>
      <w:numFmt w:val="decimal"/>
      <w:lvlText w:val="%7."/>
      <w:lvlJc w:val="left"/>
      <w:pPr>
        <w:ind w:left="5040" w:hanging="360"/>
      </w:pPr>
      <w:rPr>
        <w:rFonts w:cs="Times New Roman"/>
      </w:rPr>
    </w:lvl>
    <w:lvl w:ilvl="7" w:tentative="0">
      <w:start w:val="1"/>
      <w:numFmt w:val="lowerLetter"/>
      <w:lvlText w:val="%8."/>
      <w:lvlJc w:val="left"/>
      <w:pPr>
        <w:ind w:left="5760" w:hanging="360"/>
      </w:pPr>
      <w:rPr>
        <w:rFonts w:cs="Times New Roman"/>
      </w:rPr>
    </w:lvl>
    <w:lvl w:ilvl="8" w:tentative="0">
      <w:start w:val="1"/>
      <w:numFmt w:val="lowerRoman"/>
      <w:lvlText w:val="%9."/>
      <w:lvlJc w:val="right"/>
      <w:pPr>
        <w:ind w:left="6480" w:hanging="180"/>
      </w:pPr>
      <w:rPr>
        <w:rFonts w:cs="Times New Roman"/>
      </w:rPr>
    </w:lvl>
  </w:abstractNum>
  <w:abstractNum w:abstractNumId="7">
    <w:nsid w:val="4C256838"/>
    <w:multiLevelType w:val="multilevel"/>
    <w:tmpl w:val="4C256838"/>
    <w:lvl w:ilvl="0" w:tentative="0">
      <w:start w:val="1"/>
      <w:numFmt w:val="lowerLetter"/>
      <w:lvlText w:val="%1."/>
      <w:lvlJc w:val="left"/>
      <w:pPr>
        <w:ind w:left="809" w:hanging="360"/>
      </w:pPr>
      <w:rPr>
        <w:rFonts w:cs="Times New Roman"/>
      </w:rPr>
    </w:lvl>
    <w:lvl w:ilvl="1" w:tentative="0">
      <w:start w:val="1"/>
      <w:numFmt w:val="lowerLetter"/>
      <w:lvlText w:val="%2."/>
      <w:lvlJc w:val="left"/>
      <w:pPr>
        <w:ind w:left="1529" w:hanging="360"/>
      </w:pPr>
      <w:rPr>
        <w:rFonts w:cs="Times New Roman"/>
      </w:rPr>
    </w:lvl>
    <w:lvl w:ilvl="2" w:tentative="0">
      <w:start w:val="1"/>
      <w:numFmt w:val="lowerRoman"/>
      <w:lvlText w:val="%3."/>
      <w:lvlJc w:val="right"/>
      <w:pPr>
        <w:ind w:left="2249" w:hanging="180"/>
      </w:pPr>
      <w:rPr>
        <w:rFonts w:cs="Times New Roman"/>
      </w:rPr>
    </w:lvl>
    <w:lvl w:ilvl="3" w:tentative="0">
      <w:start w:val="1"/>
      <w:numFmt w:val="decimal"/>
      <w:lvlText w:val="%4."/>
      <w:lvlJc w:val="left"/>
      <w:pPr>
        <w:ind w:left="2969" w:hanging="360"/>
      </w:pPr>
      <w:rPr>
        <w:rFonts w:cs="Times New Roman"/>
      </w:rPr>
    </w:lvl>
    <w:lvl w:ilvl="4" w:tentative="0">
      <w:start w:val="1"/>
      <w:numFmt w:val="lowerLetter"/>
      <w:lvlText w:val="%5."/>
      <w:lvlJc w:val="left"/>
      <w:pPr>
        <w:ind w:left="3689" w:hanging="360"/>
      </w:pPr>
      <w:rPr>
        <w:rFonts w:cs="Times New Roman"/>
      </w:rPr>
    </w:lvl>
    <w:lvl w:ilvl="5" w:tentative="0">
      <w:start w:val="1"/>
      <w:numFmt w:val="lowerRoman"/>
      <w:lvlText w:val="%6."/>
      <w:lvlJc w:val="right"/>
      <w:pPr>
        <w:ind w:left="4409" w:hanging="180"/>
      </w:pPr>
      <w:rPr>
        <w:rFonts w:cs="Times New Roman"/>
      </w:rPr>
    </w:lvl>
    <w:lvl w:ilvl="6" w:tentative="0">
      <w:start w:val="1"/>
      <w:numFmt w:val="decimal"/>
      <w:lvlText w:val="%7."/>
      <w:lvlJc w:val="left"/>
      <w:pPr>
        <w:ind w:left="5129" w:hanging="360"/>
      </w:pPr>
      <w:rPr>
        <w:rFonts w:cs="Times New Roman"/>
      </w:rPr>
    </w:lvl>
    <w:lvl w:ilvl="7" w:tentative="0">
      <w:start w:val="1"/>
      <w:numFmt w:val="lowerLetter"/>
      <w:lvlText w:val="%8."/>
      <w:lvlJc w:val="left"/>
      <w:pPr>
        <w:ind w:left="5849" w:hanging="360"/>
      </w:pPr>
      <w:rPr>
        <w:rFonts w:cs="Times New Roman"/>
      </w:rPr>
    </w:lvl>
    <w:lvl w:ilvl="8" w:tentative="0">
      <w:start w:val="1"/>
      <w:numFmt w:val="lowerRoman"/>
      <w:lvlText w:val="%9."/>
      <w:lvlJc w:val="right"/>
      <w:pPr>
        <w:ind w:left="6569" w:hanging="180"/>
      </w:pPr>
      <w:rPr>
        <w:rFonts w:cs="Times New Roman"/>
      </w:rPr>
    </w:lvl>
  </w:abstractNum>
  <w:abstractNum w:abstractNumId="8">
    <w:nsid w:val="509707D7"/>
    <w:multiLevelType w:val="multilevel"/>
    <w:tmpl w:val="509707D7"/>
    <w:lvl w:ilvl="0" w:tentative="0">
      <w:start w:val="1"/>
      <w:numFmt w:val="decimal"/>
      <w:lvlText w:val="%1)"/>
      <w:lvlJc w:val="left"/>
      <w:pPr>
        <w:ind w:left="720" w:hanging="360"/>
      </w:pPr>
      <w:rPr>
        <w:rFonts w:cs="Times New Roman"/>
      </w:rPr>
    </w:lvl>
    <w:lvl w:ilvl="1" w:tentative="0">
      <w:start w:val="1"/>
      <w:numFmt w:val="lowerLetter"/>
      <w:lvlText w:val="%2."/>
      <w:lvlJc w:val="left"/>
      <w:pPr>
        <w:ind w:left="1440" w:hanging="360"/>
      </w:pPr>
      <w:rPr>
        <w:rFonts w:cs="Times New Roman"/>
      </w:rPr>
    </w:lvl>
    <w:lvl w:ilvl="2" w:tentative="0">
      <w:start w:val="1"/>
      <w:numFmt w:val="lowerRoman"/>
      <w:lvlText w:val="%3."/>
      <w:lvlJc w:val="right"/>
      <w:pPr>
        <w:ind w:left="2160" w:hanging="180"/>
      </w:pPr>
      <w:rPr>
        <w:rFonts w:cs="Times New Roman"/>
      </w:rPr>
    </w:lvl>
    <w:lvl w:ilvl="3" w:tentative="0">
      <w:start w:val="1"/>
      <w:numFmt w:val="decimal"/>
      <w:lvlText w:val="%4."/>
      <w:lvlJc w:val="left"/>
      <w:pPr>
        <w:ind w:left="2880" w:hanging="360"/>
      </w:pPr>
      <w:rPr>
        <w:rFonts w:cs="Times New Roman"/>
      </w:rPr>
    </w:lvl>
    <w:lvl w:ilvl="4" w:tentative="0">
      <w:start w:val="1"/>
      <w:numFmt w:val="lowerLetter"/>
      <w:lvlText w:val="%5."/>
      <w:lvlJc w:val="left"/>
      <w:pPr>
        <w:ind w:left="3600" w:hanging="360"/>
      </w:pPr>
      <w:rPr>
        <w:rFonts w:cs="Times New Roman"/>
      </w:rPr>
    </w:lvl>
    <w:lvl w:ilvl="5" w:tentative="0">
      <w:start w:val="1"/>
      <w:numFmt w:val="lowerRoman"/>
      <w:lvlText w:val="%6."/>
      <w:lvlJc w:val="right"/>
      <w:pPr>
        <w:ind w:left="4320" w:hanging="180"/>
      </w:pPr>
      <w:rPr>
        <w:rFonts w:cs="Times New Roman"/>
      </w:rPr>
    </w:lvl>
    <w:lvl w:ilvl="6" w:tentative="0">
      <w:start w:val="1"/>
      <w:numFmt w:val="decimal"/>
      <w:lvlText w:val="%7."/>
      <w:lvlJc w:val="left"/>
      <w:pPr>
        <w:ind w:left="5040" w:hanging="360"/>
      </w:pPr>
      <w:rPr>
        <w:rFonts w:cs="Times New Roman"/>
      </w:rPr>
    </w:lvl>
    <w:lvl w:ilvl="7" w:tentative="0">
      <w:start w:val="1"/>
      <w:numFmt w:val="lowerLetter"/>
      <w:lvlText w:val="%8."/>
      <w:lvlJc w:val="left"/>
      <w:pPr>
        <w:ind w:left="5760" w:hanging="360"/>
      </w:pPr>
      <w:rPr>
        <w:rFonts w:cs="Times New Roman"/>
      </w:rPr>
    </w:lvl>
    <w:lvl w:ilvl="8" w:tentative="0">
      <w:start w:val="1"/>
      <w:numFmt w:val="lowerRoman"/>
      <w:lvlText w:val="%9."/>
      <w:lvlJc w:val="right"/>
      <w:pPr>
        <w:ind w:left="6480" w:hanging="180"/>
      </w:pPr>
      <w:rPr>
        <w:rFonts w:cs="Times New Roman"/>
      </w:rPr>
    </w:lvl>
  </w:abstractNum>
  <w:abstractNum w:abstractNumId="9">
    <w:nsid w:val="56E72E1D"/>
    <w:multiLevelType w:val="multilevel"/>
    <w:tmpl w:val="56E72E1D"/>
    <w:lvl w:ilvl="0" w:tentative="0">
      <w:start w:val="1"/>
      <w:numFmt w:val="lowerLetter"/>
      <w:lvlText w:val="%1."/>
      <w:lvlJc w:val="left"/>
      <w:pPr>
        <w:ind w:left="1004" w:hanging="360"/>
      </w:pPr>
      <w:rPr>
        <w:rFonts w:cs="Times New Roman"/>
      </w:rPr>
    </w:lvl>
    <w:lvl w:ilvl="1" w:tentative="0">
      <w:start w:val="1"/>
      <w:numFmt w:val="lowerLetter"/>
      <w:lvlText w:val="%2."/>
      <w:lvlJc w:val="left"/>
      <w:pPr>
        <w:ind w:left="1724" w:hanging="360"/>
      </w:pPr>
      <w:rPr>
        <w:rFonts w:cs="Times New Roman"/>
      </w:rPr>
    </w:lvl>
    <w:lvl w:ilvl="2" w:tentative="0">
      <w:start w:val="1"/>
      <w:numFmt w:val="lowerRoman"/>
      <w:lvlText w:val="%3."/>
      <w:lvlJc w:val="right"/>
      <w:pPr>
        <w:ind w:left="2444" w:hanging="180"/>
      </w:pPr>
      <w:rPr>
        <w:rFonts w:cs="Times New Roman"/>
      </w:rPr>
    </w:lvl>
    <w:lvl w:ilvl="3" w:tentative="0">
      <w:start w:val="1"/>
      <w:numFmt w:val="decimal"/>
      <w:lvlText w:val="%4."/>
      <w:lvlJc w:val="left"/>
      <w:pPr>
        <w:ind w:left="3164" w:hanging="360"/>
      </w:pPr>
      <w:rPr>
        <w:rFonts w:cs="Times New Roman"/>
      </w:rPr>
    </w:lvl>
    <w:lvl w:ilvl="4" w:tentative="0">
      <w:start w:val="1"/>
      <w:numFmt w:val="lowerLetter"/>
      <w:lvlText w:val="%5."/>
      <w:lvlJc w:val="left"/>
      <w:pPr>
        <w:ind w:left="3884" w:hanging="360"/>
      </w:pPr>
      <w:rPr>
        <w:rFonts w:cs="Times New Roman"/>
      </w:rPr>
    </w:lvl>
    <w:lvl w:ilvl="5" w:tentative="0">
      <w:start w:val="1"/>
      <w:numFmt w:val="lowerRoman"/>
      <w:lvlText w:val="%6."/>
      <w:lvlJc w:val="right"/>
      <w:pPr>
        <w:ind w:left="4604" w:hanging="180"/>
      </w:pPr>
      <w:rPr>
        <w:rFonts w:cs="Times New Roman"/>
      </w:rPr>
    </w:lvl>
    <w:lvl w:ilvl="6" w:tentative="0">
      <w:start w:val="1"/>
      <w:numFmt w:val="decimal"/>
      <w:lvlText w:val="%7."/>
      <w:lvlJc w:val="left"/>
      <w:pPr>
        <w:ind w:left="5324" w:hanging="360"/>
      </w:pPr>
      <w:rPr>
        <w:rFonts w:cs="Times New Roman"/>
      </w:rPr>
    </w:lvl>
    <w:lvl w:ilvl="7" w:tentative="0">
      <w:start w:val="1"/>
      <w:numFmt w:val="lowerLetter"/>
      <w:lvlText w:val="%8."/>
      <w:lvlJc w:val="left"/>
      <w:pPr>
        <w:ind w:left="6044" w:hanging="360"/>
      </w:pPr>
      <w:rPr>
        <w:rFonts w:cs="Times New Roman"/>
      </w:rPr>
    </w:lvl>
    <w:lvl w:ilvl="8" w:tentative="0">
      <w:start w:val="1"/>
      <w:numFmt w:val="lowerRoman"/>
      <w:lvlText w:val="%9."/>
      <w:lvlJc w:val="right"/>
      <w:pPr>
        <w:ind w:left="6764" w:hanging="180"/>
      </w:pPr>
      <w:rPr>
        <w:rFonts w:cs="Times New Roman"/>
      </w:rPr>
    </w:lvl>
  </w:abstractNum>
  <w:abstractNum w:abstractNumId="10">
    <w:nsid w:val="629B1EDB"/>
    <w:multiLevelType w:val="multilevel"/>
    <w:tmpl w:val="629B1EDB"/>
    <w:lvl w:ilvl="0" w:tentative="0">
      <w:start w:val="1"/>
      <w:numFmt w:val="lowerLetter"/>
      <w:lvlText w:val="%1."/>
      <w:lvlJc w:val="left"/>
      <w:pPr>
        <w:ind w:left="809" w:hanging="360"/>
      </w:pPr>
      <w:rPr>
        <w:rFonts w:cs="Times New Roman"/>
      </w:rPr>
    </w:lvl>
    <w:lvl w:ilvl="1" w:tentative="0">
      <w:start w:val="1"/>
      <w:numFmt w:val="lowerLetter"/>
      <w:lvlText w:val="%2."/>
      <w:lvlJc w:val="left"/>
      <w:pPr>
        <w:ind w:left="1529" w:hanging="360"/>
      </w:pPr>
      <w:rPr>
        <w:rFonts w:cs="Times New Roman"/>
      </w:rPr>
    </w:lvl>
    <w:lvl w:ilvl="2" w:tentative="0">
      <w:start w:val="1"/>
      <w:numFmt w:val="lowerRoman"/>
      <w:lvlText w:val="%3."/>
      <w:lvlJc w:val="right"/>
      <w:pPr>
        <w:ind w:left="2249" w:hanging="180"/>
      </w:pPr>
      <w:rPr>
        <w:rFonts w:cs="Times New Roman"/>
      </w:rPr>
    </w:lvl>
    <w:lvl w:ilvl="3" w:tentative="0">
      <w:start w:val="1"/>
      <w:numFmt w:val="decimal"/>
      <w:lvlText w:val="%4."/>
      <w:lvlJc w:val="left"/>
      <w:pPr>
        <w:ind w:left="2969" w:hanging="360"/>
      </w:pPr>
      <w:rPr>
        <w:rFonts w:cs="Times New Roman"/>
      </w:rPr>
    </w:lvl>
    <w:lvl w:ilvl="4" w:tentative="0">
      <w:start w:val="1"/>
      <w:numFmt w:val="lowerLetter"/>
      <w:lvlText w:val="%5."/>
      <w:lvlJc w:val="left"/>
      <w:pPr>
        <w:ind w:left="3689" w:hanging="360"/>
      </w:pPr>
      <w:rPr>
        <w:rFonts w:cs="Times New Roman"/>
      </w:rPr>
    </w:lvl>
    <w:lvl w:ilvl="5" w:tentative="0">
      <w:start w:val="1"/>
      <w:numFmt w:val="lowerRoman"/>
      <w:lvlText w:val="%6."/>
      <w:lvlJc w:val="right"/>
      <w:pPr>
        <w:ind w:left="4409" w:hanging="180"/>
      </w:pPr>
      <w:rPr>
        <w:rFonts w:cs="Times New Roman"/>
      </w:rPr>
    </w:lvl>
    <w:lvl w:ilvl="6" w:tentative="0">
      <w:start w:val="1"/>
      <w:numFmt w:val="decimal"/>
      <w:lvlText w:val="%7."/>
      <w:lvlJc w:val="left"/>
      <w:pPr>
        <w:ind w:left="5129" w:hanging="360"/>
      </w:pPr>
      <w:rPr>
        <w:rFonts w:cs="Times New Roman"/>
      </w:rPr>
    </w:lvl>
    <w:lvl w:ilvl="7" w:tentative="0">
      <w:start w:val="1"/>
      <w:numFmt w:val="lowerLetter"/>
      <w:lvlText w:val="%8."/>
      <w:lvlJc w:val="left"/>
      <w:pPr>
        <w:ind w:left="5849" w:hanging="360"/>
      </w:pPr>
      <w:rPr>
        <w:rFonts w:cs="Times New Roman"/>
      </w:rPr>
    </w:lvl>
    <w:lvl w:ilvl="8" w:tentative="0">
      <w:start w:val="1"/>
      <w:numFmt w:val="lowerRoman"/>
      <w:lvlText w:val="%9."/>
      <w:lvlJc w:val="right"/>
      <w:pPr>
        <w:ind w:left="6569" w:hanging="180"/>
      </w:pPr>
      <w:rPr>
        <w:rFonts w:cs="Times New Roman"/>
      </w:rPr>
    </w:lvl>
  </w:abstractNum>
  <w:abstractNum w:abstractNumId="11">
    <w:nsid w:val="7C7E3CEA"/>
    <w:multiLevelType w:val="multilevel"/>
    <w:tmpl w:val="7C7E3CEA"/>
    <w:lvl w:ilvl="0" w:tentative="0">
      <w:start w:val="1"/>
      <w:numFmt w:val="decimal"/>
      <w:lvlText w:val="%1."/>
      <w:lvlJc w:val="left"/>
      <w:pPr>
        <w:ind w:left="567" w:hanging="358"/>
      </w:pPr>
      <w:rPr>
        <w:rFonts w:cs="Times New Roman"/>
        <w:b/>
      </w:rPr>
    </w:lvl>
    <w:lvl w:ilvl="1" w:tentative="0">
      <w:start w:val="1"/>
      <w:numFmt w:val="lowerLetter"/>
      <w:lvlText w:val="%2."/>
      <w:lvlJc w:val="left"/>
      <w:pPr>
        <w:ind w:left="863" w:hanging="706"/>
      </w:pPr>
      <w:rPr>
        <w:rFonts w:cs="Times New Roman"/>
        <w:b/>
        <w:sz w:val="22"/>
        <w:szCs w:val="22"/>
      </w:rPr>
    </w:lvl>
    <w:lvl w:ilvl="2" w:tentative="0">
      <w:start w:val="1"/>
      <w:numFmt w:val="decimal"/>
      <w:lvlText w:val="%3)"/>
      <w:lvlJc w:val="left"/>
      <w:pPr>
        <w:ind w:left="1429" w:hanging="360"/>
      </w:pPr>
      <w:rPr>
        <w:rFonts w:ascii="Times New Roman" w:hAnsi="Times New Roman" w:eastAsia="Times New Roman" w:cs="Times New Roman"/>
        <w:i/>
        <w:sz w:val="22"/>
        <w:szCs w:val="22"/>
      </w:rPr>
    </w:lvl>
    <w:lvl w:ilvl="3" w:tentative="0">
      <w:start w:val="1"/>
      <w:numFmt w:val="lowerLetter"/>
      <w:lvlText w:val="%4."/>
      <w:lvlJc w:val="left"/>
      <w:pPr>
        <w:ind w:left="1844" w:hanging="360"/>
      </w:pPr>
      <w:rPr>
        <w:rFonts w:ascii="Times New Roman" w:hAnsi="Times New Roman" w:eastAsia="Times New Roman" w:cs="Times New Roman"/>
        <w:i/>
        <w:sz w:val="22"/>
        <w:szCs w:val="22"/>
      </w:rPr>
    </w:lvl>
    <w:lvl w:ilvl="4" w:tentative="0">
      <w:start w:val="0"/>
      <w:numFmt w:val="bullet"/>
      <w:lvlText w:val="•"/>
      <w:lvlJc w:val="left"/>
      <w:pPr>
        <w:ind w:left="2831" w:hanging="360"/>
      </w:pPr>
    </w:lvl>
    <w:lvl w:ilvl="5" w:tentative="0">
      <w:start w:val="0"/>
      <w:numFmt w:val="bullet"/>
      <w:lvlText w:val="•"/>
      <w:lvlJc w:val="left"/>
      <w:pPr>
        <w:ind w:left="3823" w:hanging="360"/>
      </w:pPr>
    </w:lvl>
    <w:lvl w:ilvl="6" w:tentative="0">
      <w:start w:val="0"/>
      <w:numFmt w:val="bullet"/>
      <w:lvlText w:val="•"/>
      <w:lvlJc w:val="left"/>
      <w:pPr>
        <w:ind w:left="4814" w:hanging="360"/>
      </w:pPr>
    </w:lvl>
    <w:lvl w:ilvl="7" w:tentative="0">
      <w:start w:val="0"/>
      <w:numFmt w:val="bullet"/>
      <w:lvlText w:val="•"/>
      <w:lvlJc w:val="left"/>
      <w:pPr>
        <w:ind w:left="5806" w:hanging="360"/>
      </w:pPr>
    </w:lvl>
    <w:lvl w:ilvl="8" w:tentative="0">
      <w:start w:val="0"/>
      <w:numFmt w:val="bullet"/>
      <w:lvlText w:val="•"/>
      <w:lvlJc w:val="left"/>
      <w:pPr>
        <w:ind w:left="6798" w:hanging="360"/>
      </w:pPr>
    </w:lvl>
  </w:abstractNum>
  <w:abstractNum w:abstractNumId="12">
    <w:nsid w:val="7CC85296"/>
    <w:multiLevelType w:val="multilevel"/>
    <w:tmpl w:val="7CC85296"/>
    <w:lvl w:ilvl="0" w:tentative="0">
      <w:start w:val="1"/>
      <w:numFmt w:val="upperRoman"/>
      <w:lvlText w:val="%1."/>
      <w:lvlJc w:val="right"/>
      <w:pPr>
        <w:ind w:left="360" w:hanging="360"/>
      </w:pPr>
      <w:rPr>
        <w:rFonts w:cs="Times New Roman"/>
      </w:rPr>
    </w:lvl>
    <w:lvl w:ilvl="1" w:tentative="0">
      <w:start w:val="1"/>
      <w:numFmt w:val="lowerLetter"/>
      <w:lvlText w:val="%2."/>
      <w:lvlJc w:val="left"/>
      <w:pPr>
        <w:ind w:left="2149" w:hanging="360"/>
      </w:pPr>
      <w:rPr>
        <w:rFonts w:cs="Times New Roman"/>
      </w:rPr>
    </w:lvl>
    <w:lvl w:ilvl="2" w:tentative="0">
      <w:start w:val="1"/>
      <w:numFmt w:val="lowerRoman"/>
      <w:lvlText w:val="%3."/>
      <w:lvlJc w:val="right"/>
      <w:pPr>
        <w:ind w:left="2869" w:hanging="180"/>
      </w:pPr>
      <w:rPr>
        <w:rFonts w:cs="Times New Roman"/>
      </w:rPr>
    </w:lvl>
    <w:lvl w:ilvl="3" w:tentative="0">
      <w:start w:val="1"/>
      <w:numFmt w:val="decimal"/>
      <w:lvlText w:val="%4."/>
      <w:lvlJc w:val="left"/>
      <w:pPr>
        <w:ind w:left="3589" w:hanging="360"/>
      </w:pPr>
      <w:rPr>
        <w:rFonts w:cs="Times New Roman"/>
      </w:rPr>
    </w:lvl>
    <w:lvl w:ilvl="4" w:tentative="0">
      <w:start w:val="1"/>
      <w:numFmt w:val="lowerLetter"/>
      <w:lvlText w:val="%5."/>
      <w:lvlJc w:val="left"/>
      <w:pPr>
        <w:ind w:left="4309" w:hanging="360"/>
      </w:pPr>
      <w:rPr>
        <w:rFonts w:cs="Times New Roman"/>
      </w:rPr>
    </w:lvl>
    <w:lvl w:ilvl="5" w:tentative="0">
      <w:start w:val="1"/>
      <w:numFmt w:val="lowerRoman"/>
      <w:lvlText w:val="%6."/>
      <w:lvlJc w:val="right"/>
      <w:pPr>
        <w:ind w:left="5029" w:hanging="180"/>
      </w:pPr>
      <w:rPr>
        <w:rFonts w:cs="Times New Roman"/>
      </w:rPr>
    </w:lvl>
    <w:lvl w:ilvl="6" w:tentative="0">
      <w:start w:val="1"/>
      <w:numFmt w:val="decimal"/>
      <w:lvlText w:val="%7."/>
      <w:lvlJc w:val="left"/>
      <w:pPr>
        <w:ind w:left="5749" w:hanging="360"/>
      </w:pPr>
      <w:rPr>
        <w:rFonts w:cs="Times New Roman"/>
      </w:rPr>
    </w:lvl>
    <w:lvl w:ilvl="7" w:tentative="0">
      <w:start w:val="1"/>
      <w:numFmt w:val="lowerLetter"/>
      <w:lvlText w:val="%8."/>
      <w:lvlJc w:val="left"/>
      <w:pPr>
        <w:ind w:left="6469" w:hanging="360"/>
      </w:pPr>
      <w:rPr>
        <w:rFonts w:cs="Times New Roman"/>
      </w:rPr>
    </w:lvl>
    <w:lvl w:ilvl="8" w:tentative="0">
      <w:start w:val="1"/>
      <w:numFmt w:val="lowerRoman"/>
      <w:lvlText w:val="%9."/>
      <w:lvlJc w:val="right"/>
      <w:pPr>
        <w:ind w:left="7189" w:hanging="180"/>
      </w:pPr>
      <w:rPr>
        <w:rFonts w:cs="Times New Roman"/>
      </w:rPr>
    </w:lvl>
  </w:abstractNum>
  <w:abstractNum w:abstractNumId="13">
    <w:nsid w:val="7E7228F9"/>
    <w:multiLevelType w:val="multilevel"/>
    <w:tmpl w:val="7E7228F9"/>
    <w:lvl w:ilvl="0" w:tentative="0">
      <w:start w:val="1"/>
      <w:numFmt w:val="lowerLetter"/>
      <w:lvlText w:val="%1."/>
      <w:lvlJc w:val="left"/>
      <w:pPr>
        <w:ind w:left="1004" w:hanging="360"/>
      </w:pPr>
      <w:rPr>
        <w:rFonts w:cs="Times New Roman"/>
      </w:rPr>
    </w:lvl>
    <w:lvl w:ilvl="1" w:tentative="0">
      <w:start w:val="1"/>
      <w:numFmt w:val="lowerLetter"/>
      <w:lvlText w:val="%2."/>
      <w:lvlJc w:val="left"/>
      <w:pPr>
        <w:ind w:left="1724" w:hanging="360"/>
      </w:pPr>
      <w:rPr>
        <w:rFonts w:cs="Times New Roman"/>
      </w:rPr>
    </w:lvl>
    <w:lvl w:ilvl="2" w:tentative="0">
      <w:start w:val="1"/>
      <w:numFmt w:val="lowerRoman"/>
      <w:lvlText w:val="%3."/>
      <w:lvlJc w:val="right"/>
      <w:pPr>
        <w:ind w:left="2444" w:hanging="180"/>
      </w:pPr>
      <w:rPr>
        <w:rFonts w:cs="Times New Roman"/>
      </w:rPr>
    </w:lvl>
    <w:lvl w:ilvl="3" w:tentative="0">
      <w:start w:val="1"/>
      <w:numFmt w:val="decimal"/>
      <w:lvlText w:val="%4."/>
      <w:lvlJc w:val="left"/>
      <w:pPr>
        <w:ind w:left="3164" w:hanging="360"/>
      </w:pPr>
      <w:rPr>
        <w:rFonts w:cs="Times New Roman"/>
      </w:rPr>
    </w:lvl>
    <w:lvl w:ilvl="4" w:tentative="0">
      <w:start w:val="1"/>
      <w:numFmt w:val="lowerLetter"/>
      <w:lvlText w:val="%5."/>
      <w:lvlJc w:val="left"/>
      <w:pPr>
        <w:ind w:left="3884" w:hanging="360"/>
      </w:pPr>
      <w:rPr>
        <w:rFonts w:cs="Times New Roman"/>
      </w:rPr>
    </w:lvl>
    <w:lvl w:ilvl="5" w:tentative="0">
      <w:start w:val="1"/>
      <w:numFmt w:val="lowerRoman"/>
      <w:lvlText w:val="%6."/>
      <w:lvlJc w:val="right"/>
      <w:pPr>
        <w:ind w:left="4604" w:hanging="180"/>
      </w:pPr>
      <w:rPr>
        <w:rFonts w:cs="Times New Roman"/>
      </w:rPr>
    </w:lvl>
    <w:lvl w:ilvl="6" w:tentative="0">
      <w:start w:val="1"/>
      <w:numFmt w:val="decimal"/>
      <w:lvlText w:val="%7."/>
      <w:lvlJc w:val="left"/>
      <w:pPr>
        <w:ind w:left="5324" w:hanging="360"/>
      </w:pPr>
      <w:rPr>
        <w:rFonts w:cs="Times New Roman"/>
      </w:rPr>
    </w:lvl>
    <w:lvl w:ilvl="7" w:tentative="0">
      <w:start w:val="1"/>
      <w:numFmt w:val="lowerLetter"/>
      <w:lvlText w:val="%8."/>
      <w:lvlJc w:val="left"/>
      <w:pPr>
        <w:ind w:left="6044" w:hanging="360"/>
      </w:pPr>
      <w:rPr>
        <w:rFonts w:cs="Times New Roman"/>
      </w:rPr>
    </w:lvl>
    <w:lvl w:ilvl="8" w:tentative="0">
      <w:start w:val="1"/>
      <w:numFmt w:val="lowerRoman"/>
      <w:lvlText w:val="%9."/>
      <w:lvlJc w:val="right"/>
      <w:pPr>
        <w:ind w:left="6764" w:hanging="180"/>
      </w:pPr>
      <w:rPr>
        <w:rFonts w:cs="Times New Roman"/>
      </w:rPr>
    </w:lvl>
  </w:abstractNum>
  <w:num w:numId="1">
    <w:abstractNumId w:val="12"/>
  </w:num>
  <w:num w:numId="2">
    <w:abstractNumId w:val="2"/>
  </w:num>
  <w:num w:numId="3">
    <w:abstractNumId w:val="10"/>
  </w:num>
  <w:num w:numId="4">
    <w:abstractNumId w:val="7"/>
  </w:num>
  <w:num w:numId="5">
    <w:abstractNumId w:val="9"/>
  </w:num>
  <w:num w:numId="6">
    <w:abstractNumId w:val="13"/>
  </w:num>
  <w:num w:numId="7">
    <w:abstractNumId w:val="11"/>
  </w:num>
  <w:num w:numId="8">
    <w:abstractNumId w:val="4"/>
  </w:num>
  <w:num w:numId="9">
    <w:abstractNumId w:val="3"/>
  </w:num>
  <w:num w:numId="10">
    <w:abstractNumId w:val="5"/>
  </w:num>
  <w:num w:numId="11">
    <w:abstractNumId w:val="6"/>
  </w:num>
  <w:num w:numId="12">
    <w:abstractNumId w:val="8"/>
  </w:num>
  <w:num w:numId="13">
    <w:abstractNumId w:val="1"/>
  </w:num>
  <w:num w:numId="14">
    <w:abstractNumId w:val="0"/>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U">
    <w15:presenceInfo w15:providerId="None" w15:userId="U"/>
  </w15:person>
  <w15:person w15:author="asus.RBN0CV07Z617466@outlook.com">
    <w15:presenceInfo w15:providerId="Windows Live" w15:userId="e897b48ec79fb69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documentProtection w:enforcement="0"/>
  <w:defaultTabStop w:val="720"/>
  <w:doNotHyphenateCaps/>
  <w:evenAndOddHeaders w:val="1"/>
  <w:drawingGridHorizontalSpacing w:val="100"/>
  <w:displayHorizontalDrawingGridEvery w:val="2"/>
  <w:characterSpacingControl w:val="doNotCompress"/>
  <w:noLineBreaksAfter w:lang="zh-CN" w:val="([{·‘“〈《「『【〔〖（．［｛￡￥"/>
  <w:noLineBreaksBefore w:lang="zh-CN" w:val="!),.:;?]}¨·ˇˉ―‖’”…∶、。〃々〉》」』】〕〗！＂＇），．：；？］｀｜｝～￠"/>
  <w:doNotValidateAgainstSchema/>
  <w:doNotDemarcateInvalidXml/>
  <w:footnotePr>
    <w:footnote w:id="0"/>
    <w:footnote w:id="1"/>
  </w:footnotePr>
  <w:endnotePr>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B4C71"/>
    <w:rsid w:val="000340CE"/>
    <w:rsid w:val="00044162"/>
    <w:rsid w:val="0004478E"/>
    <w:rsid w:val="000501E7"/>
    <w:rsid w:val="000770EB"/>
    <w:rsid w:val="00083507"/>
    <w:rsid w:val="00097854"/>
    <w:rsid w:val="000D669C"/>
    <w:rsid w:val="000F152D"/>
    <w:rsid w:val="001174D2"/>
    <w:rsid w:val="001A442D"/>
    <w:rsid w:val="001A717F"/>
    <w:rsid w:val="001F4A20"/>
    <w:rsid w:val="00231E96"/>
    <w:rsid w:val="00252506"/>
    <w:rsid w:val="00297B64"/>
    <w:rsid w:val="002C7D31"/>
    <w:rsid w:val="0032115C"/>
    <w:rsid w:val="003B4C71"/>
    <w:rsid w:val="00441389"/>
    <w:rsid w:val="00461C1B"/>
    <w:rsid w:val="004B3565"/>
    <w:rsid w:val="004B3E97"/>
    <w:rsid w:val="00515CE9"/>
    <w:rsid w:val="0053115E"/>
    <w:rsid w:val="005362B9"/>
    <w:rsid w:val="005C390C"/>
    <w:rsid w:val="005E0F5E"/>
    <w:rsid w:val="005F7D97"/>
    <w:rsid w:val="00603F7B"/>
    <w:rsid w:val="00697EE9"/>
    <w:rsid w:val="006E0B90"/>
    <w:rsid w:val="007258DB"/>
    <w:rsid w:val="0076673A"/>
    <w:rsid w:val="00781506"/>
    <w:rsid w:val="007A500C"/>
    <w:rsid w:val="008410F3"/>
    <w:rsid w:val="009B28BC"/>
    <w:rsid w:val="009B6CE2"/>
    <w:rsid w:val="00AA7EDC"/>
    <w:rsid w:val="00AB4570"/>
    <w:rsid w:val="00AC3482"/>
    <w:rsid w:val="00AD5EA3"/>
    <w:rsid w:val="00AF2569"/>
    <w:rsid w:val="00B43465"/>
    <w:rsid w:val="00B54923"/>
    <w:rsid w:val="00BB6121"/>
    <w:rsid w:val="00C326DD"/>
    <w:rsid w:val="00C34560"/>
    <w:rsid w:val="00C86322"/>
    <w:rsid w:val="00C926D5"/>
    <w:rsid w:val="00D05C36"/>
    <w:rsid w:val="00D503A3"/>
    <w:rsid w:val="00D6014A"/>
    <w:rsid w:val="00D84D00"/>
    <w:rsid w:val="00DF3EC2"/>
    <w:rsid w:val="00E02765"/>
    <w:rsid w:val="00E11D75"/>
    <w:rsid w:val="00E1208F"/>
    <w:rsid w:val="00E163D6"/>
    <w:rsid w:val="00E63019"/>
    <w:rsid w:val="00F05A0C"/>
    <w:rsid w:val="00F7160D"/>
    <w:rsid w:val="00F72145"/>
    <w:rsid w:val="00F77481"/>
    <w:rsid w:val="00F97140"/>
    <w:rsid w:val="00FE3D58"/>
    <w:rsid w:val="1D173E37"/>
  </w:rsids>
  <m:mathPr>
    <m:mathFont m:val="Cambria Math"/>
    <m:brkBin m:val="before"/>
    <m:brkBinSub m:val="--"/>
    <m:smallFrac m:val="0"/>
    <m:dispDef/>
    <m:lMargin m:val="0"/>
    <m:rMargin m:val="0"/>
    <m:defJc m:val="centerGroup"/>
    <m:wrapIndent m:val="1440"/>
    <m:intLim m:val="subSup"/>
    <m:naryLim m:val="undOvr"/>
  </m:mathPr>
  <w:doNotAutoCompressPictures/>
  <w:themeFontLang w:val="zh-CN" w:eastAsia="zh-CN" w:bidi="ar-SA"/>
  <w:clrSchemeMapping w:bg1="light1" w:t1="dark1" w:bg2="light2" w:t2="dark2" w:accent1="accent1" w:accent2="accent2" w:accent3="accent3" w:accent4="accent4" w:accent5="accent5" w:accent6="accent6" w:hyperlink="hyperlink" w:followedHyperlink="followedHyperlink"/>
  <w:doNotIncludeSubdocsInStats/>
  <w14:defaultImageDpi w14:val="0"/>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SimSun"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nhideWhenUsed="0" w:uiPriority="9" w:semiHidden="0" w:name="heading 3"/>
    <w:lsdException w:qFormat="1" w:unhideWhenUsed="0" w:uiPriority="99" w:semiHidden="0" w:name="heading 4"/>
    <w:lsdException w:qFormat="1" w:uiPriority="9" w:name="heading 5"/>
    <w:lsdException w:qFormat="1" w:uiPriority="9" w:name="heading 6"/>
    <w:lsdException w:qFormat="1" w:unhideWhenUsed="0" w:uiPriority="99" w:semiHidden="0" w:name="heading 7"/>
    <w:lsdException w:qFormat="1" w:uiPriority="9" w:name="heading 8"/>
    <w:lsdException w:qFormat="1" w:uiPriority="9" w:name="heading 9"/>
    <w:lsdException w:unhideWhenUsed="0" w:uiPriority="99" w:semiHidden="0" w:name="index 1"/>
    <w:lsdException w:unhideWhenUsed="0" w:uiPriority="99" w:semiHidden="0" w:name="index 2"/>
    <w:lsdException w:unhideWhenUsed="0" w:uiPriority="99" w:semiHidden="0" w:name="index 3"/>
    <w:lsdException w:unhideWhenUsed="0" w:uiPriority="99" w:semiHidden="0" w:name="index 4"/>
    <w:lsdException w:unhideWhenUsed="0" w:uiPriority="99" w:semiHidden="0" w:name="index 5"/>
    <w:lsdException w:unhideWhenUsed="0" w:uiPriority="99" w:semiHidden="0" w:name="index 6"/>
    <w:lsdException w:unhideWhenUsed="0" w:uiPriority="99" w:semiHidden="0" w:name="index 7"/>
    <w:lsdException w:unhideWhenUsed="0" w:uiPriority="99" w:semiHidden="0" w:name="index 8"/>
    <w:lsdException w:unhideWhenUsed="0" w:uiPriority="99" w:semiHidden="0" w:name="index 9"/>
    <w:lsdException w:qFormat="1" w:uiPriority="39" w:name="toc 1"/>
    <w:lsdException w:qFormat="1" w:uiPriority="39" w:name="toc 2"/>
    <w:lsdException w:qFormat="1" w:uiPriority="39" w:name="toc 3"/>
    <w:lsdException w:qFormat="1" w:uiPriority="39" w:name="toc 4"/>
    <w:lsdException w:qFormat="1" w:uiPriority="39" w:name="toc 5"/>
    <w:lsdException w:qFormat="1" w:uiPriority="39" w:name="toc 6"/>
    <w:lsdException w:qFormat="1" w:uiPriority="39" w:name="toc 7"/>
    <w:lsdException w:qFormat="1" w:uiPriority="39" w:name="toc 8"/>
    <w:lsdException w:qFormat="1" w:uiPriority="39" w:name="toc 9"/>
    <w:lsdException w:unhideWhenUsed="0" w:uiPriority="99" w:semiHidden="0" w:name="Normal Indent"/>
    <w:lsdException w:qFormat="1" w:uiPriority="99" w:semiHidden="0" w:name="footnote text"/>
    <w:lsdException w:unhideWhenUsed="0" w:uiPriority="99" w:semiHidden="0" w:name="annotation text"/>
    <w:lsdException w:uiPriority="99" w:semiHidden="0" w:name="header"/>
    <w:lsdException w:uiPriority="99" w:semiHidden="0" w:name="footer"/>
    <w:lsdException w:unhideWhenUsed="0" w:uiPriority="99" w:semiHidden="0" w:name="index heading"/>
    <w:lsdException w:qFormat="1" w:uiPriority="35" w:name="caption"/>
    <w:lsdException w:unhideWhenUsed="0" w:uiPriority="99" w:semiHidden="0" w:name="table of figures"/>
    <w:lsdException w:unhideWhenUsed="0" w:uiPriority="99" w:semiHidden="0" w:name="envelope address"/>
    <w:lsdException w:unhideWhenUsed="0" w:uiPriority="99" w:semiHidden="0" w:name="envelope return"/>
    <w:lsdException w:qFormat="1" w:uiPriority="99" w:semiHidden="0" w:name="footnote reference"/>
    <w:lsdException w:unhideWhenUsed="0" w:uiPriority="99" w:semiHidden="0" w:name="annotation reference"/>
    <w:lsdException w:unhideWhenUsed="0" w:uiPriority="99" w:semiHidden="0" w:name="line number"/>
    <w:lsdException w:uiPriority="99" w:semiHidden="0" w:name="page number"/>
    <w:lsdException w:unhideWhenUsed="0" w:uiPriority="99" w:semiHidden="0" w:name="endnote reference"/>
    <w:lsdException w:qFormat="1" w:uiPriority="99" w:name="endnote text"/>
    <w:lsdException w:unhideWhenUsed="0" w:uiPriority="99" w:semiHidden="0" w:name="table of authorities"/>
    <w:lsdException w:unhideWhenUsed="0" w:uiPriority="99" w:semiHidden="0" w:name="macro"/>
    <w:lsdException w:qFormat="1" w:uiPriority="99" w:name="toa heading"/>
    <w:lsdException w:qFormat="1" w:uiPriority="99" w:name="List"/>
    <w:lsdException w:unhideWhenUsed="0" w:uiPriority="99" w:semiHidden="0" w:name="List Bullet"/>
    <w:lsdException w:unhideWhenUsed="0" w:uiPriority="99" w:semiHidden="0" w:name="List Number"/>
    <w:lsdException w:unhideWhenUsed="0" w:uiPriority="99" w:semiHidden="0" w:name="List 2"/>
    <w:lsdException w:unhideWhenUsed="0" w:uiPriority="99" w:semiHidden="0" w:name="List 3"/>
    <w:lsdException w:unhideWhenUsed="0" w:uiPriority="99" w:semiHidden="0" w:name="List 4"/>
    <w:lsdException w:unhideWhenUsed="0" w:uiPriority="99" w:semiHidden="0" w:name="List 5"/>
    <w:lsdException w:unhideWhenUsed="0" w:uiPriority="99" w:semiHidden="0" w:name="List Bullet 2"/>
    <w:lsdException w:unhideWhenUsed="0" w:uiPriority="99" w:semiHidden="0" w:name="List Bullet 3"/>
    <w:lsdException w:unhideWhenUsed="0" w:uiPriority="99" w:semiHidden="0" w:name="List Bullet 4"/>
    <w:lsdException w:unhideWhenUsed="0" w:uiPriority="99" w:semiHidden="0" w:name="List Bullet 5"/>
    <w:lsdException w:unhideWhenUsed="0" w:uiPriority="99" w:semiHidden="0" w:name="List Number 2"/>
    <w:lsdException w:unhideWhenUsed="0" w:uiPriority="99" w:semiHidden="0" w:name="List Number 3"/>
    <w:lsdException w:unhideWhenUsed="0" w:uiPriority="99" w:semiHidden="0" w:name="List Number 4"/>
    <w:lsdException w:unhideWhenUsed="0" w:uiPriority="99" w:semiHidden="0" w:name="List Number 5"/>
    <w:lsdException w:qFormat="1" w:unhideWhenUsed="0" w:uiPriority="10" w:semiHidden="0" w:name="Title"/>
    <w:lsdException w:unhideWhenUsed="0" w:uiPriority="99" w:semiHidden="0" w:name="Closing"/>
    <w:lsdException w:unhideWhenUsed="0" w:uiPriority="99" w:semiHidden="0" w:name="Signature"/>
    <w:lsdException w:uiPriority="1" w:semiHidden="0" w:name="Default Paragraph Font"/>
    <w:lsdException w:qFormat="1" w:uiPriority="1" w:semiHidden="0" w:name="Body Text"/>
    <w:lsdException w:qFormat="1" w:uiPriority="99" w:semiHidden="0" w:name="Body Text Indent"/>
    <w:lsdException w:qFormat="1" w:uiPriority="99" w:name="List Continue"/>
    <w:lsdException w:qFormat="1" w:uiPriority="99" w:name="List Continue 2"/>
    <w:lsdException w:qFormat="1" w:uiPriority="99" w:name="List Continue 3"/>
    <w:lsdException w:qFormat="1" w:uiPriority="99" w:name="List Continue 4"/>
    <w:lsdException w:unhideWhenUsed="0" w:uiPriority="99" w:semiHidden="0" w:name="List Continue 5"/>
    <w:lsdException w:unhideWhenUsed="0" w:uiPriority="99" w:semiHidden="0" w:name="Message Header"/>
    <w:lsdException w:qFormat="1" w:unhideWhenUsed="0" w:uiPriority="11" w:semiHidden="0" w:name="Subtitle"/>
    <w:lsdException w:unhideWhenUsed="0" w:uiPriority="99" w:semiHidden="0" w:name="Salutation"/>
    <w:lsdException w:unhideWhenUsed="0" w:uiPriority="99" w:semiHidden="0" w:name="Date"/>
    <w:lsdException w:unhideWhenUsed="0" w:uiPriority="99" w:semiHidden="0" w:name="Body Text First Indent"/>
    <w:lsdException w:unhideWhenUsed="0" w:uiPriority="99" w:semiHidden="0" w:name="Body Text First Indent 2"/>
    <w:lsdException w:unhideWhenUsed="0" w:uiPriority="99" w:semiHidden="0" w:name="Note Heading"/>
    <w:lsdException w:qFormat="1" w:uiPriority="99" w:semiHidden="0" w:name="Body Text 2"/>
    <w:lsdException w:qFormat="1" w:uiPriority="99" w:semiHidden="0" w:name="Body Text 3"/>
    <w:lsdException w:uiPriority="99" w:semiHidden="0" w:name="Body Text Indent 2"/>
    <w:lsdException w:uiPriority="99" w:semiHidden="0" w:name="Body Text Indent 3"/>
    <w:lsdException w:unhideWhenUsed="0" w:uiPriority="99" w:semiHidden="0" w:name="Block Text"/>
    <w:lsdException w:uiPriority="99" w:semiHidden="0" w:name="Hyperlink"/>
    <w:lsdException w:uiPriority="99" w:semiHidden="0" w:name="FollowedHyperlink"/>
    <w:lsdException w:qFormat="1" w:unhideWhenUsed="0" w:uiPriority="22" w:semiHidden="0" w:name="Strong"/>
    <w:lsdException w:qFormat="1" w:unhideWhenUsed="0" w:uiPriority="20" w:semiHidden="0" w:name="Emphasis"/>
    <w:lsdException w:unhideWhenUsed="0" w:uiPriority="99" w:semiHidden="0" w:name="Document Map"/>
    <w:lsdException w:unhideWhenUsed="0" w:uiPriority="99" w:semiHidden="0" w:name="Plain Text"/>
    <w:lsdException w:unhideWhenUsed="0" w:uiPriority="99" w:semiHidden="0" w:name="E-mail Signature"/>
    <w:lsdException w:qFormat="1" w:uiPriority="99" w:semiHidden="0" w:name="Normal (Web)"/>
    <w:lsdException w:unhideWhenUsed="0" w:uiPriority="99" w:semiHidden="0" w:name="HTML Acronym"/>
    <w:lsdException w:unhideWhenUsed="0" w:uiPriority="99" w:semiHidden="0" w:name="HTML Address"/>
    <w:lsdException w:unhideWhenUsed="0" w:uiPriority="99" w:semiHidden="0" w:name="HTML Cite"/>
    <w:lsdException w:unhideWhenUsed="0" w:uiPriority="99" w:semiHidden="0" w:name="HTML Code"/>
    <w:lsdException w:unhideWhenUsed="0" w:uiPriority="99" w:semiHidden="0" w:name="HTML Definition"/>
    <w:lsdException w:unhideWhenUsed="0" w:uiPriority="99" w:semiHidden="0" w:name="HTML Keyboard"/>
    <w:lsdException w:uiPriority="99" w:semiHidden="0" w:name="HTML Preformatted"/>
    <w:lsdException w:unhideWhenUsed="0" w:uiPriority="99" w:semiHidden="0" w:name="HTML Sample"/>
    <w:lsdException w:unhideWhenUsed="0" w:uiPriority="99" w:semiHidden="0" w:name="HTML Typewriter"/>
    <w:lsdException w:unhideWhenUsed="0" w:uiPriority="99" w:semiHidden="0" w:name="HTML Variable"/>
    <w:lsdException w:uiPriority="99" w:name="Normal Table"/>
    <w:lsdException w:unhideWhenUsed="0"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semiHidden="0" w:name="Balloon Text"/>
    <w:lsdException w:unhideWhenUsed="0" w:uiPriority="99"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autoSpaceDE w:val="0"/>
      <w:autoSpaceDN w:val="0"/>
      <w:spacing w:after="0" w:line="240" w:lineRule="auto"/>
    </w:pPr>
    <w:rPr>
      <w:rFonts w:ascii="Times New Roman" w:hAnsi="Times New Roman" w:eastAsia="SimSun" w:cs="Times New Roman"/>
      <w:sz w:val="20"/>
      <w:szCs w:val="20"/>
      <w:lang w:val="en-US" w:eastAsia="en-GB" w:bidi="ar-SA"/>
    </w:rPr>
  </w:style>
  <w:style w:type="paragraph" w:styleId="2">
    <w:name w:val="heading 1"/>
    <w:basedOn w:val="1"/>
    <w:next w:val="1"/>
    <w:link w:val="46"/>
    <w:qFormat/>
    <w:uiPriority w:val="9"/>
    <w:pPr>
      <w:keepNext/>
      <w:spacing w:before="240" w:after="60"/>
      <w:outlineLvl w:val="0"/>
    </w:pPr>
    <w:rPr>
      <w:rFonts w:ascii="Cambria" w:cs="Cambria"/>
      <w:b/>
      <w:kern w:val="32"/>
      <w:sz w:val="32"/>
      <w:szCs w:val="32"/>
    </w:rPr>
  </w:style>
  <w:style w:type="paragraph" w:styleId="3">
    <w:name w:val="heading 2"/>
    <w:basedOn w:val="1"/>
    <w:next w:val="1"/>
    <w:link w:val="45"/>
    <w:qFormat/>
    <w:uiPriority w:val="9"/>
    <w:pPr>
      <w:keepNext/>
      <w:spacing w:before="240" w:after="60"/>
      <w:outlineLvl w:val="1"/>
    </w:pPr>
    <w:rPr>
      <w:rFonts w:ascii="Cambria" w:cs="Cambria"/>
      <w:b/>
      <w:i/>
      <w:sz w:val="28"/>
      <w:szCs w:val="28"/>
    </w:rPr>
  </w:style>
  <w:style w:type="paragraph" w:styleId="4">
    <w:name w:val="heading 3"/>
    <w:basedOn w:val="1"/>
    <w:next w:val="1"/>
    <w:link w:val="42"/>
    <w:qFormat/>
    <w:uiPriority w:val="9"/>
    <w:pPr>
      <w:keepNext/>
      <w:spacing w:before="240" w:after="60"/>
      <w:outlineLvl w:val="2"/>
    </w:pPr>
    <w:rPr>
      <w:rFonts w:ascii="Cambria" w:cs="Cambria"/>
      <w:b/>
      <w:sz w:val="26"/>
      <w:szCs w:val="26"/>
    </w:rPr>
  </w:style>
  <w:style w:type="paragraph" w:styleId="5">
    <w:name w:val="heading 4"/>
    <w:basedOn w:val="1"/>
    <w:next w:val="1"/>
    <w:link w:val="32"/>
    <w:qFormat/>
    <w:uiPriority w:val="99"/>
    <w:pPr>
      <w:keepNext/>
      <w:spacing w:line="360" w:lineRule="auto"/>
      <w:jc w:val="center"/>
      <w:outlineLvl w:val="3"/>
    </w:pPr>
    <w:rPr>
      <w:b/>
      <w:sz w:val="24"/>
      <w:szCs w:val="24"/>
    </w:rPr>
  </w:style>
  <w:style w:type="paragraph" w:styleId="6">
    <w:name w:val="heading 7"/>
    <w:basedOn w:val="1"/>
    <w:next w:val="1"/>
    <w:link w:val="33"/>
    <w:qFormat/>
    <w:uiPriority w:val="99"/>
    <w:pPr>
      <w:keepNext/>
      <w:spacing w:line="360" w:lineRule="auto"/>
      <w:jc w:val="both"/>
      <w:outlineLvl w:val="6"/>
    </w:pPr>
    <w:rPr>
      <w:rFonts w:ascii="Garamond" w:cs="Garamond"/>
      <w:b/>
      <w:sz w:val="24"/>
      <w:szCs w:val="24"/>
    </w:rPr>
  </w:style>
  <w:style w:type="character" w:default="1" w:styleId="7">
    <w:name w:val="Default Paragraph Font"/>
    <w:unhideWhenUsed/>
    <w:uiPriority w:val="1"/>
  </w:style>
  <w:style w:type="table" w:default="1" w:styleId="8">
    <w:name w:val="Normal Table"/>
    <w:semiHidden/>
    <w:unhideWhenUsed/>
    <w:uiPriority w:val="99"/>
    <w:tblPr>
      <w:tblCellMar>
        <w:top w:w="0" w:type="dxa"/>
        <w:left w:w="108" w:type="dxa"/>
        <w:bottom w:w="0" w:type="dxa"/>
        <w:right w:w="108" w:type="dxa"/>
      </w:tblCellMar>
    </w:tblPr>
  </w:style>
  <w:style w:type="paragraph" w:styleId="9">
    <w:name w:val="Balloon Text"/>
    <w:basedOn w:val="1"/>
    <w:link w:val="41"/>
    <w:unhideWhenUsed/>
    <w:uiPriority w:val="99"/>
    <w:pPr>
      <w:autoSpaceDE/>
      <w:autoSpaceDN/>
    </w:pPr>
    <w:rPr>
      <w:rFonts w:ascii="Tahoma" w:cs="Tahoma"/>
      <w:sz w:val="16"/>
      <w:szCs w:val="16"/>
      <w:lang w:eastAsia="en-US"/>
    </w:rPr>
  </w:style>
  <w:style w:type="paragraph" w:styleId="10">
    <w:name w:val="Body Text"/>
    <w:basedOn w:val="1"/>
    <w:link w:val="49"/>
    <w:unhideWhenUsed/>
    <w:qFormat/>
    <w:uiPriority w:val="1"/>
    <w:pPr>
      <w:spacing w:after="120"/>
    </w:pPr>
  </w:style>
  <w:style w:type="paragraph" w:styleId="11">
    <w:name w:val="Body Text 2"/>
    <w:basedOn w:val="1"/>
    <w:link w:val="48"/>
    <w:unhideWhenUsed/>
    <w:qFormat/>
    <w:uiPriority w:val="99"/>
    <w:pPr>
      <w:spacing w:after="120"/>
      <w:ind w:left="283"/>
    </w:pPr>
    <w:rPr>
      <w:sz w:val="24"/>
      <w:szCs w:val="24"/>
    </w:rPr>
  </w:style>
  <w:style w:type="paragraph" w:styleId="12">
    <w:name w:val="Body Text 3"/>
    <w:basedOn w:val="1"/>
    <w:link w:val="50"/>
    <w:unhideWhenUsed/>
    <w:qFormat/>
    <w:uiPriority w:val="99"/>
    <w:pPr>
      <w:autoSpaceDE/>
      <w:autoSpaceDN/>
      <w:spacing w:after="120"/>
    </w:pPr>
    <w:rPr>
      <w:sz w:val="16"/>
      <w:szCs w:val="16"/>
      <w:lang w:eastAsia="en-US"/>
    </w:rPr>
  </w:style>
  <w:style w:type="paragraph" w:styleId="13">
    <w:name w:val="Body Text Indent"/>
    <w:basedOn w:val="1"/>
    <w:link w:val="37"/>
    <w:unhideWhenUsed/>
    <w:qFormat/>
    <w:uiPriority w:val="99"/>
    <w:pPr>
      <w:autoSpaceDE/>
      <w:autoSpaceDN/>
      <w:spacing w:after="120"/>
      <w:ind w:left="360"/>
    </w:pPr>
    <w:rPr>
      <w:sz w:val="24"/>
      <w:szCs w:val="24"/>
      <w:lang w:eastAsia="en-US"/>
    </w:rPr>
  </w:style>
  <w:style w:type="paragraph" w:styleId="14">
    <w:name w:val="Body Text Indent 2"/>
    <w:basedOn w:val="1"/>
    <w:link w:val="43"/>
    <w:unhideWhenUsed/>
    <w:uiPriority w:val="99"/>
    <w:pPr>
      <w:spacing w:after="120" w:line="480" w:lineRule="auto"/>
      <w:ind w:left="360"/>
    </w:pPr>
  </w:style>
  <w:style w:type="paragraph" w:styleId="15">
    <w:name w:val="Body Text Indent 3"/>
    <w:basedOn w:val="1"/>
    <w:link w:val="54"/>
    <w:unhideWhenUsed/>
    <w:uiPriority w:val="99"/>
    <w:pPr>
      <w:autoSpaceDE/>
      <w:autoSpaceDN/>
      <w:spacing w:after="120"/>
      <w:ind w:left="283"/>
    </w:pPr>
    <w:rPr>
      <w:sz w:val="16"/>
      <w:szCs w:val="16"/>
      <w:lang w:eastAsia="en-US"/>
    </w:rPr>
  </w:style>
  <w:style w:type="character" w:styleId="16">
    <w:name w:val="annotation reference"/>
    <w:basedOn w:val="7"/>
    <w:uiPriority w:val="99"/>
    <w:rPr>
      <w:sz w:val="16"/>
      <w:szCs w:val="16"/>
    </w:rPr>
  </w:style>
  <w:style w:type="paragraph" w:styleId="17">
    <w:name w:val="annotation text"/>
    <w:basedOn w:val="1"/>
    <w:link w:val="84"/>
    <w:uiPriority w:val="99"/>
  </w:style>
  <w:style w:type="paragraph" w:styleId="18">
    <w:name w:val="annotation subject"/>
    <w:basedOn w:val="17"/>
    <w:next w:val="17"/>
    <w:link w:val="85"/>
    <w:uiPriority w:val="99"/>
    <w:rPr>
      <w:b/>
      <w:bCs/>
    </w:rPr>
  </w:style>
  <w:style w:type="character" w:styleId="19">
    <w:name w:val="Emphasis"/>
    <w:basedOn w:val="7"/>
    <w:qFormat/>
    <w:uiPriority w:val="20"/>
    <w:rPr>
      <w:i/>
    </w:rPr>
  </w:style>
  <w:style w:type="character" w:styleId="20">
    <w:name w:val="FollowedHyperlink"/>
    <w:basedOn w:val="7"/>
    <w:unhideWhenUsed/>
    <w:uiPriority w:val="99"/>
    <w:rPr>
      <w:color w:val="800080"/>
      <w:u w:val="single"/>
    </w:rPr>
  </w:style>
  <w:style w:type="paragraph" w:styleId="21">
    <w:name w:val="footer"/>
    <w:basedOn w:val="1"/>
    <w:link w:val="36"/>
    <w:unhideWhenUsed/>
    <w:uiPriority w:val="99"/>
    <w:pPr>
      <w:tabs>
        <w:tab w:val="center" w:pos="4320"/>
        <w:tab w:val="right" w:pos="8640"/>
      </w:tabs>
    </w:pPr>
  </w:style>
  <w:style w:type="character" w:styleId="22">
    <w:name w:val="footnote reference"/>
    <w:basedOn w:val="7"/>
    <w:unhideWhenUsed/>
    <w:qFormat/>
    <w:uiPriority w:val="99"/>
    <w:rPr>
      <w:vertAlign w:val="superscript"/>
    </w:rPr>
  </w:style>
  <w:style w:type="paragraph" w:styleId="23">
    <w:name w:val="footnote text"/>
    <w:basedOn w:val="1"/>
    <w:link w:val="47"/>
    <w:unhideWhenUsed/>
    <w:qFormat/>
    <w:uiPriority w:val="99"/>
  </w:style>
  <w:style w:type="paragraph" w:styleId="24">
    <w:name w:val="header"/>
    <w:basedOn w:val="1"/>
    <w:link w:val="51"/>
    <w:unhideWhenUsed/>
    <w:uiPriority w:val="99"/>
    <w:pPr>
      <w:tabs>
        <w:tab w:val="center" w:pos="4680"/>
        <w:tab w:val="right" w:pos="9360"/>
      </w:tabs>
    </w:pPr>
  </w:style>
  <w:style w:type="paragraph" w:styleId="25">
    <w:name w:val="HTML Preformatted"/>
    <w:basedOn w:val="1"/>
    <w:link w:val="40"/>
    <w:unhideWhenUsed/>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cs="Courier New"/>
      <w:lang w:eastAsia="en-US"/>
    </w:rPr>
  </w:style>
  <w:style w:type="character" w:styleId="26">
    <w:name w:val="Hyperlink"/>
    <w:basedOn w:val="7"/>
    <w:unhideWhenUsed/>
    <w:uiPriority w:val="99"/>
    <w:rPr>
      <w:color w:val="0000FF"/>
      <w:u w:val="single"/>
    </w:rPr>
  </w:style>
  <w:style w:type="paragraph" w:styleId="27">
    <w:name w:val="Normal (Web)"/>
    <w:basedOn w:val="1"/>
    <w:unhideWhenUsed/>
    <w:qFormat/>
    <w:uiPriority w:val="99"/>
    <w:pPr>
      <w:autoSpaceDE/>
      <w:autoSpaceDN/>
      <w:spacing w:before="100" w:beforeAutospacing="1" w:after="100" w:afterAutospacing="1"/>
    </w:pPr>
    <w:rPr>
      <w:sz w:val="24"/>
      <w:szCs w:val="24"/>
      <w:lang w:val="id-ID" w:eastAsia="id-ID"/>
    </w:rPr>
  </w:style>
  <w:style w:type="character" w:styleId="28">
    <w:name w:val="page number"/>
    <w:basedOn w:val="7"/>
    <w:unhideWhenUsed/>
    <w:uiPriority w:val="99"/>
  </w:style>
  <w:style w:type="table" w:styleId="29">
    <w:name w:val="Table Grid"/>
    <w:basedOn w:val="8"/>
    <w:uiPriority w:val="99"/>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30">
    <w:name w:val="Title"/>
    <w:basedOn w:val="1"/>
    <w:link w:val="31"/>
    <w:qFormat/>
    <w:uiPriority w:val="10"/>
    <w:pPr>
      <w:jc w:val="center"/>
    </w:pPr>
    <w:rPr>
      <w:b/>
      <w:sz w:val="24"/>
      <w:szCs w:val="24"/>
    </w:rPr>
  </w:style>
  <w:style w:type="character" w:customStyle="1" w:styleId="31">
    <w:name w:val="Title Char1"/>
    <w:basedOn w:val="7"/>
    <w:link w:val="30"/>
    <w:unhideWhenUsed/>
    <w:locked/>
    <w:uiPriority w:val="10"/>
    <w:rPr>
      <w:rFonts w:ascii="Cambria" w:cs="Cambria"/>
      <w:b/>
      <w:kern w:val="28"/>
      <w:sz w:val="32"/>
      <w:lang w:eastAsia="en-GB"/>
    </w:rPr>
  </w:style>
  <w:style w:type="character" w:customStyle="1" w:styleId="32">
    <w:name w:val="Heading 4 Char"/>
    <w:basedOn w:val="7"/>
    <w:link w:val="5"/>
    <w:unhideWhenUsed/>
    <w:locked/>
    <w:uiPriority w:val="9"/>
    <w:rPr>
      <w:rFonts w:ascii="Calibri" w:cs="Calibri"/>
      <w:b/>
      <w:sz w:val="28"/>
      <w:lang w:eastAsia="en-GB"/>
    </w:rPr>
  </w:style>
  <w:style w:type="character" w:customStyle="1" w:styleId="33">
    <w:name w:val="Heading 7 Char"/>
    <w:basedOn w:val="7"/>
    <w:link w:val="6"/>
    <w:unhideWhenUsed/>
    <w:locked/>
    <w:uiPriority w:val="9"/>
    <w:rPr>
      <w:rFonts w:ascii="Calibri" w:cs="Calibri"/>
      <w:lang w:eastAsia="en-GB"/>
    </w:rPr>
  </w:style>
  <w:style w:type="character" w:customStyle="1" w:styleId="34">
    <w:name w:val="mw-headline"/>
    <w:unhideWhenUsed/>
    <w:uiPriority w:val="0"/>
  </w:style>
  <w:style w:type="character" w:customStyle="1" w:styleId="35">
    <w:name w:val="hps"/>
    <w:unhideWhenUsed/>
    <w:uiPriority w:val="0"/>
  </w:style>
  <w:style w:type="character" w:customStyle="1" w:styleId="36">
    <w:name w:val="Footer Char1"/>
    <w:basedOn w:val="7"/>
    <w:link w:val="21"/>
    <w:unhideWhenUsed/>
    <w:locked/>
    <w:uiPriority w:val="99"/>
    <w:rPr>
      <w:sz w:val="20"/>
      <w:lang w:eastAsia="en-GB"/>
    </w:rPr>
  </w:style>
  <w:style w:type="character" w:customStyle="1" w:styleId="37">
    <w:name w:val="Body Text Indent Char1"/>
    <w:basedOn w:val="7"/>
    <w:link w:val="13"/>
    <w:unhideWhenUsed/>
    <w:locked/>
    <w:uiPriority w:val="99"/>
  </w:style>
  <w:style w:type="character" w:customStyle="1" w:styleId="38">
    <w:name w:val="go"/>
    <w:unhideWhenUsed/>
    <w:uiPriority w:val="0"/>
  </w:style>
  <w:style w:type="character" w:customStyle="1" w:styleId="39">
    <w:name w:val="atn"/>
    <w:unhideWhenUsed/>
    <w:uiPriority w:val="0"/>
  </w:style>
  <w:style w:type="character" w:customStyle="1" w:styleId="40">
    <w:name w:val="HTML Preformatted Char1"/>
    <w:basedOn w:val="7"/>
    <w:link w:val="25"/>
    <w:unhideWhenUsed/>
    <w:locked/>
    <w:uiPriority w:val="99"/>
    <w:rPr>
      <w:rFonts w:ascii="Courier New" w:cs="Courier New"/>
    </w:rPr>
  </w:style>
  <w:style w:type="character" w:customStyle="1" w:styleId="41">
    <w:name w:val="Balloon Text Char1"/>
    <w:basedOn w:val="7"/>
    <w:link w:val="9"/>
    <w:unhideWhenUsed/>
    <w:locked/>
    <w:uiPriority w:val="99"/>
    <w:rPr>
      <w:rFonts w:ascii="Tahoma" w:cs="Tahoma"/>
      <w:sz w:val="16"/>
      <w:lang w:eastAsia="en-GB"/>
    </w:rPr>
  </w:style>
  <w:style w:type="character" w:customStyle="1" w:styleId="42">
    <w:name w:val="Heading 3 Char"/>
    <w:basedOn w:val="7"/>
    <w:link w:val="4"/>
    <w:unhideWhenUsed/>
    <w:locked/>
    <w:uiPriority w:val="9"/>
    <w:rPr>
      <w:rFonts w:ascii="Cambria" w:cs="Cambria"/>
      <w:b/>
      <w:sz w:val="26"/>
      <w:lang w:eastAsia="en-GB"/>
    </w:rPr>
  </w:style>
  <w:style w:type="character" w:customStyle="1" w:styleId="43">
    <w:name w:val="Body Text Indent 2 Char1"/>
    <w:basedOn w:val="7"/>
    <w:link w:val="14"/>
    <w:unhideWhenUsed/>
    <w:locked/>
    <w:uiPriority w:val="99"/>
    <w:rPr>
      <w:lang w:eastAsia="en-GB"/>
    </w:rPr>
  </w:style>
  <w:style w:type="character" w:customStyle="1" w:styleId="44">
    <w:name w:val="fontstyle22"/>
    <w:unhideWhenUsed/>
    <w:uiPriority w:val="0"/>
  </w:style>
  <w:style w:type="character" w:customStyle="1" w:styleId="45">
    <w:name w:val="Heading 2 Char"/>
    <w:basedOn w:val="7"/>
    <w:link w:val="3"/>
    <w:unhideWhenUsed/>
    <w:locked/>
    <w:uiPriority w:val="9"/>
    <w:rPr>
      <w:rFonts w:ascii="Cambria" w:cs="Cambria"/>
      <w:b/>
      <w:i/>
      <w:sz w:val="28"/>
      <w:lang w:eastAsia="en-GB"/>
    </w:rPr>
  </w:style>
  <w:style w:type="character" w:customStyle="1" w:styleId="46">
    <w:name w:val="Heading 1 Char"/>
    <w:basedOn w:val="7"/>
    <w:link w:val="2"/>
    <w:unhideWhenUsed/>
    <w:locked/>
    <w:uiPriority w:val="9"/>
    <w:rPr>
      <w:rFonts w:ascii="Cambria" w:cs="Cambria"/>
      <w:b/>
      <w:kern w:val="32"/>
      <w:sz w:val="32"/>
      <w:lang w:eastAsia="en-GB"/>
    </w:rPr>
  </w:style>
  <w:style w:type="character" w:customStyle="1" w:styleId="47">
    <w:name w:val="Footnote Text Char1"/>
    <w:basedOn w:val="7"/>
    <w:link w:val="23"/>
    <w:unhideWhenUsed/>
    <w:qFormat/>
    <w:locked/>
    <w:uiPriority w:val="99"/>
    <w:rPr>
      <w:lang w:eastAsia="en-GB"/>
    </w:rPr>
  </w:style>
  <w:style w:type="character" w:customStyle="1" w:styleId="48">
    <w:name w:val="Body Text 2 Char1"/>
    <w:basedOn w:val="7"/>
    <w:link w:val="11"/>
    <w:unhideWhenUsed/>
    <w:locked/>
    <w:uiPriority w:val="99"/>
    <w:rPr>
      <w:sz w:val="20"/>
      <w:lang w:eastAsia="en-GB"/>
    </w:rPr>
  </w:style>
  <w:style w:type="character" w:customStyle="1" w:styleId="49">
    <w:name w:val="Body Text Char1"/>
    <w:basedOn w:val="7"/>
    <w:link w:val="10"/>
    <w:unhideWhenUsed/>
    <w:locked/>
    <w:uiPriority w:val="1"/>
    <w:rPr>
      <w:sz w:val="20"/>
      <w:lang w:eastAsia="en-GB"/>
    </w:rPr>
  </w:style>
  <w:style w:type="character" w:customStyle="1" w:styleId="50">
    <w:name w:val="Body Text 3 Char1"/>
    <w:basedOn w:val="7"/>
    <w:link w:val="12"/>
    <w:unhideWhenUsed/>
    <w:locked/>
    <w:uiPriority w:val="99"/>
    <w:rPr>
      <w:sz w:val="16"/>
    </w:rPr>
  </w:style>
  <w:style w:type="character" w:customStyle="1" w:styleId="51">
    <w:name w:val="Header Char1"/>
    <w:basedOn w:val="7"/>
    <w:link w:val="24"/>
    <w:unhideWhenUsed/>
    <w:locked/>
    <w:uiPriority w:val="99"/>
    <w:rPr>
      <w:sz w:val="20"/>
      <w:lang w:eastAsia="en-GB"/>
    </w:rPr>
  </w:style>
  <w:style w:type="character" w:customStyle="1" w:styleId="52">
    <w:name w:val="List Paragraph Char"/>
    <w:link w:val="53"/>
    <w:unhideWhenUsed/>
    <w:qFormat/>
    <w:locked/>
    <w:uiPriority w:val="1"/>
    <w:rPr>
      <w:rFonts w:ascii="Calibri"/>
      <w:sz w:val="22"/>
      <w:lang w:val="id-ID" w:eastAsia="zh-CN"/>
    </w:rPr>
  </w:style>
  <w:style w:type="paragraph" w:styleId="53">
    <w:name w:val="List Paragraph"/>
    <w:basedOn w:val="1"/>
    <w:link w:val="52"/>
    <w:qFormat/>
    <w:uiPriority w:val="1"/>
    <w:pPr>
      <w:autoSpaceDE/>
      <w:autoSpaceDN/>
      <w:spacing w:after="200" w:line="276" w:lineRule="auto"/>
      <w:ind w:left="720"/>
    </w:pPr>
    <w:rPr>
      <w:rFonts w:ascii="Calibri" w:cs="Calibri"/>
      <w:sz w:val="22"/>
      <w:lang w:val="id-ID" w:eastAsia="id-ID"/>
    </w:rPr>
  </w:style>
  <w:style w:type="character" w:customStyle="1" w:styleId="54">
    <w:name w:val="Body Text Indent 3 Char1"/>
    <w:basedOn w:val="7"/>
    <w:link w:val="15"/>
    <w:unhideWhenUsed/>
    <w:locked/>
    <w:uiPriority w:val="99"/>
    <w:rPr>
      <w:sz w:val="16"/>
    </w:rPr>
  </w:style>
  <w:style w:type="character" w:customStyle="1" w:styleId="55">
    <w:name w:val="fontstyle23"/>
    <w:unhideWhenUsed/>
    <w:uiPriority w:val="0"/>
  </w:style>
  <w:style w:type="character" w:customStyle="1" w:styleId="56">
    <w:name w:val="fontstyle33"/>
    <w:unhideWhenUsed/>
    <w:uiPriority w:val="0"/>
  </w:style>
  <w:style w:type="character" w:customStyle="1" w:styleId="57">
    <w:name w:val="fontstyle32"/>
    <w:unhideWhenUsed/>
    <w:uiPriority w:val="0"/>
  </w:style>
  <w:style w:type="character" w:customStyle="1" w:styleId="58">
    <w:name w:val="citation"/>
    <w:unhideWhenUsed/>
    <w:uiPriority w:val="0"/>
  </w:style>
  <w:style w:type="character" w:customStyle="1" w:styleId="59">
    <w:name w:val="gensmall"/>
    <w:unhideWhenUsed/>
    <w:uiPriority w:val="99"/>
  </w:style>
  <w:style w:type="character" w:customStyle="1" w:styleId="60">
    <w:name w:val="fullpost"/>
    <w:unhideWhenUsed/>
    <w:qFormat/>
    <w:uiPriority w:val="0"/>
  </w:style>
  <w:style w:type="character" w:customStyle="1" w:styleId="61">
    <w:name w:val="short_text"/>
    <w:unhideWhenUsed/>
    <w:qFormat/>
    <w:uiPriority w:val="0"/>
  </w:style>
  <w:style w:type="character" w:customStyle="1" w:styleId="62">
    <w:name w:val="tlid-translation"/>
    <w:unhideWhenUsed/>
    <w:uiPriority w:val="0"/>
  </w:style>
  <w:style w:type="character" w:customStyle="1" w:styleId="63">
    <w:name w:val="label"/>
    <w:unhideWhenUsed/>
    <w:uiPriority w:val="0"/>
  </w:style>
  <w:style w:type="character" w:customStyle="1" w:styleId="64">
    <w:name w:val="value"/>
    <w:unhideWhenUsed/>
    <w:uiPriority w:val="0"/>
  </w:style>
  <w:style w:type="character" w:customStyle="1" w:styleId="65">
    <w:name w:val="Unresolved Mention"/>
    <w:basedOn w:val="7"/>
    <w:unhideWhenUsed/>
    <w:uiPriority w:val="99"/>
  </w:style>
  <w:style w:type="character" w:customStyle="1" w:styleId="66">
    <w:name w:val="Title Char"/>
    <w:basedOn w:val="7"/>
    <w:uiPriority w:val="10"/>
    <w:rPr>
      <w:rFonts w:asciiTheme="majorHAnsi" w:hAnsiTheme="majorHAnsi" w:eastAsiaTheme="majorEastAsia" w:cstheme="majorBidi"/>
      <w:b/>
      <w:bCs/>
      <w:kern w:val="28"/>
      <w:sz w:val="32"/>
      <w:szCs w:val="32"/>
      <w:lang w:val="en-US" w:eastAsia="en-GB"/>
    </w:rPr>
  </w:style>
  <w:style w:type="character" w:customStyle="1" w:styleId="67">
    <w:name w:val="Balloon Text Char"/>
    <w:basedOn w:val="7"/>
    <w:semiHidden/>
    <w:qFormat/>
    <w:uiPriority w:val="99"/>
    <w:rPr>
      <w:rFonts w:ascii="Segoe UI" w:hAnsi="Segoe UI" w:cs="Segoe UI"/>
      <w:sz w:val="18"/>
      <w:szCs w:val="18"/>
      <w:lang w:val="en-US" w:eastAsia="en-GB"/>
    </w:rPr>
  </w:style>
  <w:style w:type="character" w:customStyle="1" w:styleId="68">
    <w:name w:val="Body Text Char"/>
    <w:basedOn w:val="7"/>
    <w:semiHidden/>
    <w:uiPriority w:val="99"/>
    <w:rPr>
      <w:rFonts w:cs="Times New Roman"/>
      <w:sz w:val="20"/>
      <w:szCs w:val="20"/>
      <w:lang w:val="en-US" w:eastAsia="en-GB"/>
    </w:rPr>
  </w:style>
  <w:style w:type="character" w:customStyle="1" w:styleId="69">
    <w:name w:val="HTML Preformatted Char"/>
    <w:basedOn w:val="7"/>
    <w:semiHidden/>
    <w:uiPriority w:val="99"/>
    <w:rPr>
      <w:rFonts w:ascii="Courier New" w:hAnsi="Courier New" w:cs="Courier New"/>
      <w:sz w:val="20"/>
      <w:szCs w:val="20"/>
      <w:lang w:val="en-US" w:eastAsia="en-GB"/>
    </w:rPr>
  </w:style>
  <w:style w:type="character" w:customStyle="1" w:styleId="70">
    <w:name w:val="Body Text 2 Char"/>
    <w:basedOn w:val="7"/>
    <w:semiHidden/>
    <w:qFormat/>
    <w:uiPriority w:val="99"/>
    <w:rPr>
      <w:rFonts w:cs="Times New Roman"/>
      <w:sz w:val="20"/>
      <w:szCs w:val="20"/>
      <w:lang w:val="en-US" w:eastAsia="en-GB"/>
    </w:rPr>
  </w:style>
  <w:style w:type="character" w:customStyle="1" w:styleId="71">
    <w:name w:val="Body Text 3 Char"/>
    <w:basedOn w:val="7"/>
    <w:semiHidden/>
    <w:qFormat/>
    <w:uiPriority w:val="99"/>
    <w:rPr>
      <w:rFonts w:cs="Times New Roman"/>
      <w:sz w:val="16"/>
      <w:szCs w:val="16"/>
      <w:lang w:val="en-US" w:eastAsia="en-GB"/>
    </w:rPr>
  </w:style>
  <w:style w:type="paragraph" w:customStyle="1" w:styleId="72">
    <w:name w:val="rtejustify"/>
    <w:basedOn w:val="1"/>
    <w:unhideWhenUsed/>
    <w:qFormat/>
    <w:uiPriority w:val="0"/>
    <w:pPr>
      <w:autoSpaceDE/>
      <w:autoSpaceDN/>
      <w:spacing w:before="100" w:beforeAutospacing="1" w:after="100" w:afterAutospacing="1"/>
    </w:pPr>
    <w:rPr>
      <w:sz w:val="24"/>
      <w:szCs w:val="24"/>
      <w:lang w:eastAsia="en-US"/>
    </w:rPr>
  </w:style>
  <w:style w:type="character" w:customStyle="1" w:styleId="73">
    <w:name w:val="Body Text Indent Char"/>
    <w:basedOn w:val="7"/>
    <w:semiHidden/>
    <w:qFormat/>
    <w:uiPriority w:val="99"/>
    <w:rPr>
      <w:rFonts w:cs="Times New Roman"/>
      <w:sz w:val="20"/>
      <w:szCs w:val="20"/>
      <w:lang w:val="en-US" w:eastAsia="en-GB"/>
    </w:rPr>
  </w:style>
  <w:style w:type="character" w:customStyle="1" w:styleId="74">
    <w:name w:val="Body Text Indent 2 Char"/>
    <w:basedOn w:val="7"/>
    <w:semiHidden/>
    <w:qFormat/>
    <w:uiPriority w:val="99"/>
    <w:rPr>
      <w:rFonts w:cs="Times New Roman"/>
      <w:sz w:val="20"/>
      <w:szCs w:val="20"/>
      <w:lang w:val="en-US" w:eastAsia="en-GB"/>
    </w:rPr>
  </w:style>
  <w:style w:type="character" w:customStyle="1" w:styleId="75">
    <w:name w:val="Body Text Indent 3 Char"/>
    <w:basedOn w:val="7"/>
    <w:semiHidden/>
    <w:uiPriority w:val="99"/>
    <w:rPr>
      <w:rFonts w:cs="Times New Roman"/>
      <w:sz w:val="16"/>
      <w:szCs w:val="16"/>
      <w:lang w:val="en-US" w:eastAsia="en-GB"/>
    </w:rPr>
  </w:style>
  <w:style w:type="character" w:customStyle="1" w:styleId="76">
    <w:name w:val="Footer Char"/>
    <w:basedOn w:val="7"/>
    <w:semiHidden/>
    <w:qFormat/>
    <w:uiPriority w:val="99"/>
    <w:rPr>
      <w:rFonts w:cs="Times New Roman"/>
      <w:sz w:val="20"/>
      <w:szCs w:val="20"/>
      <w:lang w:val="en-US" w:eastAsia="en-GB"/>
    </w:rPr>
  </w:style>
  <w:style w:type="character" w:customStyle="1" w:styleId="77">
    <w:name w:val="Header Char"/>
    <w:basedOn w:val="7"/>
    <w:semiHidden/>
    <w:uiPriority w:val="99"/>
    <w:rPr>
      <w:rFonts w:cs="Times New Roman"/>
      <w:sz w:val="20"/>
      <w:szCs w:val="20"/>
      <w:lang w:val="en-US" w:eastAsia="en-GB"/>
    </w:rPr>
  </w:style>
  <w:style w:type="character" w:customStyle="1" w:styleId="78">
    <w:name w:val="Footnote Text Char"/>
    <w:basedOn w:val="7"/>
    <w:semiHidden/>
    <w:uiPriority w:val="99"/>
    <w:rPr>
      <w:rFonts w:cs="Times New Roman"/>
      <w:sz w:val="20"/>
      <w:szCs w:val="20"/>
      <w:lang w:val="en-US" w:eastAsia="en-GB"/>
    </w:rPr>
  </w:style>
  <w:style w:type="paragraph" w:customStyle="1" w:styleId="79">
    <w:name w:val="para"/>
    <w:basedOn w:val="1"/>
    <w:unhideWhenUsed/>
    <w:uiPriority w:val="99"/>
    <w:pPr>
      <w:autoSpaceDE/>
      <w:autoSpaceDN/>
      <w:spacing w:before="100" w:beforeAutospacing="1" w:after="100" w:afterAutospacing="1"/>
    </w:pPr>
    <w:rPr>
      <w:sz w:val="24"/>
      <w:szCs w:val="24"/>
      <w:lang w:eastAsia="en-US"/>
    </w:rPr>
  </w:style>
  <w:style w:type="paragraph" w:customStyle="1" w:styleId="80">
    <w:name w:val="Default"/>
    <w:unhideWhenUsed/>
    <w:uiPriority w:val="0"/>
    <w:pPr>
      <w:autoSpaceDE w:val="0"/>
      <w:autoSpaceDN w:val="0"/>
      <w:adjustRightInd w:val="0"/>
      <w:spacing w:after="0" w:line="240" w:lineRule="auto"/>
    </w:pPr>
    <w:rPr>
      <w:rFonts w:ascii="Times New Roman" w:hAnsi="Times New Roman" w:eastAsia="SimSun" w:cs="Times New Roman"/>
      <w:color w:val="000000"/>
      <w:sz w:val="24"/>
      <w:szCs w:val="24"/>
      <w:lang w:val="id-ID" w:eastAsia="en-US" w:bidi="ar-SA"/>
    </w:rPr>
  </w:style>
  <w:style w:type="paragraph" w:customStyle="1" w:styleId="81">
    <w:name w:val="Pa0"/>
    <w:basedOn w:val="1"/>
    <w:next w:val="1"/>
    <w:unhideWhenUsed/>
    <w:uiPriority w:val="99"/>
    <w:pPr>
      <w:adjustRightInd w:val="0"/>
      <w:spacing w:line="241" w:lineRule="atLeast"/>
    </w:pPr>
    <w:rPr>
      <w:sz w:val="24"/>
      <w:szCs w:val="24"/>
      <w:lang w:val="id-ID" w:eastAsia="en-US"/>
    </w:rPr>
  </w:style>
  <w:style w:type="paragraph" w:customStyle="1" w:styleId="82">
    <w:name w:val="Table Paragraph"/>
    <w:basedOn w:val="1"/>
    <w:unhideWhenUsed/>
    <w:qFormat/>
    <w:uiPriority w:val="1"/>
    <w:pPr>
      <w:widowControl w:val="0"/>
      <w:ind w:left="108"/>
    </w:pPr>
    <w:rPr>
      <w:rFonts w:ascii="Tahoma" w:cs="Tahoma"/>
      <w:sz w:val="22"/>
      <w:szCs w:val="22"/>
      <w:lang w:eastAsia="en-US"/>
    </w:rPr>
  </w:style>
  <w:style w:type="paragraph" w:styleId="83">
    <w:name w:val="No Spacing"/>
    <w:qFormat/>
    <w:uiPriority w:val="1"/>
    <w:pPr>
      <w:spacing w:after="0" w:line="240" w:lineRule="auto"/>
    </w:pPr>
    <w:rPr>
      <w:rFonts w:ascii="Times New Roman" w:hAnsi="Times New Roman" w:eastAsia="SimSun" w:cs="Times New Roman"/>
      <w:sz w:val="24"/>
      <w:szCs w:val="24"/>
      <w:lang w:val="id-ID" w:eastAsia="id-ID" w:bidi="ar-SA"/>
    </w:rPr>
  </w:style>
  <w:style w:type="character" w:customStyle="1" w:styleId="84">
    <w:name w:val="Comment Text Char"/>
    <w:basedOn w:val="7"/>
    <w:link w:val="17"/>
    <w:uiPriority w:val="99"/>
    <w:rPr>
      <w:rFonts w:cs="Times New Roman"/>
      <w:sz w:val="20"/>
      <w:szCs w:val="20"/>
      <w:lang w:val="en-US" w:eastAsia="en-GB"/>
    </w:rPr>
  </w:style>
  <w:style w:type="character" w:customStyle="1" w:styleId="85">
    <w:name w:val="Comment Subject Char"/>
    <w:basedOn w:val="84"/>
    <w:link w:val="18"/>
    <w:uiPriority w:val="99"/>
    <w:rPr>
      <w:rFonts w:cs="Times New Roman"/>
      <w:b/>
      <w:bCs/>
      <w:sz w:val="20"/>
      <w:szCs w:val="20"/>
      <w:lang w:val="en-US" w:eastAsia="en-GB"/>
    </w:rPr>
  </w:style>
</w:styles>
</file>

<file path=word/_rels/document.xml.rels><?xml version="1.0" encoding="UTF-8" standalone="yes"?>
<Relationships xmlns="http://schemas.openxmlformats.org/package/2006/relationships"><Relationship Id="rId9" Type="http://schemas.openxmlformats.org/officeDocument/2006/relationships/header" Target="header3.xml"/><Relationship Id="rId8" Type="http://schemas.openxmlformats.org/officeDocument/2006/relationships/header" Target="header2.xml"/><Relationship Id="rId7" Type="http://schemas.openxmlformats.org/officeDocument/2006/relationships/header" Target="header1.xml"/><Relationship Id="rId6" Type="http://schemas.openxmlformats.org/officeDocument/2006/relationships/endnotes" Target="endnotes.xml"/><Relationship Id="rId5" Type="http://schemas.openxmlformats.org/officeDocument/2006/relationships/footnotes" Target="footnotes.xml"/><Relationship Id="rId4" Type="http://schemas.microsoft.com/office/2011/relationships/commentsExtended" Target="commentsExtended.xml"/><Relationship Id="rId3" Type="http://schemas.openxmlformats.org/officeDocument/2006/relationships/comments" Target="comments.xml"/><Relationship Id="rId20" Type="http://schemas.microsoft.com/office/2011/relationships/people" Target="people.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customXml" Target="../customXml/item2.xml"/><Relationship Id="rId17" Type="http://schemas.openxmlformats.org/officeDocument/2006/relationships/numbering" Target="numbering.xml"/><Relationship Id="rId16" Type="http://schemas.openxmlformats.org/officeDocument/2006/relationships/customXml" Target="../customXml/item1.xml"/><Relationship Id="rId15" Type="http://schemas.openxmlformats.org/officeDocument/2006/relationships/image" Target="media/image3.png"/><Relationship Id="rId14" Type="http://schemas.openxmlformats.org/officeDocument/2006/relationships/image" Target="media/image2.jpeg"/><Relationship Id="rId13" Type="http://schemas.openxmlformats.org/officeDocument/2006/relationships/theme" Target="theme/theme1.xml"/><Relationship Id="rId12" Type="http://schemas.openxmlformats.org/officeDocument/2006/relationships/footer" Target="footer3.xml"/><Relationship Id="rId11" Type="http://schemas.openxmlformats.org/officeDocument/2006/relationships/footer" Target="footer2.xml"/><Relationship Id="rId10" Type="http://schemas.openxmlformats.org/officeDocument/2006/relationships/footer" Target="footer1.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14E307A-28B8-4313-B7D7-24F597C07F4E}">
  <ds:schemaRefs/>
</ds:datastoreItem>
</file>

<file path=docProps/app.xml><?xml version="1.0" encoding="utf-8"?>
<Properties xmlns="http://schemas.openxmlformats.org/officeDocument/2006/extended-properties" xmlns:vt="http://schemas.openxmlformats.org/officeDocument/2006/docPropsVTypes">
  <Template>Normal</Template>
  <Pages>23</Pages>
  <Words>17039</Words>
  <Characters>101048</Characters>
  <Lines>1712</Lines>
  <Paragraphs>367</Paragraphs>
  <TotalTime>391</TotalTime>
  <ScaleCrop>false</ScaleCrop>
  <LinksUpToDate>false</LinksUpToDate>
  <CharactersWithSpaces>117720</CharactersWithSpaces>
  <Application>WPS Office_12.2.0.21179_F1E327BC-269C-435d-A152-05C5408002CA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2025-04-07T15:06:00Z</dcterms:created>
  <dc:creator>ASUS</dc:creator>
  <cp:lastModifiedBy>Muhammad Mutawalli</cp:lastModifiedBy>
  <dcterms:modified xsi:type="dcterms:W3CDTF">2025-06-09T13:07:14Z</dcterms:modified>
  <cp:revision>55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1acb0f88-3631-439c-a84d-b3e04b8d8016</vt:lpwstr>
  </property>
  <property fmtid="{D5CDD505-2E9C-101B-9397-08002B2CF9AE}" pid="3" name="Mendeley Recent Style Id 0_1">
    <vt:lpwstr>http://www.zotero.org/styles/apa</vt:lpwstr>
  </property>
  <property fmtid="{D5CDD505-2E9C-101B-9397-08002B2CF9AE}" pid="4" name="Mendeley Recent Style Name 0_1">
    <vt:lpwstr>American Psychological Association 7th edition</vt:lpwstr>
  </property>
  <property fmtid="{D5CDD505-2E9C-101B-9397-08002B2CF9AE}" pid="5" name="Mendeley Recent Style Id 1_1">
    <vt:lpwstr>http://www.zotero.org/styles/american-sociological-association</vt:lpwstr>
  </property>
  <property fmtid="{D5CDD505-2E9C-101B-9397-08002B2CF9AE}" pid="6" name="Mendeley Recent Style Name 1_1">
    <vt:lpwstr>American Sociological Association 6th/7th edition</vt:lpwstr>
  </property>
  <property fmtid="{D5CDD505-2E9C-101B-9397-08002B2CF9AE}" pid="7" name="Mendeley Recent Style Id 2_1">
    <vt:lpwstr>http://www.zotero.org/styles/chicago-author-date</vt:lpwstr>
  </property>
  <property fmtid="{D5CDD505-2E9C-101B-9397-08002B2CF9AE}" pid="8" name="Mendeley Recent Style Name 2_1">
    <vt:lpwstr>Chicago Manual of Style 17th edition (author-date)</vt:lpwstr>
  </property>
  <property fmtid="{D5CDD505-2E9C-101B-9397-08002B2CF9AE}" pid="9" name="Mendeley Recent Style Id 3_1">
    <vt:lpwstr>http://www.zotero.org/styles/chicago-fullnote-bibliography</vt:lpwstr>
  </property>
  <property fmtid="{D5CDD505-2E9C-101B-9397-08002B2CF9AE}" pid="10" name="Mendeley Recent Style Name 3_1">
    <vt:lpwstr>Chicago Manual of Style 17th edition (full note)</vt:lpwstr>
  </property>
  <property fmtid="{D5CDD505-2E9C-101B-9397-08002B2CF9AE}" pid="11" name="Mendeley Recent Style Id 4_1">
    <vt:lpwstr>http://www.zotero.org/styles/harvard-cite-them-right</vt:lpwstr>
  </property>
  <property fmtid="{D5CDD505-2E9C-101B-9397-08002B2CF9AE}" pid="12" name="Mendeley Recent Style Name 4_1">
    <vt:lpwstr>Cite Them Right 12th edition - Harvard</vt:lpwstr>
  </property>
  <property fmtid="{D5CDD505-2E9C-101B-9397-08002B2CF9AE}" pid="13" name="Mendeley Recent Style Id 5_1">
    <vt:lpwstr>http://www.zotero.org/styles/modern-humanities-research-association</vt:lpwstr>
  </property>
  <property fmtid="{D5CDD505-2E9C-101B-9397-08002B2CF9AE}" pid="14" name="Mendeley Recent Style Name 5_1">
    <vt:lpwstr>Modern Humanities Research Association 3rd edition (note with bibliography)</vt:lpwstr>
  </property>
  <property fmtid="{D5CDD505-2E9C-101B-9397-08002B2CF9AE}" pid="15" name="Mendeley Recent Style Id 6_1">
    <vt:lpwstr>http://www.zotero.org/styles/modern-language-association</vt:lpwstr>
  </property>
  <property fmtid="{D5CDD505-2E9C-101B-9397-08002B2CF9AE}" pid="16" name="Mendeley Recent Style Name 6_1">
    <vt:lpwstr>Modern Language Association 9th edition</vt:lpwstr>
  </property>
  <property fmtid="{D5CDD505-2E9C-101B-9397-08002B2CF9AE}" pid="17" name="Mendeley Recent Style Id 7_1">
    <vt:lpwstr>http://www.zotero.org/styles/nature</vt:lpwstr>
  </property>
  <property fmtid="{D5CDD505-2E9C-101B-9397-08002B2CF9AE}" pid="18" name="Mendeley Recent Style Name 7_1">
    <vt:lpwstr>Nature</vt:lpwstr>
  </property>
  <property fmtid="{D5CDD505-2E9C-101B-9397-08002B2CF9AE}" pid="19" name="Mendeley Recent Style Id 8_1">
    <vt:lpwstr>http://www.zotero.org/styles/turabian-fullnote-bibliography</vt:lpwstr>
  </property>
  <property fmtid="{D5CDD505-2E9C-101B-9397-08002B2CF9AE}" pid="20" name="Mendeley Recent Style Name 8_1">
    <vt:lpwstr>Turabian 9th edition (full note)</vt:lpwstr>
  </property>
  <property fmtid="{D5CDD505-2E9C-101B-9397-08002B2CF9AE}" pid="21" name="Mendeley Recent Style Id 9_1">
    <vt:lpwstr>http://www.zotero.org/styles/vancouver</vt:lpwstr>
  </property>
  <property fmtid="{D5CDD505-2E9C-101B-9397-08002B2CF9AE}" pid="22" name="Mendeley Recent Style Name 9_1">
    <vt:lpwstr>Vancouver</vt:lpwstr>
  </property>
  <property fmtid="{D5CDD505-2E9C-101B-9397-08002B2CF9AE}" pid="23" name="Mendeley Document_1">
    <vt:lpwstr>True</vt:lpwstr>
  </property>
  <property fmtid="{D5CDD505-2E9C-101B-9397-08002B2CF9AE}" pid="24" name="Mendeley Unique User Id_1">
    <vt:lpwstr>557181b7-cf85-3a56-92fb-e33530b22815</vt:lpwstr>
  </property>
  <property fmtid="{D5CDD505-2E9C-101B-9397-08002B2CF9AE}" pid="25" name="Mendeley Citation Style_1">
    <vt:lpwstr>http://www.zotero.org/styles/apa</vt:lpwstr>
  </property>
  <property fmtid="{D5CDD505-2E9C-101B-9397-08002B2CF9AE}" pid="26" name="KSOProductBuildVer">
    <vt:lpwstr>1057-12.2.0.21179</vt:lpwstr>
  </property>
  <property fmtid="{D5CDD505-2E9C-101B-9397-08002B2CF9AE}" pid="27" name="ICV">
    <vt:lpwstr>A3DADD090DA845D59F73C39E6E2FC160_12</vt:lpwstr>
  </property>
</Properties>
</file>