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95BC6" w14:textId="77777777" w:rsidR="00DE1E48" w:rsidRPr="00122F5F" w:rsidRDefault="00DE1E48" w:rsidP="00122F5F">
      <w:pPr>
        <w:rPr>
          <w:rFonts w:ascii="Calibri Light" w:hAnsi="Calibri Light" w:cs="Calibri Light"/>
          <w:b/>
          <w:bCs/>
          <w:sz w:val="24"/>
          <w:szCs w:val="24"/>
        </w:rPr>
      </w:pPr>
    </w:p>
    <w:p w14:paraId="5C62AE3E" w14:textId="77777777" w:rsidR="00DE1E48" w:rsidRPr="0090631F" w:rsidRDefault="0090631F" w:rsidP="00122F5F">
      <w:pPr>
        <w:rPr>
          <w:rFonts w:ascii="Calibri Light" w:hAnsi="Calibri Light" w:cs="Calibri Light"/>
          <w:b/>
          <w:bCs/>
          <w:iCs/>
          <w:sz w:val="28"/>
          <w:szCs w:val="28"/>
        </w:rPr>
      </w:pPr>
      <w:r w:rsidRPr="0090631F">
        <w:rPr>
          <w:rFonts w:ascii="Calibri Light" w:hAnsi="Calibri Light" w:cs="Calibri Light"/>
          <w:b/>
          <w:bCs/>
          <w:sz w:val="28"/>
          <w:szCs w:val="28"/>
        </w:rPr>
        <w:t xml:space="preserve">Legal Regulation of </w:t>
      </w:r>
      <w:commentRangeStart w:id="0"/>
      <w:r w:rsidRPr="0090631F">
        <w:rPr>
          <w:rFonts w:ascii="Calibri Light" w:hAnsi="Calibri Light" w:cs="Calibri Light"/>
          <w:b/>
          <w:bCs/>
          <w:sz w:val="28"/>
          <w:szCs w:val="28"/>
        </w:rPr>
        <w:t>National Security</w:t>
      </w:r>
      <w:commentRangeEnd w:id="0"/>
      <w:r w:rsidR="00477728">
        <w:rPr>
          <w:rStyle w:val="CommentReference"/>
        </w:rPr>
        <w:commentReference w:id="0"/>
      </w:r>
      <w:r w:rsidRPr="0090631F">
        <w:rPr>
          <w:rFonts w:ascii="Calibri Light" w:hAnsi="Calibri Light" w:cs="Calibri Light"/>
          <w:b/>
          <w:bCs/>
          <w:sz w:val="28"/>
          <w:szCs w:val="28"/>
        </w:rPr>
        <w:t>: Strategies and Challenges</w:t>
      </w:r>
    </w:p>
    <w:p w14:paraId="50C36F57" w14:textId="77777777" w:rsidR="00DE1E48" w:rsidRPr="00122F5F" w:rsidRDefault="00DE1E48" w:rsidP="001D7DEE">
      <w:pPr>
        <w:jc w:val="center"/>
        <w:rPr>
          <w:rFonts w:ascii="Calibri Light" w:hAnsi="Calibri Light" w:cs="Calibri Light"/>
          <w:sz w:val="24"/>
          <w:szCs w:val="24"/>
        </w:rPr>
      </w:pPr>
    </w:p>
    <w:p w14:paraId="74934F3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5253FA47"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7AB56043"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1B3AEED1" w14:textId="77777777" w:rsidR="00863A78" w:rsidRPr="00863A78" w:rsidRDefault="00863A78" w:rsidP="00863A78">
      <w:pPr>
        <w:ind w:right="737"/>
        <w:rPr>
          <w:rFonts w:ascii="Calibri Light" w:hAnsi="Calibri Light" w:cs="Calibri Light"/>
          <w:b/>
          <w:bCs/>
        </w:rPr>
      </w:pPr>
    </w:p>
    <w:p w14:paraId="3EE880CC" w14:textId="44D3F088" w:rsidR="00863A78" w:rsidRPr="00863A78" w:rsidRDefault="009C6E4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6FD87877" wp14:editId="28B863A8">
            <wp:extent cx="249555" cy="249555"/>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555" cy="24955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78A1E6C6"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19ECDFE5" w14:textId="77777777" w:rsidTr="00540F02">
        <w:tc>
          <w:tcPr>
            <w:tcW w:w="9004" w:type="dxa"/>
            <w:tcBorders>
              <w:left w:val="nil"/>
              <w:right w:val="nil"/>
            </w:tcBorders>
          </w:tcPr>
          <w:p w14:paraId="761F43DF" w14:textId="77777777" w:rsidR="00863A78" w:rsidRPr="00540F02" w:rsidRDefault="00863A78" w:rsidP="00540F02">
            <w:pPr>
              <w:ind w:right="2"/>
              <w:jc w:val="both"/>
              <w:rPr>
                <w:rFonts w:ascii="Calibri Light" w:hAnsi="Calibri Light" w:cs="Calibri Light"/>
                <w:sz w:val="12"/>
                <w:szCs w:val="12"/>
              </w:rPr>
            </w:pPr>
          </w:p>
          <w:p w14:paraId="287BAB4A"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14:paraId="2B66F14D" w14:textId="77777777" w:rsidR="00863A78" w:rsidRPr="00540F02" w:rsidRDefault="00863A78" w:rsidP="00540F02">
            <w:pPr>
              <w:ind w:right="2"/>
              <w:jc w:val="both"/>
              <w:rPr>
                <w:rFonts w:ascii="Calibri Light" w:hAnsi="Calibri Light" w:cs="Calibri Light"/>
                <w:color w:val="0462C1"/>
                <w:u w:val="single" w:color="0462C1"/>
              </w:rPr>
            </w:pPr>
          </w:p>
          <w:p w14:paraId="2743F263"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2">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4B68A84" w14:textId="77777777" w:rsidR="00863A78" w:rsidRPr="00540F02" w:rsidRDefault="00863A78" w:rsidP="00540F02">
            <w:pPr>
              <w:ind w:right="2"/>
              <w:jc w:val="both"/>
              <w:rPr>
                <w:rFonts w:ascii="Calibri Light" w:hAnsi="Calibri Light" w:cs="Calibri Light"/>
                <w:b/>
                <w:bCs/>
                <w:sz w:val="12"/>
                <w:szCs w:val="12"/>
              </w:rPr>
            </w:pPr>
          </w:p>
        </w:tc>
      </w:tr>
    </w:tbl>
    <w:p w14:paraId="2F560412" w14:textId="77777777" w:rsidR="00863A78" w:rsidRDefault="00863A78" w:rsidP="00863A78">
      <w:pPr>
        <w:ind w:right="737"/>
        <w:rPr>
          <w:rFonts w:ascii="Calibri Light" w:hAnsi="Calibri Light" w:cs="Calibri Light"/>
          <w:b/>
          <w:bCs/>
          <w:sz w:val="24"/>
          <w:szCs w:val="24"/>
        </w:rPr>
      </w:pPr>
    </w:p>
    <w:p w14:paraId="11E70301" w14:textId="77777777" w:rsidR="0090631F" w:rsidRPr="0090631F" w:rsidRDefault="00A27B34" w:rsidP="0090631F">
      <w:pPr>
        <w:ind w:right="-1"/>
        <w:jc w:val="both"/>
        <w:rPr>
          <w:rFonts w:ascii="Calibri Light" w:hAnsi="Calibri Light" w:cs="Calibri Light"/>
          <w:i/>
          <w:iCs/>
          <w:noProof/>
          <w:color w:val="000000"/>
          <w:sz w:val="24"/>
          <w:szCs w:val="24"/>
          <w:lang w:val="en-GB"/>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90631F" w:rsidRPr="0090631F">
        <w:rPr>
          <w:rFonts w:ascii="Calibri Light" w:hAnsi="Calibri Light" w:cs="Calibri Light"/>
          <w:i/>
          <w:iCs/>
          <w:noProof/>
          <w:color w:val="000000"/>
          <w:sz w:val="24"/>
          <w:szCs w:val="24"/>
          <w:lang w:val="en-GB"/>
        </w:rPr>
        <w:t>This article aims to analyse the key challenges facing the legal regulation of Ukraine’s national security sector amidst Russian aggression, to identify current strategies for national security formation, and to develop key recommendations for optimising the regulatory and legal framework. The PRISMA approach was utilised for the collection of academic literature. Applying inclusion and exclusion criteria, 44 relevant academic publications were retained. The collected material was processed using comparison, systematisation, and analysis methods.</w:t>
      </w:r>
    </w:p>
    <w:p w14:paraId="666AF662" w14:textId="77777777" w:rsidR="0090631F" w:rsidRPr="0090631F" w:rsidRDefault="0090631F" w:rsidP="0090631F">
      <w:pPr>
        <w:ind w:right="-1"/>
        <w:jc w:val="both"/>
        <w:rPr>
          <w:rFonts w:ascii="Calibri Light" w:hAnsi="Calibri Light" w:cs="Calibri Light"/>
          <w:i/>
          <w:iCs/>
          <w:noProof/>
          <w:color w:val="000000"/>
          <w:sz w:val="24"/>
          <w:szCs w:val="24"/>
          <w:lang w:val="en-GB"/>
        </w:rPr>
      </w:pPr>
      <w:r w:rsidRPr="0090631F">
        <w:rPr>
          <w:rFonts w:ascii="Calibri Light" w:hAnsi="Calibri Light" w:cs="Calibri Light"/>
          <w:i/>
          <w:iCs/>
          <w:noProof/>
          <w:color w:val="000000"/>
          <w:sz w:val="24"/>
          <w:szCs w:val="24"/>
          <w:lang w:val="en-GB"/>
        </w:rPr>
        <w:t>The results demonstrate that Ukraine possesses a sufficient legal framework to ensure the fundamental protection of national security. The public-legal mechanism for ensuring national security norms operates according to the constitution of Ukraine, which also outlines the primary direction of Ukraine’s integration into the EU and NATO. A comparison with international legal norms revealed that certain regulatory acts in Ukraine are less detailed, creating potential threats to the nation’s security.</w:t>
      </w:r>
    </w:p>
    <w:p w14:paraId="307AF035" w14:textId="77777777" w:rsidR="00260D64" w:rsidRDefault="0090631F" w:rsidP="0090631F">
      <w:pPr>
        <w:ind w:right="-1"/>
        <w:jc w:val="both"/>
        <w:rPr>
          <w:rFonts w:ascii="Calibri Light" w:hAnsi="Calibri Light" w:cs="Calibri Light"/>
          <w:i/>
          <w:iCs/>
          <w:noProof/>
          <w:color w:val="000000"/>
          <w:sz w:val="24"/>
          <w:szCs w:val="24"/>
          <w:lang w:val="en-GB"/>
        </w:rPr>
      </w:pPr>
      <w:r w:rsidRPr="0090631F">
        <w:rPr>
          <w:rFonts w:ascii="Calibri Light" w:hAnsi="Calibri Light" w:cs="Calibri Light"/>
          <w:i/>
          <w:iCs/>
          <w:noProof/>
          <w:color w:val="000000"/>
          <w:sz w:val="24"/>
          <w:szCs w:val="24"/>
          <w:lang w:val="en-GB"/>
        </w:rPr>
        <w:t>The conclusions emphasise that the security systems of European states have a significant advantage over Ukraine, primarily due to their integration into NATO. As such, Ukrainian legal norms could be harmonised or even unified with international standards. However, Ukraine’s legal system is only at the initial stages of integration with NATO and the European legal environment.</w:t>
      </w:r>
    </w:p>
    <w:p w14:paraId="775DFC97" w14:textId="77777777" w:rsidR="00AD64FD" w:rsidRPr="00122F5F" w:rsidRDefault="00AD64FD" w:rsidP="0090631F">
      <w:pPr>
        <w:ind w:right="-1"/>
        <w:jc w:val="both"/>
        <w:rPr>
          <w:rFonts w:ascii="Calibri Light" w:hAnsi="Calibri Light" w:cs="Calibri Light"/>
          <w:noProof/>
          <w:color w:val="000000"/>
          <w:sz w:val="24"/>
          <w:szCs w:val="24"/>
          <w:lang w:val="id-ID"/>
        </w:rPr>
      </w:pPr>
    </w:p>
    <w:p w14:paraId="6BB016CD" w14:textId="77777777" w:rsidR="00AD64FD" w:rsidRPr="00AD64FD" w:rsidRDefault="00AD64FD" w:rsidP="00AD64FD">
      <w:pPr>
        <w:ind w:right="-1"/>
        <w:jc w:val="both"/>
        <w:rPr>
          <w:rFonts w:ascii="Calibri Light" w:hAnsi="Calibri Light" w:cs="Calibri Light"/>
          <w:i/>
          <w:noProof/>
          <w:sz w:val="24"/>
          <w:szCs w:val="24"/>
          <w:lang w:val="id-ID"/>
        </w:rPr>
      </w:pPr>
      <w:r w:rsidRPr="00AD64FD">
        <w:rPr>
          <w:rFonts w:ascii="Calibri Light" w:hAnsi="Calibri Light" w:cs="Calibri Light"/>
          <w:i/>
          <w:noProof/>
          <w:sz w:val="24"/>
          <w:szCs w:val="24"/>
          <w:lang w:val="id-ID"/>
        </w:rPr>
        <w:t xml:space="preserve">Artikel ini bertujuan untuk menganalisis tantangan utama dalam regulasi hukum sektor keamanan nasional Ukraina di tengah agresi Rusia, mengidentifikasi strategi terkini dalam pembentukan keamanan nasional, serta mengembangkan rekomendasi utama untuk mengoptimalkan kerangka regulasi dan hukum. </w:t>
      </w:r>
      <w:commentRangeStart w:id="1"/>
      <w:r w:rsidRPr="00AD64FD">
        <w:rPr>
          <w:rFonts w:ascii="Calibri Light" w:hAnsi="Calibri Light" w:cs="Calibri Light"/>
          <w:i/>
          <w:noProof/>
          <w:sz w:val="24"/>
          <w:szCs w:val="24"/>
          <w:lang w:val="id-ID"/>
        </w:rPr>
        <w:t xml:space="preserve">Pendekatan PRISMA digunakan dalam </w:t>
      </w:r>
      <w:commentRangeEnd w:id="1"/>
      <w:r w:rsidR="00477728">
        <w:rPr>
          <w:rStyle w:val="CommentReference"/>
        </w:rPr>
        <w:commentReference w:id="1"/>
      </w:r>
      <w:r w:rsidRPr="00AD64FD">
        <w:rPr>
          <w:rFonts w:ascii="Calibri Light" w:hAnsi="Calibri Light" w:cs="Calibri Light"/>
          <w:i/>
          <w:noProof/>
          <w:sz w:val="24"/>
          <w:szCs w:val="24"/>
          <w:lang w:val="id-ID"/>
        </w:rPr>
        <w:t>pengumpulan literatur akademik. Dengan menerapkan kriteria inklusi dan eksklusi, sebanyak 44 publikasi akademik yang relevan dipilih. Materi yang dikumpulkan dianalisis menggunakan metode perbandingan, sistematisasi, dan analisis.</w:t>
      </w:r>
    </w:p>
    <w:p w14:paraId="5D67B0AE" w14:textId="77777777" w:rsidR="00AD64FD" w:rsidRPr="00AD64FD" w:rsidRDefault="00AD64FD" w:rsidP="00AD64FD">
      <w:pPr>
        <w:ind w:right="-1"/>
        <w:jc w:val="both"/>
        <w:rPr>
          <w:rFonts w:ascii="Calibri Light" w:hAnsi="Calibri Light" w:cs="Calibri Light"/>
          <w:i/>
          <w:noProof/>
          <w:sz w:val="24"/>
          <w:szCs w:val="24"/>
          <w:lang w:val="id-ID"/>
        </w:rPr>
      </w:pPr>
      <w:r w:rsidRPr="00AD64FD">
        <w:rPr>
          <w:rFonts w:ascii="Calibri Light" w:hAnsi="Calibri Light" w:cs="Calibri Light"/>
          <w:i/>
          <w:noProof/>
          <w:sz w:val="24"/>
          <w:szCs w:val="24"/>
          <w:lang w:val="id-ID"/>
        </w:rPr>
        <w:t xml:space="preserve">Hasil penelitian menunjukkan bahwa Ukraina memiliki kerangka hukum yang cukup untuk memastikan perlindungan mendasar terhadap keamanan nasional. Mekanisme publik-hukum dalam menjamin norma keamanan nasional beroperasi sesuai dengan konstitusi Ukraina, yang juga menetapkan arah utama integrasi Ukraina ke dalam Uni Eropa dan NATO. Perbandingan </w:t>
      </w:r>
      <w:r w:rsidRPr="00AD64FD">
        <w:rPr>
          <w:rFonts w:ascii="Calibri Light" w:hAnsi="Calibri Light" w:cs="Calibri Light"/>
          <w:i/>
          <w:noProof/>
          <w:sz w:val="24"/>
          <w:szCs w:val="24"/>
          <w:lang w:val="id-ID"/>
        </w:rPr>
        <w:lastRenderedPageBreak/>
        <w:t>dengan norma hukum internasional mengungkapkan bahwa beberapa peraturan di Ukraina kurang terperinci, yang dapat menimbulkan potensi ancaman terhadap keamanan nasional.</w:t>
      </w:r>
    </w:p>
    <w:p w14:paraId="6DF1E6F0" w14:textId="77777777" w:rsidR="00AD64FD" w:rsidRPr="00AD64FD" w:rsidRDefault="00AD64FD" w:rsidP="00AD64FD">
      <w:pPr>
        <w:ind w:right="-1"/>
        <w:jc w:val="both"/>
        <w:rPr>
          <w:rFonts w:ascii="Calibri Light" w:hAnsi="Calibri Light" w:cs="Calibri Light"/>
          <w:i/>
          <w:noProof/>
          <w:sz w:val="24"/>
          <w:szCs w:val="24"/>
          <w:lang w:val="id-ID"/>
        </w:rPr>
      </w:pPr>
      <w:r w:rsidRPr="00AD64FD">
        <w:rPr>
          <w:rFonts w:ascii="Calibri Light" w:hAnsi="Calibri Light" w:cs="Calibri Light"/>
          <w:i/>
          <w:noProof/>
          <w:sz w:val="24"/>
          <w:szCs w:val="24"/>
          <w:lang w:val="id-ID"/>
        </w:rPr>
        <w:t>Kesimpulan penelitian menekankan bahwa sistem keamanan negara-negara Eropa memiliki keunggulan signifikan dibandingkan dengan Ukraina, terutama karena integrasi mereka ke dalam NATO. Oleh karena itu, norma hukum Ukraina dapat diselaraskan atau bahkan disatukan dengan standar internasional. Namun, sistem hukum Ukraina masih berada pada tahap awal dalam proses integrasi dengan NATO dan lingkungan hukum Eropa.</w:t>
      </w:r>
    </w:p>
    <w:p w14:paraId="74357C52" w14:textId="77777777" w:rsidR="00486707" w:rsidRPr="00122F5F" w:rsidRDefault="00486707" w:rsidP="001D7DEE">
      <w:pPr>
        <w:ind w:left="709" w:right="737"/>
        <w:jc w:val="both"/>
        <w:rPr>
          <w:rFonts w:ascii="Calibri Light" w:hAnsi="Calibri Light" w:cs="Calibri Light"/>
          <w:i/>
          <w:iCs/>
          <w:sz w:val="24"/>
          <w:szCs w:val="24"/>
          <w:lang w:val="id-ID"/>
        </w:rPr>
      </w:pPr>
    </w:p>
    <w:p w14:paraId="42EF4ECC" w14:textId="77777777" w:rsidR="00DE1E48" w:rsidRPr="0090631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90631F">
        <w:rPr>
          <w:rStyle w:val="shorttext"/>
          <w:rFonts w:ascii="Calibri Light" w:hAnsi="Calibri Light" w:cs="Calibri Light"/>
          <w:i/>
          <w:iCs/>
          <w:sz w:val="24"/>
          <w:szCs w:val="24"/>
          <w:lang w:val="en"/>
        </w:rPr>
        <w:t>N</w:t>
      </w:r>
      <w:r w:rsidR="0090631F" w:rsidRPr="0090631F">
        <w:rPr>
          <w:rStyle w:val="shorttext"/>
          <w:rFonts w:ascii="Calibri Light" w:hAnsi="Calibri Light" w:cs="Calibri Light"/>
          <w:i/>
          <w:iCs/>
          <w:sz w:val="24"/>
          <w:szCs w:val="24"/>
          <w:lang w:val="en"/>
        </w:rPr>
        <w:t xml:space="preserve">ational security system, </w:t>
      </w:r>
      <w:r w:rsidR="0090631F">
        <w:rPr>
          <w:rStyle w:val="shorttext"/>
          <w:rFonts w:ascii="Calibri Light" w:hAnsi="Calibri Light" w:cs="Calibri Light"/>
          <w:i/>
          <w:iCs/>
          <w:sz w:val="24"/>
          <w:szCs w:val="24"/>
          <w:lang w:val="en"/>
        </w:rPr>
        <w:t>S</w:t>
      </w:r>
      <w:r w:rsidR="0090631F" w:rsidRPr="0090631F">
        <w:rPr>
          <w:rStyle w:val="shorttext"/>
          <w:rFonts w:ascii="Calibri Light" w:hAnsi="Calibri Light" w:cs="Calibri Light"/>
          <w:i/>
          <w:iCs/>
          <w:sz w:val="24"/>
          <w:szCs w:val="24"/>
          <w:lang w:val="en"/>
        </w:rPr>
        <w:t xml:space="preserve">ecurity strategies, </w:t>
      </w:r>
      <w:r w:rsidR="0090631F">
        <w:rPr>
          <w:rStyle w:val="shorttext"/>
          <w:rFonts w:ascii="Calibri Light" w:hAnsi="Calibri Light" w:cs="Calibri Light"/>
          <w:i/>
          <w:iCs/>
          <w:sz w:val="24"/>
          <w:szCs w:val="24"/>
          <w:lang w:val="en"/>
        </w:rPr>
        <w:t>H</w:t>
      </w:r>
      <w:r w:rsidR="0090631F" w:rsidRPr="0090631F">
        <w:rPr>
          <w:rStyle w:val="shorttext"/>
          <w:rFonts w:ascii="Calibri Light" w:hAnsi="Calibri Light" w:cs="Calibri Light"/>
          <w:i/>
          <w:iCs/>
          <w:sz w:val="24"/>
          <w:szCs w:val="24"/>
          <w:lang w:val="en"/>
        </w:rPr>
        <w:t xml:space="preserve">ybrid threats, </w:t>
      </w:r>
      <w:r w:rsidR="0090631F">
        <w:rPr>
          <w:rStyle w:val="shorttext"/>
          <w:rFonts w:ascii="Calibri Light" w:hAnsi="Calibri Light" w:cs="Calibri Light"/>
          <w:i/>
          <w:iCs/>
          <w:sz w:val="24"/>
          <w:szCs w:val="24"/>
          <w:lang w:val="en"/>
        </w:rPr>
        <w:t>L</w:t>
      </w:r>
      <w:r w:rsidR="0090631F" w:rsidRPr="0090631F">
        <w:rPr>
          <w:rStyle w:val="shorttext"/>
          <w:rFonts w:ascii="Calibri Light" w:hAnsi="Calibri Light" w:cs="Calibri Light"/>
          <w:i/>
          <w:iCs/>
          <w:sz w:val="24"/>
          <w:szCs w:val="24"/>
          <w:lang w:val="en"/>
        </w:rPr>
        <w:t xml:space="preserve">egal norms, </w:t>
      </w:r>
      <w:r w:rsidR="0090631F">
        <w:rPr>
          <w:rStyle w:val="shorttext"/>
          <w:rFonts w:ascii="Calibri Light" w:hAnsi="Calibri Light" w:cs="Calibri Light"/>
          <w:i/>
          <w:iCs/>
          <w:sz w:val="24"/>
          <w:szCs w:val="24"/>
          <w:lang w:val="en"/>
        </w:rPr>
        <w:t>L</w:t>
      </w:r>
      <w:r w:rsidR="0090631F" w:rsidRPr="0090631F">
        <w:rPr>
          <w:rStyle w:val="shorttext"/>
          <w:rFonts w:ascii="Calibri Light" w:hAnsi="Calibri Light" w:cs="Calibri Light"/>
          <w:i/>
          <w:iCs/>
          <w:sz w:val="24"/>
          <w:szCs w:val="24"/>
          <w:lang w:val="en"/>
        </w:rPr>
        <w:t>egislation</w:t>
      </w:r>
      <w:r w:rsidR="001D7DEE" w:rsidRPr="00122F5F">
        <w:rPr>
          <w:rStyle w:val="shorttext"/>
          <w:rFonts w:ascii="Calibri Light" w:hAnsi="Calibri Light" w:cs="Calibri Light"/>
          <w:i/>
          <w:iCs/>
          <w:sz w:val="24"/>
          <w:szCs w:val="24"/>
          <w:lang w:val="id-ID"/>
        </w:rPr>
        <w:t>.</w:t>
      </w:r>
    </w:p>
    <w:p w14:paraId="71AECF6F" w14:textId="77777777" w:rsidR="00F1027C" w:rsidRPr="00122F5F" w:rsidRDefault="00F1027C" w:rsidP="00F1027C">
      <w:pPr>
        <w:jc w:val="center"/>
        <w:rPr>
          <w:rFonts w:ascii="Calibri Light" w:hAnsi="Calibri Light" w:cs="Calibri Light"/>
          <w:i/>
          <w:iCs/>
          <w:lang w:val="id-ID"/>
        </w:rPr>
      </w:pPr>
    </w:p>
    <w:p w14:paraId="5A58C1AB" w14:textId="77777777" w:rsidR="00F1027C" w:rsidRPr="00122F5F" w:rsidRDefault="00F1027C" w:rsidP="0095288D">
      <w:pPr>
        <w:rPr>
          <w:rFonts w:ascii="Calibri Light" w:hAnsi="Calibri Light" w:cs="Calibri Light"/>
          <w:b/>
          <w:bCs/>
          <w:sz w:val="24"/>
          <w:szCs w:val="24"/>
          <w:lang w:val="id-ID"/>
        </w:rPr>
      </w:pPr>
    </w:p>
    <w:p w14:paraId="1A0AB023"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27140196" w14:textId="77777777" w:rsidR="0090631F" w:rsidRPr="0090631F" w:rsidRDefault="0090631F" w:rsidP="0090631F">
      <w:pPr>
        <w:spacing w:before="120" w:after="120"/>
        <w:ind w:left="426"/>
        <w:jc w:val="both"/>
        <w:rPr>
          <w:rFonts w:ascii="Calibri Light" w:hAnsi="Calibri Light" w:cs="Calibri Light"/>
          <w:sz w:val="24"/>
          <w:szCs w:val="24"/>
          <w:lang w:val="en-GB"/>
        </w:rPr>
      </w:pPr>
      <w:commentRangeStart w:id="2"/>
      <w:r w:rsidRPr="0090631F">
        <w:rPr>
          <w:rFonts w:ascii="Calibri Light" w:hAnsi="Calibri Light" w:cs="Calibri Light"/>
          <w:sz w:val="24"/>
          <w:szCs w:val="24"/>
          <w:lang w:val="en-GB"/>
        </w:rPr>
        <w:t>The issue of ensuring national security is among the critical factors for the stable development of any state</w:t>
      </w:r>
      <w:commentRangeEnd w:id="2"/>
      <w:r w:rsidR="0042403D">
        <w:rPr>
          <w:rStyle w:val="CommentReference"/>
        </w:rPr>
        <w:commentReference w:id="2"/>
      </w:r>
      <w:r w:rsidRPr="0090631F">
        <w:rPr>
          <w:rFonts w:ascii="Calibri Light" w:hAnsi="Calibri Light" w:cs="Calibri Light"/>
          <w:sz w:val="24"/>
          <w:szCs w:val="24"/>
          <w:lang w:val="en-GB"/>
        </w:rPr>
        <w:t xml:space="preserve">, as a well-structured national security policy guarantees sovereignty, territorial integrity, and the protection of citizens. Considering current globalisation trends, geopolitical shifts, and military challenges, the legal regulation of this sphere has become particularly relevant and vital. Law serves as a mechanism for addressing internal and external threats and as a crucial tool for shaping national security strategies, enabling state institutions to adapt to uncertain and complex realities </w:t>
      </w:r>
      <w:r w:rsidRPr="0090631F">
        <w:rPr>
          <w:rFonts w:ascii="Calibri Light" w:hAnsi="Calibri Light" w:cs="Calibri Light"/>
          <w:sz w:val="24"/>
          <w:szCs w:val="24"/>
        </w:rPr>
        <w:t>[1]</w:t>
      </w:r>
      <w:r w:rsidRPr="0090631F">
        <w:rPr>
          <w:rFonts w:ascii="Calibri Light" w:hAnsi="Calibri Light" w:cs="Calibri Light"/>
          <w:sz w:val="24"/>
          <w:szCs w:val="24"/>
          <w:lang w:val="en-GB"/>
        </w:rPr>
        <w:t>.</w:t>
      </w:r>
    </w:p>
    <w:p w14:paraId="458DAD49" w14:textId="77777777" w:rsid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Amid the Russian armed aggression, the legal assurance of Ukraine’s national security has become a vital topic in contemporary academic discourse. In Ukraine, the need to update the regulatory framework by international law standards and to adapt the institutional structure of the security and defence sector to the Euro-Atlantic space has become evident. Additionally, it is essential to acknowledge that the national security system is multi-faceted, manifesting itself across various spheres of social life. Its foundation comprises a series of regulatory acts that, in synthesis, should effectively govern national security [2; 3].</w:t>
      </w:r>
    </w:p>
    <w:p w14:paraId="673DA288" w14:textId="77777777" w:rsid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However, in Ukraine, the legal regulation of these aspects does not fully encompass all dimensions of national security. Moreover, the essence and role of the public-legal instrument in ensuring national security cannot be comprehended without a thorough examination of legal norms. Consequently, contemporary national security challenges necessitate effective legal regulation to adapt the country to dynamic changes.</w:t>
      </w:r>
    </w:p>
    <w:p w14:paraId="4291338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Contemporary academic literature has analysed various trends in ensuring national security under current conditions. Defining the term itself is a key issue in shaping the fundamental legal principles of national security, which is inevitably correlated with its standardisation. According to scholarly research, the phenomenon of national security formally emerged with the establishment of the first states. Such a concept of national security is referred to by researchers as primitive or rudimentary [2]. This definition differs somewhat from the modern interpretation.</w:t>
      </w:r>
    </w:p>
    <w:p w14:paraId="57722F4F"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In academic discourse, it is generally accepted that national security corresponds to a specific state of protection of a country’s sovereignty, territorial integrity, democratic order, and environment from any internal or external threats [4; 5]. Consequently, it </w:t>
      </w:r>
      <w:r w:rsidRPr="0090631F">
        <w:rPr>
          <w:rFonts w:ascii="Calibri Light" w:hAnsi="Calibri Light" w:cs="Calibri Light"/>
          <w:sz w:val="24"/>
          <w:szCs w:val="24"/>
          <w:lang w:val="en-GB"/>
        </w:rPr>
        <w:lastRenderedPageBreak/>
        <w:t xml:space="preserve">comprises various components aimed at preventing and neutralising contemporary challenges. Furthermore, Kostka et al. argue that national security also seeks to ensure the sustainable development of society and the state [6]. According to </w:t>
      </w:r>
      <w:proofErr w:type="spellStart"/>
      <w:r w:rsidRPr="0090631F">
        <w:rPr>
          <w:rFonts w:ascii="Calibri Light" w:hAnsi="Calibri Light" w:cs="Calibri Light"/>
          <w:sz w:val="24"/>
          <w:szCs w:val="24"/>
          <w:lang w:val="en-GB"/>
        </w:rPr>
        <w:t>Pylypchuk</w:t>
      </w:r>
      <w:proofErr w:type="spellEnd"/>
      <w:r w:rsidRPr="0090631F">
        <w:rPr>
          <w:rFonts w:ascii="Calibri Light" w:hAnsi="Calibri Light" w:cs="Calibri Light"/>
          <w:sz w:val="24"/>
          <w:szCs w:val="24"/>
          <w:lang w:val="en-GB"/>
        </w:rPr>
        <w:t xml:space="preserve"> et al., national security law is considered an independent branch of law that plays a direct societal role in the legal framework for national security [7].</w:t>
      </w:r>
    </w:p>
    <w:p w14:paraId="528DDA2A"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Most contemporary scholars have highlighted the emergence of cyber threats within the national security system, focusing on adopting innovative solutions to address these challenges. For instance, Fatima et al. emphasised the application of artificial intelligence in the sustainable development of states and societies [8]. Gerke et al. identified specific ethical and legal aspects of artificial intelligence deployment [9]. </w:t>
      </w:r>
      <w:proofErr w:type="spellStart"/>
      <w:r w:rsidRPr="0090631F">
        <w:rPr>
          <w:rFonts w:ascii="Calibri Light" w:hAnsi="Calibri Light" w:cs="Calibri Light"/>
          <w:sz w:val="24"/>
          <w:szCs w:val="24"/>
          <w:lang w:val="en-GB"/>
        </w:rPr>
        <w:t>Hubanova</w:t>
      </w:r>
      <w:proofErr w:type="spellEnd"/>
      <w:r w:rsidRPr="0090631F">
        <w:rPr>
          <w:rFonts w:ascii="Calibri Light" w:hAnsi="Calibri Light" w:cs="Calibri Light"/>
          <w:sz w:val="24"/>
          <w:szCs w:val="24"/>
          <w:lang w:val="en-GB"/>
        </w:rPr>
        <w:t xml:space="preserve"> et al. highlighted the importance of using information technologies to ensure the effective functioning of the security sector [10]. Li and Liu recognised cybersecurity as a critical element of modern security [11]. With the rapid growth of digital technologies and hybrid warfare tactics, cybersecurity has become integral to contemporary national security. It encompasses a set of measures and technologies to protect computer networks and software data from attacks, destruction, or theft.</w:t>
      </w:r>
    </w:p>
    <w:p w14:paraId="26F76FC0" w14:textId="77777777" w:rsidR="0090631F" w:rsidRPr="0090631F" w:rsidRDefault="0090631F" w:rsidP="0090631F">
      <w:pPr>
        <w:spacing w:before="120" w:after="120"/>
        <w:ind w:left="426"/>
        <w:jc w:val="both"/>
        <w:rPr>
          <w:rFonts w:ascii="Calibri Light" w:hAnsi="Calibri Light" w:cs="Calibri Light"/>
          <w:sz w:val="24"/>
          <w:szCs w:val="24"/>
          <w:lang w:val="en-GB"/>
        </w:rPr>
      </w:pPr>
      <w:proofErr w:type="spellStart"/>
      <w:r w:rsidRPr="0090631F">
        <w:rPr>
          <w:rFonts w:ascii="Calibri Light" w:hAnsi="Calibri Light" w:cs="Calibri Light"/>
          <w:sz w:val="24"/>
          <w:szCs w:val="24"/>
          <w:lang w:val="en-GB"/>
        </w:rPr>
        <w:t>Pylypchuk</w:t>
      </w:r>
      <w:proofErr w:type="spellEnd"/>
      <w:r w:rsidRPr="0090631F">
        <w:rPr>
          <w:rFonts w:ascii="Calibri Light" w:hAnsi="Calibri Light" w:cs="Calibri Light"/>
          <w:sz w:val="24"/>
          <w:szCs w:val="24"/>
          <w:lang w:val="en-GB"/>
        </w:rPr>
        <w:t xml:space="preserve"> et al. [7] indicated that the legal content of the national security phenomenon is articulated within national security law, serving as a cornerstone in the development of legal science under the challenging conditions shaped by Russian aggression against Ukraine and specific crisis processes in the international security framework. The authors also described the unique characteristics of national security law as a vital domain of the national legal system [7].</w:t>
      </w:r>
    </w:p>
    <w:p w14:paraId="7D86E134" w14:textId="77777777" w:rsidR="0090631F" w:rsidRPr="0090631F" w:rsidRDefault="0090631F" w:rsidP="0090631F">
      <w:pPr>
        <w:spacing w:before="120" w:after="120"/>
        <w:ind w:left="426"/>
        <w:jc w:val="both"/>
        <w:rPr>
          <w:rFonts w:ascii="Calibri Light" w:hAnsi="Calibri Light" w:cs="Calibri Light"/>
          <w:sz w:val="24"/>
          <w:szCs w:val="24"/>
          <w:lang w:val="en-GB"/>
        </w:rPr>
      </w:pPr>
      <w:proofErr w:type="spellStart"/>
      <w:r w:rsidRPr="0090631F">
        <w:rPr>
          <w:rFonts w:ascii="Calibri Light" w:hAnsi="Calibri Light" w:cs="Calibri Light"/>
          <w:sz w:val="24"/>
          <w:szCs w:val="24"/>
          <w:lang w:val="en-GB"/>
        </w:rPr>
        <w:t>Alguliyev</w:t>
      </w:r>
      <w:proofErr w:type="spellEnd"/>
      <w:r w:rsidRPr="0090631F">
        <w:rPr>
          <w:rFonts w:ascii="Calibri Light" w:hAnsi="Calibri Light" w:cs="Calibri Light"/>
          <w:sz w:val="24"/>
          <w:szCs w:val="24"/>
          <w:lang w:val="en-GB"/>
        </w:rPr>
        <w:t xml:space="preserve"> et al. demonstrated that information security is crucial to national security, ensuring protection from manipulation, cyber threats, and access to reliable information [12]. Contemporary scholars have established that social communications reflect national interests, typically considered the primary interests protected by law [13; 14]. Influenced by national security legislation, these communications acquire the characteristics of legal strategic communications [12]. At the same time, the integrative features of national security law are demonstrated through its interaction with military law and international security law. The introduction of specialised academic disciplines aligns with national security law development priorities, addressing both organisational measures and ideological struggles that are vital for securing Ukraine’s national security on the humanitarian front.</w:t>
      </w:r>
    </w:p>
    <w:p w14:paraId="3A7A7A8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Cultural and humanitarian security contributes to preserving national identity in the face of current challenges. Other significant dimensions of national security include economic, social, and political factors. Political security fosters the stability of the political system and protects sovereignty and state institutions. Meanwhile, during crises, the stability of the economic system, protection of strategic resources, and establishment of financial resilience are crucial [15].</w:t>
      </w:r>
    </w:p>
    <w:p w14:paraId="07BB89F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Considering these dimensions collectively promotes the stable functioning of the security sector. The legal framework for national security corresponds to the complex process of establishing and maintaining normative and functional aspects of the national security system within constructive organisations [16]. The multiplicity of systemic elements in </w:t>
      </w:r>
      <w:r w:rsidRPr="0090631F">
        <w:rPr>
          <w:rFonts w:ascii="Calibri Light" w:hAnsi="Calibri Light" w:cs="Calibri Light"/>
          <w:sz w:val="24"/>
          <w:szCs w:val="24"/>
          <w:lang w:val="en-GB"/>
        </w:rPr>
        <w:lastRenderedPageBreak/>
        <w:t>national security underscores its multi-layered and complex nature, further highlighting the relevance of this topic.</w:t>
      </w:r>
    </w:p>
    <w:p w14:paraId="40A80140" w14:textId="77777777" w:rsidR="0090631F" w:rsidRPr="0090631F" w:rsidRDefault="0090631F" w:rsidP="0090631F">
      <w:pPr>
        <w:spacing w:before="120" w:after="120"/>
        <w:ind w:left="426"/>
        <w:jc w:val="both"/>
        <w:rPr>
          <w:rFonts w:ascii="Calibri Light" w:hAnsi="Calibri Light" w:cs="Calibri Light"/>
          <w:sz w:val="24"/>
          <w:szCs w:val="24"/>
          <w:lang w:val="en-GB"/>
        </w:rPr>
      </w:pPr>
      <w:commentRangeStart w:id="3"/>
      <w:r w:rsidRPr="0090631F">
        <w:rPr>
          <w:rFonts w:ascii="Calibri Light" w:hAnsi="Calibri Light" w:cs="Calibri Light"/>
          <w:sz w:val="24"/>
          <w:szCs w:val="24"/>
          <w:lang w:val="en-GB"/>
        </w:rPr>
        <w:t>As the literature review indicates, the legal regulation of the national security sector requires additional study</w:t>
      </w:r>
      <w:commentRangeEnd w:id="3"/>
      <w:r w:rsidR="008166BA">
        <w:rPr>
          <w:rStyle w:val="CommentReference"/>
        </w:rPr>
        <w:commentReference w:id="3"/>
      </w:r>
      <w:r w:rsidRPr="0090631F">
        <w:rPr>
          <w:rFonts w:ascii="Calibri Light" w:hAnsi="Calibri Light" w:cs="Calibri Light"/>
          <w:sz w:val="24"/>
          <w:szCs w:val="24"/>
          <w:lang w:val="en-GB"/>
        </w:rPr>
        <w:t>. Contemporary researchers focus on practical measures for ensuring national security, with legal regulation remaining peripheral in scholarly discourse. Moreover, given emerging challenges and technologies, it is essential to characterise the current issues influencing the regulatory process of Ukraine’s national security. This study aims to address these gaps, identifying key challenges and strategies within the regulatory framework for national security.</w:t>
      </w:r>
    </w:p>
    <w:p w14:paraId="0844C327"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Research Problem</w:t>
      </w:r>
    </w:p>
    <w:p w14:paraId="50FF6CE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primary research problem lies in the lack of coherence among regulatory acts and institutional fragmentation within the security sector, observed in many states, including Ukraine. This situation generates additional risks for effectively responding to threats and generally lowers the state’s security level. Therefore, the research problem involves analysing the key strategies and challenges of legal regulation of Ukraine’s national security through the lens of current legal transformations and broader European trends.</w:t>
      </w:r>
    </w:p>
    <w:p w14:paraId="7201F3E5"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Research Focus</w:t>
      </w:r>
    </w:p>
    <w:p w14:paraId="4FF67C72"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study analyses challenges that threaten national security operations within the framework of local and global transformations. Furthermore, it examines existing legal mechanisms for regulating national security in Ukraine and other states. Ultimately, the research will present proposals for optimising the regulatory framework.</w:t>
      </w:r>
    </w:p>
    <w:p w14:paraId="3E10FCC1"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Research Objectives</w:t>
      </w:r>
    </w:p>
    <w:p w14:paraId="2CBD3BB3"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study aims to identify and analyse the main issues in the legal regulation of Ukraine’s national security sector amidst Russian aggression, assess current strategies for national security formation, and formulate key recommendations for optimising the regulatory framework.</w:t>
      </w:r>
    </w:p>
    <w:p w14:paraId="72A815B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research objectives are as follows:</w:t>
      </w:r>
    </w:p>
    <w:p w14:paraId="35562FED" w14:textId="77777777" w:rsidR="0090631F" w:rsidRPr="0090631F" w:rsidRDefault="0090631F" w:rsidP="0090631F">
      <w:pPr>
        <w:numPr>
          <w:ilvl w:val="0"/>
          <w:numId w:val="31"/>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To describe the main challenges within the current national security system.</w:t>
      </w:r>
    </w:p>
    <w:p w14:paraId="46796925" w14:textId="77777777" w:rsidR="0090631F" w:rsidRPr="0090631F" w:rsidRDefault="0090631F" w:rsidP="0090631F">
      <w:pPr>
        <w:numPr>
          <w:ilvl w:val="0"/>
          <w:numId w:val="31"/>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To evaluate the effectiveness of the existing legal framework for regulating national security in Ukraine and conduct a comprehensive comparative analysis with the experiences of other leading countries.</w:t>
      </w:r>
    </w:p>
    <w:p w14:paraId="3AC3864F" w14:textId="77777777" w:rsidR="0090631F" w:rsidRPr="0090631F" w:rsidRDefault="0090631F" w:rsidP="0090631F">
      <w:pPr>
        <w:numPr>
          <w:ilvl w:val="0"/>
          <w:numId w:val="31"/>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To formulate specific recommendations for improving legal mechanisms and strategies for ensuring national security.</w:t>
      </w:r>
    </w:p>
    <w:p w14:paraId="7A0464AE"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Research Hypotheses</w:t>
      </w:r>
    </w:p>
    <w:p w14:paraId="15975B3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This study will test the following hypotheses:</w:t>
      </w:r>
    </w:p>
    <w:p w14:paraId="6A929442" w14:textId="77777777" w:rsidR="0090631F" w:rsidRPr="0090631F" w:rsidRDefault="0090631F" w:rsidP="0090631F">
      <w:pPr>
        <w:spacing w:before="120" w:after="120"/>
        <w:ind w:left="426"/>
        <w:jc w:val="both"/>
        <w:rPr>
          <w:rFonts w:ascii="Calibri Light" w:hAnsi="Calibri Light" w:cs="Calibri Light"/>
          <w:sz w:val="24"/>
          <w:szCs w:val="24"/>
          <w:lang w:val="en-GB"/>
        </w:rPr>
      </w:pPr>
      <w:commentRangeStart w:id="4"/>
      <w:r w:rsidRPr="0090631F">
        <w:rPr>
          <w:rFonts w:ascii="Calibri Light" w:hAnsi="Calibri Light" w:cs="Calibri Light"/>
          <w:b/>
          <w:sz w:val="24"/>
          <w:szCs w:val="24"/>
          <w:lang w:val="en-GB"/>
        </w:rPr>
        <w:t>H1</w:t>
      </w:r>
      <w:r w:rsidRPr="0090631F">
        <w:rPr>
          <w:rFonts w:ascii="Calibri Light" w:hAnsi="Calibri Light" w:cs="Calibri Light"/>
          <w:sz w:val="24"/>
          <w:szCs w:val="24"/>
          <w:lang w:val="en-GB"/>
        </w:rPr>
        <w:t>: The effectiveness of the legal regulation of the national security sector depends on adapting the current legal framework to contemporary challenges (cybercrime, hybrid threats, terrorism).</w:t>
      </w:r>
    </w:p>
    <w:p w14:paraId="144E94ED"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b/>
          <w:sz w:val="24"/>
          <w:szCs w:val="24"/>
          <w:lang w:val="en-GB"/>
        </w:rPr>
        <w:lastRenderedPageBreak/>
        <w:t>H2</w:t>
      </w:r>
      <w:r w:rsidRPr="0090631F">
        <w:rPr>
          <w:rFonts w:ascii="Calibri Light" w:hAnsi="Calibri Light" w:cs="Calibri Light"/>
          <w:sz w:val="24"/>
          <w:szCs w:val="24"/>
          <w:lang w:val="en-GB"/>
        </w:rPr>
        <w:t xml:space="preserve">: Applying </w:t>
      </w:r>
      <w:commentRangeEnd w:id="4"/>
      <w:r w:rsidR="007B0729">
        <w:rPr>
          <w:rStyle w:val="CommentReference"/>
        </w:rPr>
        <w:commentReference w:id="4"/>
      </w:r>
      <w:r w:rsidRPr="0090631F">
        <w:rPr>
          <w:rFonts w:ascii="Calibri Light" w:hAnsi="Calibri Light" w:cs="Calibri Light"/>
          <w:sz w:val="24"/>
          <w:szCs w:val="24"/>
          <w:lang w:val="en-GB"/>
        </w:rPr>
        <w:t>a systemic approach that combines preventive, reactive, and adaptive measures in legal regulation will contribute to optimising the state’s security level.</w:t>
      </w:r>
    </w:p>
    <w:p w14:paraId="25B3FF9F"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0562411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This review study enables a detailed analysis of Ukraine’s current realities and the examination of specific cases of legal regulation aimed at strengthening national security. Ukraine is developing and implementing various strategies for regulating national security in response to contemporary challenges. This approach contributes to a comprehensive understanding of the complex and heterogeneous processes involved in legal security provisions, situating Ukraine within both local and global trends.</w:t>
      </w:r>
    </w:p>
    <w:p w14:paraId="2567F06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This study emphasises the formation of a sample comprising various sources addressing key aspects of national security. The selected materials include legislative acts, strategies, and doctrines related to Ukraine’s national security, monographs, articles, conference materials, book chapters, and analytical reports.</w:t>
      </w:r>
    </w:p>
    <w:p w14:paraId="1F7DE86C"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Searching Strategy</w:t>
      </w:r>
    </w:p>
    <w:p w14:paraId="3C4A44A3"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focus was placed on studies addressing the legal aspects of security regulation, adaptation processes to current threats, and the impact of war on the legal and security sectors. Sources were required to meet specific criteria. Firstly, all sources had to be substantively related to legal regulation in the security sector and published after 2014, marking the onset of the war (with an emphasis on literature published post-2022). The primary analysis was based on sources examining the situation in Ukraine. Another criterion specified that the sources must include analyses and recommendations about the regulation of the national security sector. While the main focus remained on Ukraine’s realities, no strict geographical limitation was imposed. The research included works by various authors focusing on Ukraine, the EU, and the United States.</w:t>
      </w:r>
    </w:p>
    <w:p w14:paraId="0837ED0C"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Data Collection</w:t>
      </w:r>
    </w:p>
    <w:p w14:paraId="648D91F1"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PRISMA approach was employed to ensure a meticulous identification and collection of the most relevant materials (Figure 1). Initially, the search targeted academic databases such as Scopus, Web of Science, and Google Scholar. Key terms included national security, strategies, security provisions, security sector, legal acts, legal regulation, Ukraine, EU countries, USA, war, information warfare, hybrid warfare, and cybersecurity. This search resulted in 9,789 entries. Duplicate records (-4,523) and irrelevant materials identified through automation (-1,289) were removed. Further, non-relevant studies were excluded based on their titles and abstracts (1,745).</w:t>
      </w:r>
    </w:p>
    <w:p w14:paraId="2624A750"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inclusion criteria for the remaining sources were:</w:t>
      </w:r>
    </w:p>
    <w:p w14:paraId="67337CF4"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The study pertains to Ukrainian realities or national security in EU countries, the USA, or nations affected by military conflicts.</w:t>
      </w:r>
    </w:p>
    <w:p w14:paraId="3D4D9520"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A substantive connection to issues of legal regulation in the security sector.</w:t>
      </w:r>
    </w:p>
    <w:p w14:paraId="645EC976"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Publication date range: 2020–2024.</w:t>
      </w:r>
    </w:p>
    <w:p w14:paraId="23638FBB"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Language of publication: English (Ukrainian sources were included where English summaries were available).</w:t>
      </w:r>
    </w:p>
    <w:p w14:paraId="3D8DC6EF" w14:textId="75C27C64" w:rsidR="0090631F" w:rsidRPr="0090631F" w:rsidRDefault="009C6E41" w:rsidP="0090631F">
      <w:pPr>
        <w:spacing w:before="120" w:after="120"/>
        <w:ind w:left="426"/>
        <w:jc w:val="both"/>
        <w:rPr>
          <w:rFonts w:ascii="Calibri Light" w:hAnsi="Calibri Light" w:cs="Calibri Light"/>
          <w:sz w:val="24"/>
          <w:szCs w:val="24"/>
          <w:lang w:val="uk-UA"/>
        </w:rPr>
      </w:pPr>
      <w:r w:rsidRPr="0090631F">
        <w:rPr>
          <w:rFonts w:ascii="Calibri Light" w:hAnsi="Calibri Light" w:cs="Calibri Light"/>
          <w:noProof/>
          <w:sz w:val="24"/>
          <w:szCs w:val="24"/>
        </w:rPr>
        <w:lastRenderedPageBreak/>
        <mc:AlternateContent>
          <mc:Choice Requires="wpg">
            <w:drawing>
              <wp:inline distT="0" distB="0" distL="0" distR="0" wp14:anchorId="5E9264F7" wp14:editId="66DE35CA">
                <wp:extent cx="4733925" cy="5324475"/>
                <wp:effectExtent l="0" t="1905" r="635" b="7620"/>
                <wp:docPr id="1729428808" name="Группа 1605666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3925" cy="5324475"/>
                          <a:chOff x="2886025" y="1111400"/>
                          <a:chExt cx="4833300" cy="5337200"/>
                        </a:xfrm>
                      </wpg:grpSpPr>
                      <wpg:grpSp>
                        <wpg:cNvPr id="243277922" name="Группа 1"/>
                        <wpg:cNvGrpSpPr>
                          <a:grpSpLocks/>
                        </wpg:cNvGrpSpPr>
                        <wpg:grpSpPr bwMode="auto">
                          <a:xfrm>
                            <a:off x="2979038" y="1117763"/>
                            <a:ext cx="4733925" cy="5324475"/>
                            <a:chOff x="0" y="0"/>
                            <a:chExt cx="4335482" cy="5336540"/>
                          </a:xfrm>
                        </wpg:grpSpPr>
                        <wps:wsp>
                          <wps:cNvPr id="320960271" name="Прямоугольник 2"/>
                          <wps:cNvSpPr>
                            <a:spLocks noChangeArrowheads="1"/>
                          </wps:cNvSpPr>
                          <wps:spPr bwMode="auto">
                            <a:xfrm>
                              <a:off x="0" y="0"/>
                              <a:ext cx="4335475" cy="533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21DBD" w14:textId="77777777" w:rsidR="00ED1C84" w:rsidRDefault="00ED1C84" w:rsidP="0090631F">
                                <w:pPr>
                                  <w:textDirection w:val="btLr"/>
                                </w:pPr>
                              </w:p>
                            </w:txbxContent>
                          </wps:txbx>
                          <wps:bodyPr rot="0" vert="horz" wrap="square" lIns="91425" tIns="91425" rIns="91425" bIns="91425" anchor="ctr" anchorCtr="0" upright="1">
                            <a:noAutofit/>
                          </wps:bodyPr>
                        </wps:wsp>
                        <wps:wsp>
                          <wps:cNvPr id="1924792013" name="Прямоугольник 3"/>
                          <wps:cNvSpPr>
                            <a:spLocks noChangeArrowheads="1"/>
                          </wps:cNvSpPr>
                          <wps:spPr bwMode="auto">
                            <a:xfrm>
                              <a:off x="2676525" y="2686050"/>
                              <a:ext cx="1658957"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F2221AB" w14:textId="77777777" w:rsidR="00ED1C84" w:rsidRDefault="00ED1C84" w:rsidP="0090631F">
                                <w:pPr>
                                  <w:spacing w:line="258" w:lineRule="auto"/>
                                  <w:textDirection w:val="btLr"/>
                                </w:pPr>
                                <w:r>
                                  <w:rPr>
                                    <w:rFonts w:ascii="Arial" w:hAnsi="Arial" w:cs="Arial"/>
                                    <w:color w:val="000000"/>
                                    <w:sz w:val="18"/>
                                  </w:rPr>
                                  <w:t>Reports not retrieved</w:t>
                                </w:r>
                              </w:p>
                              <w:p w14:paraId="5B72A6C3" w14:textId="77777777" w:rsidR="00ED1C84" w:rsidRDefault="00ED1C84" w:rsidP="0090631F">
                                <w:pPr>
                                  <w:spacing w:line="258" w:lineRule="auto"/>
                                  <w:textDirection w:val="btLr"/>
                                </w:pPr>
                                <w:r>
                                  <w:rPr>
                                    <w:rFonts w:ascii="Arial" w:hAnsi="Arial" w:cs="Arial"/>
                                    <w:color w:val="000000"/>
                                    <w:sz w:val="18"/>
                                  </w:rPr>
                                  <w:t>(n = 321)</w:t>
                                </w:r>
                              </w:p>
                            </w:txbxContent>
                          </wps:txbx>
                          <wps:bodyPr rot="0" vert="horz" wrap="square" lIns="91425" tIns="45700" rIns="91425" bIns="45700" anchor="ctr" anchorCtr="0" upright="1">
                            <a:noAutofit/>
                          </wps:bodyPr>
                        </wps:wsp>
                        <wpg:grpSp>
                          <wpg:cNvPr id="1967994298" name="Группа 4"/>
                          <wpg:cNvGrpSpPr>
                            <a:grpSpLocks/>
                          </wpg:cNvGrpSpPr>
                          <wpg:grpSpPr bwMode="auto">
                            <a:xfrm>
                              <a:off x="0" y="0"/>
                              <a:ext cx="4324668" cy="5336540"/>
                              <a:chOff x="0" y="1"/>
                              <a:chExt cx="4844575" cy="5856129"/>
                            </a:xfrm>
                          </wpg:grpSpPr>
                          <wps:wsp>
                            <wps:cNvPr id="1832709556" name="Прямоугольник 5"/>
                            <wps:cNvSpPr>
                              <a:spLocks noChangeArrowheads="1"/>
                            </wps:cNvSpPr>
                            <wps:spPr bwMode="auto">
                              <a:xfrm>
                                <a:off x="457041" y="361950"/>
                                <a:ext cx="1887220" cy="124333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7905824" w14:textId="77777777" w:rsidR="00ED1C84" w:rsidRDefault="00ED1C84" w:rsidP="0090631F">
                                  <w:pPr>
                                    <w:spacing w:line="258" w:lineRule="auto"/>
                                    <w:textDirection w:val="btLr"/>
                                  </w:pPr>
                                  <w:r>
                                    <w:rPr>
                                      <w:rFonts w:ascii="Arial" w:hAnsi="Arial" w:cs="Arial"/>
                                      <w:color w:val="000000"/>
                                      <w:sz w:val="18"/>
                                    </w:rPr>
                                    <w:t>Records identified from:</w:t>
                                  </w:r>
                                </w:p>
                                <w:p w14:paraId="479209A9" w14:textId="77777777" w:rsidR="00ED1C84" w:rsidRDefault="00ED1C84" w:rsidP="0090631F">
                                  <w:pPr>
                                    <w:spacing w:line="258" w:lineRule="auto"/>
                                    <w:ind w:left="283" w:firstLine="283"/>
                                    <w:textDirection w:val="btLr"/>
                                  </w:pPr>
                                  <w:r>
                                    <w:rPr>
                                      <w:rFonts w:ascii="Arial" w:hAnsi="Arial" w:cs="Arial"/>
                                      <w:color w:val="000000"/>
                                      <w:sz w:val="18"/>
                                    </w:rPr>
                                    <w:t>Databases (n = 9789)</w:t>
                                  </w:r>
                                </w:p>
                                <w:p w14:paraId="48897528" w14:textId="77777777" w:rsidR="00ED1C84" w:rsidRDefault="00ED1C84" w:rsidP="0090631F">
                                  <w:pPr>
                                    <w:spacing w:line="258" w:lineRule="auto"/>
                                    <w:ind w:left="283" w:firstLine="283"/>
                                    <w:textDirection w:val="btLr"/>
                                  </w:pPr>
                                </w:p>
                              </w:txbxContent>
                            </wps:txbx>
                            <wps:bodyPr rot="0" vert="horz" wrap="square" lIns="91425" tIns="45700" rIns="91425" bIns="45700" anchor="ctr" anchorCtr="0" upright="1">
                              <a:noAutofit/>
                            </wps:bodyPr>
                          </wps:wsp>
                          <wps:wsp>
                            <wps:cNvPr id="850331080" name="Прямоугольник 6"/>
                            <wps:cNvSpPr>
                              <a:spLocks noChangeArrowheads="1"/>
                            </wps:cNvSpPr>
                            <wps:spPr bwMode="auto">
                              <a:xfrm>
                                <a:off x="2938088" y="361929"/>
                                <a:ext cx="1887220" cy="1508232"/>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693ABB7" w14:textId="77777777" w:rsidR="00ED1C84" w:rsidRDefault="00ED1C84" w:rsidP="0090631F">
                                  <w:pPr>
                                    <w:spacing w:line="258" w:lineRule="auto"/>
                                    <w:textDirection w:val="btLr"/>
                                  </w:pPr>
                                  <w:r>
                                    <w:rPr>
                                      <w:rFonts w:ascii="Arial" w:hAnsi="Arial" w:cs="Arial"/>
                                      <w:color w:val="000000"/>
                                      <w:sz w:val="18"/>
                                    </w:rPr>
                                    <w:t xml:space="preserve">Records removed </w:t>
                                  </w:r>
                                  <w:r>
                                    <w:rPr>
                                      <w:rFonts w:ascii="Arial" w:hAnsi="Arial" w:cs="Arial"/>
                                      <w:i/>
                                      <w:color w:val="000000"/>
                                      <w:sz w:val="18"/>
                                    </w:rPr>
                                    <w:t>before screening</w:t>
                                  </w:r>
                                  <w:r>
                                    <w:rPr>
                                      <w:rFonts w:ascii="Arial" w:hAnsi="Arial" w:cs="Arial"/>
                                      <w:color w:val="000000"/>
                                      <w:sz w:val="18"/>
                                    </w:rPr>
                                    <w:t>:</w:t>
                                  </w:r>
                                </w:p>
                                <w:p w14:paraId="1A2F8EAF" w14:textId="77777777" w:rsidR="00ED1C84" w:rsidRDefault="00ED1C84" w:rsidP="0090631F">
                                  <w:pPr>
                                    <w:spacing w:line="258" w:lineRule="auto"/>
                                    <w:ind w:left="283" w:firstLine="283"/>
                                    <w:textDirection w:val="btLr"/>
                                  </w:pPr>
                                  <w:r>
                                    <w:rPr>
                                      <w:rFonts w:ascii="Arial" w:hAnsi="Arial" w:cs="Arial"/>
                                      <w:color w:val="000000"/>
                                      <w:sz w:val="18"/>
                                    </w:rPr>
                                    <w:t xml:space="preserve">Duplicate removed </w:t>
                                  </w:r>
                                </w:p>
                                <w:p w14:paraId="2D818526" w14:textId="77777777" w:rsidR="00ED1C84" w:rsidRDefault="00ED1C84" w:rsidP="0090631F">
                                  <w:pPr>
                                    <w:spacing w:line="258" w:lineRule="auto"/>
                                    <w:ind w:left="283" w:firstLine="283"/>
                                    <w:textDirection w:val="btLr"/>
                                  </w:pPr>
                                  <w:r>
                                    <w:rPr>
                                      <w:rFonts w:ascii="Arial" w:hAnsi="Arial" w:cs="Arial"/>
                                      <w:color w:val="000000"/>
                                      <w:sz w:val="18"/>
                                    </w:rPr>
                                    <w:t xml:space="preserve"> (n = 4523)</w:t>
                                  </w:r>
                                </w:p>
                                <w:p w14:paraId="5CDDD7C6" w14:textId="77777777" w:rsidR="00ED1C84" w:rsidRDefault="00ED1C84" w:rsidP="0090631F">
                                  <w:pPr>
                                    <w:spacing w:line="258" w:lineRule="auto"/>
                                    <w:ind w:left="283" w:firstLine="283"/>
                                    <w:textDirection w:val="btLr"/>
                                  </w:pPr>
                                  <w:r>
                                    <w:rPr>
                                      <w:rFonts w:ascii="Arial" w:hAnsi="Arial" w:cs="Arial"/>
                                      <w:color w:val="000000"/>
                                      <w:sz w:val="18"/>
                                    </w:rPr>
                                    <w:t>Marked as ineligible by automation tools (n = 1289)</w:t>
                                  </w:r>
                                </w:p>
                                <w:p w14:paraId="45ABA005" w14:textId="77777777" w:rsidR="00ED1C84" w:rsidRDefault="00ED1C84" w:rsidP="0090631F">
                                  <w:pPr>
                                    <w:spacing w:line="258" w:lineRule="auto"/>
                                    <w:ind w:left="283" w:firstLine="283"/>
                                    <w:textDirection w:val="btLr"/>
                                  </w:pPr>
                                </w:p>
                              </w:txbxContent>
                            </wps:txbx>
                            <wps:bodyPr rot="0" vert="horz" wrap="square" lIns="91425" tIns="45700" rIns="91425" bIns="45700" anchor="ctr" anchorCtr="0" upright="1">
                              <a:noAutofit/>
                            </wps:bodyPr>
                          </wps:wsp>
                          <wps:wsp>
                            <wps:cNvPr id="2139676130" name="Прямоугольник 7"/>
                            <wps:cNvSpPr>
                              <a:spLocks noChangeArrowheads="1"/>
                            </wps:cNvSpPr>
                            <wps:spPr bwMode="auto">
                              <a:xfrm>
                                <a:off x="457041" y="1990725"/>
                                <a:ext cx="1887220"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3C8215A5" w14:textId="77777777" w:rsidR="00ED1C84" w:rsidRDefault="00ED1C84" w:rsidP="0090631F">
                                  <w:pPr>
                                    <w:spacing w:line="258" w:lineRule="auto"/>
                                    <w:textDirection w:val="btLr"/>
                                  </w:pPr>
                                  <w:r>
                                    <w:rPr>
                                      <w:rFonts w:ascii="Arial" w:hAnsi="Arial" w:cs="Arial"/>
                                      <w:color w:val="000000"/>
                                      <w:sz w:val="18"/>
                                    </w:rPr>
                                    <w:t>Records screened</w:t>
                                  </w:r>
                                </w:p>
                                <w:p w14:paraId="6585256B" w14:textId="77777777" w:rsidR="00ED1C84" w:rsidRDefault="00ED1C84" w:rsidP="0090631F">
                                  <w:pPr>
                                    <w:spacing w:line="258" w:lineRule="auto"/>
                                    <w:textDirection w:val="btLr"/>
                                  </w:pPr>
                                  <w:r>
                                    <w:rPr>
                                      <w:rFonts w:ascii="Arial" w:hAnsi="Arial" w:cs="Arial"/>
                                      <w:color w:val="000000"/>
                                      <w:sz w:val="18"/>
                                    </w:rPr>
                                    <w:t>(n = 3977)</w:t>
                                  </w:r>
                                </w:p>
                              </w:txbxContent>
                            </wps:txbx>
                            <wps:bodyPr rot="0" vert="horz" wrap="square" lIns="91425" tIns="45700" rIns="91425" bIns="45700" anchor="ctr" anchorCtr="0" upright="1">
                              <a:noAutofit/>
                            </wps:bodyPr>
                          </wps:wsp>
                          <wps:wsp>
                            <wps:cNvPr id="379360048" name="Прямоугольник 8"/>
                            <wps:cNvSpPr>
                              <a:spLocks noChangeArrowheads="1"/>
                            </wps:cNvSpPr>
                            <wps:spPr bwMode="auto">
                              <a:xfrm>
                                <a:off x="2947732" y="1990671"/>
                                <a:ext cx="1887220" cy="719192"/>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5E37DA51" w14:textId="77777777" w:rsidR="00ED1C84" w:rsidRDefault="00ED1C84" w:rsidP="0090631F">
                                  <w:pPr>
                                    <w:spacing w:line="258" w:lineRule="auto"/>
                                    <w:textDirection w:val="btLr"/>
                                  </w:pPr>
                                  <w:r>
                                    <w:rPr>
                                      <w:rFonts w:ascii="Arial" w:hAnsi="Arial" w:cs="Arial"/>
                                      <w:color w:val="000000"/>
                                      <w:sz w:val="18"/>
                                    </w:rPr>
                                    <w:t xml:space="preserve">Records excluded by analysis abstracts </w:t>
                                  </w:r>
                                </w:p>
                                <w:p w14:paraId="1FBF49F1" w14:textId="77777777" w:rsidR="00ED1C84" w:rsidRDefault="00ED1C84" w:rsidP="0090631F">
                                  <w:pPr>
                                    <w:spacing w:line="258" w:lineRule="auto"/>
                                    <w:textDirection w:val="btLr"/>
                                  </w:pPr>
                                  <w:r>
                                    <w:rPr>
                                      <w:rFonts w:ascii="Arial" w:hAnsi="Arial" w:cs="Arial"/>
                                      <w:color w:val="000000"/>
                                      <w:sz w:val="18"/>
                                    </w:rPr>
                                    <w:t>(n = 1745)</w:t>
                                  </w:r>
                                </w:p>
                              </w:txbxContent>
                            </wps:txbx>
                            <wps:bodyPr rot="0" vert="horz" wrap="square" lIns="91425" tIns="45700" rIns="91425" bIns="45700" anchor="ctr" anchorCtr="0" upright="1">
                              <a:noAutofit/>
                            </wps:bodyPr>
                          </wps:wsp>
                          <wps:wsp>
                            <wps:cNvPr id="2103797238" name="Прямоугольник 9"/>
                            <wps:cNvSpPr>
                              <a:spLocks noChangeArrowheads="1"/>
                            </wps:cNvSpPr>
                            <wps:spPr bwMode="auto">
                              <a:xfrm>
                                <a:off x="461804" y="2867025"/>
                                <a:ext cx="1887220"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5A7D1E57" w14:textId="77777777" w:rsidR="00ED1C84" w:rsidRDefault="00ED1C84" w:rsidP="0090631F">
                                  <w:pPr>
                                    <w:spacing w:line="258" w:lineRule="auto"/>
                                    <w:textDirection w:val="btLr"/>
                                  </w:pPr>
                                  <w:r>
                                    <w:rPr>
                                      <w:rFonts w:ascii="Arial" w:hAnsi="Arial" w:cs="Arial"/>
                                      <w:color w:val="000000"/>
                                      <w:sz w:val="18"/>
                                    </w:rPr>
                                    <w:t>Reports sought for retrieval</w:t>
                                  </w:r>
                                </w:p>
                                <w:p w14:paraId="0D01D01E" w14:textId="77777777" w:rsidR="00ED1C84" w:rsidRDefault="00ED1C84" w:rsidP="0090631F">
                                  <w:pPr>
                                    <w:spacing w:line="258" w:lineRule="auto"/>
                                    <w:textDirection w:val="btLr"/>
                                  </w:pPr>
                                  <w:r>
                                    <w:rPr>
                                      <w:rFonts w:ascii="Arial" w:hAnsi="Arial" w:cs="Arial"/>
                                      <w:color w:val="000000"/>
                                      <w:sz w:val="18"/>
                                    </w:rPr>
                                    <w:t>(n = 2232)</w:t>
                                  </w:r>
                                </w:p>
                              </w:txbxContent>
                            </wps:txbx>
                            <wps:bodyPr rot="0" vert="horz" wrap="square" lIns="91425" tIns="45700" rIns="91425" bIns="45700" anchor="ctr" anchorCtr="0" upright="1">
                              <a:noAutofit/>
                            </wps:bodyPr>
                          </wps:wsp>
                          <wps:wsp>
                            <wps:cNvPr id="1890165776" name="Прямоугольник 10"/>
                            <wps:cNvSpPr>
                              <a:spLocks noChangeArrowheads="1"/>
                            </wps:cNvSpPr>
                            <wps:spPr bwMode="auto">
                              <a:xfrm>
                                <a:off x="461804" y="3738563"/>
                                <a:ext cx="1887220"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3A7DB1A7" w14:textId="77777777" w:rsidR="00ED1C84" w:rsidRDefault="00ED1C84" w:rsidP="0090631F">
                                  <w:pPr>
                                    <w:spacing w:line="258" w:lineRule="auto"/>
                                    <w:textDirection w:val="btLr"/>
                                  </w:pPr>
                                  <w:r>
                                    <w:rPr>
                                      <w:rFonts w:ascii="Arial" w:hAnsi="Arial" w:cs="Arial"/>
                                      <w:color w:val="000000"/>
                                      <w:sz w:val="18"/>
                                    </w:rPr>
                                    <w:t>Reports assessed for eligibility</w:t>
                                  </w:r>
                                </w:p>
                                <w:p w14:paraId="03151CE1" w14:textId="77777777" w:rsidR="00ED1C84" w:rsidRDefault="00ED1C84" w:rsidP="0090631F">
                                  <w:pPr>
                                    <w:spacing w:line="258" w:lineRule="auto"/>
                                    <w:textDirection w:val="btLr"/>
                                  </w:pPr>
                                  <w:r>
                                    <w:rPr>
                                      <w:rFonts w:ascii="Arial" w:hAnsi="Arial" w:cs="Arial"/>
                                      <w:color w:val="000000"/>
                                      <w:sz w:val="18"/>
                                    </w:rPr>
                                    <w:t>(n = 1911)</w:t>
                                  </w:r>
                                </w:p>
                              </w:txbxContent>
                            </wps:txbx>
                            <wps:bodyPr rot="0" vert="horz" wrap="square" lIns="91425" tIns="45700" rIns="91425" bIns="45700" anchor="ctr" anchorCtr="0" upright="1">
                              <a:noAutofit/>
                            </wps:bodyPr>
                          </wps:wsp>
                          <wps:wsp>
                            <wps:cNvPr id="1860102955" name="Прямоугольник 11"/>
                            <wps:cNvSpPr>
                              <a:spLocks noChangeArrowheads="1"/>
                            </wps:cNvSpPr>
                            <wps:spPr bwMode="auto">
                              <a:xfrm>
                                <a:off x="2957354" y="3733800"/>
                                <a:ext cx="1887220" cy="113347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0FC6E38" w14:textId="77777777" w:rsidR="00ED1C84" w:rsidRPr="0090631F" w:rsidRDefault="00ED1C84" w:rsidP="0090631F">
                                  <w:pPr>
                                    <w:spacing w:line="258" w:lineRule="auto"/>
                                    <w:textDirection w:val="btLr"/>
                                    <w:rPr>
                                      <w:lang w:val="pt-PT"/>
                                    </w:rPr>
                                  </w:pPr>
                                  <w:r w:rsidRPr="0090631F">
                                    <w:rPr>
                                      <w:rFonts w:ascii="Arial" w:hAnsi="Arial" w:cs="Arial"/>
                                      <w:color w:val="000000"/>
                                      <w:sz w:val="18"/>
                                      <w:lang w:val="pt-PT"/>
                                    </w:rPr>
                                    <w:t>Reports excluded:</w:t>
                                  </w:r>
                                </w:p>
                                <w:p w14:paraId="2F1D3921"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1 (n = 334)</w:t>
                                  </w:r>
                                </w:p>
                                <w:p w14:paraId="0F257837"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2 (n = 477)</w:t>
                                  </w:r>
                                </w:p>
                                <w:p w14:paraId="2B818590"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3 (n = 695)</w:t>
                                  </w:r>
                                </w:p>
                                <w:p w14:paraId="22EDA5E7" w14:textId="77777777" w:rsidR="00ED1C84" w:rsidRDefault="00ED1C84" w:rsidP="0090631F">
                                  <w:pPr>
                                    <w:spacing w:line="258" w:lineRule="auto"/>
                                    <w:ind w:left="283" w:firstLine="283"/>
                                    <w:textDirection w:val="btLr"/>
                                  </w:pPr>
                                  <w:r>
                                    <w:rPr>
                                      <w:rFonts w:ascii="Arial" w:hAnsi="Arial" w:cs="Arial"/>
                                      <w:color w:val="000000"/>
                                      <w:sz w:val="18"/>
                                    </w:rPr>
                                    <w:t xml:space="preserve">С. </w:t>
                                  </w:r>
                                  <w:proofErr w:type="gramStart"/>
                                  <w:r>
                                    <w:rPr>
                                      <w:rFonts w:ascii="Arial" w:hAnsi="Arial" w:cs="Arial"/>
                                      <w:color w:val="000000"/>
                                      <w:sz w:val="18"/>
                                    </w:rPr>
                                    <w:t>4.(</w:t>
                                  </w:r>
                                  <w:proofErr w:type="gramEnd"/>
                                  <w:r>
                                    <w:rPr>
                                      <w:rFonts w:ascii="Arial" w:hAnsi="Arial" w:cs="Arial"/>
                                      <w:color w:val="000000"/>
                                      <w:sz w:val="18"/>
                                    </w:rPr>
                                    <w:t xml:space="preserve"> n =  361)</w:t>
                                  </w:r>
                                </w:p>
                                <w:p w14:paraId="1202586D" w14:textId="77777777" w:rsidR="00ED1C84" w:rsidRDefault="00ED1C84" w:rsidP="0090631F">
                                  <w:pPr>
                                    <w:spacing w:line="258" w:lineRule="auto"/>
                                    <w:ind w:left="283" w:firstLine="283"/>
                                    <w:textDirection w:val="btLr"/>
                                  </w:pPr>
                                </w:p>
                              </w:txbxContent>
                            </wps:txbx>
                            <wps:bodyPr rot="0" vert="horz" wrap="square" lIns="91425" tIns="45700" rIns="91425" bIns="45700" anchor="ctr" anchorCtr="0" upright="1">
                              <a:noAutofit/>
                            </wps:bodyPr>
                          </wps:wsp>
                          <wps:wsp>
                            <wps:cNvPr id="1222619073" name="Прямоугольник 12"/>
                            <wps:cNvSpPr>
                              <a:spLocks noChangeArrowheads="1"/>
                            </wps:cNvSpPr>
                            <wps:spPr bwMode="auto">
                              <a:xfrm>
                                <a:off x="437991" y="5100638"/>
                                <a:ext cx="1887220" cy="72390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BD7DB07" w14:textId="77777777" w:rsidR="00ED1C84" w:rsidRDefault="00ED1C84" w:rsidP="0090631F">
                                  <w:pPr>
                                    <w:spacing w:line="258" w:lineRule="auto"/>
                                    <w:textDirection w:val="btLr"/>
                                  </w:pPr>
                                  <w:r>
                                    <w:rPr>
                                      <w:rFonts w:ascii="Arial" w:hAnsi="Arial" w:cs="Arial"/>
                                      <w:color w:val="000000"/>
                                      <w:sz w:val="18"/>
                                    </w:rPr>
                                    <w:t>Studies included</w:t>
                                  </w:r>
                                </w:p>
                                <w:p w14:paraId="32FA8B43" w14:textId="77777777" w:rsidR="00ED1C84" w:rsidRDefault="00ED1C84" w:rsidP="0090631F">
                                  <w:pPr>
                                    <w:spacing w:line="258" w:lineRule="auto"/>
                                    <w:textDirection w:val="btLr"/>
                                  </w:pPr>
                                  <w:r>
                                    <w:rPr>
                                      <w:rFonts w:ascii="Arial" w:hAnsi="Arial" w:cs="Arial"/>
                                      <w:color w:val="000000"/>
                                      <w:sz w:val="18"/>
                                    </w:rPr>
                                    <w:t>(n = 44)</w:t>
                                  </w:r>
                                </w:p>
                                <w:p w14:paraId="50BD5C82" w14:textId="77777777" w:rsidR="00ED1C84" w:rsidRDefault="00ED1C84" w:rsidP="0090631F">
                                  <w:pPr>
                                    <w:spacing w:line="258" w:lineRule="auto"/>
                                    <w:textDirection w:val="btLr"/>
                                  </w:pPr>
                                </w:p>
                              </w:txbxContent>
                            </wps:txbx>
                            <wps:bodyPr rot="0" vert="horz" wrap="square" lIns="91425" tIns="45700" rIns="91425" bIns="45700" anchor="ctr" anchorCtr="0" upright="1">
                              <a:noAutofit/>
                            </wps:bodyPr>
                          </wps:wsp>
                          <wps:wsp>
                            <wps:cNvPr id="799870289" name="Прямая со стрелкой 13"/>
                            <wps:cNvCnPr>
                              <a:cxnSpLocks noChangeShapeType="1"/>
                            </wps:cNvCnPr>
                            <wps:spPr bwMode="auto">
                              <a:xfrm>
                                <a:off x="2352516" y="1019175"/>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372210060" name="Прямая со стрелкой 14"/>
                            <wps:cNvCnPr>
                              <a:cxnSpLocks noChangeShapeType="1"/>
                            </wps:cNvCnPr>
                            <wps:spPr bwMode="auto">
                              <a:xfrm>
                                <a:off x="2352516" y="2243138"/>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562577238" name="Прямая со стрелкой 15"/>
                            <wps:cNvCnPr>
                              <a:cxnSpLocks noChangeShapeType="1"/>
                            </wps:cNvCnPr>
                            <wps:spPr bwMode="auto">
                              <a:xfrm>
                                <a:off x="2362041" y="3138488"/>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354698889" name="Прямая со стрелкой 16"/>
                            <wps:cNvCnPr>
                              <a:cxnSpLocks noChangeShapeType="1"/>
                            </wps:cNvCnPr>
                            <wps:spPr bwMode="auto">
                              <a:xfrm>
                                <a:off x="2376329" y="4019550"/>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682775693" name="Блок-схема: альтернативный процесс 17"/>
                            <wps:cNvSpPr>
                              <a:spLocks noChangeArrowheads="1"/>
                            </wps:cNvSpPr>
                            <wps:spPr bwMode="auto">
                              <a:xfrm>
                                <a:off x="466566" y="1"/>
                                <a:ext cx="4344670" cy="262890"/>
                              </a:xfrm>
                              <a:prstGeom prst="flowChartAlternateProcess">
                                <a:avLst/>
                              </a:prstGeom>
                              <a:solidFill>
                                <a:srgbClr val="8064A2"/>
                              </a:solidFill>
                              <a:ln w="12700">
                                <a:solidFill>
                                  <a:srgbClr val="BA8C00"/>
                                </a:solidFill>
                                <a:miter lim="800000"/>
                                <a:headEnd type="none" w="sm" len="sm"/>
                                <a:tailEnd type="none" w="sm" len="sm"/>
                              </a:ln>
                            </wps:spPr>
                            <wps:txbx>
                              <w:txbxContent>
                                <w:p w14:paraId="1B9791B9" w14:textId="77777777" w:rsidR="00ED1C84" w:rsidRDefault="00ED1C84" w:rsidP="0090631F">
                                  <w:pPr>
                                    <w:spacing w:line="258" w:lineRule="auto"/>
                                    <w:jc w:val="center"/>
                                    <w:textDirection w:val="btLr"/>
                                  </w:pPr>
                                  <w:r>
                                    <w:rPr>
                                      <w:rFonts w:ascii="Arial" w:hAnsi="Arial" w:cs="Arial"/>
                                      <w:b/>
                                      <w:color w:val="000000"/>
                                      <w:sz w:val="18"/>
                                    </w:rPr>
                                    <w:t>Identification of studies via databases and registers</w:t>
                                  </w:r>
                                </w:p>
                              </w:txbxContent>
                            </wps:txbx>
                            <wps:bodyPr rot="0" vert="horz" wrap="square" lIns="91425" tIns="45700" rIns="91425" bIns="45700" anchor="ctr" anchorCtr="0" upright="1">
                              <a:noAutofit/>
                            </wps:bodyPr>
                          </wps:wsp>
                          <wps:wsp>
                            <wps:cNvPr id="1168996061" name="Блок-схема: альтернативный процесс 18"/>
                            <wps:cNvSpPr>
                              <a:spLocks noChangeArrowheads="1"/>
                            </wps:cNvSpPr>
                            <wps:spPr bwMode="auto">
                              <a:xfrm rot="-5400000">
                                <a:off x="-503872" y="872649"/>
                                <a:ext cx="1276985" cy="262890"/>
                              </a:xfrm>
                              <a:prstGeom prst="flowChartAlternateProcess">
                                <a:avLst/>
                              </a:prstGeom>
                              <a:solidFill>
                                <a:srgbClr val="9CC2E5"/>
                              </a:solidFill>
                              <a:ln w="12700">
                                <a:solidFill>
                                  <a:srgbClr val="000000"/>
                                </a:solidFill>
                                <a:miter lim="800000"/>
                                <a:headEnd type="none" w="sm" len="sm"/>
                                <a:tailEnd type="none" w="sm" len="sm"/>
                              </a:ln>
                            </wps:spPr>
                            <wps:txbx>
                              <w:txbxContent>
                                <w:p w14:paraId="3CAEE96A" w14:textId="77777777" w:rsidR="00ED1C84" w:rsidRDefault="00ED1C84" w:rsidP="0090631F">
                                  <w:pPr>
                                    <w:spacing w:line="258" w:lineRule="auto"/>
                                    <w:jc w:val="center"/>
                                    <w:textDirection w:val="btLr"/>
                                  </w:pPr>
                                  <w:r>
                                    <w:rPr>
                                      <w:rFonts w:ascii="Arial" w:hAnsi="Arial" w:cs="Arial"/>
                                      <w:b/>
                                      <w:color w:val="000000"/>
                                      <w:sz w:val="18"/>
                                    </w:rPr>
                                    <w:t>Identification</w:t>
                                  </w:r>
                                </w:p>
                              </w:txbxContent>
                            </wps:txbx>
                            <wps:bodyPr rot="0" vert="vert270" wrap="square" lIns="91425" tIns="45700" rIns="91425" bIns="45700" anchor="ctr" anchorCtr="0" upright="1">
                              <a:noAutofit/>
                            </wps:bodyPr>
                          </wps:wsp>
                          <wps:wsp>
                            <wps:cNvPr id="991068361" name="Блок-схема: альтернативный процесс 19"/>
                            <wps:cNvSpPr>
                              <a:spLocks noChangeArrowheads="1"/>
                            </wps:cNvSpPr>
                            <wps:spPr bwMode="auto">
                              <a:xfrm rot="-5400000">
                                <a:off x="-1262063" y="3319622"/>
                                <a:ext cx="2787015" cy="262890"/>
                              </a:xfrm>
                              <a:prstGeom prst="flowChartAlternateProcess">
                                <a:avLst/>
                              </a:prstGeom>
                              <a:solidFill>
                                <a:srgbClr val="9CC2E5"/>
                              </a:solidFill>
                              <a:ln w="12700">
                                <a:solidFill>
                                  <a:srgbClr val="000000"/>
                                </a:solidFill>
                                <a:miter lim="800000"/>
                                <a:headEnd type="none" w="sm" len="sm"/>
                                <a:tailEnd type="none" w="sm" len="sm"/>
                              </a:ln>
                            </wps:spPr>
                            <wps:txbx>
                              <w:txbxContent>
                                <w:p w14:paraId="539649FD" w14:textId="77777777" w:rsidR="00ED1C84" w:rsidRDefault="00ED1C84" w:rsidP="0090631F">
                                  <w:pPr>
                                    <w:spacing w:line="258" w:lineRule="auto"/>
                                    <w:jc w:val="center"/>
                                    <w:textDirection w:val="btLr"/>
                                  </w:pPr>
                                  <w:r>
                                    <w:rPr>
                                      <w:rFonts w:ascii="Arial" w:hAnsi="Arial" w:cs="Arial"/>
                                      <w:b/>
                                      <w:color w:val="000000"/>
                                      <w:sz w:val="18"/>
                                    </w:rPr>
                                    <w:t>Screening</w:t>
                                  </w:r>
                                </w:p>
                                <w:p w14:paraId="47A16406" w14:textId="77777777" w:rsidR="00ED1C84" w:rsidRDefault="00ED1C84" w:rsidP="0090631F">
                                  <w:pPr>
                                    <w:spacing w:line="258" w:lineRule="auto"/>
                                    <w:textDirection w:val="btLr"/>
                                  </w:pPr>
                                </w:p>
                              </w:txbxContent>
                            </wps:txbx>
                            <wps:bodyPr rot="0" vert="vert270" wrap="square" lIns="91425" tIns="45700" rIns="91425" bIns="45700" anchor="ctr" anchorCtr="0" upright="1">
                              <a:noAutofit/>
                            </wps:bodyPr>
                          </wps:wsp>
                          <wps:wsp>
                            <wps:cNvPr id="782279635" name="Блок-схема: альтернативный процесс 20"/>
                            <wps:cNvSpPr>
                              <a:spLocks noChangeArrowheads="1"/>
                            </wps:cNvSpPr>
                            <wps:spPr bwMode="auto">
                              <a:xfrm rot="-5400000">
                                <a:off x="-234315" y="5342732"/>
                                <a:ext cx="763905" cy="262890"/>
                              </a:xfrm>
                              <a:prstGeom prst="flowChartAlternateProcess">
                                <a:avLst/>
                              </a:prstGeom>
                              <a:solidFill>
                                <a:srgbClr val="9CC2E5"/>
                              </a:solidFill>
                              <a:ln w="12700">
                                <a:solidFill>
                                  <a:srgbClr val="000000"/>
                                </a:solidFill>
                                <a:miter lim="800000"/>
                                <a:headEnd type="none" w="sm" len="sm"/>
                                <a:tailEnd type="none" w="sm" len="sm"/>
                              </a:ln>
                            </wps:spPr>
                            <wps:txbx>
                              <w:txbxContent>
                                <w:p w14:paraId="798AFBD2" w14:textId="77777777" w:rsidR="00ED1C84" w:rsidRDefault="00ED1C84" w:rsidP="0090631F">
                                  <w:pPr>
                                    <w:spacing w:line="258" w:lineRule="auto"/>
                                    <w:jc w:val="center"/>
                                    <w:textDirection w:val="btLr"/>
                                  </w:pPr>
                                  <w:r>
                                    <w:rPr>
                                      <w:rFonts w:ascii="Arial" w:hAnsi="Arial" w:cs="Arial"/>
                                      <w:b/>
                                      <w:color w:val="000000"/>
                                      <w:sz w:val="18"/>
                                    </w:rPr>
                                    <w:t>Included</w:t>
                                  </w:r>
                                </w:p>
                              </w:txbxContent>
                            </wps:txbx>
                            <wps:bodyPr rot="0" vert="vert270" wrap="square" lIns="91425" tIns="45700" rIns="91425" bIns="45700" anchor="ctr" anchorCtr="0" upright="1">
                              <a:noAutofit/>
                            </wps:bodyPr>
                          </wps:wsp>
                          <wps:wsp>
                            <wps:cNvPr id="975986256" name="Прямая со стрелкой 21"/>
                            <wps:cNvCnPr>
                              <a:cxnSpLocks noChangeShapeType="1"/>
                            </wps:cNvCnPr>
                            <wps:spPr bwMode="auto">
                              <a:xfrm>
                                <a:off x="1300004" y="1681163"/>
                                <a:ext cx="0"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441039931" name="Прямая со стрелкой 22"/>
                            <wps:cNvCnPr>
                              <a:cxnSpLocks noChangeShapeType="1"/>
                            </wps:cNvCnPr>
                            <wps:spPr bwMode="auto">
                              <a:xfrm>
                                <a:off x="1300004" y="2557463"/>
                                <a:ext cx="0"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755669254" name="Прямая со стрелкой 23"/>
                            <wps:cNvCnPr>
                              <a:cxnSpLocks noChangeShapeType="1"/>
                            </wps:cNvCnPr>
                            <wps:spPr bwMode="auto">
                              <a:xfrm>
                                <a:off x="1309529" y="3419475"/>
                                <a:ext cx="0"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488304501" name="Прямая со стрелкой 24"/>
                            <wps:cNvCnPr>
                              <a:cxnSpLocks noChangeShapeType="1"/>
                            </wps:cNvCnPr>
                            <wps:spPr bwMode="auto">
                              <a:xfrm>
                                <a:off x="1300004" y="4295775"/>
                                <a:ext cx="0" cy="74612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g:grpSp>
                      </wpg:grpSp>
                    </wpg:wgp>
                  </a:graphicData>
                </a:graphic>
              </wp:inline>
            </w:drawing>
          </mc:Choice>
          <mc:Fallback>
            <w:pict>
              <v:group w14:anchorId="5E9264F7" id="Группа 1605666494" o:spid="_x0000_s1026" style="width:372.75pt;height:419.25pt;mso-position-horizontal-relative:char;mso-position-vertical-relative:line" coordorigin="28860,11114" coordsize="48333,53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">
                <v:group id="Группа 1" o:spid="_x0000_s1027" style="position:absolute;left:29790;top:11177;width:47339;height:53245" coordsize="43354,5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">
                  <v:rect id="Прямоугольник 2" o:spid="_x0000_s1028" style="position:absolute;width:43354;height:53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" filled="f" stroked="f">
                    <v:textbox inset="2.53958mm,2.53958mm,2.53958mm,2.53958mm">
                      <w:txbxContent>
                        <w:p w14:paraId="68721DBD" w14:textId="77777777" w:rsidR="00ED1C84" w:rsidRDefault="00ED1C84" w:rsidP="0090631F">
                          <w:pPr>
                            <w:textDirection w:val="btLr"/>
                          </w:pPr>
                        </w:p>
                      </w:txbxContent>
                    </v:textbox>
                  </v:rect>
                  <v:rect id="Прямоугольник 3" o:spid="_x0000_s1029" style="position:absolute;left:26765;top:26860;width:16589;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" filled="f" strokeweight="1pt">
                    <v:stroke startarrowwidth="narrow" startarrowlength="short" endarrowwidth="narrow" endarrowlength="short"/>
                    <v:textbox inset="2.53958mm,1.2694mm,2.53958mm,1.2694mm">
                      <w:txbxContent>
                        <w:p w14:paraId="7F2221AB" w14:textId="77777777" w:rsidR="00ED1C84" w:rsidRDefault="00ED1C84" w:rsidP="0090631F">
                          <w:pPr>
                            <w:spacing w:line="258" w:lineRule="auto"/>
                            <w:textDirection w:val="btLr"/>
                          </w:pPr>
                          <w:r>
                            <w:rPr>
                              <w:rFonts w:ascii="Arial" w:hAnsi="Arial" w:cs="Arial"/>
                              <w:color w:val="000000"/>
                              <w:sz w:val="18"/>
                            </w:rPr>
                            <w:t>Reports not retrieved</w:t>
                          </w:r>
                        </w:p>
                        <w:p w14:paraId="5B72A6C3" w14:textId="77777777" w:rsidR="00ED1C84" w:rsidRDefault="00ED1C84" w:rsidP="0090631F">
                          <w:pPr>
                            <w:spacing w:line="258" w:lineRule="auto"/>
                            <w:textDirection w:val="btLr"/>
                          </w:pPr>
                          <w:r>
                            <w:rPr>
                              <w:rFonts w:ascii="Arial" w:hAnsi="Arial" w:cs="Arial"/>
                              <w:color w:val="000000"/>
                              <w:sz w:val="18"/>
                            </w:rPr>
                            <w:t>(n = 321)</w:t>
                          </w:r>
                        </w:p>
                      </w:txbxContent>
                    </v:textbox>
                  </v:rect>
                  <v:group id="Группа 4" o:spid="_x0000_s1030" style="position:absolute;width:43246;height:53365" coordorigin="" coordsize="48445,58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">
                    <v:rect id="Прямоугольник 5" o:spid="_x0000_s1031" style="position:absolute;left:4570;top:3619;width:18872;height:12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" filled="f" strokeweight="1pt">
                      <v:stroke startarrowwidth="narrow" startarrowlength="short" endarrowwidth="narrow" endarrowlength="short"/>
                      <v:textbox inset="2.53958mm,1.2694mm,2.53958mm,1.2694mm">
                        <w:txbxContent>
                          <w:p w14:paraId="07905824" w14:textId="77777777" w:rsidR="00ED1C84" w:rsidRDefault="00ED1C84" w:rsidP="0090631F">
                            <w:pPr>
                              <w:spacing w:line="258" w:lineRule="auto"/>
                              <w:textDirection w:val="btLr"/>
                            </w:pPr>
                            <w:r>
                              <w:rPr>
                                <w:rFonts w:ascii="Arial" w:hAnsi="Arial" w:cs="Arial"/>
                                <w:color w:val="000000"/>
                                <w:sz w:val="18"/>
                              </w:rPr>
                              <w:t>Records identified from:</w:t>
                            </w:r>
                          </w:p>
                          <w:p w14:paraId="479209A9" w14:textId="77777777" w:rsidR="00ED1C84" w:rsidRDefault="00ED1C84" w:rsidP="0090631F">
                            <w:pPr>
                              <w:spacing w:line="258" w:lineRule="auto"/>
                              <w:ind w:left="283" w:firstLine="283"/>
                              <w:textDirection w:val="btLr"/>
                            </w:pPr>
                            <w:r>
                              <w:rPr>
                                <w:rFonts w:ascii="Arial" w:hAnsi="Arial" w:cs="Arial"/>
                                <w:color w:val="000000"/>
                                <w:sz w:val="18"/>
                              </w:rPr>
                              <w:t>Databases (n = 9789)</w:t>
                            </w:r>
                          </w:p>
                          <w:p w14:paraId="48897528" w14:textId="77777777" w:rsidR="00ED1C84" w:rsidRDefault="00ED1C84" w:rsidP="0090631F">
                            <w:pPr>
                              <w:spacing w:line="258" w:lineRule="auto"/>
                              <w:ind w:left="283" w:firstLine="283"/>
                              <w:textDirection w:val="btLr"/>
                            </w:pPr>
                          </w:p>
                        </w:txbxContent>
                      </v:textbox>
                    </v:rect>
                    <v:rect id="Прямоугольник 6" o:spid="_x0000_s1032" style="position:absolute;left:29380;top:3619;width:18873;height:150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" filled="f" strokeweight="1pt">
                      <v:stroke startarrowwidth="narrow" startarrowlength="short" endarrowwidth="narrow" endarrowlength="short"/>
                      <v:textbox inset="2.53958mm,1.2694mm,2.53958mm,1.2694mm">
                        <w:txbxContent>
                          <w:p w14:paraId="7693ABB7" w14:textId="77777777" w:rsidR="00ED1C84" w:rsidRDefault="00ED1C84" w:rsidP="0090631F">
                            <w:pPr>
                              <w:spacing w:line="258" w:lineRule="auto"/>
                              <w:textDirection w:val="btLr"/>
                            </w:pPr>
                            <w:r>
                              <w:rPr>
                                <w:rFonts w:ascii="Arial" w:hAnsi="Arial" w:cs="Arial"/>
                                <w:color w:val="000000"/>
                                <w:sz w:val="18"/>
                              </w:rPr>
                              <w:t xml:space="preserve">Records removed </w:t>
                            </w:r>
                            <w:r>
                              <w:rPr>
                                <w:rFonts w:ascii="Arial" w:hAnsi="Arial" w:cs="Arial"/>
                                <w:i/>
                                <w:color w:val="000000"/>
                                <w:sz w:val="18"/>
                              </w:rPr>
                              <w:t>before screening</w:t>
                            </w:r>
                            <w:r>
                              <w:rPr>
                                <w:rFonts w:ascii="Arial" w:hAnsi="Arial" w:cs="Arial"/>
                                <w:color w:val="000000"/>
                                <w:sz w:val="18"/>
                              </w:rPr>
                              <w:t>:</w:t>
                            </w:r>
                          </w:p>
                          <w:p w14:paraId="1A2F8EAF" w14:textId="77777777" w:rsidR="00ED1C84" w:rsidRDefault="00ED1C84" w:rsidP="0090631F">
                            <w:pPr>
                              <w:spacing w:line="258" w:lineRule="auto"/>
                              <w:ind w:left="283" w:firstLine="283"/>
                              <w:textDirection w:val="btLr"/>
                            </w:pPr>
                            <w:r>
                              <w:rPr>
                                <w:rFonts w:ascii="Arial" w:hAnsi="Arial" w:cs="Arial"/>
                                <w:color w:val="000000"/>
                                <w:sz w:val="18"/>
                              </w:rPr>
                              <w:t xml:space="preserve">Duplicate removed </w:t>
                            </w:r>
                          </w:p>
                          <w:p w14:paraId="2D818526" w14:textId="77777777" w:rsidR="00ED1C84" w:rsidRDefault="00ED1C84" w:rsidP="0090631F">
                            <w:pPr>
                              <w:spacing w:line="258" w:lineRule="auto"/>
                              <w:ind w:left="283" w:firstLine="283"/>
                              <w:textDirection w:val="btLr"/>
                            </w:pPr>
                            <w:r>
                              <w:rPr>
                                <w:rFonts w:ascii="Arial" w:hAnsi="Arial" w:cs="Arial"/>
                                <w:color w:val="000000"/>
                                <w:sz w:val="18"/>
                              </w:rPr>
                              <w:t xml:space="preserve"> (n = 4523)</w:t>
                            </w:r>
                          </w:p>
                          <w:p w14:paraId="5CDDD7C6" w14:textId="77777777" w:rsidR="00ED1C84" w:rsidRDefault="00ED1C84" w:rsidP="0090631F">
                            <w:pPr>
                              <w:spacing w:line="258" w:lineRule="auto"/>
                              <w:ind w:left="283" w:firstLine="283"/>
                              <w:textDirection w:val="btLr"/>
                            </w:pPr>
                            <w:r>
                              <w:rPr>
                                <w:rFonts w:ascii="Arial" w:hAnsi="Arial" w:cs="Arial"/>
                                <w:color w:val="000000"/>
                                <w:sz w:val="18"/>
                              </w:rPr>
                              <w:t>Marked as ineligible by automation tools (n = 1289)</w:t>
                            </w:r>
                          </w:p>
                          <w:p w14:paraId="45ABA005" w14:textId="77777777" w:rsidR="00ED1C84" w:rsidRDefault="00ED1C84" w:rsidP="0090631F">
                            <w:pPr>
                              <w:spacing w:line="258" w:lineRule="auto"/>
                              <w:ind w:left="283" w:firstLine="283"/>
                              <w:textDirection w:val="btLr"/>
                            </w:pPr>
                          </w:p>
                        </w:txbxContent>
                      </v:textbox>
                    </v:rect>
                    <v:rect id="Прямоугольник 7" o:spid="_x0000_s1033" style="position:absolute;left:4570;top:19907;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" filled="f" strokeweight="1pt">
                      <v:stroke startarrowwidth="narrow" startarrowlength="short" endarrowwidth="narrow" endarrowlength="short"/>
                      <v:textbox inset="2.53958mm,1.2694mm,2.53958mm,1.2694mm">
                        <w:txbxContent>
                          <w:p w14:paraId="3C8215A5" w14:textId="77777777" w:rsidR="00ED1C84" w:rsidRDefault="00ED1C84" w:rsidP="0090631F">
                            <w:pPr>
                              <w:spacing w:line="258" w:lineRule="auto"/>
                              <w:textDirection w:val="btLr"/>
                            </w:pPr>
                            <w:r>
                              <w:rPr>
                                <w:rFonts w:ascii="Arial" w:hAnsi="Arial" w:cs="Arial"/>
                                <w:color w:val="000000"/>
                                <w:sz w:val="18"/>
                              </w:rPr>
                              <w:t>Records screened</w:t>
                            </w:r>
                          </w:p>
                          <w:p w14:paraId="6585256B" w14:textId="77777777" w:rsidR="00ED1C84" w:rsidRDefault="00ED1C84" w:rsidP="0090631F">
                            <w:pPr>
                              <w:spacing w:line="258" w:lineRule="auto"/>
                              <w:textDirection w:val="btLr"/>
                            </w:pPr>
                            <w:r>
                              <w:rPr>
                                <w:rFonts w:ascii="Arial" w:hAnsi="Arial" w:cs="Arial"/>
                                <w:color w:val="000000"/>
                                <w:sz w:val="18"/>
                              </w:rPr>
                              <w:t>(n = 3977)</w:t>
                            </w:r>
                          </w:p>
                        </w:txbxContent>
                      </v:textbox>
                    </v:rect>
                    <v:rect id="Прямоугольник 8" o:spid="_x0000_s1034" style="position:absolute;left:29477;top:19906;width:18872;height:7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" filled="f" strokeweight="1pt">
                      <v:stroke startarrowwidth="narrow" startarrowlength="short" endarrowwidth="narrow" endarrowlength="short"/>
                      <v:textbox inset="2.53958mm,1.2694mm,2.53958mm,1.2694mm">
                        <w:txbxContent>
                          <w:p w14:paraId="5E37DA51" w14:textId="77777777" w:rsidR="00ED1C84" w:rsidRDefault="00ED1C84" w:rsidP="0090631F">
                            <w:pPr>
                              <w:spacing w:line="258" w:lineRule="auto"/>
                              <w:textDirection w:val="btLr"/>
                            </w:pPr>
                            <w:r>
                              <w:rPr>
                                <w:rFonts w:ascii="Arial" w:hAnsi="Arial" w:cs="Arial"/>
                                <w:color w:val="000000"/>
                                <w:sz w:val="18"/>
                              </w:rPr>
                              <w:t xml:space="preserve">Records excluded by analysis abstracts </w:t>
                            </w:r>
                          </w:p>
                          <w:p w14:paraId="1FBF49F1" w14:textId="77777777" w:rsidR="00ED1C84" w:rsidRDefault="00ED1C84" w:rsidP="0090631F">
                            <w:pPr>
                              <w:spacing w:line="258" w:lineRule="auto"/>
                              <w:textDirection w:val="btLr"/>
                            </w:pPr>
                            <w:r>
                              <w:rPr>
                                <w:rFonts w:ascii="Arial" w:hAnsi="Arial" w:cs="Arial"/>
                                <w:color w:val="000000"/>
                                <w:sz w:val="18"/>
                              </w:rPr>
                              <w:t>(n = 1745)</w:t>
                            </w:r>
                          </w:p>
                        </w:txbxContent>
                      </v:textbox>
                    </v:rect>
                    <v:rect id="Прямоугольник 9" o:spid="_x0000_s1035" style="position:absolute;left:4618;top:28670;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" filled="f" strokeweight="1pt">
                      <v:stroke startarrowwidth="narrow" startarrowlength="short" endarrowwidth="narrow" endarrowlength="short"/>
                      <v:textbox inset="2.53958mm,1.2694mm,2.53958mm,1.2694mm">
                        <w:txbxContent>
                          <w:p w14:paraId="5A7D1E57" w14:textId="77777777" w:rsidR="00ED1C84" w:rsidRDefault="00ED1C84" w:rsidP="0090631F">
                            <w:pPr>
                              <w:spacing w:line="258" w:lineRule="auto"/>
                              <w:textDirection w:val="btLr"/>
                            </w:pPr>
                            <w:r>
                              <w:rPr>
                                <w:rFonts w:ascii="Arial" w:hAnsi="Arial" w:cs="Arial"/>
                                <w:color w:val="000000"/>
                                <w:sz w:val="18"/>
                              </w:rPr>
                              <w:t>Reports sought for retrieval</w:t>
                            </w:r>
                          </w:p>
                          <w:p w14:paraId="0D01D01E" w14:textId="77777777" w:rsidR="00ED1C84" w:rsidRDefault="00ED1C84" w:rsidP="0090631F">
                            <w:pPr>
                              <w:spacing w:line="258" w:lineRule="auto"/>
                              <w:textDirection w:val="btLr"/>
                            </w:pPr>
                            <w:r>
                              <w:rPr>
                                <w:rFonts w:ascii="Arial" w:hAnsi="Arial" w:cs="Arial"/>
                                <w:color w:val="000000"/>
                                <w:sz w:val="18"/>
                              </w:rPr>
                              <w:t>(n = 2232)</w:t>
                            </w:r>
                          </w:p>
                        </w:txbxContent>
                      </v:textbox>
                    </v:rect>
                    <v:rect id="Прямоугольник 10" o:spid="_x0000_s1036" style="position:absolute;left:4618;top:3738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" filled="f" strokeweight="1pt">
                      <v:stroke startarrowwidth="narrow" startarrowlength="short" endarrowwidth="narrow" endarrowlength="short"/>
                      <v:textbox inset="2.53958mm,1.2694mm,2.53958mm,1.2694mm">
                        <w:txbxContent>
                          <w:p w14:paraId="3A7DB1A7" w14:textId="77777777" w:rsidR="00ED1C84" w:rsidRDefault="00ED1C84" w:rsidP="0090631F">
                            <w:pPr>
                              <w:spacing w:line="258" w:lineRule="auto"/>
                              <w:textDirection w:val="btLr"/>
                            </w:pPr>
                            <w:r>
                              <w:rPr>
                                <w:rFonts w:ascii="Arial" w:hAnsi="Arial" w:cs="Arial"/>
                                <w:color w:val="000000"/>
                                <w:sz w:val="18"/>
                              </w:rPr>
                              <w:t>Reports assessed for eligibility</w:t>
                            </w:r>
                          </w:p>
                          <w:p w14:paraId="03151CE1" w14:textId="77777777" w:rsidR="00ED1C84" w:rsidRDefault="00ED1C84" w:rsidP="0090631F">
                            <w:pPr>
                              <w:spacing w:line="258" w:lineRule="auto"/>
                              <w:textDirection w:val="btLr"/>
                            </w:pPr>
                            <w:r>
                              <w:rPr>
                                <w:rFonts w:ascii="Arial" w:hAnsi="Arial" w:cs="Arial"/>
                                <w:color w:val="000000"/>
                                <w:sz w:val="18"/>
                              </w:rPr>
                              <w:t>(n = 1911)</w:t>
                            </w:r>
                          </w:p>
                        </w:txbxContent>
                      </v:textbox>
                    </v:rect>
                    <v:rect id="Прямоугольник 11" o:spid="_x0000_s1037" style="position:absolute;left:29573;top:37338;width:18872;height:1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" filled="f" strokeweight="1pt">
                      <v:stroke startarrowwidth="narrow" startarrowlength="short" endarrowwidth="narrow" endarrowlength="short"/>
                      <v:textbox inset="2.53958mm,1.2694mm,2.53958mm,1.2694mm">
                        <w:txbxContent>
                          <w:p w14:paraId="40FC6E38" w14:textId="77777777" w:rsidR="00ED1C84" w:rsidRPr="0090631F" w:rsidRDefault="00ED1C84" w:rsidP="0090631F">
                            <w:pPr>
                              <w:spacing w:line="258" w:lineRule="auto"/>
                              <w:textDirection w:val="btLr"/>
                              <w:rPr>
                                <w:lang w:val="pt-PT"/>
                              </w:rPr>
                            </w:pPr>
                            <w:r w:rsidRPr="0090631F">
                              <w:rPr>
                                <w:rFonts w:ascii="Arial" w:hAnsi="Arial" w:cs="Arial"/>
                                <w:color w:val="000000"/>
                                <w:sz w:val="18"/>
                                <w:lang w:val="pt-PT"/>
                              </w:rPr>
                              <w:t>Reports excluded:</w:t>
                            </w:r>
                          </w:p>
                          <w:p w14:paraId="2F1D3921"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1 (n = 334)</w:t>
                            </w:r>
                          </w:p>
                          <w:p w14:paraId="0F257837"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2 (n = 477)</w:t>
                            </w:r>
                          </w:p>
                          <w:p w14:paraId="2B818590"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3 (n = 695)</w:t>
                            </w:r>
                          </w:p>
                          <w:p w14:paraId="22EDA5E7" w14:textId="77777777" w:rsidR="00ED1C84" w:rsidRDefault="00ED1C84" w:rsidP="0090631F">
                            <w:pPr>
                              <w:spacing w:line="258" w:lineRule="auto"/>
                              <w:ind w:left="283" w:firstLine="283"/>
                              <w:textDirection w:val="btLr"/>
                            </w:pPr>
                            <w:r>
                              <w:rPr>
                                <w:rFonts w:ascii="Arial" w:hAnsi="Arial" w:cs="Arial"/>
                                <w:color w:val="000000"/>
                                <w:sz w:val="18"/>
                              </w:rPr>
                              <w:t xml:space="preserve">С. </w:t>
                            </w:r>
                            <w:proofErr w:type="gramStart"/>
                            <w:r>
                              <w:rPr>
                                <w:rFonts w:ascii="Arial" w:hAnsi="Arial" w:cs="Arial"/>
                                <w:color w:val="000000"/>
                                <w:sz w:val="18"/>
                              </w:rPr>
                              <w:t>4.(</w:t>
                            </w:r>
                            <w:proofErr w:type="gramEnd"/>
                            <w:r>
                              <w:rPr>
                                <w:rFonts w:ascii="Arial" w:hAnsi="Arial" w:cs="Arial"/>
                                <w:color w:val="000000"/>
                                <w:sz w:val="18"/>
                              </w:rPr>
                              <w:t xml:space="preserve"> n =  361)</w:t>
                            </w:r>
                          </w:p>
                          <w:p w14:paraId="1202586D" w14:textId="77777777" w:rsidR="00ED1C84" w:rsidRDefault="00ED1C84" w:rsidP="0090631F">
                            <w:pPr>
                              <w:spacing w:line="258" w:lineRule="auto"/>
                              <w:ind w:left="283" w:firstLine="283"/>
                              <w:textDirection w:val="btLr"/>
                            </w:pPr>
                          </w:p>
                        </w:txbxContent>
                      </v:textbox>
                    </v:rect>
                    <v:rect id="Прямоугольник 12" o:spid="_x0000_s1038" style="position:absolute;left:4379;top:51006;width:18873;height:7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" filled="f" strokeweight="1pt">
                      <v:stroke startarrowwidth="narrow" startarrowlength="short" endarrowwidth="narrow" endarrowlength="short"/>
                      <v:textbox inset="2.53958mm,1.2694mm,2.53958mm,1.2694mm">
                        <w:txbxContent>
                          <w:p w14:paraId="4BD7DB07" w14:textId="77777777" w:rsidR="00ED1C84" w:rsidRDefault="00ED1C84" w:rsidP="0090631F">
                            <w:pPr>
                              <w:spacing w:line="258" w:lineRule="auto"/>
                              <w:textDirection w:val="btLr"/>
                            </w:pPr>
                            <w:r>
                              <w:rPr>
                                <w:rFonts w:ascii="Arial" w:hAnsi="Arial" w:cs="Arial"/>
                                <w:color w:val="000000"/>
                                <w:sz w:val="18"/>
                              </w:rPr>
                              <w:t>Studies included</w:t>
                            </w:r>
                          </w:p>
                          <w:p w14:paraId="32FA8B43" w14:textId="77777777" w:rsidR="00ED1C84" w:rsidRDefault="00ED1C84" w:rsidP="0090631F">
                            <w:pPr>
                              <w:spacing w:line="258" w:lineRule="auto"/>
                              <w:textDirection w:val="btLr"/>
                            </w:pPr>
                            <w:r>
                              <w:rPr>
                                <w:rFonts w:ascii="Arial" w:hAnsi="Arial" w:cs="Arial"/>
                                <w:color w:val="000000"/>
                                <w:sz w:val="18"/>
                              </w:rPr>
                              <w:t>(n = 44)</w:t>
                            </w:r>
                          </w:p>
                          <w:p w14:paraId="50BD5C82" w14:textId="77777777" w:rsidR="00ED1C84" w:rsidRDefault="00ED1C84" w:rsidP="0090631F">
                            <w:pPr>
                              <w:spacing w:line="258" w:lineRule="auto"/>
                              <w:textDirection w:val="btLr"/>
                            </w:pPr>
                          </w:p>
                        </w:txbxContent>
                      </v:textbox>
                    </v:rect>
                    <v:shapetype id="_x0000_t32" coordsize="21600,21600" o:spt="32" o:oned="t" path="m,l21600,21600e" filled="f">
                      <v:path arrowok="t" fillok="f" o:connecttype="none"/>
                      <o:lock v:ext="edit" shapetype="t"/>
                    </v:shapetype>
                    <v:shape id="Прямая со стрелкой 13" o:spid="_x0000_s1039" type="#_x0000_t32" style="position:absolute;left:23525;top:10191;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">
                      <v:stroke startarrowwidth="narrow" startarrowlength="short" endarrow="block" joinstyle="miter"/>
                    </v:shape>
                    <v:shape id="Прямая со стрелкой 14" o:spid="_x0000_s1040" type="#_x0000_t32" style="position:absolute;left:23525;top:22431;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">
                      <v:stroke startarrowwidth="narrow" startarrowlength="short" endarrow="block" joinstyle="miter"/>
                    </v:shape>
                    <v:shape id="Прямая со стрелкой 15" o:spid="_x0000_s1041" type="#_x0000_t32" style="position:absolute;left:23620;top:31384;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">
                      <v:stroke startarrowwidth="narrow" startarrowlength="short" endarrow="block" joinstyle="miter"/>
                    </v:shape>
                    <v:shape id="Прямая со стрелкой 16" o:spid="_x0000_s1042" type="#_x0000_t32" style="position:absolute;left:23763;top:40195;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">
                      <v:stroke startarrowwidth="narrow" startarrowlength="short" endarrow="block" joinstyle="miter"/>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7" o:spid="_x0000_s1043" type="#_x0000_t176" style="position:absolute;left:4665;width:43447;height:2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" fillcolor="#8064a2" strokecolor="#ba8c00" strokeweight="1pt">
                      <v:stroke startarrowwidth="narrow" startarrowlength="short" endarrowwidth="narrow" endarrowlength="short"/>
                      <v:textbox inset="2.53958mm,1.2694mm,2.53958mm,1.2694mm">
                        <w:txbxContent>
                          <w:p w14:paraId="1B9791B9" w14:textId="77777777" w:rsidR="00ED1C84" w:rsidRDefault="00ED1C84" w:rsidP="0090631F">
                            <w:pPr>
                              <w:spacing w:line="258" w:lineRule="auto"/>
                              <w:jc w:val="center"/>
                              <w:textDirection w:val="btLr"/>
                            </w:pPr>
                            <w:r>
                              <w:rPr>
                                <w:rFonts w:ascii="Arial" w:hAnsi="Arial" w:cs="Arial"/>
                                <w:b/>
                                <w:color w:val="000000"/>
                                <w:sz w:val="18"/>
                              </w:rPr>
                              <w:t>Identification of studies via databases and registers</w:t>
                            </w:r>
                          </w:p>
                        </w:txbxContent>
                      </v:textbox>
                    </v:shape>
                    <v:shape id="Блок-схема: альтернативный процесс 18" o:spid="_x0000_s1044" type="#_x0000_t176" style="position:absolute;left:-5039;top:8726;width:12769;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" fillcolor="#9cc2e5" strokeweight="1pt">
                      <v:stroke startarrowwidth="narrow" startarrowlength="short" endarrowwidth="narrow" endarrowlength="short"/>
                      <v:textbox style="layout-flow:vertical;mso-layout-flow-alt:bottom-to-top" inset="2.53958mm,1.2694mm,2.53958mm,1.2694mm">
                        <w:txbxContent>
                          <w:p w14:paraId="3CAEE96A" w14:textId="77777777" w:rsidR="00ED1C84" w:rsidRDefault="00ED1C84" w:rsidP="0090631F">
                            <w:pPr>
                              <w:spacing w:line="258" w:lineRule="auto"/>
                              <w:jc w:val="center"/>
                              <w:textDirection w:val="btLr"/>
                            </w:pPr>
                            <w:r>
                              <w:rPr>
                                <w:rFonts w:ascii="Arial" w:hAnsi="Arial" w:cs="Arial"/>
                                <w:b/>
                                <w:color w:val="000000"/>
                                <w:sz w:val="18"/>
                              </w:rPr>
                              <w:t>Identification</w:t>
                            </w:r>
                          </w:p>
                        </w:txbxContent>
                      </v:textbox>
                    </v:shape>
                    <v:shape id="Блок-схема: альтернативный процесс 19" o:spid="_x0000_s1045" type="#_x0000_t176" style="position:absolute;left:-12621;top:33196;width:27870;height:262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" fillcolor="#9cc2e5" strokeweight="1pt">
                      <v:stroke startarrowwidth="narrow" startarrowlength="short" endarrowwidth="narrow" endarrowlength="short"/>
                      <v:textbox style="layout-flow:vertical;mso-layout-flow-alt:bottom-to-top" inset="2.53958mm,1.2694mm,2.53958mm,1.2694mm">
                        <w:txbxContent>
                          <w:p w14:paraId="539649FD" w14:textId="77777777" w:rsidR="00ED1C84" w:rsidRDefault="00ED1C84" w:rsidP="0090631F">
                            <w:pPr>
                              <w:spacing w:line="258" w:lineRule="auto"/>
                              <w:jc w:val="center"/>
                              <w:textDirection w:val="btLr"/>
                            </w:pPr>
                            <w:r>
                              <w:rPr>
                                <w:rFonts w:ascii="Arial" w:hAnsi="Arial" w:cs="Arial"/>
                                <w:b/>
                                <w:color w:val="000000"/>
                                <w:sz w:val="18"/>
                              </w:rPr>
                              <w:t>Screening</w:t>
                            </w:r>
                          </w:p>
                          <w:p w14:paraId="47A16406" w14:textId="77777777" w:rsidR="00ED1C84" w:rsidRDefault="00ED1C84" w:rsidP="0090631F">
                            <w:pPr>
                              <w:spacing w:line="258" w:lineRule="auto"/>
                              <w:textDirection w:val="btLr"/>
                            </w:pPr>
                          </w:p>
                        </w:txbxContent>
                      </v:textbox>
                    </v:shape>
                    <v:shape id="Блок-схема: альтернативный процесс 20" o:spid="_x0000_s1046" type="#_x0000_t176" style="position:absolute;left:-2344;top:53427;width:7639;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" fillcolor="#9cc2e5" strokeweight="1pt">
                      <v:stroke startarrowwidth="narrow" startarrowlength="short" endarrowwidth="narrow" endarrowlength="short"/>
                      <v:textbox style="layout-flow:vertical;mso-layout-flow-alt:bottom-to-top" inset="2.53958mm,1.2694mm,2.53958mm,1.2694mm">
                        <w:txbxContent>
                          <w:p w14:paraId="798AFBD2" w14:textId="77777777" w:rsidR="00ED1C84" w:rsidRDefault="00ED1C84" w:rsidP="0090631F">
                            <w:pPr>
                              <w:spacing w:line="258" w:lineRule="auto"/>
                              <w:jc w:val="center"/>
                              <w:textDirection w:val="btLr"/>
                            </w:pPr>
                            <w:r>
                              <w:rPr>
                                <w:rFonts w:ascii="Arial" w:hAnsi="Arial" w:cs="Arial"/>
                                <w:b/>
                                <w:color w:val="000000"/>
                                <w:sz w:val="18"/>
                              </w:rPr>
                              <w:t>Included</w:t>
                            </w:r>
                          </w:p>
                        </w:txbxContent>
                      </v:textbox>
                    </v:shape>
                    <v:shape id="Прямая со стрелкой 21" o:spid="_x0000_s1047" type="#_x0000_t32" style="position:absolute;left:13000;top:16811;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">
                      <v:stroke startarrowwidth="narrow" startarrowlength="short" endarrow="block" joinstyle="miter"/>
                    </v:shape>
                    <v:shape id="Прямая со стрелкой 22" o:spid="_x0000_s1048" type="#_x0000_t32" style="position:absolute;left:13000;top:25574;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">
                      <v:stroke startarrowwidth="narrow" startarrowlength="short" endarrow="block" joinstyle="miter"/>
                    </v:shape>
                    <v:shape id="Прямая со стрелкой 23" o:spid="_x0000_s1049" type="#_x0000_t32" style="position:absolute;left:13095;top:34194;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">
                      <v:stroke startarrowwidth="narrow" startarrowlength="short" endarrow="block" joinstyle="miter"/>
                    </v:shape>
                    <v:shape id="Прямая со стрелкой 24" o:spid="_x0000_s1050" type="#_x0000_t32" style="position:absolute;left:13000;top:42957;width:0;height:74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">
                      <v:stroke startarrowwidth="narrow" startarrowlength="short" endarrow="block" joinstyle="miter"/>
                    </v:shape>
                  </v:group>
                </v:group>
                <w10:anchorlock/>
              </v:group>
            </w:pict>
          </mc:Fallback>
        </mc:AlternateContent>
      </w:r>
    </w:p>
    <w:p w14:paraId="03159C0A" w14:textId="77777777" w:rsidR="0090631F" w:rsidRPr="0090631F" w:rsidRDefault="0090631F" w:rsidP="0090631F">
      <w:pPr>
        <w:spacing w:before="120" w:after="120"/>
        <w:ind w:left="426"/>
        <w:jc w:val="center"/>
        <w:rPr>
          <w:rFonts w:ascii="Calibri Light" w:hAnsi="Calibri Light" w:cs="Calibri Light"/>
          <w:i/>
          <w:sz w:val="24"/>
          <w:szCs w:val="24"/>
          <w:lang w:val="uk-UA"/>
        </w:rPr>
      </w:pPr>
      <w:r w:rsidRPr="0090631F">
        <w:rPr>
          <w:rFonts w:ascii="Calibri Light" w:hAnsi="Calibri Light" w:cs="Calibri Light"/>
          <w:b/>
          <w:i/>
          <w:sz w:val="24"/>
          <w:szCs w:val="24"/>
        </w:rPr>
        <w:t>Figure</w:t>
      </w:r>
      <w:r w:rsidRPr="0090631F">
        <w:rPr>
          <w:rFonts w:ascii="Calibri Light" w:hAnsi="Calibri Light" w:cs="Calibri Light"/>
          <w:b/>
          <w:i/>
          <w:sz w:val="24"/>
          <w:szCs w:val="24"/>
          <w:lang w:val="uk-UA"/>
        </w:rPr>
        <w:t xml:space="preserve"> 1.</w:t>
      </w:r>
      <w:r w:rsidRPr="0090631F">
        <w:rPr>
          <w:rFonts w:ascii="Calibri Light" w:hAnsi="Calibri Light" w:cs="Calibri Light"/>
          <w:i/>
          <w:sz w:val="24"/>
          <w:szCs w:val="24"/>
          <w:lang w:val="uk-UA"/>
        </w:rPr>
        <w:t xml:space="preserve"> </w:t>
      </w:r>
      <w:r w:rsidRPr="0090631F">
        <w:rPr>
          <w:rFonts w:ascii="Calibri Light" w:hAnsi="Calibri Light" w:cs="Calibri Light"/>
          <w:i/>
          <w:sz w:val="24"/>
          <w:szCs w:val="24"/>
        </w:rPr>
        <w:t>PRISMA</w:t>
      </w:r>
      <w:r w:rsidRPr="0090631F">
        <w:rPr>
          <w:rFonts w:ascii="Calibri Light" w:hAnsi="Calibri Light" w:cs="Calibri Light"/>
          <w:i/>
          <w:sz w:val="24"/>
          <w:szCs w:val="24"/>
          <w:lang w:val="uk-UA"/>
        </w:rPr>
        <w:t xml:space="preserve"> </w:t>
      </w:r>
      <w:r w:rsidRPr="0090631F">
        <w:rPr>
          <w:rFonts w:ascii="Calibri Light" w:hAnsi="Calibri Light" w:cs="Calibri Light"/>
          <w:i/>
          <w:sz w:val="24"/>
          <w:szCs w:val="24"/>
        </w:rPr>
        <w:t>Flowchart</w:t>
      </w:r>
    </w:p>
    <w:p w14:paraId="6F0FDD9C" w14:textId="77777777" w:rsidR="0090631F" w:rsidRPr="0090631F" w:rsidRDefault="0090631F" w:rsidP="0090631F">
      <w:pPr>
        <w:spacing w:before="120" w:after="120"/>
        <w:ind w:left="426"/>
        <w:jc w:val="center"/>
        <w:rPr>
          <w:rFonts w:ascii="Calibri Light" w:hAnsi="Calibri Light" w:cs="Calibri Light"/>
          <w:i/>
          <w:sz w:val="24"/>
          <w:szCs w:val="24"/>
        </w:rPr>
      </w:pPr>
      <w:r w:rsidRPr="0090631F">
        <w:rPr>
          <w:rFonts w:ascii="Calibri Light" w:hAnsi="Calibri Light" w:cs="Calibri Light"/>
          <w:i/>
          <w:sz w:val="24"/>
          <w:szCs w:val="24"/>
        </w:rPr>
        <w:t>Source: Authors’ development.</w:t>
      </w:r>
    </w:p>
    <w:p w14:paraId="4EB5896F"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Data Analysis</w:t>
      </w:r>
    </w:p>
    <w:p w14:paraId="25663720"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data were analysed using Excel software. The collected materials and conceptual content were organised into separate tables. The first table covered legislative acts, the year of adoption, and key provisions. The second table focused on identifying the main insights from the academic literature: author, year of publication, and key findings on national security. The third table was more conceptual, addressing factors such as country, mechanisms for ensuring national security, strategies, challenges, authors, and year of publication.</w:t>
      </w:r>
    </w:p>
    <w:p w14:paraId="5D5D8B42" w14:textId="77777777" w:rsidR="0090631F" w:rsidRDefault="0090631F" w:rsidP="0090631F">
      <w:pPr>
        <w:spacing w:before="120" w:after="120"/>
        <w:ind w:left="426"/>
        <w:jc w:val="both"/>
        <w:rPr>
          <w:rFonts w:ascii="Calibri Light" w:hAnsi="Calibri Light" w:cs="Calibri Light"/>
          <w:sz w:val="24"/>
          <w:szCs w:val="24"/>
        </w:rPr>
      </w:pPr>
      <w:r w:rsidRPr="0090631F">
        <w:rPr>
          <w:rFonts w:ascii="Calibri Light" w:hAnsi="Calibri Light" w:cs="Calibri Light"/>
          <w:sz w:val="24"/>
          <w:szCs w:val="24"/>
          <w:lang w:val="en-GB"/>
        </w:rPr>
        <w:t xml:space="preserve">This systematic organisation facilitated thematic analysis and the characterisation of the strengths and weaknesses of current mechanisms for legal regulation in the national security sector. It also enabled a comparative study of Ukraine’s key legal acts against the perspectives of leading academic scholars. Thus, this research provides a comprehensive </w:t>
      </w:r>
      <w:r w:rsidRPr="0090631F">
        <w:rPr>
          <w:rFonts w:ascii="Calibri Light" w:hAnsi="Calibri Light" w:cs="Calibri Light"/>
          <w:sz w:val="24"/>
          <w:szCs w:val="24"/>
          <w:lang w:val="en-GB"/>
        </w:rPr>
        <w:lastRenderedPageBreak/>
        <w:t>analysis of the legal regulation of national security in Ukraine through the lens of fundamental local and global trends.</w:t>
      </w:r>
    </w:p>
    <w:p w14:paraId="68B44B80"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67C1563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The Russian aggression against Ukraine has emerged as a challenge to international security, </w:t>
      </w:r>
      <w:commentRangeStart w:id="5"/>
      <w:r w:rsidRPr="0090631F">
        <w:rPr>
          <w:rFonts w:ascii="Calibri Light" w:hAnsi="Calibri Light" w:cs="Calibri Light"/>
          <w:sz w:val="24"/>
          <w:szCs w:val="24"/>
          <w:lang w:val="en-GB"/>
        </w:rPr>
        <w:t>necessitating a revision of both international collective security agreements and specific national strategies</w:t>
      </w:r>
      <w:commentRangeEnd w:id="5"/>
      <w:r w:rsidR="00DC0D8A">
        <w:rPr>
          <w:rStyle w:val="CommentReference"/>
        </w:rPr>
        <w:commentReference w:id="5"/>
      </w:r>
      <w:r w:rsidRPr="0090631F">
        <w:rPr>
          <w:rFonts w:ascii="Calibri Light" w:hAnsi="Calibri Light" w:cs="Calibri Light"/>
          <w:sz w:val="24"/>
          <w:szCs w:val="24"/>
          <w:lang w:val="en-GB"/>
        </w:rPr>
        <w:t>. Beyond the immediate threat of military aggression, hybrid threats such as propaganda, terrorism, and espionage, alongside enforcing cybersecurity standards and legal frameworks for emergency response (including resource mobilisation), remain pressing challenges to the legal sphere. Scholars note that these issues have been exacerbated not only by the aggressive actions of the Russian regime but also by the involvement of Iranian and Chinese intelligence services [17]. Addressing these challenges within the legal framework will require the amendment of existing laws and regulations, including those at the international level.</w:t>
      </w:r>
    </w:p>
    <w:p w14:paraId="7F16AC8A"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In the context of Ukrainian legal realities, the legal basis for implementing national security and defence measures is enshrined in the Constitution of Ukraine, Ukrainian laws, subordinate regulatory acts, and ratified international agreements and treaties. The public-law mechanism for ensuring national security operates by the Constitution of Ukraine, which establishes the core principles of domestic and foreign policy concerning security and defence. Notably, the Constitution of Ukraine highlights the country's commitment to the European Union and NATO membership as a priority and fundamental foreign policy objective.</w:t>
      </w:r>
    </w:p>
    <w:p w14:paraId="23E61B6D"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 legal framework supporting national security in Ukraine is strengthened by implementing Ukrainian laws and further specified through a system of subordinate regulatory acts. However, researchers describe this system as extensive but poorly coordinated [18]. This issue mainly addresses contemporary hybrid challenges such as cybercrime and the migrant crisis. Furthermore, another pressing challenge is the alignment with existing international standards for defence reforms, which are crucial factors in legal cooperation, including the organisation of mass mobilisation efforts.</w:t>
      </w:r>
    </w:p>
    <w:p w14:paraId="4DB6F0A6" w14:textId="77777777" w:rsidR="0090631F" w:rsidRPr="0090631F" w:rsidRDefault="0090631F" w:rsidP="0090631F">
      <w:pPr>
        <w:spacing w:before="120" w:after="120"/>
        <w:ind w:left="440" w:right="-1" w:hanging="14"/>
        <w:jc w:val="both"/>
        <w:rPr>
          <w:rFonts w:ascii="Calibri Light" w:hAnsi="Calibri Light" w:cs="Calibri Light"/>
          <w:sz w:val="24"/>
          <w:szCs w:val="24"/>
          <w:lang w:val="uk-UA"/>
        </w:rPr>
      </w:pPr>
      <w:r w:rsidRPr="0090631F">
        <w:rPr>
          <w:rFonts w:ascii="Calibri Light" w:hAnsi="Calibri Light" w:cs="Calibri Light"/>
          <w:sz w:val="24"/>
          <w:szCs w:val="24"/>
          <w:lang w:val="en-GB"/>
        </w:rPr>
        <w:t>At the international level, no unified document outlines established standards for ensuring global and national security, creating specific challenges in addressing diverse threats and risks. National legal systems often differ significantly in practically implementing identical international requirements. Consequently, in the Ukrainian context, meeting the demands of international security platforms remains challenging, as global coordination efforts require additional legal solutions.</w:t>
      </w:r>
    </w:p>
    <w:p w14:paraId="7E3AF827"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One example is ensuring food security, which is based on potential economic and legal solutions (see Table 1).</w:t>
      </w:r>
    </w:p>
    <w:p w14:paraId="374EE6EE" w14:textId="77777777" w:rsidR="0090631F" w:rsidRPr="0090631F" w:rsidRDefault="0090631F" w:rsidP="0090631F">
      <w:pPr>
        <w:spacing w:before="120" w:after="120"/>
        <w:ind w:left="440" w:right="-1" w:hanging="14"/>
        <w:jc w:val="center"/>
        <w:rPr>
          <w:rFonts w:ascii="Calibri Light" w:hAnsi="Calibri Light" w:cs="Calibri Light"/>
          <w:b/>
          <w:sz w:val="24"/>
          <w:szCs w:val="24"/>
          <w:lang w:val="en-GB"/>
        </w:rPr>
      </w:pPr>
      <w:r w:rsidRPr="0090631F">
        <w:rPr>
          <w:rFonts w:ascii="Calibri Light" w:hAnsi="Calibri Light" w:cs="Calibri Light"/>
          <w:b/>
          <w:sz w:val="24"/>
          <w:szCs w:val="24"/>
          <w:lang w:val="en-GB"/>
        </w:rPr>
        <w:t>Table 1.</w:t>
      </w:r>
      <w:r w:rsidRPr="0090631F">
        <w:rPr>
          <w:rFonts w:ascii="Calibri Light" w:hAnsi="Calibri Light" w:cs="Calibri Light"/>
          <w:sz w:val="24"/>
          <w:szCs w:val="24"/>
          <w:lang w:val="en-GB"/>
        </w:rPr>
        <w:t xml:space="preserve"> </w:t>
      </w:r>
      <w:r w:rsidRPr="0090631F">
        <w:rPr>
          <w:rFonts w:ascii="Calibri Light" w:hAnsi="Calibri Light" w:cs="Calibri Light"/>
          <w:b/>
          <w:sz w:val="24"/>
          <w:szCs w:val="24"/>
          <w:lang w:val="en-GB"/>
        </w:rPr>
        <w:t>Regulation of Food Security</w:t>
      </w:r>
    </w:p>
    <w:tbl>
      <w:tblPr>
        <w:tblStyle w:val="TableGrid"/>
        <w:tblW w:w="8635" w:type="dxa"/>
        <w:tblInd w:w="534"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425"/>
        <w:gridCol w:w="3118"/>
        <w:gridCol w:w="5092"/>
      </w:tblGrid>
      <w:tr w:rsidR="0090631F" w:rsidRPr="0090631F" w14:paraId="6DFF150A" w14:textId="77777777" w:rsidTr="0090631F">
        <w:tc>
          <w:tcPr>
            <w:tcW w:w="425" w:type="dxa"/>
            <w:shd w:val="clear" w:color="auto" w:fill="BFBFBF" w:themeFill="background1" w:themeFillShade="BF"/>
          </w:tcPr>
          <w:p w14:paraId="68FE0E8D" w14:textId="77777777" w:rsidR="0090631F" w:rsidRPr="0090631F" w:rsidRDefault="0090631F" w:rsidP="0090631F">
            <w:pPr>
              <w:jc w:val="both"/>
              <w:rPr>
                <w:rFonts w:ascii="Calibri Light" w:hAnsi="Calibri Light" w:cs="Calibri Light"/>
                <w:b/>
                <w:bCs/>
                <w:sz w:val="22"/>
                <w:szCs w:val="24"/>
                <w:lang w:val="en-GB"/>
              </w:rPr>
            </w:pPr>
            <w:r w:rsidRPr="0090631F">
              <w:rPr>
                <w:rFonts w:ascii="Calibri Light" w:hAnsi="Calibri Light" w:cs="Calibri Light"/>
                <w:b/>
                <w:bCs/>
                <w:sz w:val="22"/>
                <w:szCs w:val="24"/>
                <w:lang w:val="en-GB"/>
              </w:rPr>
              <w:t>N</w:t>
            </w:r>
          </w:p>
        </w:tc>
        <w:tc>
          <w:tcPr>
            <w:tcW w:w="3118" w:type="dxa"/>
            <w:shd w:val="clear" w:color="auto" w:fill="BFBFBF" w:themeFill="background1" w:themeFillShade="BF"/>
          </w:tcPr>
          <w:p w14:paraId="75812C1C" w14:textId="77777777" w:rsidR="0090631F" w:rsidRPr="0090631F" w:rsidRDefault="0090631F" w:rsidP="0090631F">
            <w:pPr>
              <w:jc w:val="both"/>
              <w:rPr>
                <w:rFonts w:ascii="Calibri Light" w:hAnsi="Calibri Light" w:cs="Calibri Light"/>
                <w:b/>
                <w:bCs/>
                <w:sz w:val="22"/>
                <w:szCs w:val="24"/>
                <w:lang w:val="en-GB"/>
              </w:rPr>
            </w:pPr>
            <w:r w:rsidRPr="0090631F">
              <w:rPr>
                <w:rFonts w:ascii="Calibri Light" w:hAnsi="Calibri Light" w:cs="Calibri Light"/>
                <w:b/>
                <w:bCs/>
                <w:sz w:val="22"/>
                <w:szCs w:val="24"/>
                <w:lang w:val="en-GB"/>
              </w:rPr>
              <w:t>Problem</w:t>
            </w:r>
          </w:p>
        </w:tc>
        <w:tc>
          <w:tcPr>
            <w:tcW w:w="5092" w:type="dxa"/>
            <w:shd w:val="clear" w:color="auto" w:fill="BFBFBF" w:themeFill="background1" w:themeFillShade="BF"/>
          </w:tcPr>
          <w:p w14:paraId="778615CB" w14:textId="77777777" w:rsidR="0090631F" w:rsidRPr="0090631F" w:rsidRDefault="0090631F" w:rsidP="0090631F">
            <w:pPr>
              <w:jc w:val="both"/>
              <w:rPr>
                <w:rFonts w:ascii="Calibri Light" w:hAnsi="Calibri Light" w:cs="Calibri Light"/>
                <w:b/>
                <w:bCs/>
                <w:sz w:val="22"/>
                <w:szCs w:val="24"/>
                <w:lang w:val="en-GB"/>
              </w:rPr>
            </w:pPr>
            <w:r w:rsidRPr="0090631F">
              <w:rPr>
                <w:rFonts w:ascii="Calibri Light" w:hAnsi="Calibri Light" w:cs="Calibri Light"/>
                <w:b/>
                <w:bCs/>
                <w:sz w:val="22"/>
                <w:szCs w:val="24"/>
                <w:lang w:val="en-GB"/>
              </w:rPr>
              <w:t>Regulatory measures</w:t>
            </w:r>
          </w:p>
        </w:tc>
      </w:tr>
      <w:tr w:rsidR="0090631F" w:rsidRPr="0090631F" w14:paraId="29141BFA" w14:textId="77777777" w:rsidTr="0090631F">
        <w:tc>
          <w:tcPr>
            <w:tcW w:w="425" w:type="dxa"/>
          </w:tcPr>
          <w:p w14:paraId="6DD70A0E"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1</w:t>
            </w:r>
          </w:p>
        </w:tc>
        <w:tc>
          <w:tcPr>
            <w:tcW w:w="3118" w:type="dxa"/>
          </w:tcPr>
          <w:p w14:paraId="6DA9AACD"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Legal regulation of the development of the agricultural sector of Ukraine</w:t>
            </w:r>
          </w:p>
        </w:tc>
        <w:tc>
          <w:tcPr>
            <w:tcW w:w="5092" w:type="dxa"/>
          </w:tcPr>
          <w:p w14:paraId="210A7415"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 xml:space="preserve">Legislative regulation of state aid to organizations on </w:t>
            </w:r>
            <w:proofErr w:type="spellStart"/>
            <w:r w:rsidRPr="0090631F">
              <w:rPr>
                <w:rFonts w:ascii="Calibri Light" w:hAnsi="Calibri Light" w:cs="Calibri Light"/>
                <w:sz w:val="22"/>
                <w:szCs w:val="24"/>
                <w:lang w:val="en-GB"/>
              </w:rPr>
              <w:t>deoccupied</w:t>
            </w:r>
            <w:proofErr w:type="spellEnd"/>
            <w:r w:rsidRPr="0090631F">
              <w:rPr>
                <w:rFonts w:ascii="Calibri Light" w:hAnsi="Calibri Light" w:cs="Calibri Light"/>
                <w:sz w:val="22"/>
                <w:szCs w:val="24"/>
                <w:lang w:val="en-GB"/>
              </w:rPr>
              <w:t xml:space="preserve"> lands; use of state programs for the restoration of agricultural infrastructure; use of state loans.</w:t>
            </w:r>
          </w:p>
        </w:tc>
      </w:tr>
      <w:tr w:rsidR="0090631F" w:rsidRPr="0090631F" w14:paraId="18366AC5" w14:textId="77777777" w:rsidTr="0090631F">
        <w:tc>
          <w:tcPr>
            <w:tcW w:w="425" w:type="dxa"/>
          </w:tcPr>
          <w:p w14:paraId="03821134"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lastRenderedPageBreak/>
              <w:t>2</w:t>
            </w:r>
          </w:p>
        </w:tc>
        <w:tc>
          <w:tcPr>
            <w:tcW w:w="3118" w:type="dxa"/>
          </w:tcPr>
          <w:p w14:paraId="2FDAA107"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Harmonization of Ukrainian law with the norms of the European Union countries</w:t>
            </w:r>
          </w:p>
        </w:tc>
        <w:tc>
          <w:tcPr>
            <w:tcW w:w="5092" w:type="dxa"/>
          </w:tcPr>
          <w:p w14:paraId="716058AA"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Harmonization of the Ukrainian legal field with EU requirements will allow to increase export opportunities in Europe. In particular, 40% of technical regulations in Europe concern the agricultural sector. Promising legal vectors are increasing operational efficiency, resorting to green policy, using alternative sources of fuel and energy, introducing product formulations with improved properties</w:t>
            </w:r>
          </w:p>
        </w:tc>
      </w:tr>
      <w:tr w:rsidR="0090631F" w:rsidRPr="0090631F" w14:paraId="1D629F0F" w14:textId="77777777" w:rsidTr="0090631F">
        <w:tc>
          <w:tcPr>
            <w:tcW w:w="425" w:type="dxa"/>
          </w:tcPr>
          <w:p w14:paraId="7AAAC887"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3</w:t>
            </w:r>
          </w:p>
        </w:tc>
        <w:tc>
          <w:tcPr>
            <w:tcW w:w="3118" w:type="dxa"/>
          </w:tcPr>
          <w:p w14:paraId="04DBCF65"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Control over the implementation of state programs, product quality</w:t>
            </w:r>
          </w:p>
        </w:tc>
        <w:tc>
          <w:tcPr>
            <w:tcW w:w="5092" w:type="dxa"/>
          </w:tcPr>
          <w:p w14:paraId="7FAFFBFA"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Legislative consolidation of the Ukrainian manufacturer as a recipient of financial assistance; use of special state regulation programs; effective state control over the safety and quality of seed stock, raw materials, food products, etc.</w:t>
            </w:r>
          </w:p>
        </w:tc>
      </w:tr>
    </w:tbl>
    <w:p w14:paraId="6B7CB207" w14:textId="77777777" w:rsidR="0090631F" w:rsidRPr="0090631F" w:rsidRDefault="0090631F" w:rsidP="0090631F">
      <w:pPr>
        <w:spacing w:before="120" w:after="120"/>
        <w:ind w:left="440" w:right="-1" w:hanging="14"/>
        <w:jc w:val="center"/>
        <w:rPr>
          <w:rFonts w:ascii="Calibri Light" w:hAnsi="Calibri Light" w:cs="Calibri Light"/>
          <w:i/>
          <w:sz w:val="24"/>
          <w:szCs w:val="24"/>
        </w:rPr>
      </w:pPr>
      <w:r w:rsidRPr="0090631F">
        <w:rPr>
          <w:rFonts w:ascii="Calibri Light" w:hAnsi="Calibri Light" w:cs="Calibri Light"/>
          <w:i/>
          <w:sz w:val="24"/>
          <w:szCs w:val="24"/>
        </w:rPr>
        <w:t>Source: Authors’ development.</w:t>
      </w:r>
    </w:p>
    <w:p w14:paraId="29C69D7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Compliance with food security standards and the continued evolution of the relevant legislative framework will enable adherence to other dimensions of national security as well. In particular, the utilisation of existing legal mechanisms to ensure economic security is of significant importance (see Table 2).</w:t>
      </w:r>
    </w:p>
    <w:p w14:paraId="4394DACB" w14:textId="77777777" w:rsidR="0090631F" w:rsidRPr="00141A2D" w:rsidRDefault="0090631F" w:rsidP="00141A2D">
      <w:pPr>
        <w:spacing w:before="120" w:after="120"/>
        <w:ind w:left="440" w:right="-1" w:hanging="14"/>
        <w:jc w:val="center"/>
        <w:rPr>
          <w:rFonts w:ascii="Calibri Light" w:hAnsi="Calibri Light" w:cs="Calibri Light"/>
          <w:b/>
          <w:sz w:val="24"/>
          <w:szCs w:val="24"/>
        </w:rPr>
      </w:pPr>
      <w:r w:rsidRPr="0090631F">
        <w:rPr>
          <w:rFonts w:ascii="Calibri Light" w:hAnsi="Calibri Light" w:cs="Calibri Light"/>
          <w:b/>
          <w:bCs/>
          <w:sz w:val="24"/>
          <w:szCs w:val="24"/>
        </w:rPr>
        <w:t>Table 2.</w:t>
      </w:r>
      <w:r w:rsidRPr="0090631F">
        <w:rPr>
          <w:rFonts w:ascii="Calibri Light" w:hAnsi="Calibri Light" w:cs="Calibri Light"/>
          <w:bCs/>
          <w:sz w:val="24"/>
          <w:szCs w:val="24"/>
        </w:rPr>
        <w:t xml:space="preserve"> </w:t>
      </w:r>
      <w:r w:rsidRPr="00141A2D">
        <w:rPr>
          <w:rFonts w:ascii="Calibri Light" w:hAnsi="Calibri Light" w:cs="Calibri Light"/>
          <w:b/>
          <w:bCs/>
          <w:sz w:val="24"/>
          <w:szCs w:val="24"/>
        </w:rPr>
        <w:t>Legal Dimensions of Economic Security</w:t>
      </w:r>
    </w:p>
    <w:tbl>
      <w:tblPr>
        <w:tblStyle w:val="TableGrid"/>
        <w:tblW w:w="8613" w:type="dxa"/>
        <w:tblInd w:w="562" w:type="dxa"/>
        <w:tblBorders>
          <w:left w:val="none" w:sz="0" w:space="0" w:color="auto"/>
          <w:right w:val="none" w:sz="0" w:space="0" w:color="auto"/>
          <w:insideV w:val="none" w:sz="0" w:space="0" w:color="auto"/>
        </w:tblBorders>
        <w:tblLook w:val="04A0" w:firstRow="1" w:lastRow="0" w:firstColumn="1" w:lastColumn="0" w:noHBand="0" w:noVBand="1"/>
      </w:tblPr>
      <w:tblGrid>
        <w:gridCol w:w="397"/>
        <w:gridCol w:w="2693"/>
        <w:gridCol w:w="5523"/>
      </w:tblGrid>
      <w:tr w:rsidR="0090631F" w:rsidRPr="00141A2D" w14:paraId="6BFD0318" w14:textId="77777777" w:rsidTr="00141A2D">
        <w:tc>
          <w:tcPr>
            <w:tcW w:w="397" w:type="dxa"/>
            <w:shd w:val="clear" w:color="auto" w:fill="BFBFBF" w:themeFill="background1" w:themeFillShade="BF"/>
          </w:tcPr>
          <w:p w14:paraId="409A666D" w14:textId="77777777" w:rsidR="0090631F" w:rsidRPr="00141A2D" w:rsidRDefault="0090631F" w:rsidP="00141A2D">
            <w:pPr>
              <w:jc w:val="both"/>
              <w:rPr>
                <w:rFonts w:ascii="Calibri Light" w:hAnsi="Calibri Light" w:cs="Calibri Light"/>
                <w:b/>
                <w:bCs/>
                <w:sz w:val="22"/>
                <w:szCs w:val="24"/>
                <w:lang w:val="en-GB"/>
              </w:rPr>
            </w:pPr>
            <w:r w:rsidRPr="00141A2D">
              <w:rPr>
                <w:rFonts w:ascii="Calibri Light" w:hAnsi="Calibri Light" w:cs="Calibri Light"/>
                <w:b/>
                <w:bCs/>
                <w:sz w:val="22"/>
                <w:szCs w:val="24"/>
                <w:lang w:val="en-GB"/>
              </w:rPr>
              <w:t>N</w:t>
            </w:r>
          </w:p>
        </w:tc>
        <w:tc>
          <w:tcPr>
            <w:tcW w:w="2693" w:type="dxa"/>
            <w:shd w:val="clear" w:color="auto" w:fill="BFBFBF" w:themeFill="background1" w:themeFillShade="BF"/>
          </w:tcPr>
          <w:p w14:paraId="7E5844C7" w14:textId="77777777" w:rsidR="0090631F" w:rsidRPr="00141A2D" w:rsidRDefault="0090631F" w:rsidP="00141A2D">
            <w:pPr>
              <w:jc w:val="both"/>
              <w:rPr>
                <w:rFonts w:ascii="Calibri Light" w:hAnsi="Calibri Light" w:cs="Calibri Light"/>
                <w:b/>
                <w:bCs/>
                <w:sz w:val="22"/>
                <w:szCs w:val="24"/>
                <w:lang w:val="en-GB"/>
              </w:rPr>
            </w:pPr>
            <w:r w:rsidRPr="00141A2D">
              <w:rPr>
                <w:rFonts w:ascii="Calibri Light" w:hAnsi="Calibri Light" w:cs="Calibri Light"/>
                <w:b/>
                <w:bCs/>
                <w:sz w:val="22"/>
                <w:szCs w:val="24"/>
                <w:lang w:val="en-GB"/>
              </w:rPr>
              <w:t>Problem</w:t>
            </w:r>
          </w:p>
        </w:tc>
        <w:tc>
          <w:tcPr>
            <w:tcW w:w="5523" w:type="dxa"/>
            <w:shd w:val="clear" w:color="auto" w:fill="BFBFBF" w:themeFill="background1" w:themeFillShade="BF"/>
          </w:tcPr>
          <w:p w14:paraId="1B5376B0" w14:textId="77777777" w:rsidR="0090631F" w:rsidRPr="00141A2D" w:rsidRDefault="0090631F" w:rsidP="00141A2D">
            <w:pPr>
              <w:jc w:val="both"/>
              <w:rPr>
                <w:rFonts w:ascii="Calibri Light" w:hAnsi="Calibri Light" w:cs="Calibri Light"/>
                <w:b/>
                <w:bCs/>
                <w:sz w:val="22"/>
                <w:szCs w:val="24"/>
                <w:lang w:val="en-GB"/>
              </w:rPr>
            </w:pPr>
            <w:r w:rsidRPr="00141A2D">
              <w:rPr>
                <w:rFonts w:ascii="Calibri Light" w:hAnsi="Calibri Light" w:cs="Calibri Light"/>
                <w:b/>
                <w:bCs/>
                <w:sz w:val="22"/>
                <w:szCs w:val="24"/>
                <w:lang w:val="en-GB"/>
              </w:rPr>
              <w:t>Regulatory measures</w:t>
            </w:r>
          </w:p>
        </w:tc>
      </w:tr>
      <w:tr w:rsidR="0090631F" w:rsidRPr="00141A2D" w14:paraId="5A0A6B1A" w14:textId="77777777" w:rsidTr="00141A2D">
        <w:tc>
          <w:tcPr>
            <w:tcW w:w="397" w:type="dxa"/>
          </w:tcPr>
          <w:p w14:paraId="646CA2A8"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1</w:t>
            </w:r>
          </w:p>
        </w:tc>
        <w:tc>
          <w:tcPr>
            <w:tcW w:w="2693" w:type="dxa"/>
          </w:tcPr>
          <w:p w14:paraId="36A8F973"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Support for Ukrainian production facilities</w:t>
            </w:r>
          </w:p>
        </w:tc>
        <w:tc>
          <w:tcPr>
            <w:tcW w:w="5523" w:type="dxa"/>
          </w:tcPr>
          <w:p w14:paraId="0B76724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Introduction of national support programs and the corresponding legislative framework for adjusting the volumes and areas of support. An important direction is innovation [19]. This refers to legislative support for innovative activities by the state, which will contribute to the revival of the competitiveness of Ukrainian industry in the global market.</w:t>
            </w:r>
          </w:p>
        </w:tc>
      </w:tr>
      <w:tr w:rsidR="0090631F" w:rsidRPr="00141A2D" w14:paraId="737760AF" w14:textId="77777777" w:rsidTr="00141A2D">
        <w:tc>
          <w:tcPr>
            <w:tcW w:w="397" w:type="dxa"/>
          </w:tcPr>
          <w:p w14:paraId="5CBB9A76"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2</w:t>
            </w:r>
          </w:p>
        </w:tc>
        <w:tc>
          <w:tcPr>
            <w:tcW w:w="2693" w:type="dxa"/>
          </w:tcPr>
          <w:p w14:paraId="24218EC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Scientific and technical security</w:t>
            </w:r>
          </w:p>
        </w:tc>
        <w:tc>
          <w:tcPr>
            <w:tcW w:w="5523" w:type="dxa"/>
          </w:tcPr>
          <w:p w14:paraId="366FA0C4"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Legislative regulation of the use of innovations indicates the need to protect intellectual property. In particular, it refers to the application of national programs for the restoration of industry. An important aspect of this is the protection of the military-industrial complex (production of equipment, drones, missile systems).</w:t>
            </w:r>
          </w:p>
        </w:tc>
      </w:tr>
      <w:tr w:rsidR="0090631F" w:rsidRPr="00141A2D" w14:paraId="3C8D3D51" w14:textId="77777777" w:rsidTr="00141A2D">
        <w:tc>
          <w:tcPr>
            <w:tcW w:w="397" w:type="dxa"/>
          </w:tcPr>
          <w:p w14:paraId="45C4FF7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3</w:t>
            </w:r>
          </w:p>
        </w:tc>
        <w:tc>
          <w:tcPr>
            <w:tcW w:w="2693" w:type="dxa"/>
          </w:tcPr>
          <w:p w14:paraId="3189C65C"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Information security</w:t>
            </w:r>
          </w:p>
        </w:tc>
        <w:tc>
          <w:tcPr>
            <w:tcW w:w="5523" w:type="dxa"/>
          </w:tcPr>
          <w:p w14:paraId="0D8B858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Legislative regulation of information security in Ukraine is an important element of national security, especially in conditions of armed conflict, hybrid threats and the rapid development of information technologies [20]. The main provisions of the legislation in this area are based on the Constitution of Ukraine, the Law of Ukraine “On the Fundamentals of National Security of Ukraine”, the Law of Ukraine “On Information”.</w:t>
            </w:r>
          </w:p>
        </w:tc>
      </w:tr>
    </w:tbl>
    <w:p w14:paraId="117620A6" w14:textId="77777777" w:rsidR="0090631F" w:rsidRPr="00141A2D" w:rsidRDefault="0090631F" w:rsidP="00141A2D">
      <w:pPr>
        <w:spacing w:before="120" w:after="120"/>
        <w:ind w:left="440" w:right="-1" w:hanging="14"/>
        <w:jc w:val="center"/>
        <w:rPr>
          <w:rFonts w:ascii="Calibri Light" w:hAnsi="Calibri Light" w:cs="Calibri Light"/>
          <w:i/>
          <w:sz w:val="24"/>
          <w:szCs w:val="24"/>
          <w:lang w:val="uk-UA"/>
        </w:rPr>
      </w:pPr>
      <w:r w:rsidRPr="00141A2D">
        <w:rPr>
          <w:rFonts w:ascii="Calibri Light" w:hAnsi="Calibri Light" w:cs="Calibri Light"/>
          <w:i/>
          <w:sz w:val="24"/>
          <w:szCs w:val="24"/>
        </w:rPr>
        <w:t>Source</w:t>
      </w:r>
      <w:r w:rsidRPr="00141A2D">
        <w:rPr>
          <w:rFonts w:ascii="Calibri Light" w:hAnsi="Calibri Light" w:cs="Calibri Light"/>
          <w:i/>
          <w:sz w:val="24"/>
          <w:szCs w:val="24"/>
          <w:lang w:val="uk-UA"/>
        </w:rPr>
        <w:t xml:space="preserve">: </w:t>
      </w:r>
      <w:r w:rsidRPr="00141A2D">
        <w:rPr>
          <w:rFonts w:ascii="Calibri Light" w:hAnsi="Calibri Light" w:cs="Calibri Light"/>
          <w:i/>
          <w:sz w:val="24"/>
          <w:szCs w:val="24"/>
        </w:rPr>
        <w:t>Authors</w:t>
      </w:r>
      <w:r w:rsidRPr="00141A2D">
        <w:rPr>
          <w:rFonts w:ascii="Calibri Light" w:hAnsi="Calibri Light" w:cs="Calibri Light"/>
          <w:i/>
          <w:sz w:val="24"/>
          <w:szCs w:val="24"/>
          <w:lang w:val="uk-UA"/>
        </w:rPr>
        <w:t xml:space="preserve">’ </w:t>
      </w:r>
      <w:r w:rsidRPr="00141A2D">
        <w:rPr>
          <w:rFonts w:ascii="Calibri Light" w:hAnsi="Calibri Light" w:cs="Calibri Light"/>
          <w:i/>
          <w:sz w:val="24"/>
          <w:szCs w:val="24"/>
        </w:rPr>
        <w:t>development</w:t>
      </w:r>
      <w:r w:rsidRPr="00141A2D">
        <w:rPr>
          <w:rFonts w:ascii="Calibri Light" w:hAnsi="Calibri Light" w:cs="Calibri Light"/>
          <w:i/>
          <w:sz w:val="24"/>
          <w:szCs w:val="24"/>
          <w:lang w:val="uk-UA"/>
        </w:rPr>
        <w:t>.</w:t>
      </w:r>
    </w:p>
    <w:p w14:paraId="7BCF3A12"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The legislative regulation of the security sector in Ukraine is continuously improving, taking into account both internal challenges and external threats. At the same time, further development </w:t>
      </w:r>
      <w:commentRangeStart w:id="6"/>
      <w:r w:rsidRPr="0090631F">
        <w:rPr>
          <w:rFonts w:ascii="Calibri Light" w:hAnsi="Calibri Light" w:cs="Calibri Light"/>
          <w:sz w:val="24"/>
          <w:szCs w:val="24"/>
          <w:lang w:val="en-GB"/>
        </w:rPr>
        <w:t xml:space="preserve">requires the integration of civil society and the engagement of international </w:t>
      </w:r>
      <w:r w:rsidRPr="0090631F">
        <w:rPr>
          <w:rFonts w:ascii="Calibri Light" w:hAnsi="Calibri Light" w:cs="Calibri Light"/>
          <w:sz w:val="24"/>
          <w:szCs w:val="24"/>
          <w:lang w:val="en-GB"/>
        </w:rPr>
        <w:lastRenderedPageBreak/>
        <w:t>partners to effectively counter modern threats. It is essential to consider the legal norms of EU countries for their potential future implementation</w:t>
      </w:r>
      <w:commentRangeEnd w:id="6"/>
      <w:r w:rsidR="00DC0D8A">
        <w:rPr>
          <w:rStyle w:val="CommentReference"/>
        </w:rPr>
        <w:commentReference w:id="6"/>
      </w:r>
      <w:r w:rsidRPr="0090631F">
        <w:rPr>
          <w:rFonts w:ascii="Calibri Light" w:hAnsi="Calibri Light" w:cs="Calibri Light"/>
          <w:sz w:val="24"/>
          <w:szCs w:val="24"/>
          <w:lang w:val="en-GB"/>
        </w:rPr>
        <w:t>.</w:t>
      </w:r>
    </w:p>
    <w:p w14:paraId="57F3C677"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Incorporating European countries' experiences (EU member states and others) is a critical factor in advancing Ukraine's national security system. For instance, in 2023, the United Kingdom enacted a significantly updated National Security Act [21]. This legislation aimed to clarify and enhance measures against espionage and the growing threats to national security. Its implementation has made hostile actions against the UK substantially more difficult, particularly in areas such as sabotage, espionage, interference in democratic processes (elections and political life), blackmail, and targeted killings [22]. According to this law, continuous monitoring of harmful activities is carried out around sites officially designated as prohibited zones. These include locations and systems considered highly sensitive from a strategic perspective, as their compromise poses a potential national threat [21]. The police have been granted new powers to prevent subversive activities in these vulnerable areas. Special emphasis has been placed on ensuring the digital security of management systems and data. Critical websites are not publicly required to declare themselves prohibited zones [23]. This adherence to principles of anonymity, which avoids unnecessary attention, is considered an integral part of the security system.</w:t>
      </w:r>
    </w:p>
    <w:p w14:paraId="3E119BD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Conversely, in certain situations, the opposite approach is employed. To hold perpetrators accountable, prohibited zones may be explicitly declared, granting law enforcement agencies the authority to conduct corresponding investigative actions [21]. Moreover, as law enforcement officers have been given broader powers, they must first ascertain that the crime targets a site deemed critical within the UK system [24]. Special service personnel are also authorised to mitigate threats, although not necessarily neutralise them entirely, to facilitate extended investigations into hostile intelligence agents.</w:t>
      </w:r>
    </w:p>
    <w:p w14:paraId="44958F48"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commentRangeStart w:id="7"/>
      <w:r w:rsidRPr="0090631F">
        <w:rPr>
          <w:rFonts w:ascii="Calibri Light" w:hAnsi="Calibri Light" w:cs="Calibri Light"/>
          <w:sz w:val="24"/>
          <w:szCs w:val="24"/>
          <w:lang w:val="en-GB"/>
        </w:rPr>
        <w:t>The newly enacted National Security Act, adopted with numerous amendments</w:t>
      </w:r>
      <w:commentRangeEnd w:id="7"/>
      <w:r w:rsidR="00DC0D8A">
        <w:rPr>
          <w:rStyle w:val="CommentReference"/>
        </w:rPr>
        <w:commentReference w:id="7"/>
      </w:r>
      <w:r w:rsidRPr="0090631F">
        <w:rPr>
          <w:rFonts w:ascii="Calibri Light" w:hAnsi="Calibri Light" w:cs="Calibri Light"/>
          <w:sz w:val="24"/>
          <w:szCs w:val="24"/>
          <w:lang w:val="en-GB"/>
        </w:rPr>
        <w:t xml:space="preserve">, has significantly transformed key aspects of the United States' national security, defence, and intelligence. The existing legislative framework underwent substantial updates following adopting the Intelligence Reform and Terrorism Prevention Act of 2004 (IRTPA). According to current paradigms, national security is ensured through various institutional structures. Representatives of the U.S. Department of </w:t>
      </w:r>
      <w:proofErr w:type="spellStart"/>
      <w:r w:rsidRPr="0090631F">
        <w:rPr>
          <w:rFonts w:ascii="Calibri Light" w:hAnsi="Calibri Light" w:cs="Calibri Light"/>
          <w:sz w:val="24"/>
          <w:szCs w:val="24"/>
          <w:lang w:val="en-GB"/>
        </w:rPr>
        <w:t>Defense</w:t>
      </w:r>
      <w:proofErr w:type="spellEnd"/>
      <w:r w:rsidRPr="0090631F">
        <w:rPr>
          <w:rFonts w:ascii="Calibri Light" w:hAnsi="Calibri Light" w:cs="Calibri Light"/>
          <w:sz w:val="24"/>
          <w:szCs w:val="24"/>
          <w:lang w:val="en-GB"/>
        </w:rPr>
        <w:t>, the Intelligence Community (IC), the National Security Council, the Central Intelligence Agency (CIA), and the Director of National Intelligence (DNI)—who simultaneously serves as the head of the IC—oversee and implement the National Intelligence Program [25]. These representatives also influence the White House, as intelligence officials are consistently part of the U.S. President's advisory team.</w:t>
      </w:r>
    </w:p>
    <w:p w14:paraId="38A68BC2"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Implementing the National Security Act and subsequent amendments for enhanced efficiency has led to significant changes in the organisation of the intelligence community. Specifically, establishing the Director of National Intelligence has facilitated the creation of an essential inter-agency centre. This approach enabled prompt analysis and integration of information related to terrorism, drug cartels, and threats to U.S. interests both domestically and internationally, as suggested in the reforms of the “9/11 Commission” [26; 27]. Opportunities for collaboration with foreign intelligence agencies, joint criminal investigations, and rapid information exchange were also introduced. Implementing such </w:t>
      </w:r>
      <w:r w:rsidRPr="0090631F">
        <w:rPr>
          <w:rFonts w:ascii="Calibri Light" w:hAnsi="Calibri Light" w:cs="Calibri Light"/>
          <w:sz w:val="24"/>
          <w:szCs w:val="24"/>
          <w:lang w:val="en-GB"/>
        </w:rPr>
        <w:lastRenderedPageBreak/>
        <w:t>legislative initiatives has strengthened the existing system of countering national security threats.</w:t>
      </w:r>
    </w:p>
    <w:p w14:paraId="684C59B5"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National security system reforms are also relevant for Central and Eastern Europe. Researchers particularly note the effectiveness of Poland's approach in forming fundamentally new national security systems [28]. This extensive process began with Poland's withdrawal from one collective security treaty (participation in the Warsaw Pact) and its integration into another (NATO). This transition is considered a critical political milestone for contemporary Ukraine. Key stages along this path included adherence to a sustainable diplomatic and military-political course, which included integration into NATO and the EU while accounting for the dynamic transformations in the surrounding security environment [29]. The legislative framework in such conditions became a vital component supporting the rapid adaptation of the national security system to new security realities.</w:t>
      </w:r>
    </w:p>
    <w:p w14:paraId="541A527D"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An analysis of legal documents such as the “Defence Concept of the Republic of Poland,” the “White Paper on National Security of Poland,” the Constitution of the Republic of Poland, and other acts influencing the formation of national security revealed that the establishment of such a security system is rooted in the theory of national security. Central considerations included adherence to national security norms, armed forces reform, sustainable development trajectory, understanding acceptable risks, justified risks, and strategic challenges.</w:t>
      </w:r>
    </w:p>
    <w:p w14:paraId="10DB682B"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 practical application of Poland's model has demonstrated that the political-legal design of its national security structure has resulted in a military-political system fully capable of fulfilling its alliance obligations to NATO member states [30]. Legal regulation in reforming military governance in Poland adhered to NATO standards, which also upheld the principle of separating the functions of deploying and training forces. However, this state of affairs at the operational level led to issues within the military command hierarchy [31]. Addressing such challenges will be imperative, especially in light of growing Russian aggression in the region.</w:t>
      </w:r>
    </w:p>
    <w:p w14:paraId="4C37FC88"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Their NATO membership also influences strengthening national security positions in these states. In 2022, due to Russia's aggression in Ukraine, strategic views on power dynamics in Eastern Europe shifted. NATO’s new Strategic Concept replaced the previous principle of “deterrence through retaliation” with “deterrence by denial of aggression.” This shift resulted in fortifying NATO’s eastern flank (including Sweden and Finland's accession to the alliance) and increasing the size of military contingents in the Baltic States to brigade levels. Consequently, the Baltic Sea region has gradually become an area dominated by democratic nations, though the possibility of Russian provocations remains.</w:t>
      </w:r>
    </w:p>
    <w:p w14:paraId="1ADFCF1E"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Efforts to enhance international cooperation within NATO also took place. In 2017, the Baltic States signed separate agreements with the United States to establish defence cooperation, enabling the purchase of American weapons, including missile systems and air defence equipment [32]. Multinational combat groups operate in the Baltic States under the leadership of the United Kingdom (in Estonia), Canada (in Latvia), and Germany (in Lithuania). Furthermore, national security strategies in the Baltic countries include the gradual (or partial) reintroduction of mandatory military service and preparing a reserve force in case of direct enemy aggression.</w:t>
      </w:r>
    </w:p>
    <w:p w14:paraId="17195FFB"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lastRenderedPageBreak/>
        <w:t>Based on this overview, the new principles of national security, partly updated due to Russia's aggression against Ukraine (Table 3), can be identified as having commonalities and differences.</w:t>
      </w:r>
    </w:p>
    <w:p w14:paraId="4383EEDC" w14:textId="77777777" w:rsidR="0090631F" w:rsidRPr="00141A2D" w:rsidRDefault="0090631F" w:rsidP="00141A2D">
      <w:pPr>
        <w:spacing w:before="120" w:after="120"/>
        <w:ind w:left="440" w:right="-1" w:hanging="14"/>
        <w:jc w:val="center"/>
        <w:rPr>
          <w:rFonts w:ascii="Calibri Light" w:hAnsi="Calibri Light" w:cs="Calibri Light"/>
          <w:b/>
          <w:sz w:val="24"/>
          <w:szCs w:val="24"/>
          <w:lang w:val="en-GB"/>
        </w:rPr>
      </w:pPr>
      <w:r w:rsidRPr="0090631F">
        <w:rPr>
          <w:rFonts w:ascii="Calibri Light" w:hAnsi="Calibri Light" w:cs="Calibri Light"/>
          <w:b/>
          <w:sz w:val="24"/>
          <w:szCs w:val="24"/>
          <w:lang w:val="en-GB"/>
        </w:rPr>
        <w:t>Table 3.</w:t>
      </w:r>
      <w:r w:rsidRPr="0090631F">
        <w:rPr>
          <w:rFonts w:ascii="Calibri Light" w:hAnsi="Calibri Light" w:cs="Calibri Light"/>
          <w:sz w:val="24"/>
          <w:szCs w:val="24"/>
          <w:lang w:val="en-GB"/>
        </w:rPr>
        <w:t xml:space="preserve"> </w:t>
      </w:r>
      <w:r w:rsidRPr="00141A2D">
        <w:rPr>
          <w:rFonts w:ascii="Calibri Light" w:hAnsi="Calibri Light" w:cs="Calibri Light"/>
          <w:b/>
          <w:sz w:val="24"/>
          <w:szCs w:val="24"/>
          <w:lang w:val="en-GB"/>
        </w:rPr>
        <w:t xml:space="preserve">National Security Strategy Compliance </w:t>
      </w:r>
      <w:r w:rsidR="00141A2D" w:rsidRPr="00141A2D">
        <w:rPr>
          <w:rFonts w:ascii="Calibri Light" w:hAnsi="Calibri Light" w:cs="Calibri Light"/>
          <w:b/>
          <w:sz w:val="24"/>
          <w:szCs w:val="24"/>
          <w:lang w:val="en-GB"/>
        </w:rPr>
        <w:t>M</w:t>
      </w:r>
      <w:r w:rsidRPr="00141A2D">
        <w:rPr>
          <w:rFonts w:ascii="Calibri Light" w:hAnsi="Calibri Light" w:cs="Calibri Light"/>
          <w:b/>
          <w:sz w:val="24"/>
          <w:szCs w:val="24"/>
          <w:lang w:val="en-GB"/>
        </w:rPr>
        <w:t>atrix</w:t>
      </w:r>
    </w:p>
    <w:tbl>
      <w:tblPr>
        <w:tblW w:w="8647" w:type="dxa"/>
        <w:tblInd w:w="534" w:type="dxa"/>
        <w:tblBorders>
          <w:top w:val="single" w:sz="4" w:space="0" w:color="auto"/>
          <w:bottom w:val="single" w:sz="4" w:space="0" w:color="auto"/>
        </w:tblBorders>
        <w:tblLayout w:type="fixed"/>
        <w:tblLook w:val="0400" w:firstRow="0" w:lastRow="0" w:firstColumn="0" w:lastColumn="0" w:noHBand="0" w:noVBand="1"/>
      </w:tblPr>
      <w:tblGrid>
        <w:gridCol w:w="3685"/>
        <w:gridCol w:w="1134"/>
        <w:gridCol w:w="1442"/>
        <w:gridCol w:w="1252"/>
        <w:gridCol w:w="1134"/>
      </w:tblGrid>
      <w:tr w:rsidR="0090631F" w:rsidRPr="00141A2D" w14:paraId="08E57BD2" w14:textId="77777777" w:rsidTr="00ED1C84">
        <w:tc>
          <w:tcPr>
            <w:tcW w:w="3685" w:type="dxa"/>
            <w:tcBorders>
              <w:top w:val="single" w:sz="4" w:space="0" w:color="auto"/>
              <w:bottom w:val="single" w:sz="4" w:space="0" w:color="auto"/>
            </w:tcBorders>
            <w:shd w:val="clear" w:color="auto" w:fill="BFBFBF" w:themeFill="background1" w:themeFillShade="BF"/>
          </w:tcPr>
          <w:p w14:paraId="376F3D1F"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Assumption</w:t>
            </w:r>
          </w:p>
        </w:tc>
        <w:tc>
          <w:tcPr>
            <w:tcW w:w="1134" w:type="dxa"/>
            <w:tcBorders>
              <w:top w:val="single" w:sz="4" w:space="0" w:color="auto"/>
              <w:bottom w:val="single" w:sz="4" w:space="0" w:color="auto"/>
            </w:tcBorders>
            <w:shd w:val="clear" w:color="auto" w:fill="BFBFBF" w:themeFill="background1" w:themeFillShade="BF"/>
          </w:tcPr>
          <w:p w14:paraId="4188A7E0"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USA</w:t>
            </w:r>
          </w:p>
        </w:tc>
        <w:tc>
          <w:tcPr>
            <w:tcW w:w="1442" w:type="dxa"/>
            <w:tcBorders>
              <w:top w:val="single" w:sz="4" w:space="0" w:color="auto"/>
              <w:bottom w:val="single" w:sz="4" w:space="0" w:color="auto"/>
            </w:tcBorders>
            <w:shd w:val="clear" w:color="auto" w:fill="BFBFBF" w:themeFill="background1" w:themeFillShade="BF"/>
          </w:tcPr>
          <w:p w14:paraId="329D1F82"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Great Britain</w:t>
            </w:r>
          </w:p>
        </w:tc>
        <w:tc>
          <w:tcPr>
            <w:tcW w:w="1252" w:type="dxa"/>
            <w:tcBorders>
              <w:top w:val="single" w:sz="4" w:space="0" w:color="auto"/>
              <w:bottom w:val="single" w:sz="4" w:space="0" w:color="auto"/>
            </w:tcBorders>
            <w:shd w:val="clear" w:color="auto" w:fill="BFBFBF" w:themeFill="background1" w:themeFillShade="BF"/>
          </w:tcPr>
          <w:p w14:paraId="50CE7D9D"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Poland</w:t>
            </w:r>
          </w:p>
        </w:tc>
        <w:tc>
          <w:tcPr>
            <w:tcW w:w="1134" w:type="dxa"/>
            <w:tcBorders>
              <w:top w:val="single" w:sz="4" w:space="0" w:color="auto"/>
              <w:bottom w:val="single" w:sz="4" w:space="0" w:color="auto"/>
            </w:tcBorders>
            <w:shd w:val="clear" w:color="auto" w:fill="BFBFBF" w:themeFill="background1" w:themeFillShade="BF"/>
          </w:tcPr>
          <w:p w14:paraId="1CB5E381"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Baltic States</w:t>
            </w:r>
          </w:p>
        </w:tc>
      </w:tr>
      <w:tr w:rsidR="0090631F" w:rsidRPr="00141A2D" w14:paraId="6516E07B" w14:textId="77777777" w:rsidTr="00ED1C84">
        <w:tc>
          <w:tcPr>
            <w:tcW w:w="3685" w:type="dxa"/>
            <w:tcBorders>
              <w:top w:val="single" w:sz="4" w:space="0" w:color="auto"/>
            </w:tcBorders>
          </w:tcPr>
          <w:p w14:paraId="66CBE45B"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Focus on strengthening cooperation within NATO</w:t>
            </w:r>
          </w:p>
        </w:tc>
        <w:tc>
          <w:tcPr>
            <w:tcW w:w="1134" w:type="dxa"/>
            <w:tcBorders>
              <w:top w:val="single" w:sz="4" w:space="0" w:color="auto"/>
            </w:tcBorders>
          </w:tcPr>
          <w:p w14:paraId="3704525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442" w:type="dxa"/>
            <w:tcBorders>
              <w:top w:val="single" w:sz="4" w:space="0" w:color="auto"/>
            </w:tcBorders>
          </w:tcPr>
          <w:p w14:paraId="3BD6F6C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Borders>
              <w:top w:val="single" w:sz="4" w:space="0" w:color="auto"/>
            </w:tcBorders>
          </w:tcPr>
          <w:p w14:paraId="40C5BB6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134" w:type="dxa"/>
            <w:tcBorders>
              <w:top w:val="single" w:sz="4" w:space="0" w:color="auto"/>
            </w:tcBorders>
          </w:tcPr>
          <w:p w14:paraId="7CB273F1"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r w:rsidR="0090631F" w:rsidRPr="00141A2D" w14:paraId="60A555FE" w14:textId="77777777" w:rsidTr="00ED1C84">
        <w:tc>
          <w:tcPr>
            <w:tcW w:w="3685" w:type="dxa"/>
          </w:tcPr>
          <w:p w14:paraId="39AEB94F"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Identification of terrorism, espionage, countering migrants as key challenges</w:t>
            </w:r>
          </w:p>
        </w:tc>
        <w:tc>
          <w:tcPr>
            <w:tcW w:w="1134" w:type="dxa"/>
          </w:tcPr>
          <w:p w14:paraId="7F07D161"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442" w:type="dxa"/>
          </w:tcPr>
          <w:p w14:paraId="69F87397"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Pr>
          <w:p w14:paraId="7B7763B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134" w:type="dxa"/>
          </w:tcPr>
          <w:p w14:paraId="2E3920A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r>
      <w:tr w:rsidR="0090631F" w:rsidRPr="00141A2D" w14:paraId="4D1DAD74" w14:textId="77777777" w:rsidTr="00ED1C84">
        <w:tc>
          <w:tcPr>
            <w:tcW w:w="3685" w:type="dxa"/>
          </w:tcPr>
          <w:p w14:paraId="41E0D02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Identification of Russian aggression as key challenge</w:t>
            </w:r>
          </w:p>
        </w:tc>
        <w:tc>
          <w:tcPr>
            <w:tcW w:w="1134" w:type="dxa"/>
          </w:tcPr>
          <w:p w14:paraId="689D808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442" w:type="dxa"/>
          </w:tcPr>
          <w:p w14:paraId="7D59265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252" w:type="dxa"/>
          </w:tcPr>
          <w:p w14:paraId="601FD8C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134" w:type="dxa"/>
          </w:tcPr>
          <w:p w14:paraId="40CB2A2C"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r w:rsidR="0090631F" w:rsidRPr="00141A2D" w14:paraId="76D6A49C" w14:textId="77777777" w:rsidTr="00ED1C84">
        <w:tc>
          <w:tcPr>
            <w:tcW w:w="3685" w:type="dxa"/>
          </w:tcPr>
          <w:p w14:paraId="06942252" w14:textId="77777777" w:rsidR="0090631F" w:rsidRPr="00141A2D" w:rsidRDefault="0090631F" w:rsidP="00141A2D">
            <w:pPr>
              <w:jc w:val="both"/>
              <w:rPr>
                <w:rFonts w:ascii="Calibri Light" w:hAnsi="Calibri Light" w:cs="Calibri Light"/>
                <w:sz w:val="22"/>
                <w:szCs w:val="24"/>
              </w:rPr>
            </w:pPr>
            <w:r w:rsidRPr="00141A2D">
              <w:rPr>
                <w:rFonts w:ascii="Calibri Light" w:hAnsi="Calibri Light" w:cs="Calibri Light"/>
                <w:sz w:val="22"/>
                <w:szCs w:val="24"/>
                <w:lang w:val="en-GB"/>
              </w:rPr>
              <w:t>Establishing information exchange during international investigations</w:t>
            </w:r>
          </w:p>
        </w:tc>
        <w:tc>
          <w:tcPr>
            <w:tcW w:w="1134" w:type="dxa"/>
          </w:tcPr>
          <w:p w14:paraId="7BF55BD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442" w:type="dxa"/>
          </w:tcPr>
          <w:p w14:paraId="0ED0F57D"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Pr>
          <w:p w14:paraId="016680AD"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134" w:type="dxa"/>
          </w:tcPr>
          <w:p w14:paraId="54630C2B"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r>
      <w:tr w:rsidR="0090631F" w:rsidRPr="00141A2D" w14:paraId="3FF97820" w14:textId="77777777" w:rsidTr="00ED1C84">
        <w:tc>
          <w:tcPr>
            <w:tcW w:w="3685" w:type="dxa"/>
          </w:tcPr>
          <w:p w14:paraId="2375FBEB"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Transformation of the existing legal framework after 2022 (beginning of full-scale Russian invasion of Ukraine)</w:t>
            </w:r>
          </w:p>
        </w:tc>
        <w:tc>
          <w:tcPr>
            <w:tcW w:w="1134" w:type="dxa"/>
          </w:tcPr>
          <w:p w14:paraId="004E3AF8"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442" w:type="dxa"/>
          </w:tcPr>
          <w:p w14:paraId="5438F257"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Pr>
          <w:p w14:paraId="27B5E0EE"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134" w:type="dxa"/>
          </w:tcPr>
          <w:p w14:paraId="0782CCD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r w:rsidR="0090631F" w:rsidRPr="00141A2D" w14:paraId="6E031192" w14:textId="77777777" w:rsidTr="00ED1C84">
        <w:tc>
          <w:tcPr>
            <w:tcW w:w="3685" w:type="dxa"/>
            <w:tcBorders>
              <w:bottom w:val="single" w:sz="4" w:space="0" w:color="auto"/>
            </w:tcBorders>
          </w:tcPr>
          <w:p w14:paraId="60822E8D"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Return to compulsory military service (conscription)</w:t>
            </w:r>
          </w:p>
        </w:tc>
        <w:tc>
          <w:tcPr>
            <w:tcW w:w="1134" w:type="dxa"/>
            <w:tcBorders>
              <w:bottom w:val="single" w:sz="4" w:space="0" w:color="auto"/>
            </w:tcBorders>
          </w:tcPr>
          <w:p w14:paraId="7D40C9A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442" w:type="dxa"/>
            <w:tcBorders>
              <w:bottom w:val="single" w:sz="4" w:space="0" w:color="auto"/>
            </w:tcBorders>
          </w:tcPr>
          <w:p w14:paraId="39845A11"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252" w:type="dxa"/>
            <w:tcBorders>
              <w:bottom w:val="single" w:sz="4" w:space="0" w:color="auto"/>
            </w:tcBorders>
          </w:tcPr>
          <w:p w14:paraId="25800EB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134" w:type="dxa"/>
            <w:tcBorders>
              <w:bottom w:val="single" w:sz="4" w:space="0" w:color="auto"/>
            </w:tcBorders>
          </w:tcPr>
          <w:p w14:paraId="3CC1B329"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bl>
    <w:p w14:paraId="06C5FA8A" w14:textId="77777777" w:rsidR="0090631F" w:rsidRPr="00141A2D" w:rsidRDefault="0090631F" w:rsidP="00141A2D">
      <w:pPr>
        <w:spacing w:before="120" w:after="120"/>
        <w:ind w:left="440" w:right="-1" w:hanging="14"/>
        <w:jc w:val="center"/>
        <w:rPr>
          <w:rFonts w:ascii="Calibri Light" w:hAnsi="Calibri Light" w:cs="Calibri Light"/>
          <w:i/>
          <w:sz w:val="24"/>
          <w:szCs w:val="24"/>
        </w:rPr>
      </w:pPr>
      <w:r w:rsidRPr="00141A2D">
        <w:rPr>
          <w:rFonts w:ascii="Calibri Light" w:hAnsi="Calibri Light" w:cs="Calibri Light"/>
          <w:i/>
          <w:sz w:val="24"/>
          <w:szCs w:val="24"/>
        </w:rPr>
        <w:t>Source: Authors’ development.</w:t>
      </w:r>
    </w:p>
    <w:p w14:paraId="74293435"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 proposed review indicates that the security systems of the analysed countries hold a significant advantage over those of Ukraine—namely, their integration into NATO. Accordingly, the legal frameworks governing their operations can be subject to a degree of standardisation, thereby facilitating the harmonisation of legislation in this area. Although Ukraine’s political course towards NATO integration is enshrined in its Constitution, implementing specific provisions will require more radical amendments to the legislative framework.</w:t>
      </w:r>
    </w:p>
    <w:p w14:paraId="6BC4B84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An analysis of the legal frameworks of various countries reveals that Russian aggression poses a direct challenge to the security systems of European nations. In particular, the Kremlin regime's aggression has triggered changes to the defence doctrines of the United Kingdom and EU member states. While the UK’s legislative system focuses on countering espionage activities and hybrid threats, the Baltic and Eastern European countries prioritise military interoperability, accompanied by partial amendments to existing legislation regarding the reinstatement of conscription.</w:t>
      </w:r>
    </w:p>
    <w:p w14:paraId="74DF8DA1" w14:textId="77777777" w:rsidR="0090631F" w:rsidRDefault="0090631F" w:rsidP="0090631F">
      <w:pPr>
        <w:spacing w:before="120" w:after="120"/>
        <w:ind w:left="440" w:right="-1" w:hanging="14"/>
        <w:jc w:val="both"/>
        <w:rPr>
          <w:rFonts w:ascii="Calibri Light" w:hAnsi="Calibri Light" w:cs="Calibri Light"/>
          <w:sz w:val="24"/>
          <w:szCs w:val="24"/>
        </w:rPr>
      </w:pPr>
      <w:r w:rsidRPr="0090631F">
        <w:rPr>
          <w:rFonts w:ascii="Calibri Light" w:hAnsi="Calibri Light" w:cs="Calibri Light"/>
          <w:sz w:val="24"/>
          <w:szCs w:val="24"/>
          <w:lang w:val="en-GB"/>
        </w:rPr>
        <w:t>For the United States, beyond the challenge posed by Russia, countering Chinese influence, managing the migration crisis in the southern states, and combating drug trafficking remain more pressing issues. Notable innovations in addressing hybrid threats and cybercrimes include gradually simplifying information-sharing mechanisms among NATO allied states.</w:t>
      </w:r>
    </w:p>
    <w:p w14:paraId="3F495F16"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 xml:space="preserve">Given the primary research problem—namely, the analysis of key strategies and challenges in the legal regulation of Ukraine’s national security through the lens of ongoing legislative changes and broader European trends—it has been established that modern national </w:t>
      </w:r>
      <w:r w:rsidRPr="00876CBE">
        <w:rPr>
          <w:rFonts w:ascii="Calibri Light" w:hAnsi="Calibri Light" w:cs="Calibri Light"/>
          <w:sz w:val="24"/>
          <w:szCs w:val="24"/>
          <w:lang w:val="en-GB"/>
        </w:rPr>
        <w:lastRenderedPageBreak/>
        <w:t>security systems face several significant challenges. The advancement of new technologies and globalisation processes typically influences these challenges.</w:t>
      </w:r>
    </w:p>
    <w:p w14:paraId="7CD1A3BC"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 xml:space="preserve">Specifically, the findings indicate that the </w:t>
      </w:r>
      <w:commentRangeStart w:id="8"/>
      <w:r w:rsidRPr="00876CBE">
        <w:rPr>
          <w:rFonts w:ascii="Calibri Light" w:hAnsi="Calibri Light" w:cs="Calibri Light"/>
          <w:sz w:val="24"/>
          <w:szCs w:val="24"/>
          <w:lang w:val="en-GB"/>
        </w:rPr>
        <w:t xml:space="preserve">main threats to harmonising the legal framework for national security include cyber threats, the migration crisis, and other hybrid challenges, </w:t>
      </w:r>
      <w:commentRangeEnd w:id="8"/>
      <w:r w:rsidR="00D177AF">
        <w:rPr>
          <w:rStyle w:val="CommentReference"/>
        </w:rPr>
        <w:commentReference w:id="8"/>
      </w:r>
      <w:r w:rsidRPr="00876CBE">
        <w:rPr>
          <w:rFonts w:ascii="Calibri Light" w:hAnsi="Calibri Light" w:cs="Calibri Light"/>
          <w:sz w:val="24"/>
          <w:szCs w:val="24"/>
          <w:lang w:val="en-GB"/>
        </w:rPr>
        <w:t xml:space="preserve">such as propaganda, espionage, proxy groups, and terrorism. These findings align with other studies, identifying cyber threats, global pandemics, and economic wars as the primary dangers to national security. Research by </w:t>
      </w:r>
      <w:proofErr w:type="spellStart"/>
      <w:r w:rsidRPr="00876CBE">
        <w:rPr>
          <w:rFonts w:ascii="Calibri Light" w:hAnsi="Calibri Light" w:cs="Calibri Light"/>
          <w:sz w:val="24"/>
          <w:szCs w:val="24"/>
          <w:lang w:val="en-GB"/>
        </w:rPr>
        <w:t>Lekunze</w:t>
      </w:r>
      <w:proofErr w:type="spellEnd"/>
      <w:r w:rsidRPr="00876CBE">
        <w:rPr>
          <w:rFonts w:ascii="Calibri Light" w:hAnsi="Calibri Light" w:cs="Calibri Light"/>
          <w:sz w:val="24"/>
          <w:szCs w:val="24"/>
          <w:lang w:val="en-GB"/>
        </w:rPr>
        <w:t xml:space="preserve"> [33] and Rottweiler and Gill [34] highlights that terrorism and emerging conflicts drive reforms in the legal framework of the national security sector. These authors suggest that current national security strategies must account for these multifactorial threats, as they may interact and compound one another [34]. The statements above are entirely consistent with the results of this study. Similar perspectives are presented in the works of other scholars, who emphasise the importance of countering hybrid warfare, which combines traditional military conflicts with disinformation and economic sanctions [35; 36].</w:t>
      </w:r>
    </w:p>
    <w:p w14:paraId="11834DD9"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However, the findings also demonstrate that new challenges are less predictable, significantly complicating the development of effective legal mechanisms. These results confirm the first hypothesis of this research, specifically identifying that the effectiveness of regulatory frameworks in the national security sector directly depends on the adaptation of current legislation to challenges such as cybercrimes, hybrid threats, and terrorism.</w:t>
      </w:r>
    </w:p>
    <w:p w14:paraId="754E3CB2"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An analysis of the effectiveness of Ukraine’s national security legal framework revealed certain positive developments following the adoption of new legislative acts, including the Law on National Security and the National Security Regulation Strategy, which have been implemented since the onset of the full-scale invasion. These reforms envisage enhanced cooperation with international partners, introducing innovative approaches and focusing on cybersecurity capabilities, counterintelligence, and anti-terrorism measures.</w:t>
      </w:r>
    </w:p>
    <w:p w14:paraId="557B61B6"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Despite these steps towards harmonisation with EU criteria, there remain opportunities for optimisation. Other researchers have acknowledged existing gaps in Ukraine’s legislation concerning the establishment of a stable cybersecurity environment and the management of resources to combat emerging threats [37; 38]. Current studies point to the need for improved legislative mechanisms in alignment with internationally accepted standards, which corresponds with these findings [37; 39].</w:t>
      </w:r>
    </w:p>
    <w:p w14:paraId="7960766E"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 xml:space="preserve">As research from EU countries noted, the United Kingdom has developed new measures to address innovative threats. For instance, the UK adopted an updated National Security Act in 2023, introducing new measures for monitoring and controlling harmful activities in restricted areas [25]. These legislative decisions have strengthened the UK’s political and economic security while implementing new mechanisms to combat espionage and external threats. </w:t>
      </w:r>
    </w:p>
    <w:p w14:paraId="04AC48B5"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 xml:space="preserve">The subsequent task focused on comparing Ukraine's national security models with the experiences of other countries. The findings revealed a key difference in approaches to integrating legal mechanisms for addressing emerging threats. Notably, since 2023, the United Kingdom has emphasised enhanced cybersecurity regulation within its legal </w:t>
      </w:r>
      <w:r w:rsidRPr="00876CBE">
        <w:rPr>
          <w:rFonts w:ascii="Calibri Light" w:hAnsi="Calibri Light" w:cs="Calibri Light"/>
          <w:sz w:val="24"/>
          <w:szCs w:val="24"/>
          <w:lang w:val="en-GB"/>
        </w:rPr>
        <w:lastRenderedPageBreak/>
        <w:t>framework. The country introduced legislation that outlined new measures for monitoring and controlling malicious activities in restricted zones. In the United States, significant reforms in the intelligence system and the development of security programmes followed the adoption of the National Security Act [6]. These measures have significantly improved coordination among various agencies and government bodies, as Biden’s report noted [40].</w:t>
      </w:r>
    </w:p>
    <w:p w14:paraId="606E0D36"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A prolonged reform process is also evident in EU countries, particularly Poland and the Baltic States. This process began with Poland's shift from one collective security agreement (membership in the Warsaw Pact) to integration into another security system (NATO). The findings highlighted that this step is an essential political benchmark for contemporary Ukraine.</w:t>
      </w:r>
    </w:p>
    <w:p w14:paraId="78FDB910"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Meanwhile, the EU and the United States increasingly leverage innovative technologies, particularly artificial intelligence (AI). However, not all researchers agree on its application within the legal sector. Certain scholars have emphasised ethical concerns related to its use [41; 42].</w:t>
      </w:r>
    </w:p>
    <w:p w14:paraId="38B1A2F5"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The findings of this study also underscored the need to enhance specific legal mechanisms for ensuring national security in Ukraine. In particular, it was established that a more systematic adaptation of legislation to address new technological threats is a critical step. Given the rapid evolution of cyber threats, additional legislative initiatives should be introduced to regulate cybersecurity issues effectively. Furthermore, strengthening international cooperation should be a priority. This aligns with the views of other scholars, who have highlighted the importance of bolstering collaboration with global organisations to harmonise standards and combat terrorism and organised crime [43-45].</w:t>
      </w:r>
    </w:p>
    <w:p w14:paraId="11C56C7F"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These assertions also supported this research's final hypothesis, positing that employing a systematic approach combining preventive, reactive, and adaptive measures in legal regulation would enhance the state's security. Therefore, the process of legal regulation in the security sector should systematically adapt to evolving threats and emerging challenges while incorporating the experiences of other nations. This will contribute to creating an effective and flexible system for ensuring security at both domestic and international levels.</w:t>
      </w:r>
    </w:p>
    <w:p w14:paraId="5DDFEF4B"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 xml:space="preserve">However, like any explanatory research, this study has certain limitations. For instance, publications written in non-English languages were excluded during the screening process. Consequently, the research did not account for specific non-English academic articles that might describe local nuances in ensuring national security within particular regions. Additionally, confidentiality concerns must be considered. Since national security issues may involve state or military secrets, some critical information may not be publicly available or suitable for discussion. Accordingly, this study relied solely on publicly accessible </w:t>
      </w:r>
      <w:commentRangeStart w:id="9"/>
      <w:r w:rsidRPr="00876CBE">
        <w:rPr>
          <w:rFonts w:ascii="Calibri Light" w:hAnsi="Calibri Light" w:cs="Calibri Light"/>
          <w:sz w:val="24"/>
          <w:szCs w:val="24"/>
          <w:lang w:val="en-GB"/>
        </w:rPr>
        <w:t>information and did not include materials from other restricted sources.</w:t>
      </w:r>
    </w:p>
    <w:p w14:paraId="72EC020F" w14:textId="77777777" w:rsidR="0090631F" w:rsidRDefault="00876CBE" w:rsidP="00876CBE">
      <w:pPr>
        <w:spacing w:before="120" w:after="120"/>
        <w:ind w:left="440" w:right="-1" w:hanging="14"/>
        <w:jc w:val="both"/>
        <w:rPr>
          <w:rFonts w:ascii="Calibri Light" w:hAnsi="Calibri Light" w:cs="Calibri Light"/>
          <w:sz w:val="24"/>
          <w:szCs w:val="24"/>
        </w:rPr>
      </w:pPr>
      <w:r w:rsidRPr="00876CBE">
        <w:rPr>
          <w:rFonts w:ascii="Calibri Light" w:hAnsi="Calibri Light" w:cs="Calibri Light"/>
          <w:sz w:val="24"/>
          <w:szCs w:val="24"/>
          <w:lang w:val="en-GB"/>
        </w:rPr>
        <w:t>Despite these limitations, the research addresses a gap by providing a comprehensive analysis of legal regulation in the national security system, examining Ukraine's unique experience and the practices of other leading nations.</w:t>
      </w:r>
      <w:commentRangeEnd w:id="9"/>
      <w:r w:rsidR="00132F0A">
        <w:rPr>
          <w:rStyle w:val="CommentReference"/>
        </w:rPr>
        <w:commentReference w:id="9"/>
      </w:r>
    </w:p>
    <w:p w14:paraId="6317F647" w14:textId="77777777" w:rsidR="00741058" w:rsidRPr="00876CBE" w:rsidRDefault="00741058" w:rsidP="00781D8B">
      <w:pPr>
        <w:numPr>
          <w:ilvl w:val="0"/>
          <w:numId w:val="28"/>
        </w:numPr>
        <w:autoSpaceDE/>
        <w:autoSpaceDN/>
        <w:spacing w:line="240" w:lineRule="atLeast"/>
        <w:ind w:left="426" w:hanging="426"/>
        <w:rPr>
          <w:rFonts w:ascii="Calibri Light" w:hAnsi="Calibri Light" w:cs="Calibri Light"/>
          <w:b/>
          <w:sz w:val="24"/>
          <w:szCs w:val="24"/>
        </w:rPr>
      </w:pPr>
      <w:r w:rsidRPr="00122F5F">
        <w:rPr>
          <w:rFonts w:ascii="Calibri Light" w:hAnsi="Calibri Light" w:cs="Calibri Light"/>
          <w:b/>
          <w:sz w:val="24"/>
          <w:szCs w:val="24"/>
        </w:rPr>
        <w:t>CONCLUSION</w:t>
      </w:r>
    </w:p>
    <w:p w14:paraId="294FF350" w14:textId="77777777" w:rsidR="00876CBE" w:rsidRPr="00876CBE" w:rsidRDefault="00876CBE" w:rsidP="00876CBE">
      <w:pPr>
        <w:pStyle w:val="ListParagraph"/>
        <w:spacing w:before="120" w:after="120" w:line="240" w:lineRule="auto"/>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lastRenderedPageBreak/>
        <w:t>Russian aggression against Ukraine has become a significant factor in revising existing legal systems for ensuring national security. In addition to the direct challenge of armed aggression, hybrid threats (such as propaganda, terrorism, and espionage), digital challenges (including the protection of information and management systems), and legal frameworks for responding to emergencies (including issues of resource mobilisation) remain highly relevant within the legal field.</w:t>
      </w:r>
    </w:p>
    <w:p w14:paraId="7B35FEA7" w14:textId="77777777" w:rsidR="00876CBE" w:rsidRPr="00876CBE" w:rsidRDefault="00876CBE" w:rsidP="00876CBE">
      <w:pPr>
        <w:pStyle w:val="ListParagraph"/>
        <w:spacing w:before="120" w:after="120" w:line="240" w:lineRule="auto"/>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Ukraine has been established to have a sufficient legal framework to ensure the fundamental aspects of national security protection. This includes provisions from the Constitution of Ukraine, Ukrainian laws, subordinate legal acts, and international agreements and treaties that have been concluded and ratified. However, as national security challenges continue to evolve, there is a need for further improvement of the existing legal framework with the inclusion of international practices. The public-legal mechanism for ensuring national security norms operates according to the constitution of Ukraine, which also outlines the primary direction for Ukraine's integration into the EU and NATO. The legal implementation of Ukraine's national security is reinforced through enforcing Ukrainian laws and is further specified within a system of subordinate legal acts. At the same time, certain normative and subordinate acts lack specificity, opening the door for potential misuse and threatening Ukraine's national security. This is particularly relevant to the current hybrid challenges (such as cybercrime and the migrant crisis). Another critical challenge is the alignment of existing legal norms with international standards for defence sector reforms, which is essential for further integration into NATO.</w:t>
      </w:r>
    </w:p>
    <w:p w14:paraId="61774E84" w14:textId="77777777" w:rsidR="00876CBE" w:rsidRDefault="00876CBE" w:rsidP="00876CBE">
      <w:pPr>
        <w:pStyle w:val="ListParagraph"/>
        <w:spacing w:before="120" w:after="120" w:line="240" w:lineRule="auto"/>
        <w:ind w:left="440" w:right="-1" w:hanging="14"/>
        <w:contextualSpacing w:val="0"/>
        <w:jc w:val="both"/>
        <w:rPr>
          <w:rFonts w:ascii="Calibri Light" w:hAnsi="Calibri Light" w:cs="Calibri Light"/>
          <w:sz w:val="24"/>
          <w:szCs w:val="24"/>
        </w:rPr>
      </w:pPr>
      <w:r w:rsidRPr="00876CBE">
        <w:rPr>
          <w:rFonts w:ascii="Calibri Light" w:hAnsi="Calibri Light" w:cs="Calibri Light"/>
          <w:sz w:val="24"/>
          <w:szCs w:val="24"/>
          <w:lang w:val="en-GB"/>
        </w:rPr>
        <w:t>As a result of the conducted research, it has been determined that the security systems of European states have a significant advantage over Ukraine, namely their integration into NATO. Therefore, legal norms can be harmonised or even unified. The Ukrainian legal system is still in the early stages of integration with NATO and the European legal environment. Thus, the implementation of specific provisions will require more substantial changes to the legislative framework. At the same time, the United States and the United Kingdom operate with a focus on global threats – countering espionage, the migrant crisis, digital attacks, and other hybrid threats. Eastern European and Baltic states, recognising the Russian danger, have directed their legal reforms in the national security system towards strengthening the armed forces, signing additional agreements with NATO countries, etc. Notable innovations in addressing hybrid threats and cybercrime include gradually simplifying information exchange between NATO member states, which has been formalised through relevant agreements and legislative acts.</w:t>
      </w:r>
    </w:p>
    <w:p w14:paraId="390C15EA" w14:textId="77777777" w:rsidR="00741058" w:rsidRPr="00876CBE" w:rsidRDefault="00F369EC" w:rsidP="00F369EC">
      <w:pPr>
        <w:spacing w:line="240" w:lineRule="atLeast"/>
        <w:jc w:val="both"/>
        <w:rPr>
          <w:rFonts w:ascii="Calibri Light" w:hAnsi="Calibri Light" w:cs="Calibri Light"/>
          <w:b/>
          <w:sz w:val="24"/>
          <w:szCs w:val="24"/>
          <w:lang w:val="id-ID"/>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p>
    <w:p w14:paraId="1FB1846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Hruzevskyi, O. (2023). A Systematic Analysis of the Impact of the Military Conflict on the Distance Education System in Ukraine. </w:t>
      </w:r>
      <w:r w:rsidRPr="00876CBE">
        <w:rPr>
          <w:rFonts w:ascii="Calibri Light" w:hAnsi="Calibri Light" w:cs="Calibri Light"/>
          <w:i/>
          <w:noProof/>
          <w:sz w:val="24"/>
          <w:szCs w:val="24"/>
          <w:lang w:eastAsia="id-ID"/>
        </w:rPr>
        <w:t>E-Learning Innovations Journal, 1</w:t>
      </w:r>
      <w:r w:rsidRPr="00876CBE">
        <w:rPr>
          <w:rFonts w:ascii="Calibri Light" w:hAnsi="Calibri Light" w:cs="Calibri Light"/>
          <w:noProof/>
          <w:sz w:val="24"/>
          <w:szCs w:val="24"/>
          <w:lang w:eastAsia="id-ID"/>
        </w:rPr>
        <w:t xml:space="preserve">(1), 71–87. </w:t>
      </w:r>
      <w:hyperlink r:id="rId13" w:history="1">
        <w:r w:rsidRPr="00876CBE">
          <w:rPr>
            <w:rStyle w:val="Hyperlink"/>
            <w:rFonts w:ascii="Calibri Light" w:hAnsi="Calibri Light" w:cs="Calibri Light"/>
            <w:noProof/>
            <w:sz w:val="24"/>
            <w:szCs w:val="24"/>
            <w:lang w:eastAsia="id-ID"/>
          </w:rPr>
          <w:t>https://doi.org/10.57125/ELIJ.2023.03.25.04</w:t>
        </w:r>
      </w:hyperlink>
    </w:p>
    <w:p w14:paraId="7832424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u w:val="single"/>
          <w:lang w:val="uk-UA" w:eastAsia="id-ID"/>
        </w:rPr>
      </w:pPr>
      <w:r w:rsidRPr="00876CBE">
        <w:rPr>
          <w:rFonts w:ascii="Calibri Light" w:hAnsi="Calibri Light" w:cs="Calibri Light"/>
          <w:noProof/>
          <w:sz w:val="24"/>
          <w:szCs w:val="24"/>
          <w:lang w:eastAsia="id-ID"/>
        </w:rPr>
        <w:t xml:space="preserve">Kobko, Y. V. (2022). Legal regulation of national security in Ukraine: Today’s challenges. </w:t>
      </w:r>
      <w:r w:rsidRPr="00876CBE">
        <w:rPr>
          <w:rFonts w:ascii="Calibri Light" w:hAnsi="Calibri Light" w:cs="Calibri Light"/>
          <w:i/>
          <w:noProof/>
          <w:sz w:val="24"/>
          <w:szCs w:val="24"/>
          <w:lang w:eastAsia="id-ID"/>
        </w:rPr>
        <w:t>Law and Safety</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85</w:t>
      </w:r>
      <w:r w:rsidRPr="00876CBE">
        <w:rPr>
          <w:rFonts w:ascii="Calibri Light" w:hAnsi="Calibri Light" w:cs="Calibri Light"/>
          <w:noProof/>
          <w:sz w:val="24"/>
          <w:szCs w:val="24"/>
          <w:lang w:eastAsia="id-ID"/>
        </w:rPr>
        <w:t xml:space="preserve">(2), 179–188. </w:t>
      </w:r>
      <w:hyperlink r:id="rId14" w:history="1">
        <w:r w:rsidRPr="00876CBE">
          <w:rPr>
            <w:rStyle w:val="Hyperlink"/>
            <w:rFonts w:ascii="Calibri Light" w:hAnsi="Calibri Light" w:cs="Calibri Light"/>
            <w:noProof/>
            <w:sz w:val="24"/>
            <w:szCs w:val="24"/>
            <w:lang w:eastAsia="id-ID"/>
          </w:rPr>
          <w:t>https://doi.org/10.32631/pb.2022.2.17</w:t>
        </w:r>
      </w:hyperlink>
    </w:p>
    <w:p w14:paraId="3B269C14"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Yurko, I., &amp; Riabtsev, D. (2024). The Role of Investment, Innovation and Efficient Use of Resources in Ensuring Long-Term Economic Sustainability. </w:t>
      </w:r>
      <w:r w:rsidRPr="00876CBE">
        <w:rPr>
          <w:rFonts w:ascii="Calibri Light" w:hAnsi="Calibri Light" w:cs="Calibri Light"/>
          <w:i/>
          <w:noProof/>
          <w:sz w:val="24"/>
          <w:szCs w:val="24"/>
          <w:lang w:eastAsia="id-ID"/>
        </w:rPr>
        <w:t xml:space="preserve">Law, Business and </w:t>
      </w:r>
      <w:r w:rsidRPr="00876CBE">
        <w:rPr>
          <w:rFonts w:ascii="Calibri Light" w:hAnsi="Calibri Light" w:cs="Calibri Light"/>
          <w:i/>
          <w:noProof/>
          <w:sz w:val="24"/>
          <w:szCs w:val="24"/>
          <w:lang w:eastAsia="id-ID"/>
        </w:rPr>
        <w:lastRenderedPageBreak/>
        <w:t>Sustainability Herald, 4</w:t>
      </w:r>
      <w:r w:rsidRPr="00876CBE">
        <w:rPr>
          <w:rFonts w:ascii="Calibri Light" w:hAnsi="Calibri Light" w:cs="Calibri Light"/>
          <w:noProof/>
          <w:sz w:val="24"/>
          <w:szCs w:val="24"/>
          <w:lang w:eastAsia="id-ID"/>
        </w:rPr>
        <w:t xml:space="preserve">(1), 4–20. Retrieved from </w:t>
      </w:r>
      <w:hyperlink r:id="rId15" w:history="1">
        <w:r w:rsidRPr="00876CBE">
          <w:rPr>
            <w:rStyle w:val="Hyperlink"/>
            <w:rFonts w:ascii="Calibri Light" w:hAnsi="Calibri Light" w:cs="Calibri Light"/>
            <w:noProof/>
            <w:sz w:val="24"/>
            <w:szCs w:val="24"/>
            <w:lang w:eastAsia="id-ID"/>
          </w:rPr>
          <w:t>https://lbsherald.org/index.php/journal/article/view/62</w:t>
        </w:r>
      </w:hyperlink>
    </w:p>
    <w:p w14:paraId="533E7AE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Kwilinski, A., Dielini, M., Mazuryk, O., Filippov, V., &amp; Kitseliuk, V. (2020). System constructs for the investment security of a country. </w:t>
      </w:r>
      <w:r w:rsidRPr="00876CBE">
        <w:rPr>
          <w:rFonts w:ascii="Calibri Light" w:hAnsi="Calibri Light" w:cs="Calibri Light"/>
          <w:i/>
          <w:noProof/>
          <w:sz w:val="24"/>
          <w:szCs w:val="24"/>
          <w:lang w:eastAsia="id-ID"/>
        </w:rPr>
        <w:t>Journal of Security and Sustainability Issues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10</w:t>
      </w:r>
      <w:r w:rsidRPr="00876CBE">
        <w:rPr>
          <w:rFonts w:ascii="Calibri Light" w:hAnsi="Calibri Light" w:cs="Calibri Light"/>
          <w:noProof/>
          <w:sz w:val="24"/>
          <w:szCs w:val="24"/>
          <w:lang w:eastAsia="id-ID"/>
        </w:rPr>
        <w:t xml:space="preserve">(1), 345–358. </w:t>
      </w:r>
      <w:hyperlink r:id="rId16"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doi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org</w:t>
        </w:r>
        <w:r w:rsidRPr="00876CBE">
          <w:rPr>
            <w:rStyle w:val="Hyperlink"/>
            <w:rFonts w:ascii="Calibri Light" w:hAnsi="Calibri Light" w:cs="Calibri Light"/>
            <w:noProof/>
            <w:sz w:val="24"/>
            <w:szCs w:val="24"/>
            <w:lang w:val="uk-UA" w:eastAsia="id-ID"/>
          </w:rPr>
          <w:t>/10.9770/</w:t>
        </w:r>
        <w:r w:rsidRPr="00876CBE">
          <w:rPr>
            <w:rStyle w:val="Hyperlink"/>
            <w:rFonts w:ascii="Calibri Light" w:hAnsi="Calibri Light" w:cs="Calibri Light"/>
            <w:noProof/>
            <w:sz w:val="24"/>
            <w:szCs w:val="24"/>
            <w:lang w:eastAsia="id-ID"/>
          </w:rPr>
          <w:t>jssi</w:t>
        </w:r>
        <w:r w:rsidRPr="00876CBE">
          <w:rPr>
            <w:rStyle w:val="Hyperlink"/>
            <w:rFonts w:ascii="Calibri Light" w:hAnsi="Calibri Light" w:cs="Calibri Light"/>
            <w:noProof/>
            <w:sz w:val="24"/>
            <w:szCs w:val="24"/>
            <w:lang w:val="uk-UA" w:eastAsia="id-ID"/>
          </w:rPr>
          <w:t>.2020.10.1(25)</w:t>
        </w:r>
      </w:hyperlink>
    </w:p>
    <w:p w14:paraId="1EFE401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es-VE" w:eastAsia="id-ID"/>
        </w:rPr>
      </w:pPr>
      <w:r w:rsidRPr="00876CBE">
        <w:rPr>
          <w:rFonts w:ascii="Calibri Light" w:hAnsi="Calibri Light" w:cs="Calibri Light"/>
          <w:noProof/>
          <w:sz w:val="24"/>
          <w:szCs w:val="24"/>
          <w:lang w:eastAsia="id-ID"/>
        </w:rPr>
        <w:t xml:space="preserve">Tovpyha, L. M., Pastukh, I. D., Tarasevych, T. Y., Bondar, S. V., &amp; Ilina, O. V. (2021). Legal regulation of practices of the police as an entity in charge of preventing and combating corruption in Ukraine. </w:t>
      </w:r>
      <w:r w:rsidRPr="00876CBE">
        <w:rPr>
          <w:rFonts w:ascii="Calibri Light" w:hAnsi="Calibri Light" w:cs="Calibri Light"/>
          <w:i/>
          <w:noProof/>
          <w:sz w:val="24"/>
          <w:szCs w:val="24"/>
          <w:lang w:val="es-VE" w:eastAsia="id-ID"/>
        </w:rPr>
        <w:t>Cuestiones Políticas</w:t>
      </w:r>
      <w:r w:rsidRPr="00876CBE">
        <w:rPr>
          <w:rFonts w:ascii="Calibri Light" w:hAnsi="Calibri Light" w:cs="Calibri Light"/>
          <w:noProof/>
          <w:sz w:val="24"/>
          <w:szCs w:val="24"/>
          <w:lang w:val="es-VE" w:eastAsia="id-ID"/>
        </w:rPr>
        <w:t xml:space="preserve">, </w:t>
      </w:r>
      <w:r w:rsidRPr="00876CBE">
        <w:rPr>
          <w:rFonts w:ascii="Calibri Light" w:hAnsi="Calibri Light" w:cs="Calibri Light"/>
          <w:i/>
          <w:noProof/>
          <w:sz w:val="24"/>
          <w:szCs w:val="24"/>
          <w:lang w:val="es-VE" w:eastAsia="id-ID"/>
        </w:rPr>
        <w:t>39</w:t>
      </w:r>
      <w:r w:rsidRPr="00876CBE">
        <w:rPr>
          <w:rFonts w:ascii="Calibri Light" w:hAnsi="Calibri Light" w:cs="Calibri Light"/>
          <w:noProof/>
          <w:sz w:val="24"/>
          <w:szCs w:val="24"/>
          <w:lang w:val="es-VE" w:eastAsia="id-ID"/>
        </w:rPr>
        <w:t xml:space="preserve">(69), 735–755. </w:t>
      </w:r>
      <w:hyperlink r:id="rId17" w:history="1">
        <w:r w:rsidRPr="00876CBE">
          <w:rPr>
            <w:rStyle w:val="Hyperlink"/>
            <w:rFonts w:ascii="Calibri Light" w:hAnsi="Calibri Light" w:cs="Calibri Light"/>
            <w:noProof/>
            <w:sz w:val="24"/>
            <w:szCs w:val="24"/>
            <w:lang w:val="es-VE" w:eastAsia="id-ID"/>
          </w:rPr>
          <w:t>https://doi.org/10.46398/cuestpol.3969.46</w:t>
        </w:r>
      </w:hyperlink>
    </w:p>
    <w:p w14:paraId="1AECBCF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297408">
        <w:rPr>
          <w:rFonts w:ascii="Calibri Light" w:hAnsi="Calibri Light" w:cs="Calibri Light"/>
          <w:noProof/>
          <w:sz w:val="24"/>
          <w:szCs w:val="24"/>
          <w:lang w:val="de-DE" w:eastAsia="id-ID"/>
        </w:rPr>
        <w:t xml:space="preserve">Kostka, G., Steinacker, L., &amp; Meckel, M. (2021). </w:t>
      </w:r>
      <w:r w:rsidRPr="00876CBE">
        <w:rPr>
          <w:rFonts w:ascii="Calibri Light" w:hAnsi="Calibri Light" w:cs="Calibri Light"/>
          <w:noProof/>
          <w:sz w:val="24"/>
          <w:szCs w:val="24"/>
          <w:lang w:eastAsia="id-ID"/>
        </w:rPr>
        <w:t xml:space="preserve">Between security and convenience: Facial recognition technology in the eyes of citizens in China, Germany, the United Kingdom, and the United States. </w:t>
      </w:r>
      <w:r w:rsidRPr="00876CBE">
        <w:rPr>
          <w:rFonts w:ascii="Calibri Light" w:hAnsi="Calibri Light" w:cs="Calibri Light"/>
          <w:i/>
          <w:noProof/>
          <w:sz w:val="24"/>
          <w:szCs w:val="24"/>
          <w:lang w:eastAsia="id-ID"/>
        </w:rPr>
        <w:t>Public Understanding of Science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30</w:t>
      </w:r>
      <w:r w:rsidRPr="00876CBE">
        <w:rPr>
          <w:rFonts w:ascii="Calibri Light" w:hAnsi="Calibri Light" w:cs="Calibri Light"/>
          <w:noProof/>
          <w:sz w:val="24"/>
          <w:szCs w:val="24"/>
          <w:lang w:eastAsia="id-ID"/>
        </w:rPr>
        <w:t xml:space="preserve">(6), 671–690. </w:t>
      </w:r>
      <w:hyperlink r:id="rId18" w:history="1">
        <w:r w:rsidRPr="00876CBE">
          <w:rPr>
            <w:rStyle w:val="Hyperlink"/>
            <w:rFonts w:ascii="Calibri Light" w:hAnsi="Calibri Light" w:cs="Calibri Light"/>
            <w:noProof/>
            <w:sz w:val="24"/>
            <w:szCs w:val="24"/>
            <w:lang w:eastAsia="id-ID"/>
          </w:rPr>
          <w:t>https://doi.org/10.1177/09636625211001555</w:t>
        </w:r>
      </w:hyperlink>
    </w:p>
    <w:p w14:paraId="0719518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Pylypchuk, V. G., Bohutskyi, P. P., &amp; Doronin, I. M. (2021). Theoretical foundations and development priorities of national security rights. </w:t>
      </w:r>
      <w:r w:rsidRPr="00876CBE">
        <w:rPr>
          <w:rFonts w:ascii="Calibri Light" w:hAnsi="Calibri Light" w:cs="Calibri Light"/>
          <w:i/>
          <w:noProof/>
          <w:sz w:val="24"/>
          <w:szCs w:val="24"/>
          <w:lang w:eastAsia="id-ID"/>
        </w:rPr>
        <w:t>Journal of the National Academy of Legal Sciences of Ukraine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28</w:t>
      </w:r>
      <w:r w:rsidRPr="00876CBE">
        <w:rPr>
          <w:rFonts w:ascii="Calibri Light" w:hAnsi="Calibri Light" w:cs="Calibri Light"/>
          <w:noProof/>
          <w:sz w:val="24"/>
          <w:szCs w:val="24"/>
          <w:lang w:eastAsia="id-ID"/>
        </w:rPr>
        <w:t xml:space="preserve">(2), 66–75. </w:t>
      </w:r>
      <w:hyperlink r:id="rId19"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visnyk</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kh</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ua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en</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journals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visnik</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naprnu</w:t>
        </w:r>
        <w:r w:rsidRPr="00876CBE">
          <w:rPr>
            <w:rStyle w:val="Hyperlink"/>
            <w:rFonts w:ascii="Calibri Light" w:hAnsi="Calibri Light" w:cs="Calibri Light"/>
            <w:noProof/>
            <w:sz w:val="24"/>
            <w:szCs w:val="24"/>
            <w:lang w:val="uk-UA" w:eastAsia="id-ID"/>
          </w:rPr>
          <w:t>-2-2021-</w:t>
        </w:r>
        <w:r w:rsidRPr="00876CBE">
          <w:rPr>
            <w:rStyle w:val="Hyperlink"/>
            <w:rFonts w:ascii="Calibri Light" w:hAnsi="Calibri Light" w:cs="Calibri Light"/>
            <w:noProof/>
            <w:sz w:val="24"/>
            <w:szCs w:val="24"/>
            <w:lang w:eastAsia="id-ID"/>
          </w:rPr>
          <w:t>r</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teoretichni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osnovi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ta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prioriteti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rozvitku</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prava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natsionalnoyi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bezpeki</w:t>
        </w:r>
      </w:hyperlink>
    </w:p>
    <w:p w14:paraId="715A6C8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pt-PT" w:eastAsia="id-ID"/>
        </w:rPr>
        <w:t xml:space="preserve">Fatima, S., Desouza, K. C., &amp; Dawson, G. S. (2020). </w:t>
      </w:r>
      <w:r w:rsidRPr="00876CBE">
        <w:rPr>
          <w:rFonts w:ascii="Calibri Light" w:hAnsi="Calibri Light" w:cs="Calibri Light"/>
          <w:noProof/>
          <w:sz w:val="24"/>
          <w:szCs w:val="24"/>
          <w:lang w:eastAsia="id-ID"/>
        </w:rPr>
        <w:t xml:space="preserve">National strategic artificial intelligence plans: A multi-dimensional analysis. </w:t>
      </w:r>
      <w:r w:rsidRPr="00876CBE">
        <w:rPr>
          <w:rFonts w:ascii="Calibri Light" w:hAnsi="Calibri Light" w:cs="Calibri Light"/>
          <w:i/>
          <w:noProof/>
          <w:sz w:val="24"/>
          <w:szCs w:val="24"/>
          <w:lang w:eastAsia="id-ID"/>
        </w:rPr>
        <w:t>Economic Analysis and Policy</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67</w:t>
      </w:r>
      <w:r w:rsidRPr="00876CBE">
        <w:rPr>
          <w:rFonts w:ascii="Calibri Light" w:hAnsi="Calibri Light" w:cs="Calibri Light"/>
          <w:noProof/>
          <w:sz w:val="24"/>
          <w:szCs w:val="24"/>
          <w:lang w:eastAsia="id-ID"/>
        </w:rPr>
        <w:t xml:space="preserve">, 178–194. </w:t>
      </w:r>
      <w:hyperlink r:id="rId20" w:history="1">
        <w:r w:rsidRPr="00876CBE">
          <w:rPr>
            <w:rStyle w:val="Hyperlink"/>
            <w:rFonts w:ascii="Calibri Light" w:hAnsi="Calibri Light" w:cs="Calibri Light"/>
            <w:noProof/>
            <w:sz w:val="24"/>
            <w:szCs w:val="24"/>
            <w:lang w:eastAsia="id-ID"/>
          </w:rPr>
          <w:t>https://doi.org/10.1016/j.eap.2020.07.008</w:t>
        </w:r>
      </w:hyperlink>
    </w:p>
    <w:p w14:paraId="350377B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297408">
        <w:rPr>
          <w:rFonts w:ascii="Calibri Light" w:hAnsi="Calibri Light" w:cs="Calibri Light"/>
          <w:noProof/>
          <w:sz w:val="24"/>
          <w:szCs w:val="24"/>
          <w:lang w:val="de-DE" w:eastAsia="id-ID"/>
        </w:rPr>
        <w:t xml:space="preserve">Gerke, S., Minssen, T., &amp; Cohen, G. (2020). </w:t>
      </w:r>
      <w:r w:rsidRPr="00876CBE">
        <w:rPr>
          <w:rFonts w:ascii="Calibri Light" w:hAnsi="Calibri Light" w:cs="Calibri Light"/>
          <w:noProof/>
          <w:sz w:val="24"/>
          <w:szCs w:val="24"/>
          <w:lang w:eastAsia="id-ID"/>
        </w:rPr>
        <w:t xml:space="preserve">Ethical and legal challenges of artificial intelligence-driven healthcare. In </w:t>
      </w:r>
      <w:r w:rsidRPr="00876CBE">
        <w:rPr>
          <w:rFonts w:ascii="Calibri Light" w:hAnsi="Calibri Light" w:cs="Calibri Light"/>
          <w:i/>
          <w:noProof/>
          <w:sz w:val="24"/>
          <w:szCs w:val="24"/>
          <w:lang w:eastAsia="id-ID"/>
        </w:rPr>
        <w:t>Artificial Intelligence in Healthcare</w:t>
      </w:r>
      <w:r w:rsidRPr="00876CBE">
        <w:rPr>
          <w:rFonts w:ascii="Calibri Light" w:hAnsi="Calibri Light" w:cs="Calibri Light"/>
          <w:noProof/>
          <w:sz w:val="24"/>
          <w:szCs w:val="24"/>
          <w:lang w:eastAsia="id-ID"/>
        </w:rPr>
        <w:t xml:space="preserve">(pp. 295–336). Elsevier. </w:t>
      </w:r>
      <w:hyperlink r:id="rId21" w:history="1">
        <w:r w:rsidRPr="00876CBE">
          <w:rPr>
            <w:rStyle w:val="Hyperlink"/>
            <w:rFonts w:ascii="Calibri Light" w:hAnsi="Calibri Light" w:cs="Calibri Light"/>
            <w:noProof/>
            <w:sz w:val="24"/>
            <w:szCs w:val="24"/>
            <w:lang w:eastAsia="id-ID"/>
          </w:rPr>
          <w:t>https://doi.org/10.1016/b978-0-12-818438-7.00012-5</w:t>
        </w:r>
      </w:hyperlink>
    </w:p>
    <w:p w14:paraId="6114E30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Hubanova, T., Shchokin, R., Hubanov, O., Antonov, V., Slobodianiuk, P., Podolyaka, S. (2021). Information technologies in improving crime prevention mechanisms in the border regions of southern Ukraine. </w:t>
      </w:r>
      <w:r w:rsidRPr="00876CBE">
        <w:rPr>
          <w:rFonts w:ascii="Calibri Light" w:hAnsi="Calibri Light" w:cs="Calibri Light"/>
          <w:i/>
          <w:noProof/>
          <w:sz w:val="24"/>
          <w:szCs w:val="24"/>
          <w:lang w:eastAsia="id-ID"/>
        </w:rPr>
        <w:t>Journal of Information Technology Management, 13,</w:t>
      </w:r>
      <w:r w:rsidRPr="00876CBE">
        <w:rPr>
          <w:rFonts w:ascii="Calibri Light" w:hAnsi="Calibri Light" w:cs="Calibri Light"/>
          <w:noProof/>
          <w:sz w:val="24"/>
          <w:szCs w:val="24"/>
          <w:lang w:eastAsia="id-ID"/>
        </w:rPr>
        <w:t xml:space="preserve"> 75–90. </w:t>
      </w:r>
      <w:hyperlink r:id="rId22" w:history="1">
        <w:r w:rsidRPr="00876CBE">
          <w:rPr>
            <w:rStyle w:val="Hyperlink"/>
            <w:rFonts w:ascii="Calibri Light" w:hAnsi="Calibri Light" w:cs="Calibri Light"/>
            <w:noProof/>
            <w:sz w:val="24"/>
            <w:szCs w:val="24"/>
            <w:lang w:eastAsia="id-ID"/>
          </w:rPr>
          <w:t>https://doi.org/10.22059/JITM.2021.80738</w:t>
        </w:r>
      </w:hyperlink>
    </w:p>
    <w:p w14:paraId="79564FD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Li, Y., &amp; Liu, Q. (2021). A comprehensive review study of cyber-attacks and cyber security; Emerging trends and recent developments. </w:t>
      </w:r>
      <w:r w:rsidRPr="00876CBE">
        <w:rPr>
          <w:rFonts w:ascii="Calibri Light" w:hAnsi="Calibri Light" w:cs="Calibri Light"/>
          <w:i/>
          <w:iCs/>
          <w:noProof/>
          <w:sz w:val="24"/>
          <w:szCs w:val="24"/>
          <w:lang w:eastAsia="id-ID"/>
        </w:rPr>
        <w:t>Energy Reports</w:t>
      </w:r>
      <w:r w:rsidRPr="00876CBE">
        <w:rPr>
          <w:rFonts w:ascii="Calibri Light" w:hAnsi="Calibri Light" w:cs="Calibri Light"/>
          <w:noProof/>
          <w:sz w:val="24"/>
          <w:szCs w:val="24"/>
          <w:lang w:eastAsia="id-ID"/>
        </w:rPr>
        <w:t xml:space="preserve">, </w:t>
      </w:r>
      <w:r w:rsidRPr="00876CBE">
        <w:rPr>
          <w:rFonts w:ascii="Calibri Light" w:hAnsi="Calibri Light" w:cs="Calibri Light"/>
          <w:i/>
          <w:iCs/>
          <w:noProof/>
          <w:sz w:val="24"/>
          <w:szCs w:val="24"/>
          <w:lang w:eastAsia="id-ID"/>
        </w:rPr>
        <w:t>7</w:t>
      </w:r>
      <w:r w:rsidRPr="00876CBE">
        <w:rPr>
          <w:rFonts w:ascii="Calibri Light" w:hAnsi="Calibri Light" w:cs="Calibri Light"/>
          <w:noProof/>
          <w:sz w:val="24"/>
          <w:szCs w:val="24"/>
          <w:lang w:eastAsia="id-ID"/>
        </w:rPr>
        <w:t xml:space="preserve">, 8176–8186. </w:t>
      </w:r>
      <w:hyperlink r:id="rId23" w:history="1">
        <w:r w:rsidRPr="00876CBE">
          <w:rPr>
            <w:rStyle w:val="Hyperlink"/>
            <w:rFonts w:ascii="Calibri Light" w:hAnsi="Calibri Light" w:cs="Calibri Light"/>
            <w:noProof/>
            <w:sz w:val="24"/>
            <w:szCs w:val="24"/>
            <w:lang w:eastAsia="id-ID"/>
          </w:rPr>
          <w:t>https://doi.org/10.1016/j.egyr.2021.08.126</w:t>
        </w:r>
      </w:hyperlink>
    </w:p>
    <w:p w14:paraId="7F4101A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Alguliyev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R</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Imamverdiyev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Y</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Mahmudov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R</w:t>
      </w:r>
      <w:r w:rsidRPr="00876CBE">
        <w:rPr>
          <w:rFonts w:ascii="Calibri Light" w:hAnsi="Calibri Light" w:cs="Calibri Light"/>
          <w:noProof/>
          <w:sz w:val="24"/>
          <w:szCs w:val="24"/>
          <w:lang w:val="uk-UA" w:eastAsia="id-ID"/>
        </w:rPr>
        <w:t xml:space="preserve">., &amp; </w:t>
      </w:r>
      <w:r w:rsidRPr="00876CBE">
        <w:rPr>
          <w:rFonts w:ascii="Calibri Light" w:hAnsi="Calibri Light" w:cs="Calibri Light"/>
          <w:noProof/>
          <w:sz w:val="24"/>
          <w:szCs w:val="24"/>
          <w:lang w:eastAsia="id-ID"/>
        </w:rPr>
        <w:t>Alguliyev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R</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w:t>
      </w:r>
      <w:r w:rsidRPr="00876CBE">
        <w:rPr>
          <w:rFonts w:ascii="Calibri Light" w:hAnsi="Calibri Light" w:cs="Calibri Light"/>
          <w:noProof/>
          <w:sz w:val="24"/>
          <w:szCs w:val="24"/>
          <w:lang w:val="uk-UA" w:eastAsia="id-ID"/>
        </w:rPr>
        <w:t xml:space="preserve">. (2021). </w:t>
      </w:r>
      <w:r w:rsidRPr="00876CBE">
        <w:rPr>
          <w:rFonts w:ascii="Calibri Light" w:hAnsi="Calibri Light" w:cs="Calibri Light"/>
          <w:noProof/>
          <w:sz w:val="24"/>
          <w:szCs w:val="24"/>
          <w:lang w:eastAsia="id-ID"/>
        </w:rPr>
        <w:t xml:space="preserve">Information security as a national security component. </w:t>
      </w:r>
      <w:r w:rsidRPr="00876CBE">
        <w:rPr>
          <w:rFonts w:ascii="Calibri Light" w:hAnsi="Calibri Light" w:cs="Calibri Light"/>
          <w:i/>
          <w:noProof/>
          <w:sz w:val="24"/>
          <w:szCs w:val="24"/>
          <w:lang w:eastAsia="id-ID"/>
        </w:rPr>
        <w:t>Information Security Journal: A Global Perspective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30</w:t>
      </w:r>
      <w:r w:rsidRPr="00876CBE">
        <w:rPr>
          <w:rFonts w:ascii="Calibri Light" w:hAnsi="Calibri Light" w:cs="Calibri Light"/>
          <w:noProof/>
          <w:sz w:val="24"/>
          <w:szCs w:val="24"/>
          <w:lang w:eastAsia="id-ID"/>
        </w:rPr>
        <w:t xml:space="preserve">(1), 1–18. </w:t>
      </w:r>
      <w:hyperlink r:id="rId24" w:history="1">
        <w:r w:rsidRPr="00876CBE">
          <w:rPr>
            <w:rStyle w:val="Hyperlink"/>
            <w:rFonts w:ascii="Calibri Light" w:hAnsi="Calibri Light" w:cs="Calibri Light"/>
            <w:noProof/>
            <w:sz w:val="24"/>
            <w:szCs w:val="24"/>
            <w:lang w:eastAsia="id-ID"/>
          </w:rPr>
          <w:t>https://doi.org/10.1080/19393555.2020.1795323</w:t>
        </w:r>
      </w:hyperlink>
    </w:p>
    <w:p w14:paraId="7BEA5AA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Belkin, L., Iurynets, J., Sopilko, I., &amp; Belkin, M. (2022). Culture and the use of information understanding in the field of national security (a case study of Ukraine). </w:t>
      </w:r>
      <w:r w:rsidRPr="00876CBE">
        <w:rPr>
          <w:rFonts w:ascii="Calibri Light" w:hAnsi="Calibri Light" w:cs="Calibri Light"/>
          <w:i/>
          <w:noProof/>
          <w:sz w:val="24"/>
          <w:szCs w:val="24"/>
          <w:lang w:eastAsia="id-ID"/>
        </w:rPr>
        <w:t>Journal of International Legal Communication</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5</w:t>
      </w:r>
      <w:r w:rsidRPr="00876CBE">
        <w:rPr>
          <w:rFonts w:ascii="Calibri Light" w:hAnsi="Calibri Light" w:cs="Calibri Light"/>
          <w:noProof/>
          <w:sz w:val="24"/>
          <w:szCs w:val="24"/>
          <w:lang w:eastAsia="id-ID"/>
        </w:rPr>
        <w:t xml:space="preserve">, 36–58. </w:t>
      </w:r>
      <w:hyperlink r:id="rId25" w:history="1">
        <w:r w:rsidRPr="00876CBE">
          <w:rPr>
            <w:rStyle w:val="Hyperlink"/>
            <w:rFonts w:ascii="Calibri Light" w:hAnsi="Calibri Light" w:cs="Calibri Light"/>
            <w:noProof/>
            <w:sz w:val="24"/>
            <w:szCs w:val="24"/>
            <w:lang w:eastAsia="id-ID"/>
          </w:rPr>
          <w:t>https://doi.org/10.32612/uw.27201643.2022.5.pp.36-58</w:t>
        </w:r>
      </w:hyperlink>
    </w:p>
    <w:p w14:paraId="68A5C9C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Kubiv, S. I., Bobro, N. S., Lopushnyak, G. S., Lenher, Y. I., &amp; Kozhyna, A. (2020). Innovative Potential in European Countries: Analytical and Legal Aspects. </w:t>
      </w:r>
      <w:r w:rsidRPr="00876CBE">
        <w:rPr>
          <w:rFonts w:ascii="Calibri Light" w:hAnsi="Calibri Light" w:cs="Calibri Light"/>
          <w:i/>
          <w:noProof/>
          <w:sz w:val="24"/>
          <w:szCs w:val="24"/>
          <w:lang w:eastAsia="id-ID"/>
        </w:rPr>
        <w:t xml:space="preserve">International Journal of </w:t>
      </w:r>
      <w:r w:rsidRPr="00876CBE">
        <w:rPr>
          <w:rFonts w:ascii="Calibri Light" w:hAnsi="Calibri Light" w:cs="Calibri Light"/>
          <w:i/>
          <w:noProof/>
          <w:sz w:val="24"/>
          <w:szCs w:val="24"/>
          <w:lang w:eastAsia="id-ID"/>
        </w:rPr>
        <w:lastRenderedPageBreak/>
        <w:t>Economics and Business Administration</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w:t>
      </w:r>
      <w:r w:rsidRPr="00876CBE">
        <w:rPr>
          <w:rFonts w:ascii="Calibri Light" w:hAnsi="Calibri Light" w:cs="Calibri Light"/>
          <w:noProof/>
          <w:sz w:val="24"/>
          <w:szCs w:val="24"/>
          <w:lang w:eastAsia="id-ID"/>
        </w:rPr>
        <w:t xml:space="preserve">(2), 250–264. </w:t>
      </w:r>
      <w:hyperlink r:id="rId26" w:history="1">
        <w:r w:rsidRPr="00876CBE">
          <w:rPr>
            <w:rStyle w:val="Hyperlink"/>
            <w:rFonts w:ascii="Calibri Light" w:hAnsi="Calibri Light" w:cs="Calibri Light"/>
            <w:noProof/>
            <w:sz w:val="24"/>
            <w:szCs w:val="24"/>
            <w:lang w:eastAsia="id-ID"/>
          </w:rPr>
          <w:t>https://doi.org/10.35808/ijeba/457</w:t>
        </w:r>
      </w:hyperlink>
    </w:p>
    <w:p w14:paraId="3B39FDC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Kliuchnyk, A., &amp; Husenko, A. (2024). Legal regulation of corruption prevention in public authorities. </w:t>
      </w:r>
      <w:r w:rsidRPr="00876CBE">
        <w:rPr>
          <w:rFonts w:ascii="Calibri Light" w:hAnsi="Calibri Light" w:cs="Calibri Light"/>
          <w:i/>
          <w:noProof/>
          <w:sz w:val="24"/>
          <w:szCs w:val="24"/>
          <w:lang w:eastAsia="id-ID"/>
        </w:rPr>
        <w:t>Law and Public Administration</w:t>
      </w:r>
      <w:r w:rsidRPr="00876CBE">
        <w:rPr>
          <w:rFonts w:ascii="Calibri Light" w:hAnsi="Calibri Light" w:cs="Calibri Light"/>
          <w:noProof/>
          <w:sz w:val="24"/>
          <w:szCs w:val="24"/>
          <w:lang w:eastAsia="id-ID"/>
        </w:rPr>
        <w:t xml:space="preserve">, (1), 182–189. </w:t>
      </w:r>
      <w:hyperlink r:id="rId27" w:history="1">
        <w:r w:rsidRPr="00876CBE">
          <w:rPr>
            <w:rStyle w:val="Hyperlink"/>
            <w:rFonts w:ascii="Calibri Light" w:hAnsi="Calibri Light" w:cs="Calibri Light"/>
            <w:noProof/>
            <w:sz w:val="24"/>
            <w:szCs w:val="24"/>
            <w:lang w:eastAsia="id-ID"/>
          </w:rPr>
          <w:t>https://doi.org/10.32782/pdu.2024.1.25</w:t>
        </w:r>
      </w:hyperlink>
    </w:p>
    <w:p w14:paraId="3AC8ACA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297408">
        <w:rPr>
          <w:rFonts w:ascii="Calibri Light" w:hAnsi="Calibri Light" w:cs="Calibri Light"/>
          <w:noProof/>
          <w:sz w:val="24"/>
          <w:szCs w:val="24"/>
          <w:lang w:val="pt-PT" w:eastAsia="id-ID"/>
        </w:rPr>
        <w:t xml:space="preserve">Mara, D., Nate, S., Stavytskyy, A., &amp; Kharlamova, G. (2022). </w:t>
      </w:r>
      <w:r w:rsidRPr="00876CBE">
        <w:rPr>
          <w:rFonts w:ascii="Calibri Light" w:hAnsi="Calibri Light" w:cs="Calibri Light"/>
          <w:noProof/>
          <w:sz w:val="24"/>
          <w:szCs w:val="24"/>
          <w:lang w:eastAsia="id-ID"/>
        </w:rPr>
        <w:t xml:space="preserve">The Place of Energy Security in the National Security Framework: An Assessment Approach. </w:t>
      </w:r>
      <w:r w:rsidRPr="00876CBE">
        <w:rPr>
          <w:rFonts w:ascii="Calibri Light" w:hAnsi="Calibri Light" w:cs="Calibri Light"/>
          <w:i/>
          <w:noProof/>
          <w:sz w:val="24"/>
          <w:szCs w:val="24"/>
          <w:lang w:eastAsia="id-ID"/>
        </w:rPr>
        <w:t>Energies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15</w:t>
      </w:r>
      <w:r w:rsidRPr="00876CBE">
        <w:rPr>
          <w:rFonts w:ascii="Calibri Light" w:hAnsi="Calibri Light" w:cs="Calibri Light"/>
          <w:noProof/>
          <w:sz w:val="24"/>
          <w:szCs w:val="24"/>
          <w:lang w:eastAsia="id-ID"/>
        </w:rPr>
        <w:t xml:space="preserve">(2), Article 658. </w:t>
      </w:r>
      <w:hyperlink r:id="rId28" w:history="1">
        <w:r w:rsidRPr="00876CBE">
          <w:rPr>
            <w:rStyle w:val="Hyperlink"/>
            <w:rFonts w:ascii="Calibri Light" w:hAnsi="Calibri Light" w:cs="Calibri Light"/>
            <w:noProof/>
            <w:sz w:val="24"/>
            <w:szCs w:val="24"/>
            <w:lang w:eastAsia="id-ID"/>
          </w:rPr>
          <w:t>https://doi.org/10.3390/en15020658</w:t>
        </w:r>
      </w:hyperlink>
    </w:p>
    <w:p w14:paraId="3F937C5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Yagunov, D., Kuryliuk, Y., Chernousov, A., &amp; Haverkamp, R. (2023). Human trafficking in Ukraine and satellite crimes: Transformation of criminological indicators (January 2006 – April 2023). </w:t>
      </w:r>
      <w:r w:rsidRPr="00876CBE">
        <w:rPr>
          <w:rFonts w:ascii="Calibri Light" w:hAnsi="Calibri Light" w:cs="Calibri Light"/>
          <w:i/>
          <w:noProof/>
          <w:sz w:val="24"/>
          <w:szCs w:val="24"/>
          <w:lang w:eastAsia="id-ID"/>
        </w:rPr>
        <w:t>European Political and Law Discourse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10</w:t>
      </w:r>
      <w:r w:rsidRPr="00876CBE">
        <w:rPr>
          <w:rFonts w:ascii="Calibri Light" w:hAnsi="Calibri Light" w:cs="Calibri Light"/>
          <w:noProof/>
          <w:sz w:val="24"/>
          <w:szCs w:val="24"/>
          <w:lang w:eastAsia="id-ID"/>
        </w:rPr>
        <w:t xml:space="preserve">(2), 5–38. </w:t>
      </w:r>
      <w:hyperlink r:id="rId29" w:history="1">
        <w:r w:rsidRPr="00876CBE">
          <w:rPr>
            <w:rStyle w:val="Hyperlink"/>
            <w:rFonts w:ascii="Calibri Light" w:hAnsi="Calibri Light" w:cs="Calibri Light"/>
            <w:noProof/>
            <w:sz w:val="24"/>
            <w:szCs w:val="24"/>
            <w:lang w:eastAsia="id-ID"/>
          </w:rPr>
          <w:t>https://doi.org/10.46340/eppd.2023.10.3.1</w:t>
        </w:r>
      </w:hyperlink>
    </w:p>
    <w:p w14:paraId="18153BD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Krap, A., Bataiev, S., Bobro, N., Kozub, V., &amp; Hlevatska, N. (2024). Examination of digital advancements: Their influence on contemporary corporate management methods and approaches. </w:t>
      </w:r>
      <w:r w:rsidRPr="00876CBE">
        <w:rPr>
          <w:rFonts w:ascii="Calibri Light" w:hAnsi="Calibri Light" w:cs="Calibri Light"/>
          <w:i/>
          <w:noProof/>
          <w:sz w:val="24"/>
          <w:szCs w:val="24"/>
          <w:lang w:eastAsia="id-ID"/>
        </w:rPr>
        <w:t>Multidisciplinary Reviews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7</w:t>
      </w:r>
      <w:r w:rsidRPr="00876CBE">
        <w:rPr>
          <w:rFonts w:ascii="Calibri Light" w:hAnsi="Calibri Light" w:cs="Calibri Light"/>
          <w:noProof/>
          <w:sz w:val="24"/>
          <w:szCs w:val="24"/>
          <w:lang w:eastAsia="id-ID"/>
        </w:rPr>
        <w:t xml:space="preserve">, Article 2024spe026. </w:t>
      </w:r>
      <w:hyperlink r:id="rId30" w:history="1">
        <w:r w:rsidRPr="00876CBE">
          <w:rPr>
            <w:rStyle w:val="Hyperlink"/>
            <w:rFonts w:ascii="Calibri Light" w:hAnsi="Calibri Light" w:cs="Calibri Light"/>
            <w:noProof/>
            <w:sz w:val="24"/>
            <w:szCs w:val="24"/>
            <w:lang w:eastAsia="id-ID"/>
          </w:rPr>
          <w:t>https://doi.org/10.31893/multirev.2024spe026</w:t>
        </w:r>
      </w:hyperlink>
    </w:p>
    <w:p w14:paraId="01A5901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val="uk-UA" w:eastAsia="id-ID"/>
        </w:rPr>
        <w:t>Kormych, A., Zavalniuk, V., Todoshchak, O., &amp; Ulianov, O. (2024). Ukraine’s Europeanization of Public Administration and Harmonizing Customs Legislation – Exploring a Pluralistic Approach.</w:t>
      </w:r>
      <w:r w:rsidRPr="00876CBE">
        <w:rPr>
          <w:rFonts w:ascii="Calibri Light" w:hAnsi="Calibri Light" w:cs="Calibri Light"/>
          <w:noProof/>
          <w:sz w:val="24"/>
          <w:szCs w:val="24"/>
          <w:lang w:eastAsia="id-ID"/>
        </w:rPr>
        <w:t xml:space="preserve"> </w:t>
      </w:r>
      <w:r w:rsidRPr="00876CBE">
        <w:rPr>
          <w:rFonts w:ascii="Calibri Light" w:hAnsi="Calibri Light" w:cs="Calibri Light"/>
          <w:i/>
          <w:iCs/>
          <w:noProof/>
          <w:sz w:val="24"/>
          <w:szCs w:val="24"/>
          <w:lang w:val="uk-UA" w:eastAsia="id-ID"/>
        </w:rPr>
        <w:t>Lex Portus</w:t>
      </w:r>
      <w:r w:rsidRPr="00876CBE">
        <w:rPr>
          <w:rFonts w:ascii="Calibri Light" w:hAnsi="Calibri Light" w:cs="Calibri Light"/>
          <w:noProof/>
          <w:sz w:val="24"/>
          <w:szCs w:val="24"/>
          <w:lang w:val="uk-UA" w:eastAsia="id-ID"/>
        </w:rPr>
        <w:t>,</w:t>
      </w:r>
      <w:r w:rsidRPr="00876CBE">
        <w:rPr>
          <w:rFonts w:ascii="Calibri Light" w:hAnsi="Calibri Light" w:cs="Calibri Light"/>
          <w:noProof/>
          <w:sz w:val="24"/>
          <w:szCs w:val="24"/>
          <w:lang w:eastAsia="id-ID"/>
        </w:rPr>
        <w:t xml:space="preserve"> </w:t>
      </w:r>
      <w:r w:rsidRPr="00876CBE">
        <w:rPr>
          <w:rFonts w:ascii="Calibri Light" w:hAnsi="Calibri Light" w:cs="Calibri Light"/>
          <w:i/>
          <w:iCs/>
          <w:noProof/>
          <w:sz w:val="24"/>
          <w:szCs w:val="24"/>
          <w:lang w:val="uk-UA" w:eastAsia="id-ID"/>
        </w:rPr>
        <w:t>10</w:t>
      </w:r>
      <w:r w:rsidRPr="00876CBE">
        <w:rPr>
          <w:rFonts w:ascii="Calibri Light" w:hAnsi="Calibri Light" w:cs="Calibri Light"/>
          <w:noProof/>
          <w:sz w:val="24"/>
          <w:szCs w:val="24"/>
          <w:lang w:val="uk-UA" w:eastAsia="id-ID"/>
        </w:rPr>
        <w:t>(4), 20–30.</w:t>
      </w:r>
      <w:r w:rsidRPr="00876CBE">
        <w:rPr>
          <w:rFonts w:ascii="Calibri Light" w:hAnsi="Calibri Light" w:cs="Calibri Light"/>
          <w:noProof/>
          <w:sz w:val="24"/>
          <w:szCs w:val="24"/>
          <w:lang w:eastAsia="id-ID"/>
        </w:rPr>
        <w:t xml:space="preserve"> </w:t>
      </w:r>
      <w:hyperlink r:id="rId31" w:history="1">
        <w:r w:rsidRPr="00876CBE">
          <w:rPr>
            <w:rStyle w:val="Hyperlink"/>
            <w:rFonts w:ascii="Calibri Light" w:hAnsi="Calibri Light" w:cs="Calibri Light"/>
            <w:noProof/>
            <w:sz w:val="24"/>
            <w:szCs w:val="24"/>
            <w:lang w:val="uk-UA" w:eastAsia="id-ID"/>
          </w:rPr>
          <w:t>https://doi.org/10.62821/lp10402</w:t>
        </w:r>
      </w:hyperlink>
    </w:p>
    <w:p w14:paraId="47953B7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uk-UA" w:eastAsia="id-ID"/>
        </w:rPr>
        <w:t xml:space="preserve">Mia, M. M., Rizwan, S., Zayed, N. M., Nitsenko, V., Miroshnyk, O., Kryshtal, H., &amp; Ostapenko, R. (2022). The Impact of Green Entrepreneurship on Social Change and Factors Influencing AMO Theory. </w:t>
      </w:r>
      <w:r w:rsidRPr="00876CBE">
        <w:rPr>
          <w:rFonts w:ascii="Calibri Light" w:hAnsi="Calibri Light" w:cs="Calibri Light"/>
          <w:i/>
          <w:iCs/>
          <w:noProof/>
          <w:sz w:val="24"/>
          <w:szCs w:val="24"/>
          <w:lang w:val="uk-UA" w:eastAsia="id-ID"/>
        </w:rPr>
        <w:t>Systems</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i/>
          <w:iCs/>
          <w:noProof/>
          <w:sz w:val="24"/>
          <w:szCs w:val="24"/>
          <w:lang w:val="uk-UA" w:eastAsia="id-ID"/>
        </w:rPr>
        <w:t>10</w:t>
      </w:r>
      <w:r w:rsidRPr="00876CBE">
        <w:rPr>
          <w:rFonts w:ascii="Calibri Light" w:hAnsi="Calibri Light" w:cs="Calibri Light"/>
          <w:noProof/>
          <w:sz w:val="24"/>
          <w:szCs w:val="24"/>
          <w:lang w:val="uk-UA" w:eastAsia="id-ID"/>
        </w:rPr>
        <w:t xml:space="preserve">(5), </w:t>
      </w:r>
      <w:r w:rsidRPr="00876CBE">
        <w:rPr>
          <w:rFonts w:ascii="Calibri Light" w:hAnsi="Calibri Light" w:cs="Calibri Light"/>
          <w:noProof/>
          <w:sz w:val="24"/>
          <w:szCs w:val="24"/>
          <w:lang w:eastAsia="id-ID"/>
        </w:rPr>
        <w:t>Article</w:t>
      </w:r>
      <w:r w:rsidRPr="00876CBE">
        <w:rPr>
          <w:rFonts w:ascii="Calibri Light" w:hAnsi="Calibri Light" w:cs="Calibri Light"/>
          <w:noProof/>
          <w:sz w:val="24"/>
          <w:szCs w:val="24"/>
          <w:lang w:val="uk-UA" w:eastAsia="id-ID"/>
        </w:rPr>
        <w:t xml:space="preserve"> 132. </w:t>
      </w:r>
      <w:hyperlink r:id="rId32" w:tgtFrame="_blank" w:history="1">
        <w:r w:rsidRPr="00876CBE">
          <w:rPr>
            <w:rStyle w:val="Hyperlink"/>
            <w:rFonts w:ascii="Calibri Light" w:hAnsi="Calibri Light" w:cs="Calibri Light"/>
            <w:noProof/>
            <w:sz w:val="24"/>
            <w:szCs w:val="24"/>
            <w:lang w:val="uk-UA" w:eastAsia="id-ID"/>
          </w:rPr>
          <w:t>https://doi.org/10.3390/systems10050132</w:t>
        </w:r>
      </w:hyperlink>
    </w:p>
    <w:p w14:paraId="431702CC"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Bureau of Justice Assistance. (n.d.). </w:t>
      </w:r>
      <w:r w:rsidRPr="00876CBE">
        <w:rPr>
          <w:rFonts w:ascii="Calibri Light" w:hAnsi="Calibri Light" w:cs="Calibri Light"/>
          <w:i/>
          <w:noProof/>
          <w:sz w:val="24"/>
          <w:szCs w:val="24"/>
          <w:lang w:eastAsia="id-ID"/>
        </w:rPr>
        <w:t>National Security Act</w:t>
      </w:r>
      <w:r w:rsidRPr="00876CBE">
        <w:rPr>
          <w:rFonts w:ascii="Calibri Light" w:hAnsi="Calibri Light" w:cs="Calibri Light"/>
          <w:noProof/>
          <w:sz w:val="24"/>
          <w:szCs w:val="24"/>
          <w:lang w:eastAsia="id-ID"/>
        </w:rPr>
        <w:t xml:space="preserve"> </w:t>
      </w:r>
      <w:hyperlink r:id="rId33" w:history="1">
        <w:r w:rsidRPr="00876CBE">
          <w:rPr>
            <w:rStyle w:val="Hyperlink"/>
            <w:rFonts w:ascii="Calibri Light" w:hAnsi="Calibri Light" w:cs="Calibri Light"/>
            <w:noProof/>
            <w:sz w:val="24"/>
            <w:szCs w:val="24"/>
            <w:lang w:eastAsia="id-ID"/>
          </w:rPr>
          <w:t>https://bja.ojp.gov/program/it/privacy-civil-liberties/authorities/statutes/1280</w:t>
        </w:r>
      </w:hyperlink>
    </w:p>
    <w:p w14:paraId="64D324BF"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de-DE" w:eastAsia="id-ID"/>
        </w:rPr>
        <w:t xml:space="preserve">Oerlemans, J.-J., &amp; Langenhuijzen, S. (2024). </w:t>
      </w:r>
      <w:r w:rsidRPr="00876CBE">
        <w:rPr>
          <w:rFonts w:ascii="Calibri Light" w:hAnsi="Calibri Light" w:cs="Calibri Light"/>
          <w:noProof/>
          <w:sz w:val="24"/>
          <w:szCs w:val="24"/>
          <w:lang w:eastAsia="id-ID"/>
        </w:rPr>
        <w:t xml:space="preserve">Balancing National Security and Privacy: Examining the Use of Commercially Available Information in OSINT Practices. </w:t>
      </w:r>
      <w:r w:rsidRPr="00876CBE">
        <w:rPr>
          <w:rFonts w:ascii="Calibri Light" w:hAnsi="Calibri Light" w:cs="Calibri Light"/>
          <w:i/>
          <w:iCs/>
          <w:noProof/>
          <w:sz w:val="24"/>
          <w:szCs w:val="24"/>
          <w:lang w:eastAsia="id-ID"/>
        </w:rPr>
        <w:t>International Journal of Intelligence and CounterIntelligence</w:t>
      </w:r>
      <w:r w:rsidRPr="00876CBE">
        <w:rPr>
          <w:rFonts w:ascii="Calibri Light" w:hAnsi="Calibri Light" w:cs="Calibri Light"/>
          <w:noProof/>
          <w:sz w:val="24"/>
          <w:szCs w:val="24"/>
          <w:lang w:eastAsia="id-ID"/>
        </w:rPr>
        <w:t xml:space="preserve">, 1–19. </w:t>
      </w:r>
      <w:hyperlink r:id="rId34" w:history="1">
        <w:r w:rsidRPr="00876CBE">
          <w:rPr>
            <w:rStyle w:val="Hyperlink"/>
            <w:rFonts w:ascii="Calibri Light" w:hAnsi="Calibri Light" w:cs="Calibri Light"/>
            <w:noProof/>
            <w:sz w:val="24"/>
            <w:szCs w:val="24"/>
            <w:lang w:eastAsia="id-ID"/>
          </w:rPr>
          <w:t>https://doi.org/10.1080/08850607.2024.2387850</w:t>
        </w:r>
      </w:hyperlink>
    </w:p>
    <w:p w14:paraId="1335AF05"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297408">
        <w:rPr>
          <w:rFonts w:ascii="Calibri Light" w:hAnsi="Calibri Light" w:cs="Calibri Light"/>
          <w:noProof/>
          <w:sz w:val="24"/>
          <w:szCs w:val="24"/>
          <w:lang w:val="de-DE" w:eastAsia="id-ID"/>
        </w:rPr>
        <w:t xml:space="preserve">Saumantri, T., Muslim, F. P., &amp; Zulkifli. </w:t>
      </w:r>
      <w:r w:rsidRPr="00876CBE">
        <w:rPr>
          <w:rFonts w:ascii="Calibri Light" w:hAnsi="Calibri Light" w:cs="Calibri Light"/>
          <w:noProof/>
          <w:sz w:val="24"/>
          <w:szCs w:val="24"/>
          <w:lang w:eastAsia="id-ID"/>
        </w:rPr>
        <w:t xml:space="preserve">(2024). Interpretative Analysis of Religious Tolerance Practices in Urban Communities an Existentialist Philosophy’s Perspective. </w:t>
      </w:r>
      <w:r w:rsidRPr="00876CBE">
        <w:rPr>
          <w:rFonts w:ascii="Calibri Light" w:hAnsi="Calibri Light" w:cs="Calibri Light"/>
          <w:i/>
          <w:noProof/>
          <w:sz w:val="24"/>
          <w:szCs w:val="24"/>
          <w:lang w:eastAsia="id-ID"/>
        </w:rPr>
        <w:t>Futurity Philosophy, 3</w:t>
      </w:r>
      <w:r w:rsidRPr="00876CBE">
        <w:rPr>
          <w:rFonts w:ascii="Calibri Light" w:hAnsi="Calibri Light" w:cs="Calibri Light"/>
          <w:noProof/>
          <w:sz w:val="24"/>
          <w:szCs w:val="24"/>
          <w:lang w:eastAsia="id-ID"/>
        </w:rPr>
        <w:t xml:space="preserve">(4), 78–97. </w:t>
      </w:r>
      <w:hyperlink r:id="rId35" w:history="1">
        <w:r w:rsidRPr="00876CBE">
          <w:rPr>
            <w:rStyle w:val="Hyperlink"/>
            <w:rFonts w:ascii="Calibri Light" w:hAnsi="Calibri Light" w:cs="Calibri Light"/>
            <w:noProof/>
            <w:sz w:val="24"/>
            <w:szCs w:val="24"/>
            <w:lang w:eastAsia="id-ID"/>
          </w:rPr>
          <w:t>https://doi.org/10.57125/FP.2024.12.30.06</w:t>
        </w:r>
      </w:hyperlink>
    </w:p>
    <w:p w14:paraId="0D88216B"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Yusifov, A. (2024). Practices in the Field of Disciplinary Liability of Convicts While Serving a Sentence of Imprisonment: Analysis of International Experience. </w:t>
      </w:r>
      <w:r w:rsidRPr="00876CBE">
        <w:rPr>
          <w:rFonts w:ascii="Calibri Light" w:hAnsi="Calibri Light" w:cs="Calibri Light"/>
          <w:i/>
          <w:noProof/>
          <w:sz w:val="24"/>
          <w:szCs w:val="24"/>
          <w:lang w:eastAsia="id-ID"/>
        </w:rPr>
        <w:t>Futurity Economics &amp; Law, 4</w:t>
      </w:r>
      <w:r w:rsidRPr="00876CBE">
        <w:rPr>
          <w:rFonts w:ascii="Calibri Light" w:hAnsi="Calibri Light" w:cs="Calibri Light"/>
          <w:noProof/>
          <w:sz w:val="24"/>
          <w:szCs w:val="24"/>
          <w:lang w:eastAsia="id-ID"/>
        </w:rPr>
        <w:t xml:space="preserve">(3), 47–61. </w:t>
      </w:r>
      <w:hyperlink r:id="rId36">
        <w:r w:rsidRPr="00876CBE">
          <w:rPr>
            <w:rStyle w:val="Hyperlink"/>
            <w:rFonts w:ascii="Calibri Light" w:hAnsi="Calibri Light" w:cs="Calibri Light"/>
            <w:noProof/>
            <w:sz w:val="24"/>
            <w:szCs w:val="24"/>
            <w:lang w:eastAsia="id-ID"/>
          </w:rPr>
          <w:t>https://doi.org/10.57125/FEL.2024.09.25.04</w:t>
        </w:r>
      </w:hyperlink>
    </w:p>
    <w:p w14:paraId="3A76CE1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National Protective Security Authority. (2024, December 3). </w:t>
      </w:r>
      <w:r w:rsidRPr="00876CBE">
        <w:rPr>
          <w:rFonts w:ascii="Calibri Light" w:hAnsi="Calibri Light" w:cs="Calibri Light"/>
          <w:i/>
          <w:noProof/>
          <w:sz w:val="24"/>
          <w:szCs w:val="24"/>
          <w:lang w:eastAsia="id-ID"/>
        </w:rPr>
        <w:t>National Security Act 2023 and Prohibited Places.</w:t>
      </w:r>
      <w:r w:rsidRPr="00876CBE">
        <w:rPr>
          <w:rFonts w:ascii="Calibri Light" w:hAnsi="Calibri Light" w:cs="Calibri Light"/>
          <w:noProof/>
          <w:sz w:val="24"/>
          <w:szCs w:val="24"/>
          <w:lang w:eastAsia="id-ID"/>
        </w:rPr>
        <w:t xml:space="preserve"> </w:t>
      </w:r>
      <w:hyperlink r:id="rId37"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www</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npsa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gov</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uk</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national</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security</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act</w:t>
        </w:r>
        <w:r w:rsidRPr="00876CBE">
          <w:rPr>
            <w:rStyle w:val="Hyperlink"/>
            <w:rFonts w:ascii="Calibri Light" w:hAnsi="Calibri Light" w:cs="Calibri Light"/>
            <w:noProof/>
            <w:sz w:val="24"/>
            <w:szCs w:val="24"/>
            <w:lang w:val="uk-UA" w:eastAsia="id-ID"/>
          </w:rPr>
          <w:t>-2023-</w:t>
        </w:r>
        <w:r w:rsidRPr="00876CBE">
          <w:rPr>
            <w:rStyle w:val="Hyperlink"/>
            <w:rFonts w:ascii="Calibri Light" w:hAnsi="Calibri Light" w:cs="Calibri Light"/>
            <w:noProof/>
            <w:sz w:val="24"/>
            <w:szCs w:val="24"/>
            <w:lang w:eastAsia="id-ID"/>
          </w:rPr>
          <w:t>and</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prohibited</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places</w:t>
        </w:r>
      </w:hyperlink>
    </w:p>
    <w:p w14:paraId="7ACD992D"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lastRenderedPageBreak/>
        <w:t>Bulavko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G</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Davidenko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N</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Ishchenko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Studzinsky</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L</w:t>
      </w:r>
      <w:r w:rsidRPr="00876CBE">
        <w:rPr>
          <w:rFonts w:ascii="Calibri Light" w:hAnsi="Calibri Light" w:cs="Calibri Light"/>
          <w:noProof/>
          <w:sz w:val="24"/>
          <w:szCs w:val="24"/>
          <w:lang w:val="uk-UA" w:eastAsia="id-ID"/>
        </w:rPr>
        <w:t xml:space="preserve">., &amp; </w:t>
      </w:r>
      <w:r w:rsidRPr="00876CBE">
        <w:rPr>
          <w:rFonts w:ascii="Calibri Light" w:hAnsi="Calibri Light" w:cs="Calibri Light"/>
          <w:noProof/>
          <w:sz w:val="24"/>
          <w:szCs w:val="24"/>
          <w:lang w:eastAsia="id-ID"/>
        </w:rPr>
        <w:t>Shkavro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G</w:t>
      </w:r>
      <w:r w:rsidRPr="00876CBE">
        <w:rPr>
          <w:rFonts w:ascii="Calibri Light" w:hAnsi="Calibri Light" w:cs="Calibri Light"/>
          <w:noProof/>
          <w:sz w:val="24"/>
          <w:szCs w:val="24"/>
          <w:lang w:val="uk-UA" w:eastAsia="id-ID"/>
        </w:rPr>
        <w:t xml:space="preserve">. (2015). </w:t>
      </w:r>
      <w:r w:rsidRPr="00876CBE">
        <w:rPr>
          <w:rFonts w:ascii="Calibri Light" w:hAnsi="Calibri Light" w:cs="Calibri Light"/>
          <w:noProof/>
          <w:sz w:val="24"/>
          <w:szCs w:val="24"/>
          <w:lang w:eastAsia="id-ID"/>
        </w:rPr>
        <w:t xml:space="preserve">Peculiarities of the photovoltaic properties of films based on photoconducting polymer and organic dye in samples with free surfaces and between electric contacts. </w:t>
      </w:r>
      <w:r w:rsidRPr="00876CBE">
        <w:rPr>
          <w:rFonts w:ascii="Calibri Light" w:hAnsi="Calibri Light" w:cs="Calibri Light"/>
          <w:i/>
          <w:noProof/>
          <w:sz w:val="24"/>
          <w:szCs w:val="24"/>
          <w:lang w:eastAsia="id-ID"/>
        </w:rPr>
        <w:t>Technical Physics Letters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41</w:t>
      </w:r>
      <w:r w:rsidRPr="00876CBE">
        <w:rPr>
          <w:rFonts w:ascii="Calibri Light" w:hAnsi="Calibri Light" w:cs="Calibri Light"/>
          <w:noProof/>
          <w:sz w:val="24"/>
          <w:szCs w:val="24"/>
          <w:lang w:eastAsia="id-ID"/>
        </w:rPr>
        <w:t xml:space="preserve">(2), 191–194. </w:t>
      </w:r>
      <w:hyperlink r:id="rId38">
        <w:r w:rsidRPr="00876CBE">
          <w:rPr>
            <w:rStyle w:val="Hyperlink"/>
            <w:rFonts w:ascii="Calibri Light" w:hAnsi="Calibri Light" w:cs="Calibri Light"/>
            <w:noProof/>
            <w:sz w:val="24"/>
            <w:szCs w:val="24"/>
            <w:lang w:eastAsia="id-ID"/>
          </w:rPr>
          <w:t>https://doi.org/10.1134/s1063785015020182</w:t>
        </w:r>
      </w:hyperlink>
    </w:p>
    <w:p w14:paraId="3C7A5C7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Saleh, A. J., Alazzam, F. A. F., Khalaf, K., Aldrou, A. R., &amp; Zavalna, Z. (2020). Legal aspects of the management of cryptocurrency assets in the national security system. </w:t>
      </w:r>
      <w:r w:rsidRPr="00876CBE">
        <w:rPr>
          <w:rFonts w:ascii="Calibri Light" w:hAnsi="Calibri Light" w:cs="Calibri Light"/>
          <w:i/>
          <w:noProof/>
          <w:sz w:val="24"/>
          <w:szCs w:val="24"/>
          <w:lang w:eastAsia="id-ID"/>
        </w:rPr>
        <w:t>Journal of Security and Sustainability Issues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10</w:t>
      </w:r>
      <w:r w:rsidRPr="00876CBE">
        <w:rPr>
          <w:rFonts w:ascii="Calibri Light" w:hAnsi="Calibri Light" w:cs="Calibri Light"/>
          <w:noProof/>
          <w:sz w:val="24"/>
          <w:szCs w:val="24"/>
          <w:lang w:eastAsia="id-ID"/>
        </w:rPr>
        <w:t xml:space="preserve">(1), 235–247. </w:t>
      </w:r>
      <w:hyperlink r:id="rId39" w:history="1">
        <w:r w:rsidRPr="00876CBE">
          <w:rPr>
            <w:rStyle w:val="Hyperlink"/>
            <w:rFonts w:ascii="Calibri Light" w:hAnsi="Calibri Light" w:cs="Calibri Light"/>
            <w:noProof/>
            <w:sz w:val="24"/>
            <w:szCs w:val="24"/>
            <w:lang w:eastAsia="id-ID"/>
          </w:rPr>
          <w:t>https://doi.org/10.9770/jssi.2020.10.1(17)</w:t>
        </w:r>
      </w:hyperlink>
    </w:p>
    <w:p w14:paraId="3D3A2AA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de-DE" w:eastAsia="id-ID"/>
        </w:rPr>
        <w:t xml:space="preserve">Pech, L., Wachowiec, P., &amp; Mazur, D. (2021). </w:t>
      </w:r>
      <w:r w:rsidRPr="00876CBE">
        <w:rPr>
          <w:rFonts w:ascii="Calibri Light" w:hAnsi="Calibri Light" w:cs="Calibri Light"/>
          <w:noProof/>
          <w:sz w:val="24"/>
          <w:szCs w:val="24"/>
          <w:lang w:eastAsia="id-ID"/>
        </w:rPr>
        <w:t xml:space="preserve">Poland’s Rule of Law Breakdown: A Five-Year Assessment of EU’s (In)Action. </w:t>
      </w:r>
      <w:r w:rsidRPr="00876CBE">
        <w:rPr>
          <w:rFonts w:ascii="Calibri Light" w:hAnsi="Calibri Light" w:cs="Calibri Light"/>
          <w:i/>
          <w:noProof/>
          <w:sz w:val="24"/>
          <w:szCs w:val="24"/>
          <w:lang w:eastAsia="id-ID"/>
        </w:rPr>
        <w:t>Hague Journal on the Rule of Law</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13</w:t>
      </w:r>
      <w:r w:rsidRPr="00876CBE">
        <w:rPr>
          <w:rFonts w:ascii="Calibri Light" w:hAnsi="Calibri Light" w:cs="Calibri Light"/>
          <w:noProof/>
          <w:sz w:val="24"/>
          <w:szCs w:val="24"/>
          <w:lang w:eastAsia="id-ID"/>
        </w:rPr>
        <w:t xml:space="preserve">(1), 1–43. </w:t>
      </w:r>
      <w:hyperlink r:id="rId40" w:history="1">
        <w:r w:rsidRPr="00876CBE">
          <w:rPr>
            <w:rStyle w:val="Hyperlink"/>
            <w:rFonts w:ascii="Calibri Light" w:hAnsi="Calibri Light" w:cs="Calibri Light"/>
            <w:noProof/>
            <w:sz w:val="24"/>
            <w:szCs w:val="24"/>
            <w:lang w:eastAsia="id-ID"/>
          </w:rPr>
          <w:t>https://doi.org/10.1007/s40803-021-00151-9</w:t>
        </w:r>
      </w:hyperlink>
    </w:p>
    <w:p w14:paraId="7B83384F"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Zahariev, M. (2024). The applicability of the EU data protection rules in the area of national security in the republic of Bulgaria. </w:t>
      </w:r>
      <w:r w:rsidRPr="00876CBE">
        <w:rPr>
          <w:rFonts w:ascii="Calibri Light" w:hAnsi="Calibri Light" w:cs="Calibri Light"/>
          <w:i/>
          <w:noProof/>
          <w:sz w:val="24"/>
          <w:szCs w:val="24"/>
          <w:lang w:eastAsia="id-ID"/>
        </w:rPr>
        <w:t>Environment. Technologies. Resources. Proceedings Of The International Scientific And Practical Conference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4</w:t>
      </w:r>
      <w:r w:rsidRPr="00876CBE">
        <w:rPr>
          <w:rFonts w:ascii="Calibri Light" w:hAnsi="Calibri Light" w:cs="Calibri Light"/>
          <w:noProof/>
          <w:sz w:val="24"/>
          <w:szCs w:val="24"/>
          <w:lang w:eastAsia="id-ID"/>
        </w:rPr>
        <w:t xml:space="preserve">, 317–321. </w:t>
      </w:r>
      <w:hyperlink r:id="rId41" w:history="1">
        <w:r w:rsidRPr="00876CBE">
          <w:rPr>
            <w:rStyle w:val="Hyperlink"/>
            <w:rFonts w:ascii="Calibri Light" w:hAnsi="Calibri Light" w:cs="Calibri Light"/>
            <w:noProof/>
            <w:sz w:val="24"/>
            <w:szCs w:val="24"/>
            <w:lang w:eastAsia="id-ID"/>
          </w:rPr>
          <w:t>https://doi.org/10.17770/etr2024vol4.8234</w:t>
        </w:r>
      </w:hyperlink>
    </w:p>
    <w:p w14:paraId="74142143"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Łubiński, P. (2021). Hybrid Warfare or Hybrid Threat – The Weaponization of Migration as an Example of the Use of Lawfare – Case Study of Poland. </w:t>
      </w:r>
      <w:r w:rsidRPr="00876CBE">
        <w:rPr>
          <w:rFonts w:ascii="Calibri Light" w:hAnsi="Calibri Light" w:cs="Calibri Light"/>
          <w:i/>
          <w:noProof/>
          <w:sz w:val="24"/>
          <w:szCs w:val="24"/>
          <w:lang w:eastAsia="id-ID"/>
        </w:rPr>
        <w:t>Polish Political Science Yearbook</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51</w:t>
      </w:r>
      <w:r w:rsidRPr="00876CBE">
        <w:rPr>
          <w:rFonts w:ascii="Calibri Light" w:hAnsi="Calibri Light" w:cs="Calibri Light"/>
          <w:noProof/>
          <w:sz w:val="24"/>
          <w:szCs w:val="24"/>
          <w:lang w:eastAsia="id-ID"/>
        </w:rPr>
        <w:t xml:space="preserve">, 1–13. </w:t>
      </w:r>
      <w:hyperlink r:id="rId42" w:history="1">
        <w:r w:rsidRPr="00876CBE">
          <w:rPr>
            <w:rStyle w:val="Hyperlink"/>
            <w:rFonts w:ascii="Calibri Light" w:hAnsi="Calibri Light" w:cs="Calibri Light"/>
            <w:noProof/>
            <w:sz w:val="24"/>
            <w:szCs w:val="24"/>
            <w:lang w:eastAsia="id-ID"/>
          </w:rPr>
          <w:t>https://doi.org/10.15804/ppsy202209</w:t>
        </w:r>
      </w:hyperlink>
    </w:p>
    <w:p w14:paraId="434CFD34"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Drinóczi, T., &amp; Bień-Kacała, A. (2020). COVID-19 in Hungary and Poland: Extraordinary situation and illiberal constitutionalism. </w:t>
      </w:r>
      <w:r w:rsidRPr="00876CBE">
        <w:rPr>
          <w:rFonts w:ascii="Calibri Light" w:hAnsi="Calibri Light" w:cs="Calibri Light"/>
          <w:i/>
          <w:noProof/>
          <w:sz w:val="24"/>
          <w:szCs w:val="24"/>
          <w:lang w:eastAsia="id-ID"/>
        </w:rPr>
        <w:t>The Theory and Practice of Legislation</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w:t>
      </w:r>
      <w:r w:rsidRPr="00876CBE">
        <w:rPr>
          <w:rFonts w:ascii="Calibri Light" w:hAnsi="Calibri Light" w:cs="Calibri Light"/>
          <w:noProof/>
          <w:sz w:val="24"/>
          <w:szCs w:val="24"/>
          <w:lang w:eastAsia="id-ID"/>
        </w:rPr>
        <w:t xml:space="preserve">(1-2), 171–192. </w:t>
      </w:r>
      <w:hyperlink r:id="rId43" w:history="1">
        <w:r w:rsidRPr="00876CBE">
          <w:rPr>
            <w:rStyle w:val="Hyperlink"/>
            <w:rFonts w:ascii="Calibri Light" w:hAnsi="Calibri Light" w:cs="Calibri Light"/>
            <w:noProof/>
            <w:sz w:val="24"/>
            <w:szCs w:val="24"/>
            <w:lang w:eastAsia="id-ID"/>
          </w:rPr>
          <w:t>https://doi.org/10.1080/20508840.2020.1782109</w:t>
        </w:r>
      </w:hyperlink>
    </w:p>
    <w:p w14:paraId="7B9A831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Safarli, C., Kolach, S., Zhyvko, M., Volskyi, O., &amp; Bobro, N. (2024). Considering Globalisation Risks in the Formation and Implementation of International Investment Strategies. </w:t>
      </w:r>
      <w:r w:rsidRPr="00876CBE">
        <w:rPr>
          <w:rFonts w:ascii="Calibri Light" w:hAnsi="Calibri Light" w:cs="Calibri Light"/>
          <w:i/>
          <w:noProof/>
          <w:sz w:val="24"/>
          <w:szCs w:val="24"/>
          <w:lang w:eastAsia="id-ID"/>
        </w:rPr>
        <w:t>Pakistan Journal of Life and Social Sciences (PJLSS)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22</w:t>
      </w:r>
      <w:r w:rsidRPr="00876CBE">
        <w:rPr>
          <w:rFonts w:ascii="Calibri Light" w:hAnsi="Calibri Light" w:cs="Calibri Light"/>
          <w:noProof/>
          <w:sz w:val="24"/>
          <w:szCs w:val="24"/>
          <w:lang w:eastAsia="id-ID"/>
        </w:rPr>
        <w:t xml:space="preserve">(2). </w:t>
      </w:r>
      <w:hyperlink r:id="rId44" w:history="1">
        <w:r w:rsidRPr="00876CBE">
          <w:rPr>
            <w:rStyle w:val="Hyperlink"/>
            <w:rFonts w:ascii="Calibri Light" w:hAnsi="Calibri Light" w:cs="Calibri Light"/>
            <w:noProof/>
            <w:sz w:val="24"/>
            <w:szCs w:val="24"/>
            <w:lang w:eastAsia="id-ID"/>
          </w:rPr>
          <w:t>https://doi.org/10.57239/pjlss-2024-22.2.00776</w:t>
        </w:r>
      </w:hyperlink>
    </w:p>
    <w:p w14:paraId="71A3E2F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Lekunze, M. (2023). Insurgency and national security: a perspective from Cameroon’s separatist conflict. </w:t>
      </w:r>
      <w:r w:rsidRPr="00876CBE">
        <w:rPr>
          <w:rFonts w:ascii="Calibri Light" w:hAnsi="Calibri Light" w:cs="Calibri Light"/>
          <w:i/>
          <w:noProof/>
          <w:sz w:val="24"/>
          <w:szCs w:val="24"/>
          <w:lang w:eastAsia="id-ID"/>
        </w:rPr>
        <w:t>Third World Quarterly, 44</w:t>
      </w:r>
      <w:r w:rsidRPr="00876CBE">
        <w:rPr>
          <w:rFonts w:ascii="Calibri Light" w:hAnsi="Calibri Light" w:cs="Calibri Light"/>
          <w:noProof/>
          <w:sz w:val="24"/>
          <w:szCs w:val="24"/>
          <w:lang w:eastAsia="id-ID"/>
        </w:rPr>
        <w:t xml:space="preserve">(6), 1155–1173. </w:t>
      </w:r>
      <w:hyperlink r:id="rId45" w:history="1">
        <w:r w:rsidRPr="00876CBE">
          <w:rPr>
            <w:rStyle w:val="Hyperlink"/>
            <w:rFonts w:ascii="Calibri Light" w:hAnsi="Calibri Light" w:cs="Calibri Light"/>
            <w:noProof/>
            <w:sz w:val="24"/>
            <w:szCs w:val="24"/>
            <w:lang w:eastAsia="id-ID"/>
          </w:rPr>
          <w:t>https://doi.org/10.1080/01436597.2023.2177149</w:t>
        </w:r>
      </w:hyperlink>
    </w:p>
    <w:p w14:paraId="3747273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Rottweiler, B., &amp; Gill, P. (2020). Conspiracy Beliefs and Violent Extremist Intentions: The Contingent Effects of Self-efficacy, Self-control and Law-related Morality. </w:t>
      </w:r>
      <w:r w:rsidRPr="00876CBE">
        <w:rPr>
          <w:rFonts w:ascii="Calibri Light" w:hAnsi="Calibri Light" w:cs="Calibri Light"/>
          <w:i/>
          <w:noProof/>
          <w:sz w:val="24"/>
          <w:szCs w:val="24"/>
          <w:lang w:eastAsia="id-ID"/>
        </w:rPr>
        <w:t>Terrorism and Political Violence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34</w:t>
      </w:r>
      <w:r w:rsidRPr="00876CBE">
        <w:rPr>
          <w:rFonts w:ascii="Calibri Light" w:hAnsi="Calibri Light" w:cs="Calibri Light"/>
          <w:noProof/>
          <w:sz w:val="24"/>
          <w:szCs w:val="24"/>
          <w:lang w:eastAsia="id-ID"/>
        </w:rPr>
        <w:t xml:space="preserve">(7), 1485–1504. </w:t>
      </w:r>
      <w:hyperlink r:id="rId46" w:history="1">
        <w:r w:rsidRPr="00876CBE">
          <w:rPr>
            <w:rStyle w:val="Hyperlink"/>
            <w:rFonts w:ascii="Calibri Light" w:hAnsi="Calibri Light" w:cs="Calibri Light"/>
            <w:noProof/>
            <w:sz w:val="24"/>
            <w:szCs w:val="24"/>
            <w:lang w:eastAsia="id-ID"/>
          </w:rPr>
          <w:t>https://doi.org/10.1080/09546553.2020.1803288</w:t>
        </w:r>
      </w:hyperlink>
    </w:p>
    <w:p w14:paraId="3FB89B89"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Kostrubiec, J. (2021). The Role of Public Order Regulations as Acts of Local Law in the Performance of Tasks in the Field of Public Security by Local Self-government in Poland. </w:t>
      </w:r>
      <w:r w:rsidRPr="00876CBE">
        <w:rPr>
          <w:rFonts w:ascii="Calibri Light" w:hAnsi="Calibri Light" w:cs="Calibri Light"/>
          <w:i/>
          <w:noProof/>
          <w:sz w:val="24"/>
          <w:szCs w:val="24"/>
          <w:lang w:eastAsia="id-ID"/>
        </w:rPr>
        <w:t>Lex Localis – Journal of Local Self-Government</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19</w:t>
      </w:r>
      <w:r w:rsidRPr="00876CBE">
        <w:rPr>
          <w:rFonts w:ascii="Calibri Light" w:hAnsi="Calibri Light" w:cs="Calibri Light"/>
          <w:noProof/>
          <w:sz w:val="24"/>
          <w:szCs w:val="24"/>
          <w:lang w:eastAsia="id-ID"/>
        </w:rPr>
        <w:t xml:space="preserve">(1), 111–129. </w:t>
      </w:r>
      <w:hyperlink r:id="rId47" w:history="1">
        <w:r w:rsidRPr="00876CBE">
          <w:rPr>
            <w:rStyle w:val="Hyperlink"/>
            <w:rFonts w:ascii="Calibri Light" w:hAnsi="Calibri Light" w:cs="Calibri Light"/>
            <w:noProof/>
            <w:sz w:val="24"/>
            <w:szCs w:val="24"/>
            <w:lang w:eastAsia="id-ID"/>
          </w:rPr>
          <w:t>https://doi.org/10.4335/19.1.111-129(2021)</w:t>
        </w:r>
      </w:hyperlink>
    </w:p>
    <w:p w14:paraId="2833AAD7"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de-DE" w:eastAsia="id-ID"/>
        </w:rPr>
        <w:t xml:space="preserve">Kuhlmann, S., Hellström, M., Ramberg, U., &amp; Reiter, R. (2021). </w:t>
      </w:r>
      <w:r w:rsidRPr="00876CBE">
        <w:rPr>
          <w:rFonts w:ascii="Calibri Light" w:hAnsi="Calibri Light" w:cs="Calibri Light"/>
          <w:noProof/>
          <w:sz w:val="24"/>
          <w:szCs w:val="24"/>
          <w:lang w:eastAsia="id-ID"/>
        </w:rPr>
        <w:t xml:space="preserve">Tracing divergence in crisis governance: responses to the COVID-19 pandemic in France, Germany and Sweden compared. </w:t>
      </w:r>
      <w:r w:rsidRPr="00876CBE">
        <w:rPr>
          <w:rFonts w:ascii="Calibri Light" w:hAnsi="Calibri Light" w:cs="Calibri Light"/>
          <w:i/>
          <w:noProof/>
          <w:sz w:val="24"/>
          <w:szCs w:val="24"/>
          <w:lang w:eastAsia="id-ID"/>
        </w:rPr>
        <w:t>International Review of Administrative Sciences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87</w:t>
      </w:r>
      <w:r w:rsidRPr="00876CBE">
        <w:rPr>
          <w:rFonts w:ascii="Calibri Light" w:hAnsi="Calibri Light" w:cs="Calibri Light"/>
          <w:noProof/>
          <w:sz w:val="24"/>
          <w:szCs w:val="24"/>
          <w:lang w:eastAsia="id-ID"/>
        </w:rPr>
        <w:t xml:space="preserve">(3), 556–575. </w:t>
      </w:r>
      <w:hyperlink r:id="rId48" w:history="1">
        <w:r w:rsidRPr="00876CBE">
          <w:rPr>
            <w:rStyle w:val="Hyperlink"/>
            <w:rFonts w:ascii="Calibri Light" w:hAnsi="Calibri Light" w:cs="Calibri Light"/>
            <w:noProof/>
            <w:sz w:val="24"/>
            <w:szCs w:val="24"/>
            <w:lang w:eastAsia="id-ID"/>
          </w:rPr>
          <w:t>https://doi.org/10.1177/0020852320979359</w:t>
        </w:r>
      </w:hyperlink>
    </w:p>
    <w:p w14:paraId="612DCC4D"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lastRenderedPageBreak/>
        <w:t xml:space="preserve">Demianchuk, Y., &amp; Semeniuk, O. (2023). Regulatory and legal aspects of corruption prevention in Ukraine in accordance with the requirements of the European Union. In </w:t>
      </w:r>
      <w:r w:rsidRPr="00876CBE">
        <w:rPr>
          <w:rFonts w:ascii="Calibri Light" w:hAnsi="Calibri Light" w:cs="Calibri Light"/>
          <w:i/>
          <w:noProof/>
          <w:sz w:val="24"/>
          <w:szCs w:val="24"/>
          <w:lang w:eastAsia="id-ID"/>
        </w:rPr>
        <w:t xml:space="preserve">Adaptation of </w:t>
      </w:r>
      <w:r>
        <w:rPr>
          <w:rFonts w:ascii="Calibri Light" w:hAnsi="Calibri Light" w:cs="Calibri Light"/>
          <w:i/>
          <w:noProof/>
          <w:sz w:val="24"/>
          <w:szCs w:val="24"/>
          <w:lang w:eastAsia="id-ID"/>
        </w:rPr>
        <w:t>U</w:t>
      </w:r>
      <w:r w:rsidRPr="00876CBE">
        <w:rPr>
          <w:rFonts w:ascii="Calibri Light" w:hAnsi="Calibri Light" w:cs="Calibri Light"/>
          <w:i/>
          <w:noProof/>
          <w:sz w:val="24"/>
          <w:szCs w:val="24"/>
          <w:lang w:eastAsia="id-ID"/>
        </w:rPr>
        <w:t xml:space="preserve">krainian legislation to EU requirements </w:t>
      </w:r>
      <w:r w:rsidRPr="00876CBE">
        <w:rPr>
          <w:rFonts w:ascii="Calibri Light" w:hAnsi="Calibri Light" w:cs="Calibri Light"/>
          <w:noProof/>
          <w:sz w:val="24"/>
          <w:szCs w:val="24"/>
          <w:lang w:eastAsia="id-ID"/>
        </w:rPr>
        <w:t xml:space="preserve">(pp. 85–108). International Science Group. </w:t>
      </w:r>
      <w:hyperlink r:id="rId49"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doi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org</w:t>
        </w:r>
        <w:r w:rsidRPr="00876CBE">
          <w:rPr>
            <w:rStyle w:val="Hyperlink"/>
            <w:rFonts w:ascii="Calibri Light" w:hAnsi="Calibri Light" w:cs="Calibri Light"/>
            <w:noProof/>
            <w:sz w:val="24"/>
            <w:szCs w:val="24"/>
            <w:lang w:val="uk-UA" w:eastAsia="id-ID"/>
          </w:rPr>
          <w:t>/10.46299/979-8-88992-698-6.4</w:t>
        </w:r>
      </w:hyperlink>
    </w:p>
    <w:p w14:paraId="350389C7"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Shevchuk</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Samoshchenko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I</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Davydenko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Babaieva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Verkhoglyad</w:t>
      </w:r>
      <w:r w:rsidRPr="00876CBE">
        <w:rPr>
          <w:rFonts w:ascii="Calibri Light" w:hAnsi="Calibri Light" w:cs="Calibri Light"/>
          <w:noProof/>
          <w:sz w:val="24"/>
          <w:szCs w:val="24"/>
          <w:lang w:val="uk-UA" w:eastAsia="id-ID"/>
        </w:rPr>
        <w:t>-</w:t>
      </w:r>
      <w:r w:rsidRPr="00876CBE">
        <w:rPr>
          <w:rFonts w:ascii="Calibri Light" w:hAnsi="Calibri Light" w:cs="Calibri Light"/>
          <w:noProof/>
          <w:sz w:val="24"/>
          <w:szCs w:val="24"/>
          <w:lang w:eastAsia="id-ID"/>
        </w:rPr>
        <w:t>Gerasymenko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Marochkin</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(2024). </w:t>
      </w:r>
      <w:r w:rsidRPr="00876CBE">
        <w:rPr>
          <w:rFonts w:ascii="Calibri Light" w:hAnsi="Calibri Light" w:cs="Calibri Light"/>
          <w:noProof/>
          <w:sz w:val="24"/>
          <w:szCs w:val="24"/>
          <w:lang w:eastAsia="id-ID"/>
        </w:rPr>
        <w:t xml:space="preserve">European Arrest Warrant and Protection of Нuman Rights: Problem Questions of Application in Context Practice of the CJEU. </w:t>
      </w:r>
      <w:r w:rsidRPr="00876CBE">
        <w:rPr>
          <w:rFonts w:ascii="Calibri Light" w:hAnsi="Calibri Light" w:cs="Calibri Light"/>
          <w:i/>
          <w:noProof/>
          <w:sz w:val="24"/>
          <w:szCs w:val="24"/>
          <w:lang w:eastAsia="id-ID"/>
        </w:rPr>
        <w:t>Pakistan Journal of Life and Social Sciences (PJLSS)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22</w:t>
      </w:r>
      <w:r w:rsidRPr="00876CBE">
        <w:rPr>
          <w:rFonts w:ascii="Calibri Light" w:hAnsi="Calibri Light" w:cs="Calibri Light"/>
          <w:noProof/>
          <w:sz w:val="24"/>
          <w:szCs w:val="24"/>
          <w:lang w:eastAsia="id-ID"/>
        </w:rPr>
        <w:t xml:space="preserve">(2), 8895–8906. </w:t>
      </w:r>
      <w:hyperlink r:id="rId50" w:history="1">
        <w:r w:rsidRPr="00876CBE">
          <w:rPr>
            <w:rStyle w:val="Hyperlink"/>
            <w:rFonts w:ascii="Calibri Light" w:hAnsi="Calibri Light" w:cs="Calibri Light"/>
            <w:noProof/>
            <w:sz w:val="24"/>
            <w:szCs w:val="24"/>
            <w:lang w:eastAsia="id-ID"/>
          </w:rPr>
          <w:t>https://doi.org/10.57239/pjlss-2024-22.2.00672</w:t>
        </w:r>
      </w:hyperlink>
    </w:p>
    <w:p w14:paraId="63C96F0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u w:val="single"/>
          <w:lang w:eastAsia="id-ID"/>
        </w:rPr>
      </w:pPr>
      <w:r w:rsidRPr="00876CBE">
        <w:rPr>
          <w:rFonts w:ascii="Calibri Light" w:hAnsi="Calibri Light" w:cs="Calibri Light"/>
          <w:noProof/>
          <w:sz w:val="24"/>
          <w:szCs w:val="24"/>
          <w:lang w:eastAsia="id-ID"/>
        </w:rPr>
        <w:t xml:space="preserve">Marchenko, V., &amp; Protsevsky, V. (2020). Constitutional and legal regulation of the status of the head of government in the mixed-type republics. </w:t>
      </w:r>
      <w:r w:rsidRPr="00876CBE">
        <w:rPr>
          <w:rFonts w:ascii="Calibri Light" w:hAnsi="Calibri Light" w:cs="Calibri Light"/>
          <w:i/>
          <w:noProof/>
          <w:sz w:val="24"/>
          <w:szCs w:val="24"/>
          <w:lang w:eastAsia="id-ID"/>
        </w:rPr>
        <w:t>Public Administration and Law Review</w:t>
      </w:r>
      <w:r w:rsidRPr="00876CBE">
        <w:rPr>
          <w:rFonts w:ascii="Calibri Light" w:hAnsi="Calibri Light" w:cs="Calibri Light"/>
          <w:noProof/>
          <w:sz w:val="24"/>
          <w:szCs w:val="24"/>
          <w:lang w:eastAsia="id-ID"/>
        </w:rPr>
        <w:t xml:space="preserve">, (2), 28–35. </w:t>
      </w:r>
      <w:hyperlink r:id="rId51" w:history="1">
        <w:r w:rsidRPr="00876CBE">
          <w:rPr>
            <w:rStyle w:val="Hyperlink"/>
            <w:rFonts w:ascii="Calibri Light" w:hAnsi="Calibri Light" w:cs="Calibri Light"/>
            <w:noProof/>
            <w:sz w:val="24"/>
            <w:szCs w:val="24"/>
            <w:lang w:eastAsia="id-ID"/>
          </w:rPr>
          <w:t>https://doi.org/10.36690/2674-5216-2020-2-28</w:t>
        </w:r>
      </w:hyperlink>
    </w:p>
    <w:p w14:paraId="41B57AA5"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Biden, P. J. R. (2021). </w:t>
      </w:r>
      <w:r w:rsidRPr="00876CBE">
        <w:rPr>
          <w:rFonts w:ascii="Calibri Light" w:hAnsi="Calibri Light" w:cs="Calibri Light"/>
          <w:i/>
          <w:noProof/>
          <w:sz w:val="24"/>
          <w:szCs w:val="24"/>
          <w:lang w:eastAsia="id-ID"/>
        </w:rPr>
        <w:t>Interim National Security Strategic Guidance: Renewing America's Advantages</w:t>
      </w:r>
      <w:r w:rsidRPr="00876CBE">
        <w:rPr>
          <w:rFonts w:ascii="Calibri Light" w:hAnsi="Calibri Light" w:cs="Calibri Light"/>
          <w:noProof/>
          <w:sz w:val="24"/>
          <w:szCs w:val="24"/>
          <w:lang w:eastAsia="id-ID"/>
        </w:rPr>
        <w:t xml:space="preserve">. Cosimo, Inc. </w:t>
      </w:r>
      <w:hyperlink r:id="rId52" w:history="1">
        <w:r w:rsidRPr="00876CBE">
          <w:rPr>
            <w:rStyle w:val="Hyperlink"/>
            <w:rFonts w:ascii="Calibri Light" w:hAnsi="Calibri Light" w:cs="Calibri Light"/>
            <w:noProof/>
            <w:sz w:val="24"/>
            <w:szCs w:val="24"/>
            <w:lang w:eastAsia="id-ID"/>
          </w:rPr>
          <w:t>https://apps.dtic.mil/sti/citations/AD1157244</w:t>
        </w:r>
      </w:hyperlink>
    </w:p>
    <w:p w14:paraId="6A2EE5A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Rodrigues, R. (2020). Legal and human rights issues of AI: Gaps, challenges and vulnerabilities. </w:t>
      </w:r>
      <w:r w:rsidRPr="00876CBE">
        <w:rPr>
          <w:rFonts w:ascii="Calibri Light" w:hAnsi="Calibri Light" w:cs="Calibri Light"/>
          <w:i/>
          <w:noProof/>
          <w:sz w:val="24"/>
          <w:szCs w:val="24"/>
          <w:lang w:eastAsia="id-ID"/>
        </w:rPr>
        <w:t>Journal of Responsible Technology</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4</w:t>
      </w:r>
      <w:r w:rsidRPr="00876CBE">
        <w:rPr>
          <w:rFonts w:ascii="Calibri Light" w:hAnsi="Calibri Light" w:cs="Calibri Light"/>
          <w:noProof/>
          <w:sz w:val="24"/>
          <w:szCs w:val="24"/>
          <w:lang w:eastAsia="id-ID"/>
        </w:rPr>
        <w:t xml:space="preserve">, Article 100005. </w:t>
      </w:r>
      <w:hyperlink r:id="rId53" w:history="1">
        <w:r w:rsidRPr="00876CBE">
          <w:rPr>
            <w:rStyle w:val="Hyperlink"/>
            <w:rFonts w:ascii="Calibri Light" w:hAnsi="Calibri Light" w:cs="Calibri Light"/>
            <w:noProof/>
            <w:sz w:val="24"/>
            <w:szCs w:val="24"/>
            <w:lang w:eastAsia="id-ID"/>
          </w:rPr>
          <w:t>https://doi.org/10.1016/j.jrt.2020.100005</w:t>
        </w:r>
      </w:hyperlink>
    </w:p>
    <w:p w14:paraId="242C3B97"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Thomas-Evans, M. (2022). A Critical Analysis into the Beneficial and Malicious Utilisations of Artificial Intelligence. In R. Montasari (Ed.), </w:t>
      </w:r>
      <w:r w:rsidRPr="00876CBE">
        <w:rPr>
          <w:rFonts w:ascii="Calibri Light" w:hAnsi="Calibri Light" w:cs="Calibri Light"/>
          <w:i/>
          <w:noProof/>
          <w:sz w:val="24"/>
          <w:szCs w:val="24"/>
          <w:lang w:eastAsia="id-ID"/>
        </w:rPr>
        <w:t>Artificial Intelligence and National Security</w:t>
      </w:r>
      <w:r w:rsidRPr="00876CBE">
        <w:rPr>
          <w:rFonts w:ascii="Calibri Light" w:hAnsi="Calibri Light" w:cs="Calibri Light"/>
          <w:noProof/>
          <w:sz w:val="24"/>
          <w:szCs w:val="24"/>
          <w:lang w:eastAsia="id-ID"/>
        </w:rPr>
        <w:t xml:space="preserve"> (pp. 81–99). Springer International Publishing. </w:t>
      </w:r>
      <w:hyperlink r:id="rId54" w:history="1">
        <w:r w:rsidRPr="00876CBE">
          <w:rPr>
            <w:rStyle w:val="Hyperlink"/>
            <w:rFonts w:ascii="Calibri Light" w:hAnsi="Calibri Light" w:cs="Calibri Light"/>
            <w:noProof/>
            <w:sz w:val="24"/>
            <w:szCs w:val="24"/>
            <w:lang w:eastAsia="id-ID"/>
          </w:rPr>
          <w:t>https://doi.org/10.1007/978-3-031-06709-9_5</w:t>
        </w:r>
      </w:hyperlink>
    </w:p>
    <w:p w14:paraId="4FF6CB20"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Asaju, K., &amp; Munya, P. (2024). Digital Democracy and Elections in Nigeria: An Assessment of the 2023 Governorship Election in Taraba State. </w:t>
      </w:r>
      <w:r w:rsidRPr="00876CBE">
        <w:rPr>
          <w:rFonts w:ascii="Calibri Light" w:hAnsi="Calibri Light" w:cs="Calibri Light"/>
          <w:i/>
          <w:noProof/>
          <w:sz w:val="24"/>
          <w:szCs w:val="24"/>
          <w:lang w:eastAsia="id-ID"/>
        </w:rPr>
        <w:t>Futurity of Social Sciences, 2</w:t>
      </w:r>
      <w:r w:rsidRPr="00876CBE">
        <w:rPr>
          <w:rFonts w:ascii="Calibri Light" w:hAnsi="Calibri Light" w:cs="Calibri Light"/>
          <w:noProof/>
          <w:sz w:val="24"/>
          <w:szCs w:val="24"/>
          <w:lang w:eastAsia="id-ID"/>
        </w:rPr>
        <w:t xml:space="preserve">(4), 4–23. </w:t>
      </w:r>
      <w:hyperlink r:id="rId55" w:history="1">
        <w:r w:rsidRPr="00876CBE">
          <w:rPr>
            <w:rStyle w:val="Hyperlink"/>
            <w:rFonts w:ascii="Calibri Light" w:hAnsi="Calibri Light" w:cs="Calibri Light"/>
            <w:noProof/>
            <w:sz w:val="24"/>
            <w:szCs w:val="24"/>
            <w:lang w:eastAsia="id-ID"/>
          </w:rPr>
          <w:t>https://doi.org/10.57125/FS.2024.12.20.01</w:t>
        </w:r>
      </w:hyperlink>
    </w:p>
    <w:p w14:paraId="49DB581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es-VE" w:eastAsia="id-ID"/>
        </w:rPr>
      </w:pPr>
      <w:r w:rsidRPr="00876CBE">
        <w:rPr>
          <w:rFonts w:ascii="Calibri Light" w:hAnsi="Calibri Light" w:cs="Calibri Light"/>
          <w:noProof/>
          <w:sz w:val="24"/>
          <w:szCs w:val="24"/>
          <w:lang w:eastAsia="id-ID"/>
        </w:rPr>
        <w:t xml:space="preserve">Shevchuk, O., Protsiuk, I., Mokhonchuk, S., Papusha, I. (2019). Adaptation of Ukrainian legislation on drug trafficking control to the European Union legislation (separate aspects). </w:t>
      </w:r>
      <w:r w:rsidRPr="00876CBE">
        <w:rPr>
          <w:rFonts w:ascii="Calibri Light" w:hAnsi="Calibri Light" w:cs="Calibri Light"/>
          <w:i/>
          <w:noProof/>
          <w:sz w:val="24"/>
          <w:szCs w:val="24"/>
          <w:lang w:val="es-VE" w:eastAsia="id-ID"/>
        </w:rPr>
        <w:t>Juridical Tribune/Tribuna Juridică</w:t>
      </w:r>
      <w:r w:rsidRPr="00876CBE">
        <w:rPr>
          <w:rFonts w:ascii="Calibri Light" w:hAnsi="Calibri Light" w:cs="Calibri Light"/>
          <w:noProof/>
          <w:sz w:val="24"/>
          <w:szCs w:val="24"/>
          <w:lang w:val="es-VE" w:eastAsia="id-ID"/>
        </w:rPr>
        <w:t xml:space="preserve">, </w:t>
      </w:r>
      <w:r w:rsidRPr="00876CBE">
        <w:rPr>
          <w:rFonts w:ascii="Calibri Light" w:hAnsi="Calibri Light" w:cs="Calibri Light"/>
          <w:i/>
          <w:noProof/>
          <w:sz w:val="24"/>
          <w:szCs w:val="24"/>
          <w:lang w:val="es-VE" w:eastAsia="id-ID"/>
        </w:rPr>
        <w:t>9</w:t>
      </w:r>
      <w:r w:rsidRPr="00876CBE">
        <w:rPr>
          <w:rFonts w:ascii="Calibri Light" w:hAnsi="Calibri Light" w:cs="Calibri Light"/>
          <w:noProof/>
          <w:sz w:val="24"/>
          <w:szCs w:val="24"/>
          <w:lang w:val="es-VE" w:eastAsia="id-ID"/>
        </w:rPr>
        <w:t xml:space="preserve">, 117–126. </w:t>
      </w:r>
      <w:hyperlink r:id="rId56">
        <w:r w:rsidRPr="00876CBE">
          <w:rPr>
            <w:rStyle w:val="Hyperlink"/>
            <w:rFonts w:ascii="Calibri Light" w:hAnsi="Calibri Light" w:cs="Calibri Light"/>
            <w:noProof/>
            <w:sz w:val="24"/>
            <w:szCs w:val="24"/>
            <w:lang w:val="es-VE" w:eastAsia="id-ID"/>
          </w:rPr>
          <w:t>https://ideas.repec.org/a/asr/journl/v9y2019ispecialp117-126.html</w:t>
        </w:r>
      </w:hyperlink>
      <w:r w:rsidRPr="00876CBE">
        <w:rPr>
          <w:rFonts w:ascii="Calibri Light" w:hAnsi="Calibri Light" w:cs="Calibri Light"/>
          <w:noProof/>
          <w:sz w:val="24"/>
          <w:szCs w:val="24"/>
          <w:lang w:val="es-VE" w:eastAsia="id-ID"/>
        </w:rPr>
        <w:t xml:space="preserve"> </w:t>
      </w:r>
    </w:p>
    <w:p w14:paraId="7ECFB03D"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Shevchuk, O., Protsiuk, I,. Samoshchenko, V., Panova, A., &amp; Shaposhnyk A. (2023). The Rights to access to Information and National Security in the Ukraine in the System of Human Rights. </w:t>
      </w:r>
      <w:r w:rsidRPr="00876CBE">
        <w:rPr>
          <w:rFonts w:ascii="Calibri Light" w:hAnsi="Calibri Light" w:cs="Calibri Light"/>
          <w:i/>
          <w:noProof/>
          <w:sz w:val="24"/>
          <w:szCs w:val="24"/>
          <w:lang w:eastAsia="id-ID"/>
        </w:rPr>
        <w:t>Revista Jurídica Portucalense</w:t>
      </w:r>
      <w:r w:rsidRPr="00876CBE">
        <w:rPr>
          <w:rFonts w:ascii="Calibri Light" w:hAnsi="Calibri Light" w:cs="Calibri Light"/>
          <w:noProof/>
          <w:sz w:val="24"/>
          <w:szCs w:val="24"/>
          <w:lang w:eastAsia="id-ID"/>
        </w:rPr>
        <w:t xml:space="preserve">, (34), 257–282. </w:t>
      </w:r>
      <w:hyperlink r:id="rId57" w:history="1">
        <w:r w:rsidRPr="00876CBE">
          <w:rPr>
            <w:rStyle w:val="Hyperlink"/>
            <w:rFonts w:ascii="Calibri Light" w:hAnsi="Calibri Light" w:cs="Calibri Light"/>
            <w:noProof/>
            <w:sz w:val="24"/>
            <w:szCs w:val="24"/>
            <w:lang w:eastAsia="id-ID"/>
          </w:rPr>
          <w:t>https://doi.org/10.34625/issn.2183-2705(34)2023.ic-13</w:t>
        </w:r>
      </w:hyperlink>
    </w:p>
    <w:p w14:paraId="00A9095A" w14:textId="77777777" w:rsidR="00876CBE" w:rsidRDefault="00876CBE" w:rsidP="00876CBE">
      <w:pPr>
        <w:spacing w:before="120" w:after="120"/>
        <w:ind w:left="442"/>
        <w:jc w:val="both"/>
        <w:rPr>
          <w:rFonts w:ascii="Calibri Light" w:hAnsi="Calibri Light" w:cs="Calibri Light"/>
          <w:noProof/>
          <w:sz w:val="24"/>
          <w:szCs w:val="24"/>
          <w:lang w:val="id-ID" w:eastAsia="id-ID"/>
        </w:rPr>
      </w:pPr>
    </w:p>
    <w:sectPr w:rsidR="00876CBE" w:rsidSect="007816FC">
      <w:headerReference w:type="even" r:id="rId58"/>
      <w:headerReference w:type="default" r:id="rId59"/>
      <w:footerReference w:type="even" r:id="rId60"/>
      <w:footerReference w:type="default" r:id="rId61"/>
      <w:headerReference w:type="first" r:id="rId62"/>
      <w:footerReference w:type="first" r:id="rId63"/>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 w:date="2025-06-21T07:43:00Z" w:initials="A">
    <w:p w14:paraId="0577C474" w14:textId="65676404" w:rsidR="00477728" w:rsidRDefault="00477728">
      <w:pPr>
        <w:pStyle w:val="CommentText"/>
      </w:pPr>
      <w:r>
        <w:rPr>
          <w:rStyle w:val="CommentReference"/>
        </w:rPr>
        <w:annotationRef/>
      </w:r>
      <w:r w:rsidRPr="00477728">
        <w:t>You can add your country if you only focus on 1 country, but if there are many countries or comparisons then write them too.</w:t>
      </w:r>
    </w:p>
  </w:comment>
  <w:comment w:id="1" w:author="A" w:date="2025-06-21T07:45:00Z" w:initials="A">
    <w:p w14:paraId="4A74ECAE" w14:textId="683E140F" w:rsidR="00477728" w:rsidRDefault="00477728">
      <w:pPr>
        <w:pStyle w:val="CommentText"/>
      </w:pPr>
      <w:r>
        <w:rPr>
          <w:rStyle w:val="CommentReference"/>
        </w:rPr>
        <w:annotationRef/>
      </w:r>
      <w:r w:rsidRPr="00477728">
        <w:t>Complete with the type and approach of research in your method.</w:t>
      </w:r>
    </w:p>
  </w:comment>
  <w:comment w:id="2" w:author="A" w:date="2025-06-21T08:39:00Z" w:initials="A">
    <w:p w14:paraId="751107FA" w14:textId="09CCCB6B" w:rsidR="0042403D" w:rsidRDefault="0042403D">
      <w:pPr>
        <w:pStyle w:val="CommentText"/>
      </w:pPr>
      <w:r>
        <w:rPr>
          <w:rStyle w:val="CommentReference"/>
        </w:rPr>
        <w:annotationRef/>
      </w:r>
      <w:r w:rsidRPr="0042403D">
        <w:t>This claim is too general and lacks novelty or direct justification for the Ukraine case. It needs context or actual statistics to show the specific urgency.</w:t>
      </w:r>
    </w:p>
  </w:comment>
  <w:comment w:id="3" w:author="A" w:date="2025-06-21T08:40:00Z" w:initials="A">
    <w:p w14:paraId="02C5164F" w14:textId="7ADE983D" w:rsidR="008166BA" w:rsidRDefault="008166BA">
      <w:pPr>
        <w:pStyle w:val="CommentText"/>
      </w:pPr>
      <w:r>
        <w:rPr>
          <w:rStyle w:val="CommentReference"/>
        </w:rPr>
        <w:annotationRef/>
      </w:r>
      <w:r w:rsidR="009C5EAA" w:rsidRPr="009C5EAA">
        <w:t>This is a very important sentence, but it needs some sharpening that previous studies have not explicitly answered</w:t>
      </w:r>
      <w:r w:rsidR="009C5EAA">
        <w:t>.</w:t>
      </w:r>
    </w:p>
  </w:comment>
  <w:comment w:id="4" w:author="A" w:date="2025-06-21T08:41:00Z" w:initials="A">
    <w:p w14:paraId="5577860B" w14:textId="64E29353" w:rsidR="007B0729" w:rsidRDefault="007B0729">
      <w:pPr>
        <w:pStyle w:val="CommentText"/>
      </w:pPr>
      <w:r>
        <w:rPr>
          <w:rStyle w:val="CommentReference"/>
        </w:rPr>
        <w:annotationRef/>
      </w:r>
      <w:r w:rsidRPr="007B0729">
        <w:t>H1 and H2 are conceptually good. But they are incomplete. H2 is hanging: “Applying a systemic approach that combines preventive…” → unfinished sentence.</w:t>
      </w:r>
    </w:p>
  </w:comment>
  <w:comment w:id="5" w:author="A" w:date="2025-06-21T08:50:00Z" w:initials="A">
    <w:p w14:paraId="1F453058" w14:textId="1F07C95A" w:rsidR="00DC0D8A" w:rsidRDefault="00DC0D8A">
      <w:pPr>
        <w:pStyle w:val="CommentText"/>
      </w:pPr>
      <w:r>
        <w:rPr>
          <w:rStyle w:val="CommentReference"/>
        </w:rPr>
        <w:annotationRef/>
      </w:r>
      <w:r w:rsidRPr="00DC0D8A">
        <w:t>This important claim is not followed by any explanation or examples of which international agreements are meant or what national strategies should be revised.</w:t>
      </w:r>
    </w:p>
  </w:comment>
  <w:comment w:id="6" w:author="A" w:date="2025-06-21T08:57:00Z" w:initials="A">
    <w:p w14:paraId="1355EE60" w14:textId="6CC22CE8" w:rsidR="00DC0D8A" w:rsidRDefault="00DC0D8A">
      <w:pPr>
        <w:pStyle w:val="CommentText"/>
      </w:pPr>
      <w:r>
        <w:rPr>
          <w:rStyle w:val="CommentReference"/>
        </w:rPr>
        <w:annotationRef/>
      </w:r>
      <w:r w:rsidRPr="00DC0D8A">
        <w:t>It is necessary to explain the concrete forms or roles of civil society and international partners (for example: human rights monitoring, legislative advocacy, NATO support, etc.).</w:t>
      </w:r>
    </w:p>
  </w:comment>
  <w:comment w:id="7" w:author="A" w:date="2025-06-21T08:57:00Z" w:initials="A">
    <w:p w14:paraId="4E0DEE41" w14:textId="3CF36CBB" w:rsidR="00DC0D8A" w:rsidRDefault="00DC0D8A">
      <w:pPr>
        <w:pStyle w:val="CommentText"/>
      </w:pPr>
      <w:r>
        <w:rPr>
          <w:rStyle w:val="CommentReference"/>
        </w:rPr>
        <w:annotationRef/>
      </w:r>
      <w:r w:rsidRPr="00DC0D8A">
        <w:t>There is a terminology inaccuracy. The law is not ‘newly enacted’ but has been in force for a long time (post-2004). The emphasis on amendment should be more accurate.</w:t>
      </w:r>
    </w:p>
  </w:comment>
  <w:comment w:id="8" w:author="A" w:date="2025-06-21T08:58:00Z" w:initials="A">
    <w:p w14:paraId="7D7A33FA" w14:textId="737B585F" w:rsidR="00D177AF" w:rsidRDefault="00D177AF">
      <w:pPr>
        <w:pStyle w:val="CommentText"/>
      </w:pPr>
      <w:r>
        <w:rPr>
          <w:rStyle w:val="CommentReference"/>
        </w:rPr>
        <w:annotationRef/>
      </w:r>
      <w:r w:rsidRPr="00D177AF">
        <w:t>You have grouped too many major issues into one sentence. This makes this section less analytical. It needs a more systematic classification or hierarchy of threats.</w:t>
      </w:r>
    </w:p>
  </w:comment>
  <w:comment w:id="9" w:author="A" w:date="2025-06-21T08:47:00Z" w:initials="A">
    <w:p w14:paraId="48B5FCC5" w14:textId="6BC669BC" w:rsidR="00132F0A" w:rsidRDefault="00132F0A">
      <w:pPr>
        <w:pStyle w:val="CommentText"/>
      </w:pPr>
      <w:r>
        <w:rPr>
          <w:rStyle w:val="CommentReference"/>
        </w:rPr>
        <w:annotationRef/>
      </w:r>
      <w:r w:rsidRPr="00132F0A">
        <w:t>At the end of the discussion, make a discussion diagram. Describe your findings in the form of a chart or mind map to show the results in a concrete and easy-to-understand way.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577C474" w15:done="0"/>
  <w15:commentEx w15:paraId="4A74ECAE" w15:done="0"/>
  <w15:commentEx w15:paraId="751107FA" w15:done="0"/>
  <w15:commentEx w15:paraId="02C5164F" w15:done="0"/>
  <w15:commentEx w15:paraId="5577860B" w15:done="0"/>
  <w15:commentEx w15:paraId="1F453058" w15:done="0"/>
  <w15:commentEx w15:paraId="1355EE60" w15:done="0"/>
  <w15:commentEx w15:paraId="4E0DEE41" w15:done="0"/>
  <w15:commentEx w15:paraId="7D7A33FA" w15:done="0"/>
  <w15:commentEx w15:paraId="48B5FCC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C26512B" w16cex:dateUtc="2025-06-21T00:43:00Z"/>
  <w16cex:commentExtensible w16cex:durableId="581F28A8" w16cex:dateUtc="2025-06-21T00:45:00Z"/>
  <w16cex:commentExtensible w16cex:durableId="2961EFEA" w16cex:dateUtc="2025-06-21T01:39:00Z"/>
  <w16cex:commentExtensible w16cex:durableId="562F6F3B" w16cex:dateUtc="2025-06-21T01:40:00Z"/>
  <w16cex:commentExtensible w16cex:durableId="42984C8D" w16cex:dateUtc="2025-06-21T01:41:00Z"/>
  <w16cex:commentExtensible w16cex:durableId="7DE08054" w16cex:dateUtc="2025-06-21T01:50:00Z"/>
  <w16cex:commentExtensible w16cex:durableId="687D0191" w16cex:dateUtc="2025-06-21T01:57:00Z"/>
  <w16cex:commentExtensible w16cex:durableId="55E5AC0F" w16cex:dateUtc="2025-06-21T01:57:00Z"/>
  <w16cex:commentExtensible w16cex:durableId="51788ACD" w16cex:dateUtc="2025-06-21T01:58:00Z"/>
  <w16cex:commentExtensible w16cex:durableId="6C6FE92C" w16cex:dateUtc="2025-06-21T01: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77C474" w16cid:durableId="1C26512B"/>
  <w16cid:commentId w16cid:paraId="4A74ECAE" w16cid:durableId="581F28A8"/>
  <w16cid:commentId w16cid:paraId="751107FA" w16cid:durableId="2961EFEA"/>
  <w16cid:commentId w16cid:paraId="02C5164F" w16cid:durableId="562F6F3B"/>
  <w16cid:commentId w16cid:paraId="5577860B" w16cid:durableId="42984C8D"/>
  <w16cid:commentId w16cid:paraId="1F453058" w16cid:durableId="7DE08054"/>
  <w16cid:commentId w16cid:paraId="1355EE60" w16cid:durableId="687D0191"/>
  <w16cid:commentId w16cid:paraId="4E0DEE41" w16cid:durableId="55E5AC0F"/>
  <w16cid:commentId w16cid:paraId="7D7A33FA" w16cid:durableId="51788ACD"/>
  <w16cid:commentId w16cid:paraId="48B5FCC5" w16cid:durableId="6C6FE9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923E8" w14:textId="77777777" w:rsidR="00897122" w:rsidRDefault="00897122">
      <w:r>
        <w:separator/>
      </w:r>
    </w:p>
  </w:endnote>
  <w:endnote w:type="continuationSeparator" w:id="0">
    <w:p w14:paraId="3ED4CB00" w14:textId="77777777" w:rsidR="00897122" w:rsidRDefault="00897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9B6E6" w14:textId="01FF3BDE" w:rsidR="00ED1C84" w:rsidRPr="00540F02" w:rsidRDefault="009C6E4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680" behindDoc="0" locked="0" layoutInCell="1" allowOverlap="1" wp14:anchorId="241E8C87" wp14:editId="4A282AD0">
              <wp:simplePos x="0" y="0"/>
              <wp:positionH relativeFrom="column">
                <wp:posOffset>5151755</wp:posOffset>
              </wp:positionH>
              <wp:positionV relativeFrom="paragraph">
                <wp:posOffset>-64770</wp:posOffset>
              </wp:positionV>
              <wp:extent cx="619760" cy="278130"/>
              <wp:effectExtent l="13335" t="7620" r="5080" b="9525"/>
              <wp:wrapNone/>
              <wp:docPr id="148263450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00AD057" w14:textId="77777777" w:rsidR="00ED1C84" w:rsidRPr="00122F5F" w:rsidRDefault="00ED1C84"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E8C87" id="Rectangle 14" o:spid="_x0000_s1055" style="position:absolute;margin-left:405.65pt;margin-top:-5.1pt;width:48.8pt;height:21.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rDo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a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rqw6BMCAAAnBAAADgAAAAAAAAAAAAAAAAAuAgAAZHJzL2Uyb0RvYy54bWxQSwECLQAUAAYACAAA&#10;ACEAGzK6398AAAAKAQAADwAAAAAAAAAAAAAAAABtBAAAZHJzL2Rvd25yZXYueG1sUEsFBgAAAAAE&#10;AAQA8wAAAHkFAAAAAA==&#10;" strokecolor="white">
              <v:textbox>
                <w:txbxContent>
                  <w:p w14:paraId="000AD057" w14:textId="77777777" w:rsidR="00ED1C84" w:rsidRPr="00122F5F" w:rsidRDefault="00ED1C84"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ED1C84" w:rsidRPr="00540F02">
      <w:rPr>
        <w:rFonts w:ascii="Calibri Light" w:hAnsi="Calibri Light" w:cs="Calibri Light"/>
        <w:sz w:val="16"/>
        <w:szCs w:val="16"/>
      </w:rPr>
      <w:t>International Journal Law and Society</w:t>
    </w:r>
  </w:p>
  <w:p w14:paraId="379A3A0C" w14:textId="77777777" w:rsidR="00ED1C84" w:rsidRPr="00540F02" w:rsidRDefault="00ED1C84"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81205" w14:textId="5F1901F7" w:rsidR="00ED1C84" w:rsidRPr="00540F02" w:rsidRDefault="009C6E4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1824" behindDoc="0" locked="0" layoutInCell="1" allowOverlap="1" wp14:anchorId="4301D7B5" wp14:editId="736404CC">
              <wp:simplePos x="0" y="0"/>
              <wp:positionH relativeFrom="column">
                <wp:posOffset>5151755</wp:posOffset>
              </wp:positionH>
              <wp:positionV relativeFrom="paragraph">
                <wp:posOffset>-64770</wp:posOffset>
              </wp:positionV>
              <wp:extent cx="619760" cy="278130"/>
              <wp:effectExtent l="13335" t="7620" r="5080" b="9525"/>
              <wp:wrapNone/>
              <wp:docPr id="174305496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931940D" w14:textId="77777777" w:rsidR="00ED1C84" w:rsidRPr="00122F5F" w:rsidRDefault="00ED1C84"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1D7B5" id="Rectangle 15" o:spid="_x0000_s1056" style="position:absolute;margin-left:405.65pt;margin-top:-5.1pt;width:48.8pt;height:21.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EUE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W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vRFBBMCAAAnBAAADgAAAAAAAAAAAAAAAAAuAgAAZHJzL2Uyb0RvYy54bWxQSwECLQAUAAYACAAA&#10;ACEAGzK6398AAAAKAQAADwAAAAAAAAAAAAAAAABtBAAAZHJzL2Rvd25yZXYueG1sUEsFBgAAAAAE&#10;AAQA8wAAAHkFAAAAAA==&#10;" strokecolor="white">
              <v:textbox>
                <w:txbxContent>
                  <w:p w14:paraId="7931940D" w14:textId="77777777" w:rsidR="00ED1C84" w:rsidRPr="00122F5F" w:rsidRDefault="00ED1C84"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ED1C84" w:rsidRPr="00540F02">
      <w:rPr>
        <w:rFonts w:ascii="Calibri Light" w:hAnsi="Calibri Light" w:cs="Calibri Light"/>
        <w:sz w:val="16"/>
        <w:szCs w:val="16"/>
      </w:rPr>
      <w:t>International Journal Law and Society</w:t>
    </w:r>
  </w:p>
  <w:p w14:paraId="73384033" w14:textId="77777777" w:rsidR="00ED1C84" w:rsidRPr="0008220C" w:rsidRDefault="00ED1C84"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690CB" w14:textId="0E92AC6E" w:rsidR="00ED1C84" w:rsidRPr="0008220C" w:rsidRDefault="009C6E4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656" behindDoc="0" locked="0" layoutInCell="1" allowOverlap="1" wp14:anchorId="26FA393A" wp14:editId="5FB06EAC">
              <wp:simplePos x="0" y="0"/>
              <wp:positionH relativeFrom="column">
                <wp:posOffset>5151755</wp:posOffset>
              </wp:positionH>
              <wp:positionV relativeFrom="paragraph">
                <wp:posOffset>-64770</wp:posOffset>
              </wp:positionV>
              <wp:extent cx="619760" cy="278130"/>
              <wp:effectExtent l="13335" t="7620" r="5080" b="9525"/>
              <wp:wrapNone/>
              <wp:docPr id="193302457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E80E7CA" w14:textId="77777777" w:rsidR="00ED1C84" w:rsidRPr="00540F02" w:rsidRDefault="00ED1C84"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A393A" id="Rectangle 18" o:spid="_x0000_s1059" style="position:absolute;margin-left:405.65pt;margin-top:-5.1pt;width:48.8pt;height:21.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Onn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EUC8G3d2UJ1IV4TBrfS7aNEC/uCsJ6eW3H/fC1ScmQ+WerPMp9No7RRMZzcTCvA6s7vOCCsJquSB&#10;s2G5CcN32DvUTUsv5UkNC3fUz1onrV9YnemTG1MLzj8n2v06Tqde/vf6J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zODp5xMCAAAnBAAADgAAAAAAAAAAAAAAAAAuAgAAZHJzL2Uyb0RvYy54bWxQSwECLQAUAAYACAAA&#10;ACEAGzK6398AAAAKAQAADwAAAAAAAAAAAAAAAABtBAAAZHJzL2Rvd25yZXYueG1sUEsFBgAAAAAE&#10;AAQA8wAAAHkFAAAAAA==&#10;" strokecolor="white">
              <v:textbox>
                <w:txbxContent>
                  <w:p w14:paraId="2E80E7CA" w14:textId="77777777" w:rsidR="00ED1C84" w:rsidRPr="00540F02" w:rsidRDefault="00ED1C84"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ED1C84" w:rsidRPr="0008220C">
      <w:rPr>
        <w:rFonts w:ascii="Calibri Light" w:hAnsi="Calibri Light" w:cs="Calibri Light"/>
        <w:sz w:val="16"/>
        <w:szCs w:val="16"/>
      </w:rPr>
      <w:t>International Journal Law and Society</w:t>
    </w:r>
  </w:p>
  <w:p w14:paraId="3D2DB235" w14:textId="77777777" w:rsidR="00ED1C84" w:rsidRPr="0008220C" w:rsidRDefault="00ED1C84"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77A3E" w14:textId="77777777" w:rsidR="00897122" w:rsidRDefault="00897122">
      <w:r>
        <w:separator/>
      </w:r>
    </w:p>
  </w:footnote>
  <w:footnote w:type="continuationSeparator" w:id="0">
    <w:p w14:paraId="778D1E17" w14:textId="77777777" w:rsidR="00897122" w:rsidRDefault="00897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1577D" w14:textId="4064F895" w:rsidR="00ED1C84" w:rsidRDefault="009C6E41" w:rsidP="00122F5F">
    <w:pPr>
      <w:pStyle w:val="Header"/>
    </w:pPr>
    <w:r>
      <w:rPr>
        <w:noProof/>
      </w:rPr>
      <mc:AlternateContent>
        <mc:Choice Requires="wps">
          <w:drawing>
            <wp:anchor distT="0" distB="0" distL="114300" distR="114300" simplePos="0" relativeHeight="251656704" behindDoc="1" locked="0" layoutInCell="1" allowOverlap="1" wp14:anchorId="637004FC" wp14:editId="24789125">
              <wp:simplePos x="0" y="0"/>
              <wp:positionH relativeFrom="page">
                <wp:posOffset>962025</wp:posOffset>
              </wp:positionH>
              <wp:positionV relativeFrom="page">
                <wp:posOffset>947420</wp:posOffset>
              </wp:positionV>
              <wp:extent cx="1998980" cy="229870"/>
              <wp:effectExtent l="0" t="4445" r="1270" b="3810"/>
              <wp:wrapNone/>
              <wp:docPr id="193325189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8452A" w14:textId="77777777" w:rsidR="00ED1C84" w:rsidRPr="00FF1D30" w:rsidRDefault="00ED1C84"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B24396" w14:textId="77777777" w:rsidR="00ED1C84" w:rsidRPr="00FF1D30" w:rsidRDefault="00ED1C84"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004FC" id="_x0000_t202" coordsize="21600,21600" o:spt="202" path="m,l,21600r21600,l21600,xe">
              <v:stroke joinstyle="miter"/>
              <v:path gradientshapeok="t" o:connecttype="rect"/>
            </v:shapetype>
            <v:shape id="Text Box 10" o:spid="_x0000_s1051" type="#_x0000_t202" style="position:absolute;margin-left:75.75pt;margin-top:74.6pt;width:157.4pt;height:18.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9E8452A" w14:textId="77777777" w:rsidR="00ED1C84" w:rsidRPr="00FF1D30" w:rsidRDefault="00ED1C84"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B24396" w14:textId="77777777" w:rsidR="00ED1C84" w:rsidRPr="00FF1D30" w:rsidRDefault="00ED1C84"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5B7C271D" wp14:editId="60B11EF0">
              <wp:simplePos x="0" y="0"/>
              <wp:positionH relativeFrom="page">
                <wp:posOffset>6497955</wp:posOffset>
              </wp:positionH>
              <wp:positionV relativeFrom="page">
                <wp:posOffset>445135</wp:posOffset>
              </wp:positionV>
              <wp:extent cx="231775" cy="177800"/>
              <wp:effectExtent l="1905" t="0" r="4445" b="0"/>
              <wp:wrapNone/>
              <wp:docPr id="19821145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D681F"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C271D" id="Text Box 11" o:spid="_x0000_s1052" type="#_x0000_t202" style="position:absolute;margin-left:511.65pt;margin-top:35.05pt;width:18.2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084D681F"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44F56F22" wp14:editId="1BD334D1">
          <wp:extent cx="1092835" cy="510540"/>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510540"/>
                  </a:xfrm>
                  <a:prstGeom prst="rect">
                    <a:avLst/>
                  </a:prstGeom>
                  <a:noFill/>
                  <a:ln>
                    <a:noFill/>
                  </a:ln>
                </pic:spPr>
              </pic:pic>
            </a:graphicData>
          </a:graphic>
        </wp:inline>
      </w:drawing>
    </w:r>
  </w:p>
  <w:p w14:paraId="61F62ED3" w14:textId="77777777" w:rsidR="00ED1C84" w:rsidRDefault="00ED1C84" w:rsidP="00122F5F">
    <w:pPr>
      <w:pStyle w:val="Header"/>
      <w:rPr>
        <w:sz w:val="16"/>
        <w:szCs w:val="16"/>
      </w:rPr>
    </w:pPr>
  </w:p>
  <w:p w14:paraId="3C6F3B61" w14:textId="77777777" w:rsidR="00ED1C84" w:rsidRDefault="00ED1C84" w:rsidP="00122F5F">
    <w:pPr>
      <w:pStyle w:val="Header"/>
      <w:rPr>
        <w:sz w:val="16"/>
        <w:szCs w:val="16"/>
      </w:rPr>
    </w:pPr>
  </w:p>
  <w:p w14:paraId="1245D334" w14:textId="77777777" w:rsidR="00ED1C84" w:rsidRPr="00122F5F" w:rsidRDefault="00ED1C84"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B76F0" w14:textId="671173CF" w:rsidR="00ED1C84" w:rsidRDefault="009C6E41" w:rsidP="00540F02">
    <w:pPr>
      <w:pStyle w:val="Header"/>
    </w:pPr>
    <w:r>
      <w:rPr>
        <w:noProof/>
      </w:rPr>
      <mc:AlternateContent>
        <mc:Choice Requires="wps">
          <w:drawing>
            <wp:anchor distT="0" distB="0" distL="114300" distR="114300" simplePos="0" relativeHeight="251657728" behindDoc="1" locked="0" layoutInCell="1" allowOverlap="1" wp14:anchorId="16B53EE6" wp14:editId="4403F66C">
              <wp:simplePos x="0" y="0"/>
              <wp:positionH relativeFrom="page">
                <wp:posOffset>962025</wp:posOffset>
              </wp:positionH>
              <wp:positionV relativeFrom="page">
                <wp:posOffset>947420</wp:posOffset>
              </wp:positionV>
              <wp:extent cx="1998980" cy="229870"/>
              <wp:effectExtent l="0" t="4445" r="1270" b="3810"/>
              <wp:wrapNone/>
              <wp:docPr id="9610331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224C7" w14:textId="77777777" w:rsidR="00ED1C84" w:rsidRPr="00FF1D30" w:rsidRDefault="00ED1C84"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0D9B797" w14:textId="77777777" w:rsidR="00ED1C84" w:rsidRPr="00FF1D30" w:rsidRDefault="00ED1C84"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53EE6" id="_x0000_t202" coordsize="21600,21600" o:spt="202" path="m,l,21600r21600,l21600,xe">
              <v:stroke joinstyle="miter"/>
              <v:path gradientshapeok="t" o:connecttype="rect"/>
            </v:shapetype>
            <v:shape id="Text Box 12" o:spid="_x0000_s1053" type="#_x0000_t202" style="position:absolute;margin-left:75.75pt;margin-top:74.6pt;width:157.4pt;height:18.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" filled="f" stroked="f">
              <v:textbox inset="0,0,0,0">
                <w:txbxContent>
                  <w:p w14:paraId="48D224C7" w14:textId="77777777" w:rsidR="00ED1C84" w:rsidRPr="00FF1D30" w:rsidRDefault="00ED1C84"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0D9B797" w14:textId="77777777" w:rsidR="00ED1C84" w:rsidRPr="00FF1D30" w:rsidRDefault="00ED1C84"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800" behindDoc="1" locked="0" layoutInCell="1" allowOverlap="1" wp14:anchorId="423AC556" wp14:editId="4688F442">
              <wp:simplePos x="0" y="0"/>
              <wp:positionH relativeFrom="page">
                <wp:posOffset>6464300</wp:posOffset>
              </wp:positionH>
              <wp:positionV relativeFrom="page">
                <wp:posOffset>467360</wp:posOffset>
              </wp:positionV>
              <wp:extent cx="231775" cy="177800"/>
              <wp:effectExtent l="0" t="635" r="0" b="2540"/>
              <wp:wrapNone/>
              <wp:docPr id="38523953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85A08" w14:textId="77777777" w:rsidR="00ED1C84" w:rsidRPr="00540F02" w:rsidRDefault="00ED1C84"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19</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AC556" id="Text Box 13" o:spid="_x0000_s1054" type="#_x0000_t202" style="position:absolute;margin-left:509pt;margin-top:36.8pt;width:18.25pt;height:1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OCv&#10;2ODYAQAAlwMAAA4AAAAAAAAAAAAAAAAALgIAAGRycy9lMm9Eb2MueG1sUEsBAi0AFAAGAAgAAAAh&#10;ACkunx7fAAAADAEAAA8AAAAAAAAAAAAAAAAAMgQAAGRycy9kb3ducmV2LnhtbFBLBQYAAAAABAAE&#10;APMAAAA+BQAAAAA=&#10;" filled="f" stroked="f">
              <v:textbox inset="0,0,0,0">
                <w:txbxContent>
                  <w:p w14:paraId="6BA85A08" w14:textId="77777777" w:rsidR="00ED1C84" w:rsidRPr="00540F02" w:rsidRDefault="00ED1C84"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19</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63B14E87" wp14:editId="77A5E99D">
          <wp:extent cx="1092835" cy="510540"/>
          <wp:effectExtent l="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510540"/>
                  </a:xfrm>
                  <a:prstGeom prst="rect">
                    <a:avLst/>
                  </a:prstGeom>
                  <a:noFill/>
                  <a:ln>
                    <a:noFill/>
                  </a:ln>
                </pic:spPr>
              </pic:pic>
            </a:graphicData>
          </a:graphic>
        </wp:inline>
      </w:drawing>
    </w:r>
  </w:p>
  <w:p w14:paraId="059EA909" w14:textId="77777777" w:rsidR="00ED1C84" w:rsidRDefault="00ED1C84" w:rsidP="00540F02">
    <w:pPr>
      <w:pStyle w:val="Header"/>
      <w:rPr>
        <w:sz w:val="16"/>
        <w:szCs w:val="16"/>
      </w:rPr>
    </w:pPr>
  </w:p>
  <w:p w14:paraId="32C77B90" w14:textId="77777777" w:rsidR="00ED1C84" w:rsidRDefault="00ED1C84" w:rsidP="00540F02">
    <w:pPr>
      <w:pStyle w:val="Header"/>
      <w:rPr>
        <w:sz w:val="16"/>
        <w:szCs w:val="16"/>
      </w:rPr>
    </w:pPr>
  </w:p>
  <w:p w14:paraId="29DC0D1E" w14:textId="77777777" w:rsidR="00ED1C84" w:rsidRPr="00540F02" w:rsidRDefault="00ED1C8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F2C33" w14:textId="3DE74CB1" w:rsidR="00ED1C84" w:rsidRDefault="009C6E41">
    <w:pPr>
      <w:pStyle w:val="Header"/>
    </w:pPr>
    <w:r>
      <w:rPr>
        <w:noProof/>
      </w:rPr>
      <mc:AlternateContent>
        <mc:Choice Requires="wps">
          <w:drawing>
            <wp:anchor distT="0" distB="0" distL="114300" distR="114300" simplePos="0" relativeHeight="251653632" behindDoc="1" locked="0" layoutInCell="1" allowOverlap="1" wp14:anchorId="38BD0B3A" wp14:editId="560CA373">
              <wp:simplePos x="0" y="0"/>
              <wp:positionH relativeFrom="page">
                <wp:posOffset>942975</wp:posOffset>
              </wp:positionH>
              <wp:positionV relativeFrom="page">
                <wp:posOffset>947420</wp:posOffset>
              </wp:positionV>
              <wp:extent cx="1998980" cy="229870"/>
              <wp:effectExtent l="0" t="4445" r="1270" b="3810"/>
              <wp:wrapNone/>
              <wp:docPr id="11600082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37BE" w14:textId="77777777" w:rsidR="00ED1C84" w:rsidRPr="00FF1D30" w:rsidRDefault="00ED1C84"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12A520F" w14:textId="77777777" w:rsidR="00ED1C84" w:rsidRPr="00FF1D30" w:rsidRDefault="00ED1C84"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D0B3A" id="_x0000_t202" coordsize="21600,21600" o:spt="202" path="m,l,21600r21600,l21600,xe">
              <v:stroke joinstyle="miter"/>
              <v:path gradientshapeok="t" o:connecttype="rect"/>
            </v:shapetype>
            <v:shape id="Text Box 16" o:spid="_x0000_s1057" type="#_x0000_t202" style="position:absolute;margin-left:74.25pt;margin-top:74.6pt;width:157.4pt;height:18.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" filled="f" stroked="f">
              <v:textbox inset="0,0,0,0">
                <w:txbxContent>
                  <w:p w14:paraId="529F37BE" w14:textId="77777777" w:rsidR="00ED1C84" w:rsidRPr="00FF1D30" w:rsidRDefault="00ED1C84"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12A520F" w14:textId="77777777" w:rsidR="00ED1C84" w:rsidRPr="00FF1D30" w:rsidRDefault="00ED1C84"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8752" behindDoc="1" locked="0" layoutInCell="1" allowOverlap="1" wp14:anchorId="47648D0E" wp14:editId="5FB49B50">
              <wp:simplePos x="0" y="0"/>
              <wp:positionH relativeFrom="page">
                <wp:posOffset>6464300</wp:posOffset>
              </wp:positionH>
              <wp:positionV relativeFrom="page">
                <wp:posOffset>439420</wp:posOffset>
              </wp:positionV>
              <wp:extent cx="231775" cy="177800"/>
              <wp:effectExtent l="0" t="1270" r="0" b="1905"/>
              <wp:wrapNone/>
              <wp:docPr id="214705770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20245"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48D0E" id="Text Box 17" o:spid="_x0000_s1058" type="#_x0000_t202" style="position:absolute;margin-left:509pt;margin-top:34.6pt;width:18.25pt;height:1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Bt&#10;YwJt2AEAAJcDAAAOAAAAAAAAAAAAAAAAAC4CAABkcnMvZTJvRG9jLnhtbFBLAQItABQABgAIAAAA&#10;IQCJey5I4AAAAAsBAAAPAAAAAAAAAAAAAAAAADIEAABkcnMvZG93bnJldi54bWxQSwUGAAAAAAQA&#10;BADzAAAAPwUAAAAA&#10;" filled="f" stroked="f">
              <v:textbox inset="0,0,0,0">
                <w:txbxContent>
                  <w:p w14:paraId="43D20245"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77843BE2" wp14:editId="4F5B187A">
          <wp:extent cx="1092835" cy="51054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510540"/>
                  </a:xfrm>
                  <a:prstGeom prst="rect">
                    <a:avLst/>
                  </a:prstGeom>
                  <a:noFill/>
                  <a:ln>
                    <a:noFill/>
                  </a:ln>
                </pic:spPr>
              </pic:pic>
            </a:graphicData>
          </a:graphic>
        </wp:inline>
      </w:drawing>
    </w:r>
  </w:p>
  <w:p w14:paraId="1E2F6B02" w14:textId="77777777" w:rsidR="00ED1C84" w:rsidRDefault="00ED1C84">
    <w:pPr>
      <w:pStyle w:val="Header"/>
      <w:rPr>
        <w:sz w:val="16"/>
        <w:szCs w:val="16"/>
      </w:rPr>
    </w:pPr>
  </w:p>
  <w:p w14:paraId="1C28F456" w14:textId="77777777" w:rsidR="00ED1C84" w:rsidRDefault="00ED1C84">
    <w:pPr>
      <w:pStyle w:val="Header"/>
      <w:rPr>
        <w:sz w:val="16"/>
        <w:szCs w:val="16"/>
      </w:rPr>
    </w:pPr>
  </w:p>
  <w:p w14:paraId="6A323B17" w14:textId="77777777" w:rsidR="00ED1C84" w:rsidRPr="00FF1D30" w:rsidRDefault="00ED1C84">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2F907360"/>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32CE3D5F"/>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338232BE"/>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39268ED"/>
    <w:multiLevelType w:val="hybridMultilevel"/>
    <w:tmpl w:val="FFFFFFFF"/>
    <w:lvl w:ilvl="0" w:tplc="0419000F">
      <w:start w:val="1"/>
      <w:numFmt w:val="decimal"/>
      <w:lvlText w:val="%1."/>
      <w:lvlJc w:val="left"/>
      <w:pPr>
        <w:ind w:left="1162" w:hanging="360"/>
      </w:pPr>
      <w:rPr>
        <w:rFonts w:cs="Times New Roman"/>
      </w:rPr>
    </w:lvl>
    <w:lvl w:ilvl="1" w:tplc="04190019" w:tentative="1">
      <w:start w:val="1"/>
      <w:numFmt w:val="lowerLetter"/>
      <w:lvlText w:val="%2."/>
      <w:lvlJc w:val="left"/>
      <w:pPr>
        <w:ind w:left="1882" w:hanging="360"/>
      </w:pPr>
      <w:rPr>
        <w:rFonts w:cs="Times New Roman"/>
      </w:rPr>
    </w:lvl>
    <w:lvl w:ilvl="2" w:tplc="0419001B" w:tentative="1">
      <w:start w:val="1"/>
      <w:numFmt w:val="lowerRoman"/>
      <w:lvlText w:val="%3."/>
      <w:lvlJc w:val="right"/>
      <w:pPr>
        <w:ind w:left="2602" w:hanging="180"/>
      </w:pPr>
      <w:rPr>
        <w:rFonts w:cs="Times New Roman"/>
      </w:rPr>
    </w:lvl>
    <w:lvl w:ilvl="3" w:tplc="0419000F" w:tentative="1">
      <w:start w:val="1"/>
      <w:numFmt w:val="decimal"/>
      <w:lvlText w:val="%4."/>
      <w:lvlJc w:val="left"/>
      <w:pPr>
        <w:ind w:left="3322" w:hanging="360"/>
      </w:pPr>
      <w:rPr>
        <w:rFonts w:cs="Times New Roman"/>
      </w:rPr>
    </w:lvl>
    <w:lvl w:ilvl="4" w:tplc="04190019" w:tentative="1">
      <w:start w:val="1"/>
      <w:numFmt w:val="lowerLetter"/>
      <w:lvlText w:val="%5."/>
      <w:lvlJc w:val="left"/>
      <w:pPr>
        <w:ind w:left="4042" w:hanging="360"/>
      </w:pPr>
      <w:rPr>
        <w:rFonts w:cs="Times New Roman"/>
      </w:rPr>
    </w:lvl>
    <w:lvl w:ilvl="5" w:tplc="0419001B" w:tentative="1">
      <w:start w:val="1"/>
      <w:numFmt w:val="lowerRoman"/>
      <w:lvlText w:val="%6."/>
      <w:lvlJc w:val="right"/>
      <w:pPr>
        <w:ind w:left="4762" w:hanging="180"/>
      </w:pPr>
      <w:rPr>
        <w:rFonts w:cs="Times New Roman"/>
      </w:rPr>
    </w:lvl>
    <w:lvl w:ilvl="6" w:tplc="0419000F" w:tentative="1">
      <w:start w:val="1"/>
      <w:numFmt w:val="decimal"/>
      <w:lvlText w:val="%7."/>
      <w:lvlJc w:val="left"/>
      <w:pPr>
        <w:ind w:left="5482" w:hanging="360"/>
      </w:pPr>
      <w:rPr>
        <w:rFonts w:cs="Times New Roman"/>
      </w:rPr>
    </w:lvl>
    <w:lvl w:ilvl="7" w:tplc="04190019" w:tentative="1">
      <w:start w:val="1"/>
      <w:numFmt w:val="lowerLetter"/>
      <w:lvlText w:val="%8."/>
      <w:lvlJc w:val="left"/>
      <w:pPr>
        <w:ind w:left="6202" w:hanging="360"/>
      </w:pPr>
      <w:rPr>
        <w:rFonts w:cs="Times New Roman"/>
      </w:rPr>
    </w:lvl>
    <w:lvl w:ilvl="8" w:tplc="0419001B" w:tentative="1">
      <w:start w:val="1"/>
      <w:numFmt w:val="lowerRoman"/>
      <w:lvlText w:val="%9."/>
      <w:lvlJc w:val="right"/>
      <w:pPr>
        <w:ind w:left="6922"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B931A0E"/>
    <w:multiLevelType w:val="hybridMultilevel"/>
    <w:tmpl w:val="FFFFFFFF"/>
    <w:lvl w:ilvl="0" w:tplc="AF447402">
      <w:start w:val="1"/>
      <w:numFmt w:val="decimal"/>
      <w:lvlText w:val="[%1]"/>
      <w:lvlJc w:val="left"/>
      <w:pPr>
        <w:ind w:left="1162" w:hanging="360"/>
      </w:pPr>
      <w:rPr>
        <w:rFonts w:cs="Times New Roman" w:hint="default"/>
      </w:rPr>
    </w:lvl>
    <w:lvl w:ilvl="1" w:tplc="04190019" w:tentative="1">
      <w:start w:val="1"/>
      <w:numFmt w:val="lowerLetter"/>
      <w:lvlText w:val="%2."/>
      <w:lvlJc w:val="left"/>
      <w:pPr>
        <w:ind w:left="1882" w:hanging="360"/>
      </w:pPr>
      <w:rPr>
        <w:rFonts w:cs="Times New Roman"/>
      </w:rPr>
    </w:lvl>
    <w:lvl w:ilvl="2" w:tplc="0419001B" w:tentative="1">
      <w:start w:val="1"/>
      <w:numFmt w:val="lowerRoman"/>
      <w:lvlText w:val="%3."/>
      <w:lvlJc w:val="right"/>
      <w:pPr>
        <w:ind w:left="2602" w:hanging="180"/>
      </w:pPr>
      <w:rPr>
        <w:rFonts w:cs="Times New Roman"/>
      </w:rPr>
    </w:lvl>
    <w:lvl w:ilvl="3" w:tplc="0419000F" w:tentative="1">
      <w:start w:val="1"/>
      <w:numFmt w:val="decimal"/>
      <w:lvlText w:val="%4."/>
      <w:lvlJc w:val="left"/>
      <w:pPr>
        <w:ind w:left="3322" w:hanging="360"/>
      </w:pPr>
      <w:rPr>
        <w:rFonts w:cs="Times New Roman"/>
      </w:rPr>
    </w:lvl>
    <w:lvl w:ilvl="4" w:tplc="04190019" w:tentative="1">
      <w:start w:val="1"/>
      <w:numFmt w:val="lowerLetter"/>
      <w:lvlText w:val="%5."/>
      <w:lvlJc w:val="left"/>
      <w:pPr>
        <w:ind w:left="4042" w:hanging="360"/>
      </w:pPr>
      <w:rPr>
        <w:rFonts w:cs="Times New Roman"/>
      </w:rPr>
    </w:lvl>
    <w:lvl w:ilvl="5" w:tplc="0419001B" w:tentative="1">
      <w:start w:val="1"/>
      <w:numFmt w:val="lowerRoman"/>
      <w:lvlText w:val="%6."/>
      <w:lvlJc w:val="right"/>
      <w:pPr>
        <w:ind w:left="4762" w:hanging="180"/>
      </w:pPr>
      <w:rPr>
        <w:rFonts w:cs="Times New Roman"/>
      </w:rPr>
    </w:lvl>
    <w:lvl w:ilvl="6" w:tplc="0419000F" w:tentative="1">
      <w:start w:val="1"/>
      <w:numFmt w:val="decimal"/>
      <w:lvlText w:val="%7."/>
      <w:lvlJc w:val="left"/>
      <w:pPr>
        <w:ind w:left="5482" w:hanging="360"/>
      </w:pPr>
      <w:rPr>
        <w:rFonts w:cs="Times New Roman"/>
      </w:rPr>
    </w:lvl>
    <w:lvl w:ilvl="7" w:tplc="04190019" w:tentative="1">
      <w:start w:val="1"/>
      <w:numFmt w:val="lowerLetter"/>
      <w:lvlText w:val="%8."/>
      <w:lvlJc w:val="left"/>
      <w:pPr>
        <w:ind w:left="6202" w:hanging="360"/>
      </w:pPr>
      <w:rPr>
        <w:rFonts w:cs="Times New Roman"/>
      </w:rPr>
    </w:lvl>
    <w:lvl w:ilvl="8" w:tplc="0419001B" w:tentative="1">
      <w:start w:val="1"/>
      <w:numFmt w:val="lowerRoman"/>
      <w:lvlText w:val="%9."/>
      <w:lvlJc w:val="right"/>
      <w:pPr>
        <w:ind w:left="6922" w:hanging="180"/>
      </w:pPr>
      <w:rPr>
        <w:rFonts w:cs="Times New Roman"/>
      </w:rPr>
    </w:lvl>
  </w:abstractNum>
  <w:abstractNum w:abstractNumId="32"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542547164">
    <w:abstractNumId w:val="14"/>
  </w:num>
  <w:num w:numId="2" w16cid:durableId="1526793143">
    <w:abstractNumId w:val="8"/>
  </w:num>
  <w:num w:numId="3" w16cid:durableId="700982090">
    <w:abstractNumId w:val="9"/>
  </w:num>
  <w:num w:numId="4" w16cid:durableId="227955678">
    <w:abstractNumId w:val="25"/>
  </w:num>
  <w:num w:numId="5" w16cid:durableId="906648876">
    <w:abstractNumId w:val="24"/>
  </w:num>
  <w:num w:numId="6" w16cid:durableId="743645395">
    <w:abstractNumId w:val="23"/>
  </w:num>
  <w:num w:numId="7" w16cid:durableId="53163188">
    <w:abstractNumId w:val="32"/>
  </w:num>
  <w:num w:numId="8" w16cid:durableId="215090841">
    <w:abstractNumId w:val="15"/>
  </w:num>
  <w:num w:numId="9" w16cid:durableId="1568952063">
    <w:abstractNumId w:val="26"/>
  </w:num>
  <w:num w:numId="10" w16cid:durableId="1458066158">
    <w:abstractNumId w:val="28"/>
  </w:num>
  <w:num w:numId="11" w16cid:durableId="820120048">
    <w:abstractNumId w:val="11"/>
  </w:num>
  <w:num w:numId="12" w16cid:durableId="1598631696">
    <w:abstractNumId w:val="21"/>
  </w:num>
  <w:num w:numId="13" w16cid:durableId="719784255">
    <w:abstractNumId w:val="7"/>
  </w:num>
  <w:num w:numId="14" w16cid:durableId="1872761382">
    <w:abstractNumId w:val="0"/>
  </w:num>
  <w:num w:numId="15" w16cid:durableId="1975331166">
    <w:abstractNumId w:val="33"/>
  </w:num>
  <w:num w:numId="16" w16cid:durableId="1179933222">
    <w:abstractNumId w:val="22"/>
  </w:num>
  <w:num w:numId="17" w16cid:durableId="938879427">
    <w:abstractNumId w:val="30"/>
  </w:num>
  <w:num w:numId="18" w16cid:durableId="1657343938">
    <w:abstractNumId w:val="29"/>
  </w:num>
  <w:num w:numId="19" w16cid:durableId="949627723">
    <w:abstractNumId w:val="20"/>
  </w:num>
  <w:num w:numId="20" w16cid:durableId="124736612">
    <w:abstractNumId w:val="5"/>
  </w:num>
  <w:num w:numId="21" w16cid:durableId="1415319376">
    <w:abstractNumId w:val="1"/>
  </w:num>
  <w:num w:numId="22" w16cid:durableId="843938626">
    <w:abstractNumId w:val="12"/>
  </w:num>
  <w:num w:numId="23" w16cid:durableId="1697348225">
    <w:abstractNumId w:val="2"/>
  </w:num>
  <w:num w:numId="24" w16cid:durableId="2055884929">
    <w:abstractNumId w:val="3"/>
  </w:num>
  <w:num w:numId="25" w16cid:durableId="681204556">
    <w:abstractNumId w:val="4"/>
  </w:num>
  <w:num w:numId="26" w16cid:durableId="1202404844">
    <w:abstractNumId w:val="10"/>
  </w:num>
  <w:num w:numId="27" w16cid:durableId="1418937612">
    <w:abstractNumId w:val="13"/>
  </w:num>
  <w:num w:numId="28" w16cid:durableId="416636030">
    <w:abstractNumId w:val="6"/>
  </w:num>
  <w:num w:numId="29" w16cid:durableId="415054760">
    <w:abstractNumId w:val="19"/>
  </w:num>
  <w:num w:numId="30" w16cid:durableId="1610699149">
    <w:abstractNumId w:val="17"/>
  </w:num>
  <w:num w:numId="31" w16cid:durableId="1445494533">
    <w:abstractNumId w:val="18"/>
  </w:num>
  <w:num w:numId="32" w16cid:durableId="705757251">
    <w:abstractNumId w:val="16"/>
  </w:num>
  <w:num w:numId="33" w16cid:durableId="1071125817">
    <w:abstractNumId w:val="27"/>
  </w:num>
  <w:num w:numId="34" w16cid:durableId="1506554537">
    <w:abstractNumId w:val="3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90431"/>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4EC"/>
    <w:rsid w:val="001245CB"/>
    <w:rsid w:val="00132F0A"/>
    <w:rsid w:val="0013783B"/>
    <w:rsid w:val="00141A2D"/>
    <w:rsid w:val="00150E65"/>
    <w:rsid w:val="001578E9"/>
    <w:rsid w:val="00162A30"/>
    <w:rsid w:val="0016470A"/>
    <w:rsid w:val="00165813"/>
    <w:rsid w:val="00171D19"/>
    <w:rsid w:val="00173196"/>
    <w:rsid w:val="0018288D"/>
    <w:rsid w:val="00187357"/>
    <w:rsid w:val="001A07A8"/>
    <w:rsid w:val="001B3613"/>
    <w:rsid w:val="001C2739"/>
    <w:rsid w:val="001C3D6C"/>
    <w:rsid w:val="001C7BDA"/>
    <w:rsid w:val="001D5E03"/>
    <w:rsid w:val="001D7DEE"/>
    <w:rsid w:val="001E02DA"/>
    <w:rsid w:val="001E1CEC"/>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97408"/>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A7293"/>
    <w:rsid w:val="003B28D6"/>
    <w:rsid w:val="003C40CE"/>
    <w:rsid w:val="003C482F"/>
    <w:rsid w:val="003C5369"/>
    <w:rsid w:val="003E1185"/>
    <w:rsid w:val="003F329C"/>
    <w:rsid w:val="00400BB8"/>
    <w:rsid w:val="00406D0E"/>
    <w:rsid w:val="00411F5E"/>
    <w:rsid w:val="00413EEB"/>
    <w:rsid w:val="00415562"/>
    <w:rsid w:val="004174DD"/>
    <w:rsid w:val="00423FBA"/>
    <w:rsid w:val="0042403D"/>
    <w:rsid w:val="00425716"/>
    <w:rsid w:val="00425E5D"/>
    <w:rsid w:val="0043544C"/>
    <w:rsid w:val="00442F6C"/>
    <w:rsid w:val="00451D00"/>
    <w:rsid w:val="00453027"/>
    <w:rsid w:val="004535C9"/>
    <w:rsid w:val="004538A9"/>
    <w:rsid w:val="00461A20"/>
    <w:rsid w:val="00463904"/>
    <w:rsid w:val="004657C4"/>
    <w:rsid w:val="00476E9F"/>
    <w:rsid w:val="00477728"/>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82592"/>
    <w:rsid w:val="00591DE5"/>
    <w:rsid w:val="0059236C"/>
    <w:rsid w:val="005A4F69"/>
    <w:rsid w:val="005C14AA"/>
    <w:rsid w:val="005C643D"/>
    <w:rsid w:val="005D4A0D"/>
    <w:rsid w:val="005E7673"/>
    <w:rsid w:val="006035FA"/>
    <w:rsid w:val="006052AE"/>
    <w:rsid w:val="00607BF2"/>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36B2"/>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0729"/>
    <w:rsid w:val="007B6823"/>
    <w:rsid w:val="007D5BA1"/>
    <w:rsid w:val="007E508F"/>
    <w:rsid w:val="007F02FB"/>
    <w:rsid w:val="007F37D6"/>
    <w:rsid w:val="007F422E"/>
    <w:rsid w:val="00802718"/>
    <w:rsid w:val="00802990"/>
    <w:rsid w:val="00802A96"/>
    <w:rsid w:val="00810811"/>
    <w:rsid w:val="008157AA"/>
    <w:rsid w:val="00815993"/>
    <w:rsid w:val="008166BA"/>
    <w:rsid w:val="0082272E"/>
    <w:rsid w:val="0084487B"/>
    <w:rsid w:val="00852EC7"/>
    <w:rsid w:val="0085484D"/>
    <w:rsid w:val="00862178"/>
    <w:rsid w:val="00862DDA"/>
    <w:rsid w:val="00863A78"/>
    <w:rsid w:val="00874EB7"/>
    <w:rsid w:val="008765A5"/>
    <w:rsid w:val="00876CBE"/>
    <w:rsid w:val="00882CAF"/>
    <w:rsid w:val="0088746C"/>
    <w:rsid w:val="008940D8"/>
    <w:rsid w:val="00897122"/>
    <w:rsid w:val="008A4202"/>
    <w:rsid w:val="008B23F8"/>
    <w:rsid w:val="008B4BA9"/>
    <w:rsid w:val="008B7A0F"/>
    <w:rsid w:val="008C302B"/>
    <w:rsid w:val="008C3DC2"/>
    <w:rsid w:val="008C45DE"/>
    <w:rsid w:val="008D0F02"/>
    <w:rsid w:val="008E554D"/>
    <w:rsid w:val="008F3342"/>
    <w:rsid w:val="00902F9C"/>
    <w:rsid w:val="00905A29"/>
    <w:rsid w:val="0090631F"/>
    <w:rsid w:val="00906AC7"/>
    <w:rsid w:val="00911A24"/>
    <w:rsid w:val="009206DD"/>
    <w:rsid w:val="009276FB"/>
    <w:rsid w:val="00935A88"/>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EAA"/>
    <w:rsid w:val="009C6E41"/>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D64F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294A"/>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177AF"/>
    <w:rsid w:val="00D26ADD"/>
    <w:rsid w:val="00D44083"/>
    <w:rsid w:val="00D57022"/>
    <w:rsid w:val="00D57A56"/>
    <w:rsid w:val="00D63088"/>
    <w:rsid w:val="00D67104"/>
    <w:rsid w:val="00D73826"/>
    <w:rsid w:val="00D775DE"/>
    <w:rsid w:val="00D90FE5"/>
    <w:rsid w:val="00D91906"/>
    <w:rsid w:val="00D94113"/>
    <w:rsid w:val="00D96860"/>
    <w:rsid w:val="00DC0D8A"/>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1C84"/>
    <w:rsid w:val="00ED2F7D"/>
    <w:rsid w:val="00F01DBC"/>
    <w:rsid w:val="00F06CD1"/>
    <w:rsid w:val="00F06FB4"/>
    <w:rsid w:val="00F1027C"/>
    <w:rsid w:val="00F1612A"/>
    <w:rsid w:val="00F23791"/>
    <w:rsid w:val="00F3381A"/>
    <w:rsid w:val="00F369EC"/>
    <w:rsid w:val="00F466CD"/>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7F7917"/>
  <w14:defaultImageDpi w14:val="0"/>
  <w15:docId w15:val="{E88535A3-F619-4D28-9900-FC6B16411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477728"/>
    <w:rPr>
      <w:sz w:val="16"/>
      <w:szCs w:val="16"/>
    </w:rPr>
  </w:style>
  <w:style w:type="paragraph" w:styleId="CommentText">
    <w:name w:val="annotation text"/>
    <w:basedOn w:val="Normal"/>
    <w:link w:val="CommentTextChar"/>
    <w:uiPriority w:val="99"/>
    <w:rsid w:val="00477728"/>
  </w:style>
  <w:style w:type="character" w:customStyle="1" w:styleId="CommentTextChar">
    <w:name w:val="Comment Text Char"/>
    <w:basedOn w:val="DefaultParagraphFont"/>
    <w:link w:val="CommentText"/>
    <w:uiPriority w:val="99"/>
    <w:rsid w:val="00477728"/>
    <w:rPr>
      <w:lang w:eastAsia="en-GB"/>
    </w:rPr>
  </w:style>
  <w:style w:type="paragraph" w:styleId="CommentSubject">
    <w:name w:val="annotation subject"/>
    <w:basedOn w:val="CommentText"/>
    <w:next w:val="CommentText"/>
    <w:link w:val="CommentSubjectChar"/>
    <w:uiPriority w:val="99"/>
    <w:rsid w:val="00477728"/>
    <w:rPr>
      <w:b/>
      <w:bCs/>
    </w:rPr>
  </w:style>
  <w:style w:type="character" w:customStyle="1" w:styleId="CommentSubjectChar">
    <w:name w:val="Comment Subject Char"/>
    <w:basedOn w:val="CommentTextChar"/>
    <w:link w:val="CommentSubject"/>
    <w:uiPriority w:val="99"/>
    <w:rsid w:val="00477728"/>
    <w:rPr>
      <w:b/>
      <w:bCs/>
      <w:lang w:eastAsia="en-GB"/>
    </w:rPr>
  </w:style>
  <w:style w:type="character" w:styleId="Strong">
    <w:name w:val="Strong"/>
    <w:basedOn w:val="DefaultParagraphFont"/>
    <w:uiPriority w:val="22"/>
    <w:qFormat/>
    <w:rsid w:val="008166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0395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35808/ijeba/457" TargetMode="External"/><Relationship Id="rId21" Type="http://schemas.openxmlformats.org/officeDocument/2006/relationships/hyperlink" Target="https://doi.org/10.1016/b978-0-12-818438-7.00012-5" TargetMode="External"/><Relationship Id="rId34" Type="http://schemas.openxmlformats.org/officeDocument/2006/relationships/hyperlink" Target="https://doi.org/10.1080/08850607.2024.2387850" TargetMode="External"/><Relationship Id="rId42" Type="http://schemas.openxmlformats.org/officeDocument/2006/relationships/hyperlink" Target="https://doi.org/10.15804/ppsy202209" TargetMode="External"/><Relationship Id="rId47" Type="http://schemas.openxmlformats.org/officeDocument/2006/relationships/hyperlink" Target="https://doi.org/10.4335/19.1.111-129(2021)" TargetMode="External"/><Relationship Id="rId50" Type="http://schemas.openxmlformats.org/officeDocument/2006/relationships/hyperlink" Target="https://doi.org/10.57239/pjlss-2024-22.2.00672" TargetMode="External"/><Relationship Id="rId55" Type="http://schemas.openxmlformats.org/officeDocument/2006/relationships/hyperlink" Target="https://doi.org/10.57125/FS.2024.12.20.01" TargetMode="External"/><Relationship Id="rId63" Type="http://schemas.openxmlformats.org/officeDocument/2006/relationships/footer" Target="footer3.xml"/><Relationship Id="rId7" Type="http://schemas.openxmlformats.org/officeDocument/2006/relationships/comments" Target="comments.xml"/><Relationship Id="rId2" Type="http://schemas.openxmlformats.org/officeDocument/2006/relationships/styles" Target="styles.xml"/><Relationship Id="rId16" Type="http://schemas.openxmlformats.org/officeDocument/2006/relationships/hyperlink" Target="https://doi.org/10.9770/jssi.2020.10.1(25)" TargetMode="External"/><Relationship Id="rId29" Type="http://schemas.openxmlformats.org/officeDocument/2006/relationships/hyperlink" Target="https://doi.org/10.46340/eppd.2023.10.3.1" TargetMode="External"/><Relationship Id="rId11" Type="http://schemas.openxmlformats.org/officeDocument/2006/relationships/image" Target="media/image1.jpeg"/><Relationship Id="rId24" Type="http://schemas.openxmlformats.org/officeDocument/2006/relationships/hyperlink" Target="https://doi.org/10.1080/19393555.2020.1795323" TargetMode="External"/><Relationship Id="rId32" Type="http://schemas.openxmlformats.org/officeDocument/2006/relationships/hyperlink" Target="https://doi.org/10.3390/systems10050132" TargetMode="External"/><Relationship Id="rId37" Type="http://schemas.openxmlformats.org/officeDocument/2006/relationships/hyperlink" Target="https://www.npsa.gov.uk/national-security-act-2023-and-prohibited-places" TargetMode="External"/><Relationship Id="rId40" Type="http://schemas.openxmlformats.org/officeDocument/2006/relationships/hyperlink" Target="https://doi.org/10.1007/s40803-021-00151-9" TargetMode="External"/><Relationship Id="rId45" Type="http://schemas.openxmlformats.org/officeDocument/2006/relationships/hyperlink" Target="https://doi.org/10.1080/01436597.2023.2177149" TargetMode="External"/><Relationship Id="rId53" Type="http://schemas.openxmlformats.org/officeDocument/2006/relationships/hyperlink" Target="https://doi.org/10.1016/j.jrt.2020.100005" TargetMode="External"/><Relationship Id="rId58" Type="http://schemas.openxmlformats.org/officeDocument/2006/relationships/header" Target="header1.xm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footer" Target="footer2.xml"/><Relationship Id="rId19" Type="http://schemas.openxmlformats.org/officeDocument/2006/relationships/hyperlink" Target="https://visnyk.kh.ua/en/journals/visnik-naprnu-2-2021-r/teoretichni-osnovi-ta-prioriteti-rozvitku-prava-natsionalnoyi-bezpeki" TargetMode="External"/><Relationship Id="rId14" Type="http://schemas.openxmlformats.org/officeDocument/2006/relationships/hyperlink" Target="https://doi.org/10.32631/pb.2022.2.17" TargetMode="External"/><Relationship Id="rId22" Type="http://schemas.openxmlformats.org/officeDocument/2006/relationships/hyperlink" Target="https://doi.org/10.22059/JITM.2021.80738" TargetMode="External"/><Relationship Id="rId27" Type="http://schemas.openxmlformats.org/officeDocument/2006/relationships/hyperlink" Target="https://doi.org/10.32782/pdu.2024.1.25" TargetMode="External"/><Relationship Id="rId30" Type="http://schemas.openxmlformats.org/officeDocument/2006/relationships/hyperlink" Target="https://doi.org/10.31893/multirev.2024spe026" TargetMode="External"/><Relationship Id="rId35" Type="http://schemas.openxmlformats.org/officeDocument/2006/relationships/hyperlink" Target="https://doi.org/10.57125/FP.2024.12.30.06" TargetMode="External"/><Relationship Id="rId43" Type="http://schemas.openxmlformats.org/officeDocument/2006/relationships/hyperlink" Target="https://doi.org/10.1080/20508840.2020.1782109" TargetMode="External"/><Relationship Id="rId48" Type="http://schemas.openxmlformats.org/officeDocument/2006/relationships/hyperlink" Target="https://doi.org/10.1177/0020852320979359" TargetMode="External"/><Relationship Id="rId56" Type="http://schemas.openxmlformats.org/officeDocument/2006/relationships/hyperlink" Target="https://ideas.repec.org/a/asr/journl/v9y2019ispecialp117-126.html" TargetMode="External"/><Relationship Id="rId64" Type="http://schemas.openxmlformats.org/officeDocument/2006/relationships/fontTable" Target="fontTable.xml"/><Relationship Id="rId8" Type="http://schemas.microsoft.com/office/2011/relationships/commentsExtended" Target="commentsExtended.xml"/><Relationship Id="rId51" Type="http://schemas.openxmlformats.org/officeDocument/2006/relationships/hyperlink" Target="https://doi.org/10.36690/2674-5216-2020-2-28" TargetMode="External"/><Relationship Id="rId3" Type="http://schemas.openxmlformats.org/officeDocument/2006/relationships/settings" Target="settings.xml"/><Relationship Id="rId12" Type="http://schemas.openxmlformats.org/officeDocument/2006/relationships/hyperlink" Target="https://creativecommons.org/licenses/by/4.0/" TargetMode="External"/><Relationship Id="rId17" Type="http://schemas.openxmlformats.org/officeDocument/2006/relationships/hyperlink" Target="https://doi.org/10.46398/cuestpol.3969.46" TargetMode="External"/><Relationship Id="rId25" Type="http://schemas.openxmlformats.org/officeDocument/2006/relationships/hyperlink" Target="https://doi.org/10.32612/uw.27201643.2022.5.pp.36-58" TargetMode="External"/><Relationship Id="rId33" Type="http://schemas.openxmlformats.org/officeDocument/2006/relationships/hyperlink" Target="https://bja.ojp.gov/program/it/privacy-civil-liberties/authorities/statutes/1280" TargetMode="External"/><Relationship Id="rId38" Type="http://schemas.openxmlformats.org/officeDocument/2006/relationships/hyperlink" Target="https://doi.org/10.1134/s1063785015020182" TargetMode="External"/><Relationship Id="rId46" Type="http://schemas.openxmlformats.org/officeDocument/2006/relationships/hyperlink" Target="https://doi.org/10.1080/09546553.2020.1803288" TargetMode="External"/><Relationship Id="rId59" Type="http://schemas.openxmlformats.org/officeDocument/2006/relationships/header" Target="header2.xml"/><Relationship Id="rId20" Type="http://schemas.openxmlformats.org/officeDocument/2006/relationships/hyperlink" Target="https://doi.org/10.1016/j.eap.2020.07.008" TargetMode="External"/><Relationship Id="rId41" Type="http://schemas.openxmlformats.org/officeDocument/2006/relationships/hyperlink" Target="https://doi.org/10.17770/etr2024vol4.8234" TargetMode="External"/><Relationship Id="rId54" Type="http://schemas.openxmlformats.org/officeDocument/2006/relationships/hyperlink" Target="https://doi.org/10.1007/978-3-031-06709-9_5" TargetMode="External"/><Relationship Id="rId62"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lbsherald.org/index.php/journal/article/view/62" TargetMode="External"/><Relationship Id="rId23" Type="http://schemas.openxmlformats.org/officeDocument/2006/relationships/hyperlink" Target="https://doi.org/10.1016/j.egyr.2021.08.126" TargetMode="External"/><Relationship Id="rId28" Type="http://schemas.openxmlformats.org/officeDocument/2006/relationships/hyperlink" Target="https://doi.org/10.3390/en15020658" TargetMode="External"/><Relationship Id="rId36" Type="http://schemas.openxmlformats.org/officeDocument/2006/relationships/hyperlink" Target="https://doi.org/10.57125/FEL.2024.09.25.04" TargetMode="External"/><Relationship Id="rId49" Type="http://schemas.openxmlformats.org/officeDocument/2006/relationships/hyperlink" Target="https://doi.org/10.46299/979-8-88992-698-6.4" TargetMode="External"/><Relationship Id="rId57" Type="http://schemas.openxmlformats.org/officeDocument/2006/relationships/hyperlink" Target="https://doi.org/10.34625/issn.2183-2705(34)2023.ic-13" TargetMode="External"/><Relationship Id="rId10" Type="http://schemas.microsoft.com/office/2018/08/relationships/commentsExtensible" Target="commentsExtensible.xml"/><Relationship Id="rId31" Type="http://schemas.openxmlformats.org/officeDocument/2006/relationships/hyperlink" Target="https://doi.org/10.62821/lp10402" TargetMode="External"/><Relationship Id="rId44" Type="http://schemas.openxmlformats.org/officeDocument/2006/relationships/hyperlink" Target="https://doi.org/10.57239/pjlss-2024-22.2.00776" TargetMode="External"/><Relationship Id="rId52" Type="http://schemas.openxmlformats.org/officeDocument/2006/relationships/hyperlink" Target="https://apps.dtic.mil/sti/citations/AD1157244" TargetMode="External"/><Relationship Id="rId60" Type="http://schemas.openxmlformats.org/officeDocument/2006/relationships/footer" Target="footer1.xml"/><Relationship Id="rId65"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3" Type="http://schemas.openxmlformats.org/officeDocument/2006/relationships/hyperlink" Target="https://doi.org/10.57125/ELIJ.2023.03.25.04" TargetMode="External"/><Relationship Id="rId18" Type="http://schemas.openxmlformats.org/officeDocument/2006/relationships/hyperlink" Target="https://doi.org/10.1177/09636625211001555" TargetMode="External"/><Relationship Id="rId39" Type="http://schemas.openxmlformats.org/officeDocument/2006/relationships/hyperlink" Target="https://doi.org/10.9770/jssi.2020.10.1(17)"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18</Pages>
  <Words>8329</Words>
  <Characters>47480</Characters>
  <Application>Microsoft Office Word</Application>
  <DocSecurity>0</DocSecurity>
  <Lines>395</Lines>
  <Paragraphs>111</Paragraphs>
  <ScaleCrop>false</ScaleCrop>
  <Company>UIN Malang</Company>
  <LinksUpToDate>false</LinksUpToDate>
  <CharactersWithSpaces>55698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cp:lastModifiedBy>
  <cp:revision>16</cp:revision>
  <cp:lastPrinted>2008-11-01T04:52:00Z</cp:lastPrinted>
  <dcterms:created xsi:type="dcterms:W3CDTF">2025-05-06T10:19:00Z</dcterms:created>
  <dcterms:modified xsi:type="dcterms:W3CDTF">2025-06-21T03:37:00Z</dcterms:modified>
</cp:coreProperties>
</file>