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header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comments.xml" ContentType="application/vnd.openxmlformats-officedocument.wordprocessingml.comments+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word/numbering.xml" ContentType="application/vnd.openxmlformats-officedocument.wordprocessingml.numbering+xml"/>
  <Override PartName="/word/people.xml" ContentType="application/vnd.openxmlformats-officedocument.wordprocessingml.peopl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commentsExtensible.xml" ContentType="application/vnd.openxmlformats-officedocument.wordprocessingml.commentsExtensible+xml"/>
  <Override PartName="/word/commentsIds.xml" ContentType="application/vnd.openxmlformats-officedocument.wordprocessingml.commentsId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3C644F1" w14:textId="77777777" w:rsidR="00E3097C" w:rsidRPr="00122F5F" w:rsidRDefault="00E3097C" w:rsidP="00E3097C">
      <w:pPr>
        <w:rPr>
          <w:rFonts w:ascii="Calibri Light" w:hAnsi="Calibri Light" w:cs="Calibri Light"/>
          <w:b/>
          <w:bCs/>
          <w:sz w:val="24"/>
          <w:szCs w:val="24"/>
        </w:rPr>
      </w:pPr>
    </w:p>
    <w:p w14:paraId="284FB4E8" w14:textId="77777777" w:rsidR="00E3097C" w:rsidRPr="0090631F" w:rsidRDefault="00E3097C" w:rsidP="00E3097C">
      <w:pPr>
        <w:rPr>
          <w:rFonts w:ascii="Calibri Light" w:hAnsi="Calibri Light" w:cs="Calibri Light"/>
          <w:b/>
          <w:bCs/>
          <w:iCs/>
          <w:sz w:val="28"/>
          <w:szCs w:val="28"/>
        </w:rPr>
      </w:pPr>
      <w:r w:rsidRPr="00E8512E">
        <w:rPr>
          <w:rFonts w:ascii="Calibri Light" w:hAnsi="Calibri Light" w:cs="Calibri Light"/>
          <w:b/>
          <w:bCs/>
          <w:sz w:val="28"/>
          <w:szCs w:val="28"/>
          <w:highlight w:val="yellow"/>
        </w:rPr>
        <w:t xml:space="preserve">Legal Regulation of </w:t>
      </w:r>
      <w:commentRangeStart w:id="0"/>
      <w:r w:rsidRPr="00E8512E">
        <w:rPr>
          <w:rFonts w:ascii="Calibri Light" w:hAnsi="Calibri Light" w:cs="Calibri Light"/>
          <w:b/>
          <w:bCs/>
          <w:sz w:val="28"/>
          <w:szCs w:val="28"/>
          <w:highlight w:val="yellow"/>
        </w:rPr>
        <w:t>National Security</w:t>
      </w:r>
      <w:commentRangeEnd w:id="0"/>
      <w:r w:rsidRPr="00E8512E">
        <w:rPr>
          <w:rStyle w:val="ad"/>
          <w:highlight w:val="yellow"/>
        </w:rPr>
        <w:commentReference w:id="0"/>
      </w:r>
      <w:r w:rsidRPr="00E8512E">
        <w:rPr>
          <w:rFonts w:ascii="Calibri Light" w:hAnsi="Calibri Light" w:cs="Calibri Light"/>
          <w:b/>
          <w:bCs/>
          <w:sz w:val="28"/>
          <w:szCs w:val="28"/>
          <w:highlight w:val="yellow"/>
          <w:lang w:val="uk-UA"/>
        </w:rPr>
        <w:t xml:space="preserve"> i</w:t>
      </w:r>
      <w:r w:rsidRPr="00E8512E">
        <w:rPr>
          <w:rFonts w:ascii="Calibri Light" w:hAnsi="Calibri Light" w:cs="Calibri Light"/>
          <w:b/>
          <w:bCs/>
          <w:sz w:val="28"/>
          <w:szCs w:val="28"/>
          <w:highlight w:val="yellow"/>
        </w:rPr>
        <w:t>n Ukraine: Strategies and Challenges</w:t>
      </w:r>
    </w:p>
    <w:p w14:paraId="79065C63" w14:textId="77777777" w:rsidR="00A94035" w:rsidRPr="00A94035" w:rsidRDefault="00A94035" w:rsidP="00A94035">
      <w:pPr>
        <w:jc w:val="center"/>
        <w:rPr>
          <w:rFonts w:ascii="Calibri Light" w:hAnsi="Calibri Light" w:cs="Calibri Light"/>
          <w:sz w:val="24"/>
          <w:szCs w:val="24"/>
        </w:rPr>
      </w:pPr>
    </w:p>
    <w:p w14:paraId="041349D0" w14:textId="77777777" w:rsidR="00A94035" w:rsidRPr="00A94035" w:rsidRDefault="00A94035" w:rsidP="00A94035">
      <w:pPr>
        <w:rPr>
          <w:rFonts w:ascii="Calibri Light" w:hAnsi="Calibri Light" w:cs="Calibri Light"/>
          <w:sz w:val="24"/>
          <w:szCs w:val="24"/>
        </w:rPr>
      </w:pPr>
      <w:proofErr w:type="spellStart"/>
      <w:r w:rsidRPr="00A94035">
        <w:rPr>
          <w:rFonts w:ascii="Calibri Light" w:hAnsi="Calibri Light" w:cs="Calibri Light"/>
          <w:b/>
          <w:bCs/>
          <w:sz w:val="24"/>
          <w:szCs w:val="24"/>
        </w:rPr>
        <w:t>Vladyslav</w:t>
      </w:r>
      <w:proofErr w:type="spellEnd"/>
      <w:r w:rsidRPr="00A94035">
        <w:rPr>
          <w:rFonts w:ascii="Calibri Light" w:hAnsi="Calibri Light" w:cs="Calibri Light"/>
          <w:b/>
          <w:bCs/>
          <w:sz w:val="24"/>
          <w:szCs w:val="24"/>
        </w:rPr>
        <w:t xml:space="preserve"> Honcharuk</w:t>
      </w:r>
      <w:r w:rsidRPr="00A94035">
        <w:rPr>
          <w:rFonts w:ascii="Calibri Light" w:hAnsi="Calibri Light" w:cs="Calibri Light"/>
          <w:b/>
          <w:bCs/>
          <w:sz w:val="24"/>
          <w:szCs w:val="24"/>
          <w:vertAlign w:val="superscript"/>
        </w:rPr>
        <w:t>1*</w:t>
      </w:r>
      <w:r w:rsidRPr="00A94035">
        <w:rPr>
          <w:rFonts w:ascii="Calibri Light" w:hAnsi="Calibri Light" w:cs="Calibri Light"/>
          <w:b/>
          <w:bCs/>
          <w:sz w:val="24"/>
          <w:szCs w:val="24"/>
        </w:rPr>
        <w:t xml:space="preserve">, </w:t>
      </w:r>
      <w:proofErr w:type="spellStart"/>
      <w:r w:rsidRPr="00A94035">
        <w:rPr>
          <w:rFonts w:ascii="Calibri Light" w:hAnsi="Calibri Light" w:cs="Calibri Light"/>
          <w:b/>
          <w:bCs/>
          <w:sz w:val="24"/>
          <w:szCs w:val="24"/>
        </w:rPr>
        <w:t>Mykola</w:t>
      </w:r>
      <w:proofErr w:type="spellEnd"/>
      <w:r w:rsidRPr="00A94035">
        <w:rPr>
          <w:rFonts w:ascii="Calibri Light" w:hAnsi="Calibri Light" w:cs="Calibri Light"/>
          <w:b/>
          <w:bCs/>
          <w:sz w:val="24"/>
          <w:szCs w:val="24"/>
        </w:rPr>
        <w:t xml:space="preserve"> Karpenko</w:t>
      </w:r>
      <w:r w:rsidRPr="00A94035">
        <w:rPr>
          <w:rFonts w:ascii="Calibri Light" w:hAnsi="Calibri Light" w:cs="Calibri Light"/>
          <w:b/>
          <w:bCs/>
          <w:sz w:val="24"/>
          <w:szCs w:val="24"/>
          <w:vertAlign w:val="superscript"/>
        </w:rPr>
        <w:t>2</w:t>
      </w:r>
      <w:r w:rsidRPr="00A94035">
        <w:rPr>
          <w:rFonts w:ascii="Calibri Light" w:hAnsi="Calibri Light" w:cs="Calibri Light"/>
          <w:b/>
          <w:bCs/>
          <w:sz w:val="24"/>
          <w:szCs w:val="24"/>
        </w:rPr>
        <w:t xml:space="preserve">, </w:t>
      </w:r>
      <w:proofErr w:type="spellStart"/>
      <w:r w:rsidRPr="00A94035">
        <w:rPr>
          <w:rFonts w:ascii="Calibri Light" w:hAnsi="Calibri Light" w:cs="Calibri Light"/>
          <w:b/>
          <w:bCs/>
          <w:sz w:val="24"/>
          <w:szCs w:val="24"/>
        </w:rPr>
        <w:t>Anatolii</w:t>
      </w:r>
      <w:proofErr w:type="spellEnd"/>
      <w:r w:rsidRPr="00A94035">
        <w:rPr>
          <w:rFonts w:ascii="Calibri Light" w:hAnsi="Calibri Light" w:cs="Calibri Light"/>
          <w:b/>
          <w:bCs/>
          <w:sz w:val="24"/>
          <w:szCs w:val="24"/>
        </w:rPr>
        <w:t xml:space="preserve"> Prytula</w:t>
      </w:r>
      <w:r w:rsidRPr="00A94035">
        <w:rPr>
          <w:rFonts w:ascii="Calibri Light" w:hAnsi="Calibri Light" w:cs="Calibri Light"/>
          <w:b/>
          <w:bCs/>
          <w:sz w:val="24"/>
          <w:szCs w:val="24"/>
          <w:vertAlign w:val="superscript"/>
        </w:rPr>
        <w:t>3</w:t>
      </w:r>
      <w:r w:rsidRPr="00A94035">
        <w:rPr>
          <w:rFonts w:ascii="Calibri Light" w:hAnsi="Calibri Light" w:cs="Calibri Light"/>
          <w:b/>
          <w:bCs/>
          <w:sz w:val="24"/>
          <w:szCs w:val="24"/>
        </w:rPr>
        <w:t>, Natalia</w:t>
      </w:r>
      <w:r w:rsidRPr="00A94035">
        <w:rPr>
          <w:rFonts w:ascii="Calibri Light" w:hAnsi="Calibri Light" w:cs="Calibri Light"/>
          <w:b/>
          <w:bCs/>
          <w:sz w:val="24"/>
          <w:szCs w:val="24"/>
          <w:lang w:val="uk-UA"/>
        </w:rPr>
        <w:t xml:space="preserve"> </w:t>
      </w:r>
      <w:r w:rsidRPr="00A94035">
        <w:rPr>
          <w:rFonts w:ascii="Calibri Light" w:hAnsi="Calibri Light" w:cs="Calibri Light"/>
          <w:b/>
          <w:bCs/>
          <w:sz w:val="24"/>
          <w:szCs w:val="24"/>
        </w:rPr>
        <w:t>Fierieva</w:t>
      </w:r>
      <w:r w:rsidRPr="00A94035">
        <w:rPr>
          <w:rFonts w:ascii="Calibri Light" w:hAnsi="Calibri Light" w:cs="Calibri Light"/>
          <w:b/>
          <w:bCs/>
          <w:sz w:val="24"/>
          <w:szCs w:val="24"/>
          <w:vertAlign w:val="superscript"/>
        </w:rPr>
        <w:t>4</w:t>
      </w:r>
      <w:r w:rsidRPr="00A94035">
        <w:rPr>
          <w:rFonts w:ascii="Calibri Light" w:hAnsi="Calibri Light" w:cs="Calibri Light"/>
          <w:b/>
          <w:bCs/>
          <w:sz w:val="24"/>
          <w:szCs w:val="24"/>
        </w:rPr>
        <w:t>,</w:t>
      </w:r>
      <w:r w:rsidRPr="00A94035">
        <w:rPr>
          <w:rFonts w:ascii="Calibri Light" w:hAnsi="Calibri Light" w:cs="Calibri Light"/>
          <w:b/>
          <w:bCs/>
          <w:sz w:val="24"/>
          <w:szCs w:val="24"/>
        </w:rPr>
        <w:br/>
      </w:r>
      <w:proofErr w:type="spellStart"/>
      <w:r w:rsidRPr="00A94035">
        <w:rPr>
          <w:rFonts w:ascii="Calibri Light" w:hAnsi="Calibri Light" w:cs="Calibri Light"/>
          <w:b/>
          <w:bCs/>
          <w:sz w:val="24"/>
          <w:szCs w:val="24"/>
        </w:rPr>
        <w:t>Oleksandr</w:t>
      </w:r>
      <w:proofErr w:type="spellEnd"/>
      <w:r w:rsidRPr="00A94035">
        <w:rPr>
          <w:rFonts w:ascii="Calibri Light" w:hAnsi="Calibri Light" w:cs="Calibri Light"/>
          <w:b/>
          <w:bCs/>
          <w:sz w:val="24"/>
          <w:szCs w:val="24"/>
        </w:rPr>
        <w:t xml:space="preserve"> Andrushko</w:t>
      </w:r>
      <w:r w:rsidRPr="00A94035">
        <w:rPr>
          <w:rFonts w:ascii="Calibri Light" w:hAnsi="Calibri Light" w:cs="Calibri Light"/>
          <w:b/>
          <w:bCs/>
          <w:sz w:val="24"/>
          <w:szCs w:val="24"/>
          <w:vertAlign w:val="superscript"/>
        </w:rPr>
        <w:t>5</w:t>
      </w:r>
    </w:p>
    <w:p w14:paraId="7303702D" w14:textId="77777777" w:rsidR="00A94035" w:rsidRPr="00A94035" w:rsidRDefault="00A94035" w:rsidP="00A94035">
      <w:pPr>
        <w:jc w:val="both"/>
        <w:rPr>
          <w:rFonts w:ascii="Calibri Light" w:hAnsi="Calibri Light" w:cs="Calibri Light"/>
          <w:sz w:val="24"/>
          <w:szCs w:val="24"/>
        </w:rPr>
      </w:pPr>
      <w:r w:rsidRPr="00A94035">
        <w:rPr>
          <w:rFonts w:ascii="Calibri Light" w:hAnsi="Calibri Light" w:cs="Calibri Light"/>
          <w:sz w:val="24"/>
          <w:szCs w:val="24"/>
          <w:vertAlign w:val="superscript"/>
        </w:rPr>
        <w:t>1</w:t>
      </w:r>
      <w:r w:rsidRPr="00A94035">
        <w:rPr>
          <w:rFonts w:ascii="Calibri Light" w:hAnsi="Calibri Light" w:cs="Calibri Light"/>
          <w:sz w:val="24"/>
          <w:szCs w:val="24"/>
        </w:rPr>
        <w:t>PhD in Law, Associate Professor of the Department of Financial and Economic Security Management, Associate Professor of the Department of National Security Institute of Security,</w:t>
      </w:r>
      <w:r w:rsidRPr="00A94035">
        <w:rPr>
          <w:rFonts w:ascii="Calibri Light" w:hAnsi="Calibri Light" w:cs="Calibri Light"/>
          <w:sz w:val="24"/>
          <w:szCs w:val="24"/>
          <w:lang w:val="uk-UA"/>
        </w:rPr>
        <w:t xml:space="preserve"> </w:t>
      </w:r>
      <w:r w:rsidRPr="00A94035">
        <w:rPr>
          <w:rFonts w:ascii="Calibri Light" w:hAnsi="Calibri Light" w:cs="Calibri Light"/>
          <w:sz w:val="24"/>
          <w:szCs w:val="24"/>
        </w:rPr>
        <w:t xml:space="preserve">Private Joint-Stock Company “Higher education institution “Interregional Academy of Personnel Management”, </w:t>
      </w:r>
      <w:hyperlink r:id="rId9" w:history="1">
        <w:r w:rsidRPr="00A94035">
          <w:rPr>
            <w:rFonts w:ascii="Calibri Light" w:hAnsi="Calibri Light" w:cs="Calibri Light"/>
            <w:color w:val="0000FF"/>
            <w:sz w:val="24"/>
            <w:szCs w:val="24"/>
            <w:u w:val="single"/>
          </w:rPr>
          <w:t>xrixos@gmail.com</w:t>
        </w:r>
      </w:hyperlink>
      <w:r w:rsidRPr="00A94035">
        <w:rPr>
          <w:rFonts w:ascii="Calibri Light" w:hAnsi="Calibri Light" w:cs="Calibri Light"/>
          <w:sz w:val="24"/>
          <w:szCs w:val="24"/>
        </w:rPr>
        <w:t>, ORCID: 0000-0002-9627-9530</w:t>
      </w:r>
    </w:p>
    <w:p w14:paraId="65F3505A" w14:textId="77777777" w:rsidR="00A94035" w:rsidRPr="00A94035" w:rsidRDefault="00A94035" w:rsidP="00A94035">
      <w:pPr>
        <w:jc w:val="both"/>
        <w:rPr>
          <w:rFonts w:ascii="Calibri Light" w:hAnsi="Calibri Light" w:cs="Calibri Light"/>
          <w:sz w:val="24"/>
          <w:szCs w:val="24"/>
          <w:lang w:val="id-ID"/>
        </w:rPr>
      </w:pPr>
      <w:r w:rsidRPr="00A94035">
        <w:rPr>
          <w:rFonts w:ascii="Calibri Light" w:hAnsi="Calibri Light" w:cs="Calibri Light"/>
          <w:sz w:val="24"/>
          <w:szCs w:val="24"/>
          <w:vertAlign w:val="superscript"/>
        </w:rPr>
        <w:t>2</w:t>
      </w:r>
      <w:r w:rsidRPr="00A94035">
        <w:rPr>
          <w:rFonts w:ascii="Calibri Light" w:hAnsi="Calibri Light" w:cs="Calibri Light"/>
          <w:sz w:val="24"/>
          <w:szCs w:val="24"/>
        </w:rPr>
        <w:t xml:space="preserve">Doctor of Science in Law, Associate Professor, Leading Researcher, State Scientific Institution “Institute of Information, Security and Law of the National Academy of Legal Sciences of Ukraine”, Kyiv, Ukraine, </w:t>
      </w:r>
      <w:hyperlink r:id="rId10" w:history="1">
        <w:r w:rsidRPr="00A94035">
          <w:rPr>
            <w:rFonts w:ascii="Calibri Light" w:hAnsi="Calibri Light" w:cs="Calibri Light"/>
            <w:color w:val="0000FF"/>
            <w:sz w:val="24"/>
            <w:szCs w:val="24"/>
            <w:u w:val="single"/>
          </w:rPr>
          <w:t>karpenko.mikola@ukr.net</w:t>
        </w:r>
      </w:hyperlink>
      <w:r w:rsidRPr="00A94035">
        <w:rPr>
          <w:rFonts w:ascii="Calibri Light" w:hAnsi="Calibri Light" w:cs="Calibri Light"/>
          <w:sz w:val="24"/>
          <w:szCs w:val="24"/>
        </w:rPr>
        <w:t>, ORCID: 0000-0001-9088-0416</w:t>
      </w:r>
    </w:p>
    <w:p w14:paraId="425E7D03" w14:textId="77777777" w:rsidR="00A94035" w:rsidRPr="00A94035" w:rsidRDefault="00A94035" w:rsidP="00A94035">
      <w:pPr>
        <w:jc w:val="both"/>
        <w:rPr>
          <w:rFonts w:ascii="Calibri Light" w:hAnsi="Calibri Light" w:cs="Calibri Light"/>
          <w:sz w:val="24"/>
          <w:szCs w:val="24"/>
        </w:rPr>
      </w:pPr>
      <w:r w:rsidRPr="00A94035">
        <w:rPr>
          <w:rFonts w:ascii="Calibri Light" w:hAnsi="Calibri Light" w:cs="Calibri Light"/>
          <w:sz w:val="24"/>
          <w:szCs w:val="24"/>
          <w:vertAlign w:val="superscript"/>
        </w:rPr>
        <w:t>3</w:t>
      </w:r>
      <w:r w:rsidRPr="00A94035">
        <w:rPr>
          <w:rFonts w:ascii="Calibri Light" w:hAnsi="Calibri Light" w:cs="Calibri Light"/>
          <w:sz w:val="24"/>
          <w:szCs w:val="24"/>
        </w:rPr>
        <w:t xml:space="preserve">Doctor of Science in Law, Professor, Professor of the Department of Criminal Law, Criminology, Civil and Commercial Law, National Academy of Management, Kyiv, Ukraine, </w:t>
      </w:r>
      <w:hyperlink r:id="rId11" w:history="1">
        <w:r w:rsidRPr="00A94035">
          <w:rPr>
            <w:rFonts w:ascii="Calibri Light" w:hAnsi="Calibri Light" w:cs="Calibri Light"/>
            <w:color w:val="0000FF"/>
            <w:sz w:val="24"/>
            <w:szCs w:val="24"/>
            <w:u w:val="single"/>
          </w:rPr>
          <w:t>kafedra5@i.ua</w:t>
        </w:r>
      </w:hyperlink>
      <w:r w:rsidRPr="00A94035">
        <w:rPr>
          <w:rFonts w:ascii="Calibri Light" w:hAnsi="Calibri Light" w:cs="Calibri Light"/>
          <w:sz w:val="24"/>
          <w:szCs w:val="24"/>
        </w:rPr>
        <w:t>, ORCID: 0000-0001-8478-4583</w:t>
      </w:r>
    </w:p>
    <w:p w14:paraId="3DEEC0A5" w14:textId="77777777" w:rsidR="00A94035" w:rsidRPr="00A94035" w:rsidRDefault="00A94035" w:rsidP="00A94035">
      <w:pPr>
        <w:jc w:val="both"/>
        <w:rPr>
          <w:rFonts w:ascii="Calibri Light" w:hAnsi="Calibri Light" w:cs="Calibri Light"/>
          <w:sz w:val="24"/>
          <w:szCs w:val="24"/>
          <w:lang w:val="id-ID"/>
        </w:rPr>
      </w:pPr>
      <w:r w:rsidRPr="00A94035">
        <w:rPr>
          <w:rFonts w:ascii="Calibri Light" w:hAnsi="Calibri Light" w:cs="Calibri Light"/>
          <w:sz w:val="24"/>
          <w:szCs w:val="24"/>
          <w:vertAlign w:val="superscript"/>
        </w:rPr>
        <w:t>4</w:t>
      </w:r>
      <w:r w:rsidRPr="00A94035">
        <w:rPr>
          <w:rFonts w:ascii="Calibri Light" w:hAnsi="Calibri Light" w:cs="Calibri Light"/>
          <w:sz w:val="24"/>
          <w:szCs w:val="24"/>
          <w:lang w:val="en-GB"/>
        </w:rPr>
        <w:t xml:space="preserve">PhD in Law, Associate Professor of the Department of Criminal Law, Criminology, Civil and Commercial Law, National Academy of Management, Kyiv, Ukraine, </w:t>
      </w:r>
      <w:hyperlink r:id="rId12" w:history="1">
        <w:r w:rsidRPr="00A94035">
          <w:rPr>
            <w:rFonts w:ascii="Calibri Light" w:hAnsi="Calibri Light" w:cs="Calibri Light"/>
            <w:color w:val="0000FF"/>
            <w:sz w:val="24"/>
            <w:szCs w:val="24"/>
            <w:u w:val="single"/>
            <w:lang w:val="en-GB"/>
          </w:rPr>
          <w:t>natapack@ukr.net</w:t>
        </w:r>
      </w:hyperlink>
      <w:r w:rsidRPr="00A94035">
        <w:rPr>
          <w:rFonts w:ascii="Calibri Light" w:hAnsi="Calibri Light" w:cs="Calibri Light"/>
          <w:sz w:val="24"/>
          <w:szCs w:val="24"/>
          <w:lang w:val="en-GB"/>
        </w:rPr>
        <w:t>, ORCID: 0000-0002-9513-0435</w:t>
      </w:r>
    </w:p>
    <w:p w14:paraId="0B614AA5" w14:textId="77777777" w:rsidR="00A94035" w:rsidRPr="00A94035" w:rsidRDefault="00A94035" w:rsidP="00A94035">
      <w:pPr>
        <w:jc w:val="both"/>
        <w:rPr>
          <w:rFonts w:ascii="Calibri Light" w:hAnsi="Calibri Light" w:cs="Calibri Light"/>
          <w:sz w:val="24"/>
          <w:szCs w:val="24"/>
          <w:lang w:val="id-ID"/>
        </w:rPr>
      </w:pPr>
      <w:r w:rsidRPr="00A94035">
        <w:rPr>
          <w:rFonts w:ascii="Calibri Light" w:hAnsi="Calibri Light" w:cs="Calibri Light"/>
          <w:sz w:val="24"/>
          <w:szCs w:val="24"/>
          <w:vertAlign w:val="superscript"/>
        </w:rPr>
        <w:t>5</w:t>
      </w:r>
      <w:r w:rsidRPr="00A94035">
        <w:rPr>
          <w:rFonts w:ascii="Calibri Light" w:hAnsi="Calibri Light" w:cs="Calibri Light"/>
          <w:sz w:val="24"/>
          <w:szCs w:val="24"/>
        </w:rPr>
        <w:t xml:space="preserve">Doctor of Science in Law, Associate Professor, Associate Professor of the Department of Theory of Law and Criminal Procedure Activity, Bohdan </w:t>
      </w:r>
      <w:proofErr w:type="spellStart"/>
      <w:r w:rsidRPr="00A94035">
        <w:rPr>
          <w:rFonts w:ascii="Calibri Light" w:hAnsi="Calibri Light" w:cs="Calibri Light"/>
          <w:sz w:val="24"/>
          <w:szCs w:val="24"/>
        </w:rPr>
        <w:t>Khmelnytskyi</w:t>
      </w:r>
      <w:proofErr w:type="spellEnd"/>
      <w:r w:rsidRPr="00A94035">
        <w:rPr>
          <w:rFonts w:ascii="Calibri Light" w:hAnsi="Calibri Light" w:cs="Calibri Light"/>
          <w:sz w:val="24"/>
          <w:szCs w:val="24"/>
        </w:rPr>
        <w:t xml:space="preserve"> National Academy of the State Border Guard Service of Ukraine, </w:t>
      </w:r>
      <w:hyperlink r:id="rId13" w:history="1">
        <w:r w:rsidRPr="00A94035">
          <w:rPr>
            <w:rFonts w:ascii="Calibri Light" w:hAnsi="Calibri Light" w:cs="Calibri Light"/>
            <w:color w:val="0000FF"/>
            <w:sz w:val="24"/>
            <w:szCs w:val="24"/>
            <w:u w:val="single"/>
          </w:rPr>
          <w:t>ovandr74@i.ua</w:t>
        </w:r>
      </w:hyperlink>
      <w:r w:rsidRPr="00A94035">
        <w:rPr>
          <w:rFonts w:ascii="Calibri Light" w:hAnsi="Calibri Light" w:cs="Calibri Light"/>
          <w:sz w:val="24"/>
          <w:szCs w:val="24"/>
        </w:rPr>
        <w:t>, ORCID: 0000-0003-2345-3427</w:t>
      </w:r>
    </w:p>
    <w:p w14:paraId="2E79411B" w14:textId="77777777" w:rsidR="00A94035" w:rsidRPr="00A94035" w:rsidRDefault="00A94035" w:rsidP="00A94035">
      <w:pPr>
        <w:rPr>
          <w:rFonts w:ascii="Calibri Light" w:hAnsi="Calibri Light" w:cs="Calibri Light"/>
          <w:sz w:val="24"/>
          <w:szCs w:val="24"/>
          <w:lang w:val="id-ID"/>
        </w:rPr>
      </w:pPr>
      <w:r w:rsidRPr="00A94035">
        <w:rPr>
          <w:rFonts w:ascii="Calibri Light" w:hAnsi="Calibri Light" w:cs="Calibri Light"/>
          <w:sz w:val="24"/>
          <w:szCs w:val="24"/>
          <w:lang w:val="id-ID"/>
        </w:rPr>
        <w:t>*corresponding author</w:t>
      </w:r>
    </w:p>
    <w:p w14:paraId="7CC3863E" w14:textId="77777777" w:rsidR="00A94035" w:rsidRPr="00A94035" w:rsidRDefault="00A94035" w:rsidP="00A94035">
      <w:pPr>
        <w:jc w:val="center"/>
        <w:rPr>
          <w:rFonts w:ascii="Calibri Light" w:hAnsi="Calibri Light" w:cs="Calibri Light"/>
          <w:sz w:val="24"/>
          <w:szCs w:val="24"/>
        </w:rPr>
      </w:pPr>
    </w:p>
    <w:p w14:paraId="56757A81" w14:textId="77777777" w:rsidR="00E3097C" w:rsidRPr="00863A78" w:rsidRDefault="00E3097C" w:rsidP="00E3097C">
      <w:pPr>
        <w:ind w:right="737"/>
        <w:rPr>
          <w:rFonts w:ascii="Calibri Light" w:hAnsi="Calibri Light" w:cs="Calibri Light"/>
          <w:spacing w:val="1"/>
        </w:rPr>
      </w:pPr>
      <w:r w:rsidRPr="00863A78">
        <w:rPr>
          <w:rFonts w:ascii="Calibri Light" w:hAnsi="Calibri Light" w:cs="Calibri Light"/>
        </w:rPr>
        <w:t>Received: 2021-October-15</w:t>
      </w:r>
      <w:r w:rsidRPr="00863A78">
        <w:rPr>
          <w:rFonts w:ascii="Calibri Light" w:hAnsi="Calibri Light" w:cs="Calibri Light"/>
          <w:spacing w:val="1"/>
        </w:rPr>
        <w:t xml:space="preserve"> </w:t>
      </w:r>
      <w:r w:rsidRPr="00863A78">
        <w:rPr>
          <w:rFonts w:ascii="Calibri Light" w:hAnsi="Calibri Light" w:cs="Calibri Light"/>
          <w:color w:val="A6A6A6"/>
        </w:rPr>
        <w:t>(10-Calibri Light)</w:t>
      </w:r>
    </w:p>
    <w:p w14:paraId="73E97E4D" w14:textId="77777777" w:rsidR="00E3097C" w:rsidRPr="00863A78" w:rsidRDefault="00E3097C" w:rsidP="00E3097C">
      <w:pPr>
        <w:ind w:right="737"/>
        <w:rPr>
          <w:rFonts w:ascii="Calibri Light" w:hAnsi="Calibri Light" w:cs="Calibri Light"/>
          <w:spacing w:val="1"/>
        </w:rPr>
      </w:pPr>
      <w:r w:rsidRPr="00863A78">
        <w:rPr>
          <w:rFonts w:ascii="Calibri Light" w:hAnsi="Calibri Light" w:cs="Calibri Light"/>
        </w:rPr>
        <w:t>Rev. Req:</w:t>
      </w:r>
      <w:r w:rsidRPr="00863A78">
        <w:rPr>
          <w:rFonts w:ascii="Calibri Light" w:hAnsi="Calibri Light" w:cs="Calibri Light"/>
          <w:spacing w:val="1"/>
        </w:rPr>
        <w:t xml:space="preserve"> </w:t>
      </w:r>
      <w:r w:rsidRPr="00863A78">
        <w:rPr>
          <w:rFonts w:ascii="Calibri Light" w:hAnsi="Calibri Light" w:cs="Calibri Light"/>
        </w:rPr>
        <w:t>2022-January-09</w:t>
      </w:r>
      <w:r w:rsidRPr="00863A78">
        <w:rPr>
          <w:rFonts w:ascii="Calibri Light" w:hAnsi="Calibri Light" w:cs="Calibri Light"/>
          <w:spacing w:val="1"/>
        </w:rPr>
        <w:t xml:space="preserve"> </w:t>
      </w:r>
    </w:p>
    <w:p w14:paraId="5F9F4F33" w14:textId="77777777" w:rsidR="00E3097C" w:rsidRPr="00863A78" w:rsidRDefault="00E3097C" w:rsidP="00E3097C">
      <w:pPr>
        <w:ind w:right="737"/>
        <w:rPr>
          <w:rFonts w:ascii="Calibri Light" w:hAnsi="Calibri Light" w:cs="Calibri Light"/>
        </w:rPr>
      </w:pPr>
      <w:r w:rsidRPr="00863A78">
        <w:rPr>
          <w:rFonts w:ascii="Calibri Light" w:hAnsi="Calibri Light" w:cs="Calibri Light"/>
        </w:rPr>
        <w:t>Accepted:</w:t>
      </w:r>
      <w:r w:rsidRPr="00863A78">
        <w:rPr>
          <w:rFonts w:ascii="Calibri Light" w:hAnsi="Calibri Light" w:cs="Calibri Light"/>
          <w:spacing w:val="32"/>
        </w:rPr>
        <w:t xml:space="preserve"> </w:t>
      </w:r>
      <w:r w:rsidRPr="00863A78">
        <w:rPr>
          <w:rFonts w:ascii="Calibri Light" w:hAnsi="Calibri Light" w:cs="Calibri Light"/>
        </w:rPr>
        <w:t>2022-January-22</w:t>
      </w:r>
    </w:p>
    <w:p w14:paraId="7DAE41B3" w14:textId="77777777" w:rsidR="00E3097C" w:rsidRPr="00863A78" w:rsidRDefault="00E3097C" w:rsidP="00E3097C">
      <w:pPr>
        <w:ind w:right="737"/>
        <w:rPr>
          <w:rFonts w:ascii="Calibri Light" w:hAnsi="Calibri Light" w:cs="Calibri Light"/>
          <w:b/>
          <w:bCs/>
        </w:rPr>
      </w:pPr>
    </w:p>
    <w:p w14:paraId="211B58A1" w14:textId="77777777" w:rsidR="00E3097C" w:rsidRPr="00863A78" w:rsidRDefault="00E3097C" w:rsidP="00E3097C">
      <w:pPr>
        <w:ind w:right="737"/>
        <w:rPr>
          <w:rFonts w:ascii="Calibri Light" w:hAnsi="Calibri Light" w:cs="Calibri Light"/>
          <w:b/>
          <w:bCs/>
        </w:rPr>
      </w:pPr>
      <w:r w:rsidRPr="00863A78">
        <w:rPr>
          <w:rFonts w:ascii="Calibri Light" w:hAnsi="Calibri Light" w:cs="Calibri Light"/>
          <w:noProof/>
          <w:position w:val="-13"/>
          <w:lang w:val="ru-RU" w:eastAsia="ru-RU"/>
        </w:rPr>
        <w:drawing>
          <wp:inline distT="0" distB="0" distL="0" distR="0" wp14:anchorId="3DD8FB47" wp14:editId="767653C7">
            <wp:extent cx="249555" cy="249555"/>
            <wp:effectExtent l="0" t="0" r="0" b="0"/>
            <wp:docPr id="7" name="image2.jpeg" descr="E:\DERGILER\ortak-kaynaklar-gorseller\Doi-1024x629 - Kopy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jpeg" descr="E:\DERGILER\ortak-kaynaklar-gorseller\Doi-1024x629 - Kopya.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49555" cy="249555"/>
                    </a:xfrm>
                    <a:prstGeom prst="rect">
                      <a:avLst/>
                    </a:prstGeom>
                    <a:noFill/>
                    <a:ln>
                      <a:noFill/>
                    </a:ln>
                  </pic:spPr>
                </pic:pic>
              </a:graphicData>
            </a:graphic>
          </wp:inline>
        </w:drawing>
      </w:r>
      <w:r w:rsidRPr="00863A78">
        <w:rPr>
          <w:rFonts w:ascii="Calibri Light" w:hAnsi="Calibri Light" w:cs="Calibri Light"/>
          <w:noProof/>
          <w:position w:val="-13"/>
        </w:rPr>
        <w:t xml:space="preserve"> </w:t>
      </w:r>
      <w:r w:rsidRPr="00863A78">
        <w:rPr>
          <w:rFonts w:ascii="Calibri Light" w:hAnsi="Calibri Light" w:cs="Calibri Light"/>
        </w:rPr>
        <w:t>10.5758/ijls.2022.1</w:t>
      </w:r>
      <w:r>
        <w:rPr>
          <w:rFonts w:ascii="Calibri Light" w:hAnsi="Calibri Light" w:cs="Calibri Light"/>
        </w:rPr>
        <w:t xml:space="preserve"> </w:t>
      </w:r>
    </w:p>
    <w:p w14:paraId="3123E1D8" w14:textId="77777777" w:rsidR="00E3097C" w:rsidRDefault="00E3097C" w:rsidP="00E3097C">
      <w:pPr>
        <w:ind w:right="737"/>
        <w:rPr>
          <w:rFonts w:ascii="Calibri Light" w:hAnsi="Calibri Light" w:cs="Calibri Light"/>
          <w:b/>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04"/>
      </w:tblGrid>
      <w:tr w:rsidR="00E3097C" w:rsidRPr="00540F02" w14:paraId="3D08D078" w14:textId="77777777" w:rsidTr="00F0672F">
        <w:tc>
          <w:tcPr>
            <w:tcW w:w="9004" w:type="dxa"/>
            <w:tcBorders>
              <w:left w:val="nil"/>
              <w:right w:val="nil"/>
            </w:tcBorders>
          </w:tcPr>
          <w:p w14:paraId="489BEEA4" w14:textId="77777777" w:rsidR="00E3097C" w:rsidRPr="00540F02" w:rsidRDefault="00E3097C" w:rsidP="00F0672F">
            <w:pPr>
              <w:ind w:right="2"/>
              <w:jc w:val="both"/>
              <w:rPr>
                <w:rFonts w:ascii="Calibri Light" w:hAnsi="Calibri Light" w:cs="Calibri Light"/>
                <w:sz w:val="12"/>
                <w:szCs w:val="12"/>
              </w:rPr>
            </w:pPr>
          </w:p>
          <w:p w14:paraId="211ED4E2" w14:textId="7816F97B" w:rsidR="00E3097C" w:rsidRPr="00540F02" w:rsidRDefault="00E3097C" w:rsidP="00F0672F">
            <w:pPr>
              <w:ind w:right="2"/>
              <w:jc w:val="both"/>
              <w:rPr>
                <w:rFonts w:ascii="Calibri Light" w:hAnsi="Calibri Light" w:cs="Calibri Light"/>
                <w:color w:val="0462C1"/>
                <w:u w:val="single" w:color="0462C1"/>
              </w:rPr>
            </w:pPr>
            <w:r w:rsidRPr="00540F02">
              <w:rPr>
                <w:rFonts w:ascii="Calibri Light" w:hAnsi="Calibri Light" w:cs="Calibri Light"/>
              </w:rPr>
              <w:t xml:space="preserve">How to cite this paper: </w:t>
            </w:r>
            <w:proofErr w:type="spellStart"/>
            <w:r w:rsidR="00A94035" w:rsidRPr="00A94035">
              <w:rPr>
                <w:rFonts w:ascii="Calibri Light" w:hAnsi="Calibri Light" w:cs="Calibri Light"/>
              </w:rPr>
              <w:t>Honcharuk</w:t>
            </w:r>
            <w:proofErr w:type="spellEnd"/>
            <w:r w:rsidR="00A94035" w:rsidRPr="00A94035">
              <w:rPr>
                <w:rFonts w:ascii="Calibri Light" w:hAnsi="Calibri Light" w:cs="Calibri Light"/>
              </w:rPr>
              <w:t xml:space="preserve">, V., Karpenko, M., </w:t>
            </w:r>
            <w:proofErr w:type="spellStart"/>
            <w:r w:rsidR="00A94035" w:rsidRPr="00A94035">
              <w:rPr>
                <w:rFonts w:ascii="Calibri Light" w:hAnsi="Calibri Light" w:cs="Calibri Light"/>
              </w:rPr>
              <w:t>Prytula</w:t>
            </w:r>
            <w:proofErr w:type="spellEnd"/>
            <w:r w:rsidR="00A94035" w:rsidRPr="00A94035">
              <w:rPr>
                <w:rFonts w:ascii="Calibri Light" w:hAnsi="Calibri Light" w:cs="Calibri Light"/>
              </w:rPr>
              <w:t xml:space="preserve">, A., </w:t>
            </w:r>
            <w:proofErr w:type="spellStart"/>
            <w:r w:rsidR="00A94035" w:rsidRPr="00A94035">
              <w:rPr>
                <w:rFonts w:ascii="Calibri Light" w:hAnsi="Calibri Light" w:cs="Calibri Light"/>
              </w:rPr>
              <w:t>Fierieva</w:t>
            </w:r>
            <w:proofErr w:type="spellEnd"/>
            <w:r w:rsidR="00A94035" w:rsidRPr="00A94035">
              <w:rPr>
                <w:rFonts w:ascii="Calibri Light" w:hAnsi="Calibri Light" w:cs="Calibri Light"/>
              </w:rPr>
              <w:t xml:space="preserve">, N., &amp; </w:t>
            </w:r>
            <w:proofErr w:type="spellStart"/>
            <w:r w:rsidR="00A94035" w:rsidRPr="00A94035">
              <w:rPr>
                <w:rFonts w:ascii="Calibri Light" w:hAnsi="Calibri Light" w:cs="Calibri Light"/>
              </w:rPr>
              <w:t>Andrushko</w:t>
            </w:r>
            <w:proofErr w:type="spellEnd"/>
            <w:r w:rsidR="00A94035" w:rsidRPr="00A94035">
              <w:rPr>
                <w:rFonts w:ascii="Calibri Light" w:hAnsi="Calibri Light" w:cs="Calibri Light"/>
              </w:rPr>
              <w:t>, O. (2025). Legal Regulation of National Security: Strategies and Challenges.</w:t>
            </w:r>
            <w:r w:rsidR="00A94035" w:rsidRPr="00A94035">
              <w:rPr>
                <w:rFonts w:ascii="Calibri Light" w:hAnsi="Calibri Light" w:cs="Calibri Light"/>
                <w:spacing w:val="1"/>
              </w:rPr>
              <w:t xml:space="preserve"> </w:t>
            </w:r>
            <w:r w:rsidR="00A94035" w:rsidRPr="00A94035">
              <w:rPr>
                <w:rFonts w:ascii="Calibri Light" w:hAnsi="Calibri Light" w:cs="Calibri Light"/>
                <w:i/>
              </w:rPr>
              <w:t>Journal of Culture and Values in Education</w:t>
            </w:r>
            <w:r w:rsidR="00A94035" w:rsidRPr="00A94035">
              <w:rPr>
                <w:rFonts w:ascii="Calibri Light" w:hAnsi="Calibri Light" w:cs="Calibri Light"/>
              </w:rPr>
              <w:t xml:space="preserve">, </w:t>
            </w:r>
            <w:r w:rsidR="00A94035" w:rsidRPr="00A94035">
              <w:rPr>
                <w:rFonts w:ascii="Calibri Light" w:hAnsi="Calibri Light" w:cs="Calibri Light"/>
                <w:i/>
              </w:rPr>
              <w:t>4</w:t>
            </w:r>
            <w:r w:rsidR="00A94035" w:rsidRPr="00A94035">
              <w:rPr>
                <w:rFonts w:ascii="Calibri Light" w:hAnsi="Calibri Light" w:cs="Calibri Light"/>
              </w:rPr>
              <w:t>(2), 14-26.</w:t>
            </w:r>
            <w:r w:rsidR="00A94035" w:rsidRPr="00A94035">
              <w:rPr>
                <w:rFonts w:ascii="Calibri Light" w:hAnsi="Calibri Light" w:cs="Calibri Light"/>
                <w:spacing w:val="1"/>
              </w:rPr>
              <w:t xml:space="preserve"> </w:t>
            </w:r>
            <w:hyperlink r:id="rId15" w:history="1">
              <w:r w:rsidR="00A94035" w:rsidRPr="00A94035">
                <w:rPr>
                  <w:rFonts w:ascii="Calibri Light" w:hAnsi="Calibri Light" w:cs="Calibri Light"/>
                  <w:color w:val="0000FF"/>
                  <w:u w:val="single"/>
                </w:rPr>
                <w:t>https://doi.org/10.5758/ijls.2022.1</w:t>
              </w:r>
            </w:hyperlink>
          </w:p>
          <w:p w14:paraId="36D9AAA2" w14:textId="77777777" w:rsidR="00E3097C" w:rsidRPr="00540F02" w:rsidRDefault="00E3097C" w:rsidP="00F0672F">
            <w:pPr>
              <w:ind w:right="2"/>
              <w:jc w:val="both"/>
              <w:rPr>
                <w:rFonts w:ascii="Calibri Light" w:hAnsi="Calibri Light" w:cs="Calibri Light"/>
                <w:color w:val="0462C1"/>
                <w:u w:val="single" w:color="0462C1"/>
              </w:rPr>
            </w:pPr>
          </w:p>
          <w:p w14:paraId="5773DC19" w14:textId="77777777" w:rsidR="00E3097C" w:rsidRPr="00540F02" w:rsidRDefault="00E3097C" w:rsidP="00F0672F">
            <w:pPr>
              <w:ind w:right="2"/>
              <w:jc w:val="both"/>
              <w:rPr>
                <w:rFonts w:ascii="Calibri Light" w:hAnsi="Calibri Light" w:cs="Calibri Light"/>
              </w:rPr>
            </w:pPr>
            <w:r w:rsidRPr="00540F02">
              <w:rPr>
                <w:rFonts w:ascii="Calibri Light" w:hAnsi="Calibri Light" w:cs="Calibri Light"/>
              </w:rPr>
              <w:t>This is an Open Access article distributed under the terms of the Creative Commons Attribution 4.0 International license</w:t>
            </w:r>
            <w:r w:rsidRPr="00540F02">
              <w:rPr>
                <w:rFonts w:ascii="Calibri Light" w:hAnsi="Calibri Light" w:cs="Calibri Light"/>
                <w:spacing w:val="-34"/>
              </w:rPr>
              <w:t xml:space="preserve"> </w:t>
            </w:r>
            <w:hyperlink r:id="rId16">
              <w:r w:rsidRPr="00540F02">
                <w:rPr>
                  <w:rFonts w:ascii="Calibri Light" w:hAnsi="Calibri Light" w:cs="Calibri Light"/>
                </w:rPr>
                <w:t>(</w:t>
              </w:r>
              <w:r w:rsidRPr="00540F02">
                <w:rPr>
                  <w:rFonts w:ascii="Calibri Light" w:hAnsi="Calibri Light" w:cs="Calibri Light"/>
                  <w:color w:val="0462C1"/>
                  <w:u w:val="single" w:color="0462C1"/>
                </w:rPr>
                <w:t>https://creativecommons.org/licenses/by/4.0/</w:t>
              </w:r>
              <w:r w:rsidRPr="00540F02">
                <w:rPr>
                  <w:rFonts w:ascii="Calibri Light" w:hAnsi="Calibri Light" w:cs="Calibri Light"/>
                </w:rPr>
                <w:t>)</w:t>
              </w:r>
            </w:hyperlink>
          </w:p>
          <w:p w14:paraId="12CF7D5B" w14:textId="77777777" w:rsidR="00E3097C" w:rsidRPr="00540F02" w:rsidRDefault="00E3097C" w:rsidP="00F0672F">
            <w:pPr>
              <w:ind w:right="2"/>
              <w:jc w:val="both"/>
              <w:rPr>
                <w:rFonts w:ascii="Calibri Light" w:hAnsi="Calibri Light" w:cs="Calibri Light"/>
                <w:b/>
                <w:bCs/>
                <w:sz w:val="12"/>
                <w:szCs w:val="12"/>
              </w:rPr>
            </w:pPr>
          </w:p>
        </w:tc>
      </w:tr>
    </w:tbl>
    <w:p w14:paraId="16325F37" w14:textId="77777777" w:rsidR="00E3097C" w:rsidRDefault="00E3097C" w:rsidP="00E3097C">
      <w:pPr>
        <w:ind w:right="737"/>
        <w:rPr>
          <w:rFonts w:ascii="Calibri Light" w:hAnsi="Calibri Light" w:cs="Calibri Light"/>
          <w:b/>
          <w:bCs/>
          <w:sz w:val="24"/>
          <w:szCs w:val="24"/>
        </w:rPr>
      </w:pPr>
    </w:p>
    <w:p w14:paraId="257B8FBB" w14:textId="77777777" w:rsidR="00E3097C" w:rsidRPr="0090631F" w:rsidRDefault="00E3097C" w:rsidP="00E3097C">
      <w:pPr>
        <w:ind w:right="-1"/>
        <w:jc w:val="both"/>
        <w:rPr>
          <w:rFonts w:ascii="Calibri Light" w:hAnsi="Calibri Light" w:cs="Calibri Light"/>
          <w:i/>
          <w:iCs/>
          <w:noProof/>
          <w:color w:val="000000"/>
          <w:sz w:val="24"/>
          <w:szCs w:val="24"/>
          <w:lang w:val="en-GB"/>
        </w:rPr>
      </w:pPr>
      <w:r w:rsidRPr="00122F5F">
        <w:rPr>
          <w:rFonts w:ascii="Calibri Light" w:hAnsi="Calibri Light" w:cs="Calibri Light"/>
          <w:b/>
          <w:bCs/>
          <w:sz w:val="24"/>
          <w:szCs w:val="24"/>
        </w:rPr>
        <w:t>ABSTRACT:</w:t>
      </w:r>
      <w:r w:rsidRPr="00122F5F">
        <w:rPr>
          <w:rFonts w:ascii="Calibri Light" w:hAnsi="Calibri Light" w:cs="Calibri Light"/>
          <w:sz w:val="24"/>
          <w:szCs w:val="24"/>
        </w:rPr>
        <w:t xml:space="preserve"> </w:t>
      </w:r>
      <w:r w:rsidRPr="0090631F">
        <w:rPr>
          <w:rFonts w:ascii="Calibri Light" w:hAnsi="Calibri Light" w:cs="Calibri Light"/>
          <w:i/>
          <w:iCs/>
          <w:noProof/>
          <w:color w:val="000000"/>
          <w:sz w:val="24"/>
          <w:szCs w:val="24"/>
          <w:lang w:val="en-GB"/>
        </w:rPr>
        <w:t xml:space="preserve">This article aims to analyse the key challenges facing the legal regulation of Ukraine’s national security sector amidst Russian aggression, to identify current strategies for national security formation, and to develop key recommendations for optimising the regulatory and legal framework. </w:t>
      </w:r>
      <w:r w:rsidRPr="00E8512E">
        <w:rPr>
          <w:rFonts w:ascii="Calibri Light" w:hAnsi="Calibri Light" w:cs="Calibri Light"/>
          <w:i/>
          <w:iCs/>
          <w:noProof/>
          <w:color w:val="000000"/>
          <w:sz w:val="24"/>
          <w:szCs w:val="24"/>
          <w:highlight w:val="yellow"/>
          <w:lang w:val="en-GB"/>
        </w:rPr>
        <w:t>This research is a qualitative study with a systematic approach.T</w:t>
      </w:r>
      <w:r w:rsidRPr="0090631F">
        <w:rPr>
          <w:rFonts w:ascii="Calibri Light" w:hAnsi="Calibri Light" w:cs="Calibri Light"/>
          <w:i/>
          <w:iCs/>
          <w:noProof/>
          <w:color w:val="000000"/>
          <w:sz w:val="24"/>
          <w:szCs w:val="24"/>
          <w:lang w:val="en-GB"/>
        </w:rPr>
        <w:t>he PRISMA approach was utilised for the collection of academic literature. Applying inclusion and exclusion criteria, 44 relevant academic publications were retained. The collected material was processed using comparison, systematisation, and analysis methods.</w:t>
      </w:r>
    </w:p>
    <w:p w14:paraId="1045CF1B" w14:textId="77777777" w:rsidR="00E3097C" w:rsidRDefault="00E3097C" w:rsidP="00E3097C">
      <w:pPr>
        <w:ind w:right="-1"/>
        <w:jc w:val="both"/>
        <w:rPr>
          <w:rFonts w:ascii="Calibri Light" w:hAnsi="Calibri Light" w:cs="Calibri Light"/>
          <w:i/>
          <w:iCs/>
          <w:noProof/>
          <w:color w:val="000000"/>
          <w:sz w:val="24"/>
          <w:szCs w:val="24"/>
          <w:lang w:val="en-GB"/>
        </w:rPr>
      </w:pPr>
      <w:r w:rsidRPr="0090631F">
        <w:rPr>
          <w:rFonts w:ascii="Calibri Light" w:hAnsi="Calibri Light" w:cs="Calibri Light"/>
          <w:i/>
          <w:iCs/>
          <w:noProof/>
          <w:color w:val="000000"/>
          <w:sz w:val="24"/>
          <w:szCs w:val="24"/>
          <w:lang w:val="en-GB"/>
        </w:rPr>
        <w:t xml:space="preserve">The results demonstrate that Ukraine possesses a sufficient legal framework to ensure the fundamental protection of national security. The public-legal mechanism for ensuring national </w:t>
      </w:r>
      <w:r w:rsidRPr="0090631F">
        <w:rPr>
          <w:rFonts w:ascii="Calibri Light" w:hAnsi="Calibri Light" w:cs="Calibri Light"/>
          <w:i/>
          <w:iCs/>
          <w:noProof/>
          <w:color w:val="000000"/>
          <w:sz w:val="24"/>
          <w:szCs w:val="24"/>
          <w:lang w:val="en-GB"/>
        </w:rPr>
        <w:lastRenderedPageBreak/>
        <w:t>security norms operates according to the constitution of Ukraine, which also outlines the primary direction of Ukraine’s integration into the EU and NATO. A comparison with international legal norms revealed that certain regulatory acts in Ukraine are less detailed, creating potential threats to the nation’s security.</w:t>
      </w:r>
    </w:p>
    <w:p w14:paraId="6126EDF0" w14:textId="77777777" w:rsidR="00E3097C" w:rsidRPr="0090631F" w:rsidRDefault="00E3097C" w:rsidP="00E3097C">
      <w:pPr>
        <w:ind w:right="-1"/>
        <w:jc w:val="both"/>
        <w:rPr>
          <w:rFonts w:ascii="Calibri Light" w:hAnsi="Calibri Light" w:cs="Calibri Light"/>
          <w:i/>
          <w:iCs/>
          <w:noProof/>
          <w:color w:val="000000"/>
          <w:sz w:val="24"/>
          <w:szCs w:val="24"/>
          <w:lang w:val="en-GB"/>
        </w:rPr>
      </w:pPr>
      <w:r w:rsidRPr="003378FA">
        <w:rPr>
          <w:rFonts w:ascii="Calibri Light" w:hAnsi="Calibri Light" w:cs="Calibri Light"/>
          <w:i/>
          <w:iCs/>
          <w:noProof/>
          <w:color w:val="000000"/>
          <w:sz w:val="24"/>
          <w:szCs w:val="24"/>
          <w:highlight w:val="yellow"/>
          <w:lang w:val="en-GB"/>
        </w:rPr>
        <w:t xml:space="preserve">The originality of the </w:t>
      </w:r>
      <w:r w:rsidRPr="003378FA">
        <w:rPr>
          <w:rFonts w:ascii="Calibri Light" w:hAnsi="Calibri Light" w:cs="Calibri Light"/>
          <w:i/>
          <w:iCs/>
          <w:noProof/>
          <w:color w:val="000000"/>
          <w:sz w:val="24"/>
          <w:szCs w:val="24"/>
          <w:highlight w:val="yellow"/>
          <w:lang w:val="uk-UA"/>
        </w:rPr>
        <w:t>p</w:t>
      </w:r>
      <w:r w:rsidRPr="003378FA">
        <w:rPr>
          <w:rFonts w:ascii="Calibri Light" w:hAnsi="Calibri Light" w:cs="Calibri Light"/>
          <w:i/>
          <w:iCs/>
          <w:noProof/>
          <w:color w:val="000000"/>
          <w:sz w:val="24"/>
          <w:szCs w:val="24"/>
          <w:highlight w:val="yellow"/>
        </w:rPr>
        <w:t xml:space="preserve">apper </w:t>
      </w:r>
      <w:r w:rsidRPr="003378FA">
        <w:rPr>
          <w:rFonts w:ascii="Calibri Light" w:hAnsi="Calibri Light" w:cs="Calibri Light"/>
          <w:i/>
          <w:iCs/>
          <w:noProof/>
          <w:color w:val="000000"/>
          <w:sz w:val="24"/>
          <w:szCs w:val="24"/>
          <w:highlight w:val="yellow"/>
          <w:lang w:val="en-GB"/>
        </w:rPr>
        <w:t>lies in the analysis of modern challenges and prospects for the legal regulation of national security of Ukraine in the context of Euro-Atlantic integration and global transformations of the security environment. The limitations of the study are related to the dynamism of the regulatory framework and rapid changes in the field of cybersecurity, which requires further research to adapt the legal field to new threats.</w:t>
      </w:r>
    </w:p>
    <w:p w14:paraId="2D82F3B2" w14:textId="77777777" w:rsidR="00E3097C" w:rsidRPr="00122F5F" w:rsidRDefault="00E3097C" w:rsidP="00E3097C">
      <w:pPr>
        <w:ind w:right="-1"/>
        <w:jc w:val="both"/>
        <w:rPr>
          <w:rFonts w:ascii="Calibri Light" w:hAnsi="Calibri Light" w:cs="Calibri Light"/>
          <w:noProof/>
          <w:color w:val="000000"/>
          <w:sz w:val="24"/>
          <w:szCs w:val="24"/>
          <w:lang w:val="id-ID"/>
        </w:rPr>
      </w:pPr>
    </w:p>
    <w:p w14:paraId="13CBAF89" w14:textId="77777777" w:rsidR="00E3097C" w:rsidRDefault="00E3097C" w:rsidP="00E3097C">
      <w:pPr>
        <w:ind w:right="-1"/>
        <w:jc w:val="both"/>
        <w:rPr>
          <w:rFonts w:ascii="Calibri Light" w:hAnsi="Calibri Light" w:cs="Calibri Light"/>
          <w:i/>
          <w:noProof/>
          <w:sz w:val="24"/>
          <w:szCs w:val="24"/>
          <w:lang w:val="id-ID"/>
        </w:rPr>
      </w:pPr>
      <w:r w:rsidRPr="00AD64FD">
        <w:rPr>
          <w:rFonts w:ascii="Calibri Light" w:hAnsi="Calibri Light" w:cs="Calibri Light"/>
          <w:i/>
          <w:noProof/>
          <w:sz w:val="24"/>
          <w:szCs w:val="24"/>
          <w:lang w:val="id-ID"/>
        </w:rPr>
        <w:t>Artikel ini bertujuan untuk menganalisis tantangan utama dalam regulasi hukum sektor keamanan nasional Ukraina di tengah agresi Rusia, mengidentifikasi strategi terkini dalam pembentukan keamanan nasional, serta mengembangkan rekomendasi utama untuk mengoptimalkan kerangka regulasi dan hukum.</w:t>
      </w:r>
      <w:r w:rsidRPr="00C10BD5">
        <w:rPr>
          <w:lang w:val="id-ID"/>
        </w:rPr>
        <w:t xml:space="preserve"> </w:t>
      </w:r>
      <w:r w:rsidRPr="00E8512E">
        <w:rPr>
          <w:rFonts w:ascii="Calibri Light" w:hAnsi="Calibri Light" w:cs="Calibri Light"/>
          <w:i/>
          <w:noProof/>
          <w:sz w:val="24"/>
          <w:szCs w:val="24"/>
          <w:highlight w:val="yellow"/>
          <w:lang w:val="id-ID"/>
        </w:rPr>
        <w:t>Penelitian ini merupakan studi kualitatif dengan pendekatan sistematis.</w:t>
      </w:r>
      <w:r w:rsidRPr="00E8512E">
        <w:rPr>
          <w:rFonts w:ascii="Calibri Light" w:hAnsi="Calibri Light" w:cs="Calibri Light"/>
          <w:i/>
          <w:noProof/>
          <w:sz w:val="24"/>
          <w:szCs w:val="24"/>
          <w:lang w:val="id-ID"/>
        </w:rPr>
        <w:t xml:space="preserve"> </w:t>
      </w:r>
      <w:r w:rsidRPr="00AD64FD">
        <w:rPr>
          <w:rFonts w:ascii="Calibri Light" w:hAnsi="Calibri Light" w:cs="Calibri Light"/>
          <w:i/>
          <w:noProof/>
          <w:sz w:val="24"/>
          <w:szCs w:val="24"/>
          <w:lang w:val="id-ID"/>
        </w:rPr>
        <w:t xml:space="preserve"> </w:t>
      </w:r>
      <w:commentRangeStart w:id="1"/>
      <w:r w:rsidRPr="00AD64FD">
        <w:rPr>
          <w:rFonts w:ascii="Calibri Light" w:hAnsi="Calibri Light" w:cs="Calibri Light"/>
          <w:i/>
          <w:noProof/>
          <w:sz w:val="24"/>
          <w:szCs w:val="24"/>
          <w:lang w:val="id-ID"/>
        </w:rPr>
        <w:t xml:space="preserve">Pendekatan PRISMA digunakan dalam </w:t>
      </w:r>
      <w:commentRangeEnd w:id="1"/>
      <w:r>
        <w:rPr>
          <w:rStyle w:val="ad"/>
        </w:rPr>
        <w:commentReference w:id="1"/>
      </w:r>
      <w:r w:rsidRPr="00AD64FD">
        <w:rPr>
          <w:rFonts w:ascii="Calibri Light" w:hAnsi="Calibri Light" w:cs="Calibri Light"/>
          <w:i/>
          <w:noProof/>
          <w:sz w:val="24"/>
          <w:szCs w:val="24"/>
          <w:lang w:val="id-ID"/>
        </w:rPr>
        <w:t>pengumpulan literatur akademik. Dengan menerapkan kriteria inklusi dan eksklusi, sebanyak 44 publikasi akademik yang relevan dipilih. Materi yang dikumpulkan dianalisis menggunakan metode perbandingan, sistematisasi, dan analisis.</w:t>
      </w:r>
    </w:p>
    <w:p w14:paraId="0819D345" w14:textId="77777777" w:rsidR="00E3097C" w:rsidRPr="00AD64FD" w:rsidRDefault="00E3097C" w:rsidP="00E3097C">
      <w:pPr>
        <w:ind w:right="-1"/>
        <w:jc w:val="both"/>
        <w:rPr>
          <w:rFonts w:ascii="Calibri Light" w:hAnsi="Calibri Light" w:cs="Calibri Light"/>
          <w:i/>
          <w:noProof/>
          <w:sz w:val="24"/>
          <w:szCs w:val="24"/>
          <w:lang w:val="id-ID"/>
        </w:rPr>
      </w:pPr>
      <w:r w:rsidRPr="00A825DC">
        <w:rPr>
          <w:rFonts w:ascii="Calibri Light" w:hAnsi="Calibri Light" w:cs="Calibri Light"/>
          <w:i/>
          <w:noProof/>
          <w:sz w:val="24"/>
          <w:szCs w:val="24"/>
          <w:highlight w:val="yellow"/>
          <w:lang w:val="id-ID"/>
        </w:rPr>
        <w:t>Orisinalitas makalah ini terletak pada analisis tantangan dan prospek modern untuk regulasi hukum keamanan nasional Ukraina dalam konteks integrasi Euro-Atlantik dan transformasi global lingkungan keamanan. Keterbatasan penelitian ini terkait dengan dinamisme kerangka regulasi dan perubahan cepat di bidang keamanan siber, yang memerlukan penelitian lebih lanjut untuk menyesuaikan bidang hukum dengan ancaman baru.</w:t>
      </w:r>
    </w:p>
    <w:p w14:paraId="61CAAFE4" w14:textId="77777777" w:rsidR="00E3097C" w:rsidRPr="00122F5F" w:rsidRDefault="00E3097C" w:rsidP="00E3097C">
      <w:pPr>
        <w:ind w:left="709" w:right="737"/>
        <w:jc w:val="both"/>
        <w:rPr>
          <w:rFonts w:ascii="Calibri Light" w:hAnsi="Calibri Light" w:cs="Calibri Light"/>
          <w:i/>
          <w:iCs/>
          <w:sz w:val="24"/>
          <w:szCs w:val="24"/>
          <w:lang w:val="id-ID"/>
        </w:rPr>
      </w:pPr>
    </w:p>
    <w:p w14:paraId="37CAB604" w14:textId="77777777" w:rsidR="00E3097C" w:rsidRPr="0090631F" w:rsidRDefault="00E3097C" w:rsidP="00E3097C">
      <w:pPr>
        <w:ind w:right="737"/>
        <w:jc w:val="both"/>
        <w:rPr>
          <w:rFonts w:ascii="Calibri Light" w:hAnsi="Calibri Light" w:cs="Calibri Light"/>
          <w:i/>
          <w:iCs/>
          <w:sz w:val="24"/>
          <w:szCs w:val="24"/>
          <w:lang w:val="id-ID"/>
        </w:rPr>
      </w:pPr>
      <w:r w:rsidRPr="00122F5F">
        <w:rPr>
          <w:rFonts w:ascii="Calibri Light" w:hAnsi="Calibri Light" w:cs="Calibri Light"/>
          <w:b/>
          <w:bCs/>
          <w:sz w:val="24"/>
          <w:szCs w:val="24"/>
        </w:rPr>
        <w:t>Keyword</w:t>
      </w:r>
      <w:r w:rsidRPr="00122F5F">
        <w:rPr>
          <w:rFonts w:ascii="Calibri Light" w:hAnsi="Calibri Light" w:cs="Calibri Light"/>
          <w:b/>
          <w:bCs/>
          <w:sz w:val="24"/>
          <w:szCs w:val="24"/>
          <w:lang w:val="id-ID"/>
        </w:rPr>
        <w:t>s</w:t>
      </w:r>
      <w:r w:rsidRPr="00122F5F">
        <w:rPr>
          <w:rFonts w:ascii="Calibri Light" w:hAnsi="Calibri Light" w:cs="Calibri Light"/>
          <w:b/>
          <w:bCs/>
          <w:sz w:val="24"/>
          <w:szCs w:val="24"/>
        </w:rPr>
        <w:t>:</w:t>
      </w:r>
      <w:r w:rsidRPr="00122F5F">
        <w:rPr>
          <w:rFonts w:ascii="Calibri Light" w:hAnsi="Calibri Light" w:cs="Calibri Light"/>
          <w:sz w:val="24"/>
          <w:szCs w:val="24"/>
        </w:rPr>
        <w:t xml:space="preserve"> </w:t>
      </w:r>
      <w:r>
        <w:rPr>
          <w:rStyle w:val="shorttext"/>
          <w:rFonts w:ascii="Calibri Light" w:hAnsi="Calibri Light" w:cs="Calibri Light"/>
          <w:i/>
          <w:iCs/>
          <w:sz w:val="24"/>
          <w:szCs w:val="24"/>
          <w:lang w:val="en"/>
        </w:rPr>
        <w:t>N</w:t>
      </w:r>
      <w:r w:rsidRPr="0090631F">
        <w:rPr>
          <w:rStyle w:val="shorttext"/>
          <w:rFonts w:ascii="Calibri Light" w:hAnsi="Calibri Light" w:cs="Calibri Light"/>
          <w:i/>
          <w:iCs/>
          <w:sz w:val="24"/>
          <w:szCs w:val="24"/>
          <w:lang w:val="en"/>
        </w:rPr>
        <w:t xml:space="preserve">ational security system, </w:t>
      </w:r>
      <w:r>
        <w:rPr>
          <w:rStyle w:val="shorttext"/>
          <w:rFonts w:ascii="Calibri Light" w:hAnsi="Calibri Light" w:cs="Calibri Light"/>
          <w:i/>
          <w:iCs/>
          <w:sz w:val="24"/>
          <w:szCs w:val="24"/>
          <w:lang w:val="en"/>
        </w:rPr>
        <w:t>S</w:t>
      </w:r>
      <w:r w:rsidRPr="0090631F">
        <w:rPr>
          <w:rStyle w:val="shorttext"/>
          <w:rFonts w:ascii="Calibri Light" w:hAnsi="Calibri Light" w:cs="Calibri Light"/>
          <w:i/>
          <w:iCs/>
          <w:sz w:val="24"/>
          <w:szCs w:val="24"/>
          <w:lang w:val="en"/>
        </w:rPr>
        <w:t xml:space="preserve">ecurity strategies, </w:t>
      </w:r>
      <w:r>
        <w:rPr>
          <w:rStyle w:val="shorttext"/>
          <w:rFonts w:ascii="Calibri Light" w:hAnsi="Calibri Light" w:cs="Calibri Light"/>
          <w:i/>
          <w:iCs/>
          <w:sz w:val="24"/>
          <w:szCs w:val="24"/>
          <w:lang w:val="en"/>
        </w:rPr>
        <w:t>H</w:t>
      </w:r>
      <w:r w:rsidRPr="0090631F">
        <w:rPr>
          <w:rStyle w:val="shorttext"/>
          <w:rFonts w:ascii="Calibri Light" w:hAnsi="Calibri Light" w:cs="Calibri Light"/>
          <w:i/>
          <w:iCs/>
          <w:sz w:val="24"/>
          <w:szCs w:val="24"/>
          <w:lang w:val="en"/>
        </w:rPr>
        <w:t xml:space="preserve">ybrid threats, </w:t>
      </w:r>
      <w:r>
        <w:rPr>
          <w:rStyle w:val="shorttext"/>
          <w:rFonts w:ascii="Calibri Light" w:hAnsi="Calibri Light" w:cs="Calibri Light"/>
          <w:i/>
          <w:iCs/>
          <w:sz w:val="24"/>
          <w:szCs w:val="24"/>
          <w:lang w:val="en"/>
        </w:rPr>
        <w:t>L</w:t>
      </w:r>
      <w:r w:rsidRPr="0090631F">
        <w:rPr>
          <w:rStyle w:val="shorttext"/>
          <w:rFonts w:ascii="Calibri Light" w:hAnsi="Calibri Light" w:cs="Calibri Light"/>
          <w:i/>
          <w:iCs/>
          <w:sz w:val="24"/>
          <w:szCs w:val="24"/>
          <w:lang w:val="en"/>
        </w:rPr>
        <w:t xml:space="preserve">egal norms, </w:t>
      </w:r>
      <w:r>
        <w:rPr>
          <w:rStyle w:val="shorttext"/>
          <w:rFonts w:ascii="Calibri Light" w:hAnsi="Calibri Light" w:cs="Calibri Light"/>
          <w:i/>
          <w:iCs/>
          <w:sz w:val="24"/>
          <w:szCs w:val="24"/>
          <w:lang w:val="en"/>
        </w:rPr>
        <w:t>L</w:t>
      </w:r>
      <w:r w:rsidRPr="0090631F">
        <w:rPr>
          <w:rStyle w:val="shorttext"/>
          <w:rFonts w:ascii="Calibri Light" w:hAnsi="Calibri Light" w:cs="Calibri Light"/>
          <w:i/>
          <w:iCs/>
          <w:sz w:val="24"/>
          <w:szCs w:val="24"/>
          <w:lang w:val="en"/>
        </w:rPr>
        <w:t>egislation</w:t>
      </w:r>
      <w:r w:rsidRPr="00122F5F">
        <w:rPr>
          <w:rStyle w:val="shorttext"/>
          <w:rFonts w:ascii="Calibri Light" w:hAnsi="Calibri Light" w:cs="Calibri Light"/>
          <w:i/>
          <w:iCs/>
          <w:sz w:val="24"/>
          <w:szCs w:val="24"/>
          <w:lang w:val="id-ID"/>
        </w:rPr>
        <w:t>.</w:t>
      </w:r>
    </w:p>
    <w:p w14:paraId="76B5786A" w14:textId="77777777" w:rsidR="00E3097C" w:rsidRPr="00122F5F" w:rsidRDefault="00E3097C" w:rsidP="00E3097C">
      <w:pPr>
        <w:jc w:val="center"/>
        <w:rPr>
          <w:rFonts w:ascii="Calibri Light" w:hAnsi="Calibri Light" w:cs="Calibri Light"/>
          <w:i/>
          <w:iCs/>
          <w:lang w:val="id-ID"/>
        </w:rPr>
      </w:pPr>
    </w:p>
    <w:p w14:paraId="2AD966DB" w14:textId="77777777" w:rsidR="00E3097C" w:rsidRPr="00122F5F" w:rsidRDefault="00E3097C" w:rsidP="00E3097C">
      <w:pPr>
        <w:rPr>
          <w:rFonts w:ascii="Calibri Light" w:hAnsi="Calibri Light" w:cs="Calibri Light"/>
          <w:b/>
          <w:bCs/>
          <w:sz w:val="24"/>
          <w:szCs w:val="24"/>
          <w:lang w:val="id-ID"/>
        </w:rPr>
      </w:pPr>
    </w:p>
    <w:p w14:paraId="714BAC0F" w14:textId="77777777" w:rsidR="00E3097C" w:rsidRPr="00122F5F" w:rsidRDefault="00E3097C" w:rsidP="00E3097C">
      <w:pPr>
        <w:numPr>
          <w:ilvl w:val="0"/>
          <w:numId w:val="1"/>
        </w:numPr>
        <w:spacing w:before="120" w:after="120"/>
        <w:ind w:left="426" w:hanging="284"/>
        <w:rPr>
          <w:rFonts w:ascii="Calibri Light" w:hAnsi="Calibri Light" w:cs="Calibri Light"/>
          <w:b/>
          <w:bCs/>
          <w:sz w:val="24"/>
          <w:szCs w:val="24"/>
          <w:lang w:val="id-ID"/>
        </w:rPr>
      </w:pPr>
      <w:r w:rsidRPr="00122F5F">
        <w:rPr>
          <w:rFonts w:ascii="Calibri Light" w:hAnsi="Calibri Light" w:cs="Calibri Light"/>
          <w:b/>
          <w:sz w:val="24"/>
          <w:szCs w:val="24"/>
        </w:rPr>
        <w:t>INTRODUCTION</w:t>
      </w:r>
    </w:p>
    <w:p w14:paraId="7F14A6BE" w14:textId="77777777" w:rsidR="00E3097C" w:rsidRPr="0090631F" w:rsidRDefault="00E3097C" w:rsidP="00E3097C">
      <w:pPr>
        <w:spacing w:before="120" w:after="120"/>
        <w:ind w:left="426"/>
        <w:jc w:val="both"/>
        <w:rPr>
          <w:rFonts w:ascii="Calibri Light" w:hAnsi="Calibri Light" w:cs="Calibri Light"/>
          <w:sz w:val="24"/>
          <w:szCs w:val="24"/>
          <w:lang w:val="en-GB"/>
        </w:rPr>
      </w:pPr>
      <w:commentRangeStart w:id="2"/>
      <w:r w:rsidRPr="0090631F">
        <w:rPr>
          <w:rFonts w:ascii="Calibri Light" w:hAnsi="Calibri Light" w:cs="Calibri Light"/>
          <w:sz w:val="24"/>
          <w:szCs w:val="24"/>
          <w:lang w:val="en-GB"/>
        </w:rPr>
        <w:t xml:space="preserve">The </w:t>
      </w:r>
      <w:r w:rsidRPr="00A37381">
        <w:rPr>
          <w:rFonts w:ascii="Calibri Light" w:hAnsi="Calibri Light" w:cs="Calibri Light"/>
          <w:sz w:val="24"/>
          <w:szCs w:val="24"/>
          <w:highlight w:val="yellow"/>
          <w:lang w:val="en-GB"/>
        </w:rPr>
        <w:t>issue of ensuring national security is among the critical factors for the stable development of any state</w:t>
      </w:r>
      <w:commentRangeEnd w:id="2"/>
      <w:r w:rsidRPr="00A37381">
        <w:rPr>
          <w:rStyle w:val="ad"/>
          <w:highlight w:val="yellow"/>
        </w:rPr>
        <w:commentReference w:id="2"/>
      </w:r>
      <w:r w:rsidRPr="00A37381">
        <w:rPr>
          <w:rFonts w:ascii="Calibri Light" w:hAnsi="Calibri Light" w:cs="Calibri Light"/>
          <w:sz w:val="24"/>
          <w:szCs w:val="24"/>
          <w:highlight w:val="yellow"/>
          <w:lang w:val="en-GB"/>
        </w:rPr>
        <w:t>, as a well-structured national security policy guarantees sovereignty, territorial integrity, and the protection of citizens</w:t>
      </w:r>
      <w:r>
        <w:rPr>
          <w:rFonts w:ascii="Calibri Light" w:hAnsi="Calibri Light" w:cs="Calibri Light"/>
          <w:sz w:val="24"/>
          <w:szCs w:val="24"/>
          <w:highlight w:val="yellow"/>
          <w:lang w:val="uk-UA"/>
        </w:rPr>
        <w:t xml:space="preserve"> [</w:t>
      </w:r>
      <w:r>
        <w:rPr>
          <w:rFonts w:ascii="Calibri Light" w:hAnsi="Calibri Light" w:cs="Calibri Light"/>
          <w:sz w:val="24"/>
          <w:szCs w:val="24"/>
          <w:highlight w:val="yellow"/>
        </w:rPr>
        <w:t>1]</w:t>
      </w:r>
      <w:r w:rsidRPr="00A37381">
        <w:rPr>
          <w:rFonts w:ascii="Calibri Light" w:hAnsi="Calibri Light" w:cs="Calibri Light"/>
          <w:sz w:val="24"/>
          <w:szCs w:val="24"/>
          <w:highlight w:val="yellow"/>
          <w:lang w:val="en-GB"/>
        </w:rPr>
        <w:t>. A</w:t>
      </w:r>
      <w:proofErr w:type="spellStart"/>
      <w:r w:rsidRPr="00A37381">
        <w:rPr>
          <w:rFonts w:ascii="Open Sans" w:hAnsi="Open Sans" w:cs="Open Sans"/>
          <w:color w:val="172B4D"/>
          <w:highlight w:val="yellow"/>
          <w:shd w:val="clear" w:color="auto" w:fill="FFFFFF"/>
        </w:rPr>
        <w:t>ccording</w:t>
      </w:r>
      <w:proofErr w:type="spellEnd"/>
      <w:r w:rsidRPr="00A37381">
        <w:rPr>
          <w:rFonts w:ascii="Open Sans" w:hAnsi="Open Sans" w:cs="Open Sans"/>
          <w:color w:val="172B4D"/>
          <w:highlight w:val="yellow"/>
          <w:shd w:val="clear" w:color="auto" w:fill="FFFFFF"/>
        </w:rPr>
        <w:t xml:space="preserve"> to data from the Kyiv School of Economics, Ukraine suffered direct damages exceeding $150 billion by early 2024. This situation has heightened the demand for a coherent legal response that effectively safeguards sovereignty, territorial integrity, and civilian protection</w:t>
      </w:r>
      <w:r>
        <w:rPr>
          <w:rFonts w:ascii="Open Sans" w:hAnsi="Open Sans" w:cs="Open Sans"/>
          <w:color w:val="172B4D"/>
          <w:highlight w:val="yellow"/>
          <w:shd w:val="clear" w:color="auto" w:fill="FFFFFF"/>
        </w:rPr>
        <w:t xml:space="preserve"> [2]</w:t>
      </w:r>
      <w:r w:rsidRPr="00A37381">
        <w:rPr>
          <w:rFonts w:ascii="Open Sans" w:hAnsi="Open Sans" w:cs="Open Sans"/>
          <w:color w:val="172B4D"/>
          <w:highlight w:val="yellow"/>
          <w:shd w:val="clear" w:color="auto" w:fill="FFFFFF"/>
        </w:rPr>
        <w:t>.</w:t>
      </w:r>
      <w:r>
        <w:rPr>
          <w:rFonts w:ascii="Calibri Light" w:hAnsi="Calibri Light" w:cs="Calibri Light"/>
          <w:sz w:val="24"/>
          <w:szCs w:val="24"/>
          <w:lang w:val="en-GB"/>
        </w:rPr>
        <w:t xml:space="preserve"> Moreover, c</w:t>
      </w:r>
      <w:r w:rsidRPr="0090631F">
        <w:rPr>
          <w:rFonts w:ascii="Calibri Light" w:hAnsi="Calibri Light" w:cs="Calibri Light"/>
          <w:sz w:val="24"/>
          <w:szCs w:val="24"/>
          <w:lang w:val="en-GB"/>
        </w:rPr>
        <w:t xml:space="preserve">onsidering current globalisation trends, geopolitical shifts, and military challenges, the legal regulation of this sphere has become particularly relevant and vital. Law serves as a mechanism for addressing internal and external threats and as a crucial tool for shaping national security strategies, enabling state institutions to adapt to uncertain and complex realities </w:t>
      </w:r>
      <w:r w:rsidRPr="0090631F">
        <w:rPr>
          <w:rFonts w:ascii="Calibri Light" w:hAnsi="Calibri Light" w:cs="Calibri Light"/>
          <w:sz w:val="24"/>
          <w:szCs w:val="24"/>
        </w:rPr>
        <w:t>[1]</w:t>
      </w:r>
      <w:r w:rsidRPr="0090631F">
        <w:rPr>
          <w:rFonts w:ascii="Calibri Light" w:hAnsi="Calibri Light" w:cs="Calibri Light"/>
          <w:sz w:val="24"/>
          <w:szCs w:val="24"/>
          <w:lang w:val="en-GB"/>
        </w:rPr>
        <w:t>.</w:t>
      </w:r>
    </w:p>
    <w:p w14:paraId="564DCB6C" w14:textId="77777777" w:rsidR="00E3097C" w:rsidRDefault="00E3097C" w:rsidP="00E3097C">
      <w:pPr>
        <w:spacing w:before="120" w:after="120"/>
        <w:ind w:left="426"/>
        <w:jc w:val="both"/>
        <w:rPr>
          <w:rFonts w:ascii="Calibri Light" w:hAnsi="Calibri Light" w:cs="Calibri Light"/>
          <w:sz w:val="24"/>
          <w:szCs w:val="24"/>
          <w:lang w:val="en-GB"/>
        </w:rPr>
      </w:pPr>
      <w:r w:rsidRPr="0090631F">
        <w:rPr>
          <w:rFonts w:ascii="Calibri Light" w:hAnsi="Calibri Light" w:cs="Calibri Light"/>
          <w:sz w:val="24"/>
          <w:szCs w:val="24"/>
          <w:lang w:val="en-GB"/>
        </w:rPr>
        <w:t xml:space="preserve">Amid the Russian armed aggression, the legal assurance of Ukraine’s national security has become a vital topic in contemporary academic discourse. In Ukraine, the need to update the regulatory framework by international law standards and to adapt the institutional structure of the security and defence sector to the Euro-Atlantic space has become evident. Additionally, it is essential to acknowledge that the national security system is </w:t>
      </w:r>
      <w:r w:rsidRPr="0090631F">
        <w:rPr>
          <w:rFonts w:ascii="Calibri Light" w:hAnsi="Calibri Light" w:cs="Calibri Light"/>
          <w:sz w:val="24"/>
          <w:szCs w:val="24"/>
          <w:lang w:val="en-GB"/>
        </w:rPr>
        <w:lastRenderedPageBreak/>
        <w:t>multi-faceted, manifesting itself across various spheres of social life. Its foundation comprises a series of regulatory acts that, in synthesis, should effectively govern national security [</w:t>
      </w:r>
      <w:r>
        <w:rPr>
          <w:rFonts w:ascii="Calibri Light" w:hAnsi="Calibri Light" w:cs="Calibri Light"/>
          <w:sz w:val="24"/>
          <w:szCs w:val="24"/>
          <w:lang w:val="en-GB"/>
        </w:rPr>
        <w:t>3</w:t>
      </w:r>
      <w:r w:rsidRPr="0090631F">
        <w:rPr>
          <w:rFonts w:ascii="Calibri Light" w:hAnsi="Calibri Light" w:cs="Calibri Light"/>
          <w:sz w:val="24"/>
          <w:szCs w:val="24"/>
          <w:lang w:val="en-GB"/>
        </w:rPr>
        <w:t xml:space="preserve">; </w:t>
      </w:r>
      <w:r>
        <w:rPr>
          <w:rFonts w:ascii="Calibri Light" w:hAnsi="Calibri Light" w:cs="Calibri Light"/>
          <w:sz w:val="24"/>
          <w:szCs w:val="24"/>
          <w:lang w:val="en-GB"/>
        </w:rPr>
        <w:t>4</w:t>
      </w:r>
      <w:r w:rsidRPr="0090631F">
        <w:rPr>
          <w:rFonts w:ascii="Calibri Light" w:hAnsi="Calibri Light" w:cs="Calibri Light"/>
          <w:sz w:val="24"/>
          <w:szCs w:val="24"/>
          <w:lang w:val="en-GB"/>
        </w:rPr>
        <w:t>].</w:t>
      </w:r>
    </w:p>
    <w:p w14:paraId="0181C694" w14:textId="77777777" w:rsidR="00E3097C" w:rsidRPr="0090631F" w:rsidRDefault="00E3097C" w:rsidP="00E3097C">
      <w:pPr>
        <w:spacing w:before="120" w:after="120"/>
        <w:ind w:left="426"/>
        <w:jc w:val="both"/>
        <w:rPr>
          <w:rFonts w:ascii="Calibri Light" w:hAnsi="Calibri Light" w:cs="Calibri Light"/>
          <w:sz w:val="24"/>
          <w:szCs w:val="24"/>
          <w:lang w:val="en-GB"/>
        </w:rPr>
      </w:pPr>
      <w:r w:rsidRPr="00A825DC">
        <w:rPr>
          <w:rFonts w:ascii="Calibri Light" w:hAnsi="Calibri Light" w:cs="Calibri Light"/>
          <w:sz w:val="24"/>
          <w:szCs w:val="24"/>
          <w:highlight w:val="yellow"/>
          <w:lang w:val="en-GB"/>
        </w:rPr>
        <w:t>Contemporary academic literature has analysed various trends in ensuring national security under current conditions. Defining the term itself is a key issue in shaping the fundamental legal principles of national security, which is inevitably correlated with its standardisation. According to scholarly research, the phenomenon of national security formally emerged with the establishment of the first states. Such a concept of national security is referred to by researchers as primitive or rudimentary [3]. This definition differs somewhat from the modern interpretation.</w:t>
      </w:r>
    </w:p>
    <w:p w14:paraId="6AABD529" w14:textId="77777777" w:rsidR="00E3097C" w:rsidRPr="0090631F" w:rsidRDefault="00E3097C" w:rsidP="00E3097C">
      <w:pPr>
        <w:spacing w:before="120" w:after="120"/>
        <w:ind w:left="426"/>
        <w:jc w:val="both"/>
        <w:rPr>
          <w:rFonts w:ascii="Calibri Light" w:hAnsi="Calibri Light" w:cs="Calibri Light"/>
          <w:sz w:val="24"/>
          <w:szCs w:val="24"/>
          <w:lang w:val="en-GB"/>
        </w:rPr>
      </w:pPr>
      <w:r w:rsidRPr="0090631F">
        <w:rPr>
          <w:rFonts w:ascii="Calibri Light" w:hAnsi="Calibri Light" w:cs="Calibri Light"/>
          <w:sz w:val="24"/>
          <w:szCs w:val="24"/>
          <w:lang w:val="en-GB"/>
        </w:rPr>
        <w:t xml:space="preserve">In academic discourse, it is generally accepted that national security corresponds to a specific state of protection of a country’s sovereignty, territorial integrity, democratic order, and environment from any internal or external threats [4; 5]. Consequently, it comprises various components aimed at preventing and neutralising contemporary challenges. Furthermore, Kostka et al. argue that national security also seeks to ensure the sustainable development of society and the state [6]. According to </w:t>
      </w:r>
      <w:proofErr w:type="spellStart"/>
      <w:r w:rsidRPr="0090631F">
        <w:rPr>
          <w:rFonts w:ascii="Calibri Light" w:hAnsi="Calibri Light" w:cs="Calibri Light"/>
          <w:sz w:val="24"/>
          <w:szCs w:val="24"/>
          <w:lang w:val="en-GB"/>
        </w:rPr>
        <w:t>Pylypchuk</w:t>
      </w:r>
      <w:proofErr w:type="spellEnd"/>
      <w:r w:rsidRPr="0090631F">
        <w:rPr>
          <w:rFonts w:ascii="Calibri Light" w:hAnsi="Calibri Light" w:cs="Calibri Light"/>
          <w:sz w:val="24"/>
          <w:szCs w:val="24"/>
          <w:lang w:val="en-GB"/>
        </w:rPr>
        <w:t xml:space="preserve"> et al., national security law is considered an independent branch of law that plays a direct societal role in the legal framework for national security [</w:t>
      </w:r>
      <w:r>
        <w:rPr>
          <w:rFonts w:ascii="Calibri Light" w:hAnsi="Calibri Light" w:cs="Calibri Light"/>
          <w:sz w:val="24"/>
          <w:szCs w:val="24"/>
          <w:lang w:val="en-GB"/>
        </w:rPr>
        <w:t>8</w:t>
      </w:r>
      <w:r w:rsidRPr="0090631F">
        <w:rPr>
          <w:rFonts w:ascii="Calibri Light" w:hAnsi="Calibri Light" w:cs="Calibri Light"/>
          <w:sz w:val="24"/>
          <w:szCs w:val="24"/>
          <w:lang w:val="en-GB"/>
        </w:rPr>
        <w:t>].</w:t>
      </w:r>
    </w:p>
    <w:p w14:paraId="5D1D64FA" w14:textId="77777777" w:rsidR="00E3097C" w:rsidRPr="0090631F" w:rsidRDefault="00E3097C" w:rsidP="00E3097C">
      <w:pPr>
        <w:spacing w:before="120" w:after="120"/>
        <w:ind w:left="426"/>
        <w:jc w:val="both"/>
        <w:rPr>
          <w:rFonts w:ascii="Calibri Light" w:hAnsi="Calibri Light" w:cs="Calibri Light"/>
          <w:sz w:val="24"/>
          <w:szCs w:val="24"/>
          <w:lang w:val="en-GB"/>
        </w:rPr>
      </w:pPr>
      <w:r w:rsidRPr="0090631F">
        <w:rPr>
          <w:rFonts w:ascii="Calibri Light" w:hAnsi="Calibri Light" w:cs="Calibri Light"/>
          <w:sz w:val="24"/>
          <w:szCs w:val="24"/>
          <w:lang w:val="en-GB"/>
        </w:rPr>
        <w:t>Most contemporary scholars have highlighted the emergence of cyber threats within the national security system, focusing on adopting innovative solutions to address these challenges. For instance, Fatima et al. emphasised the application of artificial intelligence in the sustainable development of states and societies [</w:t>
      </w:r>
      <w:r>
        <w:rPr>
          <w:rFonts w:ascii="Calibri Light" w:hAnsi="Calibri Light" w:cs="Calibri Light"/>
          <w:sz w:val="24"/>
          <w:szCs w:val="24"/>
          <w:lang w:val="en-GB"/>
        </w:rPr>
        <w:t>9]</w:t>
      </w:r>
      <w:r w:rsidRPr="0090631F">
        <w:rPr>
          <w:rFonts w:ascii="Calibri Light" w:hAnsi="Calibri Light" w:cs="Calibri Light"/>
          <w:sz w:val="24"/>
          <w:szCs w:val="24"/>
          <w:lang w:val="en-GB"/>
        </w:rPr>
        <w:t>. Gerke et al. identified specific ethical and legal aspects of artificial intelligence deployment [</w:t>
      </w:r>
      <w:r>
        <w:rPr>
          <w:rFonts w:ascii="Calibri Light" w:hAnsi="Calibri Light" w:cs="Calibri Light"/>
          <w:sz w:val="24"/>
          <w:szCs w:val="24"/>
          <w:lang w:val="en-GB"/>
        </w:rPr>
        <w:t>10</w:t>
      </w:r>
      <w:r w:rsidRPr="0090631F">
        <w:rPr>
          <w:rFonts w:ascii="Calibri Light" w:hAnsi="Calibri Light" w:cs="Calibri Light"/>
          <w:sz w:val="24"/>
          <w:szCs w:val="24"/>
          <w:lang w:val="en-GB"/>
        </w:rPr>
        <w:t xml:space="preserve">]. </w:t>
      </w:r>
      <w:proofErr w:type="spellStart"/>
      <w:r w:rsidRPr="0090631F">
        <w:rPr>
          <w:rFonts w:ascii="Calibri Light" w:hAnsi="Calibri Light" w:cs="Calibri Light"/>
          <w:sz w:val="24"/>
          <w:szCs w:val="24"/>
          <w:lang w:val="en-GB"/>
        </w:rPr>
        <w:t>Hubanova</w:t>
      </w:r>
      <w:proofErr w:type="spellEnd"/>
      <w:r w:rsidRPr="0090631F">
        <w:rPr>
          <w:rFonts w:ascii="Calibri Light" w:hAnsi="Calibri Light" w:cs="Calibri Light"/>
          <w:sz w:val="24"/>
          <w:szCs w:val="24"/>
          <w:lang w:val="en-GB"/>
        </w:rPr>
        <w:t xml:space="preserve"> et al. highlighted the importance of using information technologies to ensure the effective functioning of the security sector [</w:t>
      </w:r>
      <w:r>
        <w:rPr>
          <w:rFonts w:ascii="Calibri Light" w:hAnsi="Calibri Light" w:cs="Calibri Light"/>
          <w:sz w:val="24"/>
          <w:szCs w:val="24"/>
          <w:lang w:val="en-GB"/>
        </w:rPr>
        <w:t>11</w:t>
      </w:r>
      <w:r w:rsidRPr="0090631F">
        <w:rPr>
          <w:rFonts w:ascii="Calibri Light" w:hAnsi="Calibri Light" w:cs="Calibri Light"/>
          <w:sz w:val="24"/>
          <w:szCs w:val="24"/>
          <w:lang w:val="en-GB"/>
        </w:rPr>
        <w:t>]. Li and Liu recognised cybersecurity as a critical element of modern security [1</w:t>
      </w:r>
      <w:r>
        <w:rPr>
          <w:rFonts w:ascii="Calibri Light" w:hAnsi="Calibri Light" w:cs="Calibri Light"/>
          <w:sz w:val="24"/>
          <w:szCs w:val="24"/>
          <w:lang w:val="en-GB"/>
        </w:rPr>
        <w:t>2</w:t>
      </w:r>
      <w:r w:rsidRPr="0090631F">
        <w:rPr>
          <w:rFonts w:ascii="Calibri Light" w:hAnsi="Calibri Light" w:cs="Calibri Light"/>
          <w:sz w:val="24"/>
          <w:szCs w:val="24"/>
          <w:lang w:val="en-GB"/>
        </w:rPr>
        <w:t>]. With the rapid growth of digital technologies and hybrid warfare tactics, cybersecurity has become integral to contemporary national security. It encompasses a set of measures and technologies to protect computer networks and software data from attacks, destruction, or theft.</w:t>
      </w:r>
    </w:p>
    <w:p w14:paraId="4BB7C361" w14:textId="77777777" w:rsidR="00E3097C" w:rsidRPr="0090631F" w:rsidRDefault="00E3097C" w:rsidP="00E3097C">
      <w:pPr>
        <w:spacing w:before="120" w:after="120"/>
        <w:ind w:left="426"/>
        <w:jc w:val="both"/>
        <w:rPr>
          <w:rFonts w:ascii="Calibri Light" w:hAnsi="Calibri Light" w:cs="Calibri Light"/>
          <w:sz w:val="24"/>
          <w:szCs w:val="24"/>
          <w:lang w:val="en-GB"/>
        </w:rPr>
      </w:pPr>
      <w:proofErr w:type="spellStart"/>
      <w:r w:rsidRPr="0090631F">
        <w:rPr>
          <w:rFonts w:ascii="Calibri Light" w:hAnsi="Calibri Light" w:cs="Calibri Light"/>
          <w:sz w:val="24"/>
          <w:szCs w:val="24"/>
          <w:lang w:val="en-GB"/>
        </w:rPr>
        <w:t>Pylypchuk</w:t>
      </w:r>
      <w:proofErr w:type="spellEnd"/>
      <w:r w:rsidRPr="0090631F">
        <w:rPr>
          <w:rFonts w:ascii="Calibri Light" w:hAnsi="Calibri Light" w:cs="Calibri Light"/>
          <w:sz w:val="24"/>
          <w:szCs w:val="24"/>
          <w:lang w:val="en-GB"/>
        </w:rPr>
        <w:t xml:space="preserve"> et al. [</w:t>
      </w:r>
      <w:r>
        <w:rPr>
          <w:rFonts w:ascii="Calibri Light" w:hAnsi="Calibri Light" w:cs="Calibri Light"/>
          <w:sz w:val="24"/>
          <w:szCs w:val="24"/>
          <w:lang w:val="en-GB"/>
        </w:rPr>
        <w:t>8</w:t>
      </w:r>
      <w:r w:rsidRPr="0090631F">
        <w:rPr>
          <w:rFonts w:ascii="Calibri Light" w:hAnsi="Calibri Light" w:cs="Calibri Light"/>
          <w:sz w:val="24"/>
          <w:szCs w:val="24"/>
          <w:lang w:val="en-GB"/>
        </w:rPr>
        <w:t>] indicated that the legal content of the national security phenomenon is articulated within national security law, serving as a cornerstone in the development of legal science under the challenging conditions shaped by Russian aggression against Ukraine and specific crisis processes in the international security framework. The authors also described the unique characteristics of national security law as a vital domain of the national legal system [</w:t>
      </w:r>
      <w:r>
        <w:rPr>
          <w:rFonts w:ascii="Calibri Light" w:hAnsi="Calibri Light" w:cs="Calibri Light"/>
          <w:sz w:val="24"/>
          <w:szCs w:val="24"/>
          <w:lang w:val="en-GB"/>
        </w:rPr>
        <w:t>8</w:t>
      </w:r>
      <w:r w:rsidRPr="0090631F">
        <w:rPr>
          <w:rFonts w:ascii="Calibri Light" w:hAnsi="Calibri Light" w:cs="Calibri Light"/>
          <w:sz w:val="24"/>
          <w:szCs w:val="24"/>
          <w:lang w:val="en-GB"/>
        </w:rPr>
        <w:t>].</w:t>
      </w:r>
    </w:p>
    <w:p w14:paraId="63CF440A" w14:textId="77777777" w:rsidR="00E3097C" w:rsidRPr="0090631F" w:rsidRDefault="00E3097C" w:rsidP="00E3097C">
      <w:pPr>
        <w:spacing w:before="120" w:after="120"/>
        <w:ind w:left="426"/>
        <w:jc w:val="both"/>
        <w:rPr>
          <w:rFonts w:ascii="Calibri Light" w:hAnsi="Calibri Light" w:cs="Calibri Light"/>
          <w:sz w:val="24"/>
          <w:szCs w:val="24"/>
          <w:lang w:val="en-GB"/>
        </w:rPr>
      </w:pPr>
      <w:proofErr w:type="spellStart"/>
      <w:r w:rsidRPr="0090631F">
        <w:rPr>
          <w:rFonts w:ascii="Calibri Light" w:hAnsi="Calibri Light" w:cs="Calibri Light"/>
          <w:sz w:val="24"/>
          <w:szCs w:val="24"/>
          <w:lang w:val="en-GB"/>
        </w:rPr>
        <w:t>Alguliyev</w:t>
      </w:r>
      <w:proofErr w:type="spellEnd"/>
      <w:r w:rsidRPr="0090631F">
        <w:rPr>
          <w:rFonts w:ascii="Calibri Light" w:hAnsi="Calibri Light" w:cs="Calibri Light"/>
          <w:sz w:val="24"/>
          <w:szCs w:val="24"/>
          <w:lang w:val="en-GB"/>
        </w:rPr>
        <w:t xml:space="preserve"> et al. demonstrated that information security is crucial to national security, ensuring protection from manipulation, cyber threats, and access to reliable information [1</w:t>
      </w:r>
      <w:r>
        <w:rPr>
          <w:rFonts w:ascii="Calibri Light" w:hAnsi="Calibri Light" w:cs="Calibri Light"/>
          <w:sz w:val="24"/>
          <w:szCs w:val="24"/>
          <w:lang w:val="en-GB"/>
        </w:rPr>
        <w:t>3</w:t>
      </w:r>
      <w:r w:rsidRPr="0090631F">
        <w:rPr>
          <w:rFonts w:ascii="Calibri Light" w:hAnsi="Calibri Light" w:cs="Calibri Light"/>
          <w:sz w:val="24"/>
          <w:szCs w:val="24"/>
          <w:lang w:val="en-GB"/>
        </w:rPr>
        <w:t>]. Contemporary scholars have established that social communications reflect national interests, typically considered the primary interests protected by law [1</w:t>
      </w:r>
      <w:r>
        <w:rPr>
          <w:rFonts w:ascii="Calibri Light" w:hAnsi="Calibri Light" w:cs="Calibri Light"/>
          <w:sz w:val="24"/>
          <w:szCs w:val="24"/>
          <w:lang w:val="en-GB"/>
        </w:rPr>
        <w:t>4</w:t>
      </w:r>
      <w:r w:rsidRPr="0090631F">
        <w:rPr>
          <w:rFonts w:ascii="Calibri Light" w:hAnsi="Calibri Light" w:cs="Calibri Light"/>
          <w:sz w:val="24"/>
          <w:szCs w:val="24"/>
          <w:lang w:val="en-GB"/>
        </w:rPr>
        <w:t>; 1</w:t>
      </w:r>
      <w:r>
        <w:rPr>
          <w:rFonts w:ascii="Calibri Light" w:hAnsi="Calibri Light" w:cs="Calibri Light"/>
          <w:sz w:val="24"/>
          <w:szCs w:val="24"/>
          <w:lang w:val="en-GB"/>
        </w:rPr>
        <w:t>5</w:t>
      </w:r>
      <w:r w:rsidRPr="0090631F">
        <w:rPr>
          <w:rFonts w:ascii="Calibri Light" w:hAnsi="Calibri Light" w:cs="Calibri Light"/>
          <w:sz w:val="24"/>
          <w:szCs w:val="24"/>
          <w:lang w:val="en-GB"/>
        </w:rPr>
        <w:t>]. Influenced by national security legislation, these communications acquire the characteristics of legal strategic communications [1</w:t>
      </w:r>
      <w:r>
        <w:rPr>
          <w:rFonts w:ascii="Calibri Light" w:hAnsi="Calibri Light" w:cs="Calibri Light"/>
          <w:sz w:val="24"/>
          <w:szCs w:val="24"/>
          <w:lang w:val="en-GB"/>
        </w:rPr>
        <w:t>3</w:t>
      </w:r>
      <w:r w:rsidRPr="0090631F">
        <w:rPr>
          <w:rFonts w:ascii="Calibri Light" w:hAnsi="Calibri Light" w:cs="Calibri Light"/>
          <w:sz w:val="24"/>
          <w:szCs w:val="24"/>
          <w:lang w:val="en-GB"/>
        </w:rPr>
        <w:t xml:space="preserve">]. At the same time, the integrative features of national security law are demonstrated through its interaction with military law and international security law. The introduction of specialised academic disciplines aligns with national </w:t>
      </w:r>
      <w:r w:rsidRPr="0090631F">
        <w:rPr>
          <w:rFonts w:ascii="Calibri Light" w:hAnsi="Calibri Light" w:cs="Calibri Light"/>
          <w:sz w:val="24"/>
          <w:szCs w:val="24"/>
          <w:lang w:val="en-GB"/>
        </w:rPr>
        <w:lastRenderedPageBreak/>
        <w:t>security law development priorities, addressing both organisational measures and ideological struggles that are vital for securing Ukraine’s national security on the humanitarian front.</w:t>
      </w:r>
    </w:p>
    <w:p w14:paraId="217231BD" w14:textId="77777777" w:rsidR="00E3097C" w:rsidRPr="0090631F" w:rsidRDefault="00E3097C" w:rsidP="00E3097C">
      <w:pPr>
        <w:spacing w:before="120" w:after="120"/>
        <w:ind w:left="426"/>
        <w:jc w:val="both"/>
        <w:rPr>
          <w:rFonts w:ascii="Calibri Light" w:hAnsi="Calibri Light" w:cs="Calibri Light"/>
          <w:sz w:val="24"/>
          <w:szCs w:val="24"/>
          <w:lang w:val="en-GB"/>
        </w:rPr>
      </w:pPr>
      <w:r w:rsidRPr="0090631F">
        <w:rPr>
          <w:rFonts w:ascii="Calibri Light" w:hAnsi="Calibri Light" w:cs="Calibri Light"/>
          <w:sz w:val="24"/>
          <w:szCs w:val="24"/>
          <w:lang w:val="en-GB"/>
        </w:rPr>
        <w:t>Cultural and humanitarian security contributes to preserving national identity in the face of current challenges. Other significant dimensions of national security include economic, social, and political factors. Political security fosters the stability of the political system and protects sovereignty and state institutions. Meanwhile, during crises, the stability of the economic system, protection of strategic resources, and establishment of financial resilience are crucial [1</w:t>
      </w:r>
      <w:r>
        <w:rPr>
          <w:rFonts w:ascii="Calibri Light" w:hAnsi="Calibri Light" w:cs="Calibri Light"/>
          <w:sz w:val="24"/>
          <w:szCs w:val="24"/>
          <w:lang w:val="en-GB"/>
        </w:rPr>
        <w:t>6</w:t>
      </w:r>
      <w:r w:rsidRPr="0090631F">
        <w:rPr>
          <w:rFonts w:ascii="Calibri Light" w:hAnsi="Calibri Light" w:cs="Calibri Light"/>
          <w:sz w:val="24"/>
          <w:szCs w:val="24"/>
          <w:lang w:val="en-GB"/>
        </w:rPr>
        <w:t>].</w:t>
      </w:r>
    </w:p>
    <w:p w14:paraId="34EAEE09" w14:textId="77777777" w:rsidR="00E3097C" w:rsidRPr="0090631F" w:rsidRDefault="00E3097C" w:rsidP="00E3097C">
      <w:pPr>
        <w:spacing w:before="120" w:after="120"/>
        <w:ind w:left="426"/>
        <w:jc w:val="both"/>
        <w:rPr>
          <w:rFonts w:ascii="Calibri Light" w:hAnsi="Calibri Light" w:cs="Calibri Light"/>
          <w:sz w:val="24"/>
          <w:szCs w:val="24"/>
          <w:lang w:val="en-GB"/>
        </w:rPr>
      </w:pPr>
      <w:r w:rsidRPr="0090631F">
        <w:rPr>
          <w:rFonts w:ascii="Calibri Light" w:hAnsi="Calibri Light" w:cs="Calibri Light"/>
          <w:sz w:val="24"/>
          <w:szCs w:val="24"/>
          <w:lang w:val="en-GB"/>
        </w:rPr>
        <w:t>Considering these dimensions collectively promotes the stable functioning of the security sector. The legal framework for national security corresponds to the complex process of establishing and maintaining normative and functional aspects of the national security system within constructive organisations [</w:t>
      </w:r>
      <w:r>
        <w:rPr>
          <w:rFonts w:ascii="Calibri Light" w:hAnsi="Calibri Light" w:cs="Calibri Light"/>
          <w:sz w:val="24"/>
          <w:szCs w:val="24"/>
          <w:lang w:val="en-GB"/>
        </w:rPr>
        <w:t>`</w:t>
      </w:r>
      <w:r w:rsidRPr="0090631F">
        <w:rPr>
          <w:rFonts w:ascii="Calibri Light" w:hAnsi="Calibri Light" w:cs="Calibri Light"/>
          <w:sz w:val="24"/>
          <w:szCs w:val="24"/>
          <w:lang w:val="en-GB"/>
        </w:rPr>
        <w:t>]. The multiplicity of systemic elements in national security underscores its multi-layered and complex nature, further highlighting the relevance of this topic.</w:t>
      </w:r>
    </w:p>
    <w:p w14:paraId="33BAA8F6" w14:textId="77777777" w:rsidR="00E3097C" w:rsidRPr="0090631F" w:rsidRDefault="00E3097C" w:rsidP="00E3097C">
      <w:pPr>
        <w:spacing w:before="120" w:after="120"/>
        <w:ind w:left="426"/>
        <w:jc w:val="both"/>
        <w:rPr>
          <w:rFonts w:ascii="Calibri Light" w:hAnsi="Calibri Light" w:cs="Calibri Light"/>
          <w:sz w:val="24"/>
          <w:szCs w:val="24"/>
          <w:lang w:val="en-GB"/>
        </w:rPr>
      </w:pPr>
      <w:commentRangeStart w:id="3"/>
      <w:r w:rsidRPr="0090631F">
        <w:rPr>
          <w:rFonts w:ascii="Calibri Light" w:hAnsi="Calibri Light" w:cs="Calibri Light"/>
          <w:sz w:val="24"/>
          <w:szCs w:val="24"/>
          <w:lang w:val="en-GB"/>
        </w:rPr>
        <w:t>As the literature review indicates, the legal regulation of the national security sector requires additional study</w:t>
      </w:r>
      <w:commentRangeEnd w:id="3"/>
      <w:r>
        <w:rPr>
          <w:rStyle w:val="ad"/>
        </w:rPr>
        <w:commentReference w:id="3"/>
      </w:r>
      <w:r w:rsidRPr="0090631F">
        <w:rPr>
          <w:rFonts w:ascii="Calibri Light" w:hAnsi="Calibri Light" w:cs="Calibri Light"/>
          <w:sz w:val="24"/>
          <w:szCs w:val="24"/>
          <w:lang w:val="en-GB"/>
        </w:rPr>
        <w:t xml:space="preserve">. </w:t>
      </w:r>
      <w:r w:rsidRPr="00A37381">
        <w:rPr>
          <w:rFonts w:ascii="Calibri Light" w:hAnsi="Calibri Light" w:cs="Calibri Light"/>
          <w:sz w:val="24"/>
          <w:szCs w:val="24"/>
          <w:highlight w:val="yellow"/>
          <w:lang w:val="en-GB"/>
        </w:rPr>
        <w:t>In particular, previous studies have not provided a comprehensive or consistent answer regarding the legal mechanisms necessary to ensure national security in the face of prolonged external aggression</w:t>
      </w:r>
      <w:r>
        <w:rPr>
          <w:rFonts w:ascii="Calibri Light" w:hAnsi="Calibri Light" w:cs="Calibri Light"/>
          <w:sz w:val="24"/>
          <w:szCs w:val="24"/>
          <w:lang w:val="uk-UA"/>
        </w:rPr>
        <w:t xml:space="preserve">. </w:t>
      </w:r>
      <w:r w:rsidRPr="0090631F">
        <w:rPr>
          <w:rFonts w:ascii="Calibri Light" w:hAnsi="Calibri Light" w:cs="Calibri Light"/>
          <w:sz w:val="24"/>
          <w:szCs w:val="24"/>
          <w:lang w:val="en-GB"/>
        </w:rPr>
        <w:t>Contemporary researchers focus on practical measures for ensuring national security, with legal regulation remaining peripheral in scholarly discourse. Moreover, given emerging challenges and technologies, it is essential to characterise the current issues influencing the regulatory process of Ukraine’s national security. This study aims to address these gaps, identifying key challenges and strategies within the regulatory framework for national security.</w:t>
      </w:r>
      <w:r>
        <w:rPr>
          <w:rFonts w:ascii="Calibri Light" w:hAnsi="Calibri Light" w:cs="Calibri Light"/>
          <w:sz w:val="24"/>
          <w:szCs w:val="24"/>
          <w:lang w:val="en-GB"/>
        </w:rPr>
        <w:t xml:space="preserve"> </w:t>
      </w:r>
      <w:r w:rsidRPr="0090631F">
        <w:rPr>
          <w:rFonts w:ascii="Calibri Light" w:hAnsi="Calibri Light" w:cs="Calibri Light"/>
          <w:sz w:val="24"/>
          <w:szCs w:val="24"/>
          <w:lang w:val="en-GB"/>
        </w:rPr>
        <w:t>The primary research problem lies in the lack of coherence among regulatory acts and institutional fragmentation within the security sector, observed in many states, including Ukraine. This situation generates additional risks for effectively responding to threats and generally lowers the state’s security level. Therefore, the research problem involves analysing the key strategies and challenges of legal regulation of Ukraine’s national security through the lens of current legal transformations and broader European trends.</w:t>
      </w:r>
      <w:r>
        <w:rPr>
          <w:rFonts w:ascii="Calibri Light" w:hAnsi="Calibri Light" w:cs="Calibri Light"/>
          <w:sz w:val="24"/>
          <w:szCs w:val="24"/>
          <w:lang w:val="en-GB"/>
        </w:rPr>
        <w:t xml:space="preserve"> </w:t>
      </w:r>
      <w:r w:rsidRPr="0090631F">
        <w:rPr>
          <w:rFonts w:ascii="Calibri Light" w:hAnsi="Calibri Light" w:cs="Calibri Light"/>
          <w:sz w:val="24"/>
          <w:szCs w:val="24"/>
          <w:lang w:val="en-GB"/>
        </w:rPr>
        <w:t>The study analyses challenges that threaten national security operations within the</w:t>
      </w:r>
      <w:r>
        <w:rPr>
          <w:rFonts w:ascii="Calibri Light" w:hAnsi="Calibri Light" w:cs="Calibri Light"/>
          <w:sz w:val="24"/>
          <w:szCs w:val="24"/>
          <w:lang w:val="en-GB"/>
        </w:rPr>
        <w:t xml:space="preserve"> </w:t>
      </w:r>
      <w:r w:rsidRPr="0090631F">
        <w:rPr>
          <w:rFonts w:ascii="Calibri Light" w:hAnsi="Calibri Light" w:cs="Calibri Light"/>
          <w:sz w:val="24"/>
          <w:szCs w:val="24"/>
          <w:lang w:val="en-GB"/>
        </w:rPr>
        <w:t>framework of local and global transformations. Furthermore, it examines existing legal mechanisms for regulating national security in Ukraine and other states. Ultimately, the research will present proposals for optimising the regulatory framework.</w:t>
      </w:r>
    </w:p>
    <w:p w14:paraId="1AF0A91B" w14:textId="77777777" w:rsidR="00E3097C" w:rsidRPr="0090631F" w:rsidRDefault="00E3097C" w:rsidP="00E3097C">
      <w:pPr>
        <w:spacing w:before="120" w:after="120"/>
        <w:ind w:left="426"/>
        <w:jc w:val="both"/>
        <w:rPr>
          <w:rFonts w:ascii="Calibri Light" w:hAnsi="Calibri Light" w:cs="Calibri Light"/>
          <w:sz w:val="24"/>
          <w:szCs w:val="24"/>
          <w:lang w:val="en-GB"/>
        </w:rPr>
      </w:pPr>
      <w:r w:rsidRPr="0090631F">
        <w:rPr>
          <w:rFonts w:ascii="Calibri Light" w:hAnsi="Calibri Light" w:cs="Calibri Light"/>
          <w:sz w:val="24"/>
          <w:szCs w:val="24"/>
          <w:lang w:val="en-GB"/>
        </w:rPr>
        <w:t>The study aims to identify and analyse the main issues in the legal regulation of Ukraine’s national security sector amidst Russian aggression, assess current strategies for national security formation, and formulate key recommendations for optimising the regulatory framework.</w:t>
      </w:r>
    </w:p>
    <w:p w14:paraId="1D942C14" w14:textId="77777777" w:rsidR="00E3097C" w:rsidRPr="0090631F" w:rsidRDefault="00E3097C" w:rsidP="00E3097C">
      <w:pPr>
        <w:spacing w:before="120" w:after="120"/>
        <w:ind w:left="426"/>
        <w:jc w:val="both"/>
        <w:rPr>
          <w:rFonts w:ascii="Calibri Light" w:hAnsi="Calibri Light" w:cs="Calibri Light"/>
          <w:sz w:val="24"/>
          <w:szCs w:val="24"/>
          <w:lang w:val="en-GB"/>
        </w:rPr>
      </w:pPr>
      <w:r w:rsidRPr="0090631F">
        <w:rPr>
          <w:rFonts w:ascii="Calibri Light" w:hAnsi="Calibri Light" w:cs="Calibri Light"/>
          <w:sz w:val="24"/>
          <w:szCs w:val="24"/>
          <w:lang w:val="en-GB"/>
        </w:rPr>
        <w:t>The research objectives are as follows:</w:t>
      </w:r>
    </w:p>
    <w:p w14:paraId="586BC8BE" w14:textId="77777777" w:rsidR="00E3097C" w:rsidRPr="0090631F" w:rsidRDefault="00E3097C" w:rsidP="00E3097C">
      <w:pPr>
        <w:numPr>
          <w:ilvl w:val="0"/>
          <w:numId w:val="2"/>
        </w:numPr>
        <w:spacing w:before="120" w:after="120"/>
        <w:jc w:val="both"/>
        <w:rPr>
          <w:rFonts w:ascii="Calibri Light" w:hAnsi="Calibri Light" w:cs="Calibri Light"/>
          <w:sz w:val="24"/>
          <w:szCs w:val="24"/>
          <w:lang w:val="en-GB"/>
        </w:rPr>
      </w:pPr>
      <w:r w:rsidRPr="0090631F">
        <w:rPr>
          <w:rFonts w:ascii="Calibri Light" w:hAnsi="Calibri Light" w:cs="Calibri Light"/>
          <w:sz w:val="24"/>
          <w:szCs w:val="24"/>
          <w:lang w:val="en-GB"/>
        </w:rPr>
        <w:t>To describe the main challenges within the current national security system.</w:t>
      </w:r>
    </w:p>
    <w:p w14:paraId="3A00F3D2" w14:textId="77777777" w:rsidR="00E3097C" w:rsidRPr="0090631F" w:rsidRDefault="00E3097C" w:rsidP="00E3097C">
      <w:pPr>
        <w:numPr>
          <w:ilvl w:val="0"/>
          <w:numId w:val="2"/>
        </w:numPr>
        <w:spacing w:before="120" w:after="120"/>
        <w:jc w:val="both"/>
        <w:rPr>
          <w:rFonts w:ascii="Calibri Light" w:hAnsi="Calibri Light" w:cs="Calibri Light"/>
          <w:sz w:val="24"/>
          <w:szCs w:val="24"/>
          <w:lang w:val="en-GB"/>
        </w:rPr>
      </w:pPr>
      <w:r w:rsidRPr="0090631F">
        <w:rPr>
          <w:rFonts w:ascii="Calibri Light" w:hAnsi="Calibri Light" w:cs="Calibri Light"/>
          <w:sz w:val="24"/>
          <w:szCs w:val="24"/>
          <w:lang w:val="en-GB"/>
        </w:rPr>
        <w:lastRenderedPageBreak/>
        <w:t>To evaluate the effectiveness of the existing legal framework for regulating national security in Ukraine and conduct a comprehensive comparative analysis with the experiences of other leading countries.</w:t>
      </w:r>
    </w:p>
    <w:p w14:paraId="51968E1D" w14:textId="77777777" w:rsidR="00E3097C" w:rsidRPr="0090631F" w:rsidRDefault="00E3097C" w:rsidP="00E3097C">
      <w:pPr>
        <w:numPr>
          <w:ilvl w:val="0"/>
          <w:numId w:val="2"/>
        </w:numPr>
        <w:spacing w:before="120" w:after="120"/>
        <w:jc w:val="both"/>
        <w:rPr>
          <w:rFonts w:ascii="Calibri Light" w:hAnsi="Calibri Light" w:cs="Calibri Light"/>
          <w:sz w:val="24"/>
          <w:szCs w:val="24"/>
          <w:lang w:val="en-GB"/>
        </w:rPr>
      </w:pPr>
      <w:r w:rsidRPr="0090631F">
        <w:rPr>
          <w:rFonts w:ascii="Calibri Light" w:hAnsi="Calibri Light" w:cs="Calibri Light"/>
          <w:sz w:val="24"/>
          <w:szCs w:val="24"/>
          <w:lang w:val="en-GB"/>
        </w:rPr>
        <w:t>To formulate specific recommendations for improving legal mechanisms and strategies for ensuring national security.</w:t>
      </w:r>
    </w:p>
    <w:p w14:paraId="17D6CBAC" w14:textId="77777777" w:rsidR="00E3097C" w:rsidRPr="0090631F" w:rsidRDefault="00E3097C" w:rsidP="00E3097C">
      <w:pPr>
        <w:spacing w:before="120" w:after="120"/>
        <w:ind w:left="426"/>
        <w:jc w:val="both"/>
        <w:rPr>
          <w:rFonts w:ascii="Calibri Light" w:hAnsi="Calibri Light" w:cs="Calibri Light"/>
          <w:b/>
          <w:sz w:val="24"/>
          <w:szCs w:val="24"/>
          <w:lang w:val="en-GB"/>
        </w:rPr>
      </w:pPr>
      <w:r w:rsidRPr="0090631F">
        <w:rPr>
          <w:rFonts w:ascii="Calibri Light" w:hAnsi="Calibri Light" w:cs="Calibri Light"/>
          <w:b/>
          <w:sz w:val="24"/>
          <w:szCs w:val="24"/>
          <w:lang w:val="en-GB"/>
        </w:rPr>
        <w:t>Research Hypotheses</w:t>
      </w:r>
    </w:p>
    <w:p w14:paraId="265056DC" w14:textId="77777777" w:rsidR="00E3097C" w:rsidRPr="0090631F" w:rsidRDefault="00E3097C" w:rsidP="00E3097C">
      <w:pPr>
        <w:spacing w:before="120" w:after="120"/>
        <w:ind w:left="426"/>
        <w:jc w:val="both"/>
        <w:rPr>
          <w:rFonts w:ascii="Calibri Light" w:hAnsi="Calibri Light" w:cs="Calibri Light"/>
          <w:sz w:val="24"/>
          <w:szCs w:val="24"/>
          <w:lang w:val="en-GB"/>
        </w:rPr>
      </w:pPr>
      <w:r w:rsidRPr="0090631F">
        <w:rPr>
          <w:rFonts w:ascii="Calibri Light" w:hAnsi="Calibri Light" w:cs="Calibri Light"/>
          <w:sz w:val="24"/>
          <w:szCs w:val="24"/>
          <w:lang w:val="en-GB"/>
        </w:rPr>
        <w:t>This study will test the following hypotheses:</w:t>
      </w:r>
    </w:p>
    <w:p w14:paraId="7320F36F" w14:textId="77777777" w:rsidR="00E3097C" w:rsidRPr="0090631F" w:rsidRDefault="00E3097C" w:rsidP="00E3097C">
      <w:pPr>
        <w:spacing w:before="120" w:after="120"/>
        <w:ind w:left="426"/>
        <w:jc w:val="both"/>
        <w:rPr>
          <w:rFonts w:ascii="Calibri Light" w:hAnsi="Calibri Light" w:cs="Calibri Light"/>
          <w:sz w:val="24"/>
          <w:szCs w:val="24"/>
          <w:lang w:val="en-GB"/>
        </w:rPr>
      </w:pPr>
      <w:commentRangeStart w:id="4"/>
      <w:r w:rsidRPr="0090631F">
        <w:rPr>
          <w:rFonts w:ascii="Calibri Light" w:hAnsi="Calibri Light" w:cs="Calibri Light"/>
          <w:b/>
          <w:sz w:val="24"/>
          <w:szCs w:val="24"/>
          <w:lang w:val="en-GB"/>
        </w:rPr>
        <w:t>H1</w:t>
      </w:r>
      <w:r w:rsidRPr="0090631F">
        <w:rPr>
          <w:rFonts w:ascii="Calibri Light" w:hAnsi="Calibri Light" w:cs="Calibri Light"/>
          <w:sz w:val="24"/>
          <w:szCs w:val="24"/>
          <w:lang w:val="en-GB"/>
        </w:rPr>
        <w:t>: The effectiveness of the legal regulation of the national security sector depends on adapting the current legal framework to contemporary challenges (cybercrime, hybrid threats, terrorism).</w:t>
      </w:r>
    </w:p>
    <w:p w14:paraId="5227EE65" w14:textId="77777777" w:rsidR="00E3097C" w:rsidRPr="0090631F" w:rsidRDefault="00E3097C" w:rsidP="00E3097C">
      <w:pPr>
        <w:spacing w:before="120" w:after="120"/>
        <w:ind w:left="426"/>
        <w:jc w:val="both"/>
        <w:rPr>
          <w:rFonts w:ascii="Calibri Light" w:hAnsi="Calibri Light" w:cs="Calibri Light"/>
          <w:sz w:val="24"/>
          <w:szCs w:val="24"/>
          <w:lang w:val="en-GB"/>
        </w:rPr>
      </w:pPr>
      <w:r w:rsidRPr="00A825DC">
        <w:rPr>
          <w:rFonts w:ascii="Calibri Light" w:hAnsi="Calibri Light" w:cs="Calibri Light"/>
          <w:b/>
          <w:sz w:val="24"/>
          <w:szCs w:val="24"/>
          <w:highlight w:val="yellow"/>
          <w:lang w:val="en-GB"/>
        </w:rPr>
        <w:t>H2</w:t>
      </w:r>
      <w:r w:rsidRPr="00A825DC">
        <w:rPr>
          <w:rFonts w:ascii="Calibri Light" w:hAnsi="Calibri Light" w:cs="Calibri Light"/>
          <w:sz w:val="24"/>
          <w:szCs w:val="24"/>
          <w:highlight w:val="yellow"/>
          <w:lang w:val="en-GB"/>
        </w:rPr>
        <w:t xml:space="preserve">: Applying </w:t>
      </w:r>
      <w:commentRangeEnd w:id="4"/>
      <w:r w:rsidRPr="00A825DC">
        <w:rPr>
          <w:rStyle w:val="ad"/>
          <w:highlight w:val="yellow"/>
        </w:rPr>
        <w:commentReference w:id="4"/>
      </w:r>
      <w:r w:rsidRPr="00A825DC">
        <w:rPr>
          <w:rFonts w:ascii="Calibri Light" w:hAnsi="Calibri Light" w:cs="Calibri Light"/>
          <w:sz w:val="24"/>
          <w:szCs w:val="24"/>
          <w:highlight w:val="yellow"/>
          <w:lang w:val="en-GB"/>
        </w:rPr>
        <w:t>a systemic approach that combines preventive, reactive, and adaptive measures in legal regulation will contribute to optimising the state’s security level.</w:t>
      </w:r>
    </w:p>
    <w:p w14:paraId="60F1894F" w14:textId="77777777" w:rsidR="00E3097C" w:rsidRPr="00122F5F" w:rsidRDefault="00E3097C" w:rsidP="00E3097C">
      <w:pPr>
        <w:numPr>
          <w:ilvl w:val="0"/>
          <w:numId w:val="1"/>
        </w:numPr>
        <w:autoSpaceDE/>
        <w:autoSpaceDN/>
        <w:spacing w:before="120" w:after="120"/>
        <w:ind w:left="426" w:hanging="219"/>
        <w:rPr>
          <w:rFonts w:ascii="Calibri Light" w:hAnsi="Calibri Light" w:cs="Calibri Light"/>
          <w:b/>
          <w:sz w:val="24"/>
          <w:szCs w:val="24"/>
          <w:lang w:val="id-ID"/>
        </w:rPr>
      </w:pPr>
      <w:r w:rsidRPr="00122F5F">
        <w:rPr>
          <w:rFonts w:ascii="Calibri Light" w:hAnsi="Calibri Light" w:cs="Calibri Light"/>
          <w:b/>
          <w:sz w:val="24"/>
          <w:szCs w:val="24"/>
          <w:lang w:val="id-ID"/>
        </w:rPr>
        <w:t>METHOD</w:t>
      </w:r>
    </w:p>
    <w:p w14:paraId="2D2D75C4" w14:textId="77777777" w:rsidR="00E3097C" w:rsidRPr="0090631F" w:rsidRDefault="00E3097C" w:rsidP="00E3097C">
      <w:pPr>
        <w:spacing w:before="120" w:after="120"/>
        <w:ind w:left="426"/>
        <w:jc w:val="both"/>
        <w:rPr>
          <w:rFonts w:ascii="Calibri Light" w:hAnsi="Calibri Light" w:cs="Calibri Light"/>
          <w:sz w:val="24"/>
          <w:szCs w:val="24"/>
          <w:lang w:val="en-GB"/>
        </w:rPr>
      </w:pPr>
      <w:r w:rsidRPr="0090631F">
        <w:rPr>
          <w:rFonts w:ascii="Calibri Light" w:hAnsi="Calibri Light" w:cs="Calibri Light"/>
          <w:sz w:val="24"/>
          <w:szCs w:val="24"/>
          <w:lang w:val="en-GB"/>
        </w:rPr>
        <w:t>This review study enables a detailed analysis of Ukraine’s current realities and the examination of specific cases of legal regulation aimed at strengthening national security. Ukraine is developing and implementing various strategies for regulating national security in response to contemporary challenges. This approach contributes to a comprehensive understanding of the complex and heterogeneous processes involved in legal security provisions, situating Ukraine within both local and global trends.</w:t>
      </w:r>
    </w:p>
    <w:p w14:paraId="440BA06B" w14:textId="77777777" w:rsidR="00E3097C" w:rsidRPr="0090631F" w:rsidRDefault="00E3097C" w:rsidP="00E3097C">
      <w:pPr>
        <w:spacing w:before="120" w:after="120"/>
        <w:ind w:left="426"/>
        <w:jc w:val="both"/>
        <w:rPr>
          <w:rFonts w:ascii="Calibri Light" w:hAnsi="Calibri Light" w:cs="Calibri Light"/>
          <w:sz w:val="24"/>
          <w:szCs w:val="24"/>
          <w:lang w:val="en-GB"/>
        </w:rPr>
      </w:pPr>
      <w:r w:rsidRPr="0090631F">
        <w:rPr>
          <w:rFonts w:ascii="Calibri Light" w:hAnsi="Calibri Light" w:cs="Calibri Light"/>
          <w:sz w:val="24"/>
          <w:szCs w:val="24"/>
          <w:lang w:val="en-GB"/>
        </w:rPr>
        <w:t>This study emphasises the formation of a sample comprising various sources addressing key aspects of national security. The selected materials include legislative acts, strategies, and doctrines related to Ukraine’s national security, monographs, articles, conference materials, book chapters, and analytical reports.</w:t>
      </w:r>
    </w:p>
    <w:p w14:paraId="0D15F5E7" w14:textId="77777777" w:rsidR="00E3097C" w:rsidRPr="0090631F" w:rsidRDefault="00E3097C" w:rsidP="00E3097C">
      <w:pPr>
        <w:spacing w:before="120" w:after="120"/>
        <w:ind w:left="426"/>
        <w:jc w:val="both"/>
        <w:rPr>
          <w:rFonts w:ascii="Calibri Light" w:hAnsi="Calibri Light" w:cs="Calibri Light"/>
          <w:b/>
          <w:sz w:val="24"/>
          <w:szCs w:val="24"/>
          <w:lang w:val="en-GB"/>
        </w:rPr>
      </w:pPr>
      <w:r w:rsidRPr="0090631F">
        <w:rPr>
          <w:rFonts w:ascii="Calibri Light" w:hAnsi="Calibri Light" w:cs="Calibri Light"/>
          <w:b/>
          <w:sz w:val="24"/>
          <w:szCs w:val="24"/>
          <w:lang w:val="en-GB"/>
        </w:rPr>
        <w:t>Searching Strategy</w:t>
      </w:r>
    </w:p>
    <w:p w14:paraId="1E8747E8" w14:textId="77777777" w:rsidR="00E3097C" w:rsidRPr="0090631F" w:rsidRDefault="00E3097C" w:rsidP="00E3097C">
      <w:pPr>
        <w:spacing w:before="120" w:after="120"/>
        <w:ind w:left="426"/>
        <w:jc w:val="both"/>
        <w:rPr>
          <w:rFonts w:ascii="Calibri Light" w:hAnsi="Calibri Light" w:cs="Calibri Light"/>
          <w:sz w:val="24"/>
          <w:szCs w:val="24"/>
          <w:lang w:val="en-GB"/>
        </w:rPr>
      </w:pPr>
      <w:r w:rsidRPr="0090631F">
        <w:rPr>
          <w:rFonts w:ascii="Calibri Light" w:hAnsi="Calibri Light" w:cs="Calibri Light"/>
          <w:sz w:val="24"/>
          <w:szCs w:val="24"/>
          <w:lang w:val="en-GB"/>
        </w:rPr>
        <w:t>The focus was placed on studies addressing the legal aspects of security regulation, adaptation processes to current threats, and the impact of war on the legal and security sectors. Sources were required to meet specific criteria. Firstly, all sources had to be substantively related to legal regulation in the security sector and published after 2014, marking the onset of the war (with an emphasis on literature published post-2022). The primary analysis was based on sources examining the situation in Ukraine. Another criterion specified that the sources must include analyses and recommendations about the regulation of the national security sector. While the main focus remained on Ukraine’s realities, no strict geographical limitation was imposed. The research included works by various authors focusing on Ukraine, the EU, and the United States.</w:t>
      </w:r>
    </w:p>
    <w:p w14:paraId="46DE5078" w14:textId="77777777" w:rsidR="00E3097C" w:rsidRPr="0090631F" w:rsidRDefault="00E3097C" w:rsidP="00E3097C">
      <w:pPr>
        <w:spacing w:before="120" w:after="120"/>
        <w:ind w:left="426"/>
        <w:jc w:val="both"/>
        <w:rPr>
          <w:rFonts w:ascii="Calibri Light" w:hAnsi="Calibri Light" w:cs="Calibri Light"/>
          <w:b/>
          <w:sz w:val="24"/>
          <w:szCs w:val="24"/>
          <w:lang w:val="en-GB"/>
        </w:rPr>
      </w:pPr>
      <w:r w:rsidRPr="0090631F">
        <w:rPr>
          <w:rFonts w:ascii="Calibri Light" w:hAnsi="Calibri Light" w:cs="Calibri Light"/>
          <w:b/>
          <w:sz w:val="24"/>
          <w:szCs w:val="24"/>
          <w:lang w:val="en-GB"/>
        </w:rPr>
        <w:t>Data Collection</w:t>
      </w:r>
    </w:p>
    <w:p w14:paraId="59C1E67B" w14:textId="77777777" w:rsidR="00E3097C" w:rsidRPr="0090631F" w:rsidRDefault="00E3097C" w:rsidP="00E3097C">
      <w:pPr>
        <w:spacing w:before="120" w:after="120"/>
        <w:ind w:left="426"/>
        <w:jc w:val="both"/>
        <w:rPr>
          <w:rFonts w:ascii="Calibri Light" w:hAnsi="Calibri Light" w:cs="Calibri Light"/>
          <w:sz w:val="24"/>
          <w:szCs w:val="24"/>
          <w:lang w:val="en-GB"/>
        </w:rPr>
      </w:pPr>
      <w:r w:rsidRPr="0090631F">
        <w:rPr>
          <w:rFonts w:ascii="Calibri Light" w:hAnsi="Calibri Light" w:cs="Calibri Light"/>
          <w:sz w:val="24"/>
          <w:szCs w:val="24"/>
          <w:lang w:val="en-GB"/>
        </w:rPr>
        <w:t xml:space="preserve">The PRISMA approach was employed to ensure a meticulous identification and collection of the most relevant materials (Figure 1). Initially, the search targeted academic databases such as Scopus, Web of Science, and Google Scholar. Key terms included national security, strategies, security provisions, security sector, legal acts, legal regulation, Ukraine, EU countries, USA, war, information warfare, hybrid warfare, and cybersecurity. This search </w:t>
      </w:r>
      <w:r w:rsidRPr="0090631F">
        <w:rPr>
          <w:rFonts w:ascii="Calibri Light" w:hAnsi="Calibri Light" w:cs="Calibri Light"/>
          <w:sz w:val="24"/>
          <w:szCs w:val="24"/>
          <w:lang w:val="en-GB"/>
        </w:rPr>
        <w:lastRenderedPageBreak/>
        <w:t>resulted in 9,789 entries. Duplicate records (-4,523) and irrelevant materials identified through automation (-1,289) were removed. Further, non-relevant studies were excluded based on their titles and abstracts (1,745).</w:t>
      </w:r>
    </w:p>
    <w:p w14:paraId="7EB3E32F" w14:textId="77777777" w:rsidR="00E3097C" w:rsidRPr="0090631F" w:rsidRDefault="00E3097C" w:rsidP="00E3097C">
      <w:pPr>
        <w:spacing w:before="120" w:after="120"/>
        <w:ind w:left="426"/>
        <w:jc w:val="both"/>
        <w:rPr>
          <w:rFonts w:ascii="Calibri Light" w:hAnsi="Calibri Light" w:cs="Calibri Light"/>
          <w:sz w:val="24"/>
          <w:szCs w:val="24"/>
          <w:lang w:val="en-GB"/>
        </w:rPr>
      </w:pPr>
      <w:r w:rsidRPr="0090631F">
        <w:rPr>
          <w:rFonts w:ascii="Calibri Light" w:hAnsi="Calibri Light" w:cs="Calibri Light"/>
          <w:sz w:val="24"/>
          <w:szCs w:val="24"/>
          <w:lang w:val="en-GB"/>
        </w:rPr>
        <w:t>The inclusion criteria for the remaining sources were:</w:t>
      </w:r>
    </w:p>
    <w:p w14:paraId="561F6E7F" w14:textId="77777777" w:rsidR="00E3097C" w:rsidRPr="0090631F" w:rsidRDefault="00E3097C" w:rsidP="00E3097C">
      <w:pPr>
        <w:numPr>
          <w:ilvl w:val="0"/>
          <w:numId w:val="3"/>
        </w:numPr>
        <w:spacing w:before="120" w:after="120"/>
        <w:jc w:val="both"/>
        <w:rPr>
          <w:rFonts w:ascii="Calibri Light" w:hAnsi="Calibri Light" w:cs="Calibri Light"/>
          <w:sz w:val="24"/>
          <w:szCs w:val="24"/>
          <w:lang w:val="en-GB"/>
        </w:rPr>
      </w:pPr>
      <w:r w:rsidRPr="0090631F">
        <w:rPr>
          <w:rFonts w:ascii="Calibri Light" w:hAnsi="Calibri Light" w:cs="Calibri Light"/>
          <w:sz w:val="24"/>
          <w:szCs w:val="24"/>
          <w:lang w:val="en-GB"/>
        </w:rPr>
        <w:t>The study pertains to Ukrainian realities or national security in EU countries, the USA, or nations affected by military conflicts.</w:t>
      </w:r>
    </w:p>
    <w:p w14:paraId="0EDED1AF" w14:textId="77777777" w:rsidR="00E3097C" w:rsidRPr="0090631F" w:rsidRDefault="00E3097C" w:rsidP="00E3097C">
      <w:pPr>
        <w:numPr>
          <w:ilvl w:val="0"/>
          <w:numId w:val="3"/>
        </w:numPr>
        <w:spacing w:before="120" w:after="120"/>
        <w:jc w:val="both"/>
        <w:rPr>
          <w:rFonts w:ascii="Calibri Light" w:hAnsi="Calibri Light" w:cs="Calibri Light"/>
          <w:sz w:val="24"/>
          <w:szCs w:val="24"/>
          <w:lang w:val="en-GB"/>
        </w:rPr>
      </w:pPr>
      <w:r w:rsidRPr="0090631F">
        <w:rPr>
          <w:rFonts w:ascii="Calibri Light" w:hAnsi="Calibri Light" w:cs="Calibri Light"/>
          <w:sz w:val="24"/>
          <w:szCs w:val="24"/>
          <w:lang w:val="en-GB"/>
        </w:rPr>
        <w:t>A substantive connection to issues of legal regulation in the security sector.</w:t>
      </w:r>
    </w:p>
    <w:p w14:paraId="151EEE5C" w14:textId="77777777" w:rsidR="00E3097C" w:rsidRPr="0090631F" w:rsidRDefault="00E3097C" w:rsidP="00E3097C">
      <w:pPr>
        <w:numPr>
          <w:ilvl w:val="0"/>
          <w:numId w:val="3"/>
        </w:numPr>
        <w:spacing w:before="120" w:after="120"/>
        <w:jc w:val="both"/>
        <w:rPr>
          <w:rFonts w:ascii="Calibri Light" w:hAnsi="Calibri Light" w:cs="Calibri Light"/>
          <w:sz w:val="24"/>
          <w:szCs w:val="24"/>
          <w:lang w:val="en-GB"/>
        </w:rPr>
      </w:pPr>
      <w:r w:rsidRPr="0090631F">
        <w:rPr>
          <w:rFonts w:ascii="Calibri Light" w:hAnsi="Calibri Light" w:cs="Calibri Light"/>
          <w:sz w:val="24"/>
          <w:szCs w:val="24"/>
          <w:lang w:val="en-GB"/>
        </w:rPr>
        <w:t>Publication date range: 2020–2024.</w:t>
      </w:r>
    </w:p>
    <w:p w14:paraId="5EAAF358" w14:textId="77777777" w:rsidR="00E3097C" w:rsidRPr="0090631F" w:rsidRDefault="00E3097C" w:rsidP="00E3097C">
      <w:pPr>
        <w:numPr>
          <w:ilvl w:val="0"/>
          <w:numId w:val="3"/>
        </w:numPr>
        <w:spacing w:before="120" w:after="120"/>
        <w:jc w:val="both"/>
        <w:rPr>
          <w:rFonts w:ascii="Calibri Light" w:hAnsi="Calibri Light" w:cs="Calibri Light"/>
          <w:sz w:val="24"/>
          <w:szCs w:val="24"/>
          <w:lang w:val="en-GB"/>
        </w:rPr>
      </w:pPr>
      <w:r w:rsidRPr="0090631F">
        <w:rPr>
          <w:rFonts w:ascii="Calibri Light" w:hAnsi="Calibri Light" w:cs="Calibri Light"/>
          <w:sz w:val="24"/>
          <w:szCs w:val="24"/>
          <w:lang w:val="en-GB"/>
        </w:rPr>
        <w:t>Language of publication: English (Ukrainian sources were included where English summaries were available).</w:t>
      </w:r>
    </w:p>
    <w:p w14:paraId="5F467273" w14:textId="77777777" w:rsidR="00E3097C" w:rsidRPr="0090631F" w:rsidRDefault="00E3097C" w:rsidP="00E3097C">
      <w:pPr>
        <w:spacing w:before="120" w:after="120"/>
        <w:ind w:left="426"/>
        <w:jc w:val="both"/>
        <w:rPr>
          <w:rFonts w:ascii="Calibri Light" w:hAnsi="Calibri Light" w:cs="Calibri Light"/>
          <w:sz w:val="24"/>
          <w:szCs w:val="24"/>
          <w:lang w:val="uk-UA"/>
        </w:rPr>
      </w:pPr>
      <w:r w:rsidRPr="0090631F">
        <w:rPr>
          <w:rFonts w:ascii="Calibri Light" w:hAnsi="Calibri Light" w:cs="Calibri Light"/>
          <w:noProof/>
          <w:sz w:val="24"/>
          <w:szCs w:val="24"/>
          <w:lang w:val="ru-RU" w:eastAsia="ru-RU"/>
        </w:rPr>
        <mc:AlternateContent>
          <mc:Choice Requires="wpg">
            <w:drawing>
              <wp:inline distT="0" distB="0" distL="0" distR="0" wp14:anchorId="71837B94" wp14:editId="5C28C716">
                <wp:extent cx="4733925" cy="5324475"/>
                <wp:effectExtent l="0" t="1905" r="635" b="7620"/>
                <wp:docPr id="1729428808" name="Группа 16056664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33925" cy="5324475"/>
                          <a:chOff x="2886025" y="1111400"/>
                          <a:chExt cx="4833300" cy="5337200"/>
                        </a:xfrm>
                      </wpg:grpSpPr>
                      <wpg:grpSp>
                        <wpg:cNvPr id="243277922" name="Группа 1"/>
                        <wpg:cNvGrpSpPr>
                          <a:grpSpLocks/>
                        </wpg:cNvGrpSpPr>
                        <wpg:grpSpPr bwMode="auto">
                          <a:xfrm>
                            <a:off x="2979038" y="1117763"/>
                            <a:ext cx="4733925" cy="5324475"/>
                            <a:chOff x="0" y="0"/>
                            <a:chExt cx="4335482" cy="5336540"/>
                          </a:xfrm>
                        </wpg:grpSpPr>
                        <wps:wsp>
                          <wps:cNvPr id="320960271" name="Прямоугольник 2"/>
                          <wps:cNvSpPr>
                            <a:spLocks noChangeArrowheads="1"/>
                          </wps:cNvSpPr>
                          <wps:spPr bwMode="auto">
                            <a:xfrm>
                              <a:off x="0" y="0"/>
                              <a:ext cx="4335475" cy="5336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F72B76" w14:textId="77777777" w:rsidR="00E3097C" w:rsidRDefault="00E3097C" w:rsidP="00E3097C">
                                <w:pPr>
                                  <w:textDirection w:val="btLr"/>
                                </w:pPr>
                              </w:p>
                            </w:txbxContent>
                          </wps:txbx>
                          <wps:bodyPr rot="0" vert="horz" wrap="square" lIns="91425" tIns="91425" rIns="91425" bIns="91425" anchor="ctr" anchorCtr="0" upright="1">
                            <a:noAutofit/>
                          </wps:bodyPr>
                        </wps:wsp>
                        <wps:wsp>
                          <wps:cNvPr id="1924792013" name="Прямоугольник 3"/>
                          <wps:cNvSpPr>
                            <a:spLocks noChangeArrowheads="1"/>
                          </wps:cNvSpPr>
                          <wps:spPr bwMode="auto">
                            <a:xfrm>
                              <a:off x="2676525" y="2686050"/>
                              <a:ext cx="1658957" cy="526415"/>
                            </a:xfrm>
                            <a:prstGeom prst="rect">
                              <a:avLst/>
                            </a:prstGeom>
                            <a:noFill/>
                            <a:ln w="12700">
                              <a:solidFill>
                                <a:srgbClr val="000000"/>
                              </a:solidFill>
                              <a:miter lim="800000"/>
                              <a:headEnd type="none" w="sm" len="sm"/>
                              <a:tailEnd type="none" w="sm" len="sm"/>
                            </a:ln>
                            <a:extLst>
                              <a:ext uri="{909E8E84-426E-40DD-AFC4-6F175D3DCCD1}">
                                <a14:hiddenFill xmlns:a14="http://schemas.microsoft.com/office/drawing/2010/main">
                                  <a:solidFill>
                                    <a:srgbClr val="FFFFFF"/>
                                  </a:solidFill>
                                </a14:hiddenFill>
                              </a:ext>
                            </a:extLst>
                          </wps:spPr>
                          <wps:txbx>
                            <w:txbxContent>
                              <w:p w14:paraId="23DE3A60" w14:textId="77777777" w:rsidR="00E3097C" w:rsidRDefault="00E3097C" w:rsidP="00E3097C">
                                <w:pPr>
                                  <w:spacing w:line="258" w:lineRule="auto"/>
                                  <w:textDirection w:val="btLr"/>
                                </w:pPr>
                                <w:r>
                                  <w:rPr>
                                    <w:rFonts w:ascii="Arial" w:hAnsi="Arial" w:cs="Arial"/>
                                    <w:color w:val="000000"/>
                                    <w:sz w:val="18"/>
                                  </w:rPr>
                                  <w:t>Reports not retrieved</w:t>
                                </w:r>
                              </w:p>
                              <w:p w14:paraId="1F72395D" w14:textId="77777777" w:rsidR="00E3097C" w:rsidRDefault="00E3097C" w:rsidP="00E3097C">
                                <w:pPr>
                                  <w:spacing w:line="258" w:lineRule="auto"/>
                                  <w:textDirection w:val="btLr"/>
                                </w:pPr>
                                <w:r>
                                  <w:rPr>
                                    <w:rFonts w:ascii="Arial" w:hAnsi="Arial" w:cs="Arial"/>
                                    <w:color w:val="000000"/>
                                    <w:sz w:val="18"/>
                                  </w:rPr>
                                  <w:t>(n = 321)</w:t>
                                </w:r>
                              </w:p>
                            </w:txbxContent>
                          </wps:txbx>
                          <wps:bodyPr rot="0" vert="horz" wrap="square" lIns="91425" tIns="45700" rIns="91425" bIns="45700" anchor="ctr" anchorCtr="0" upright="1">
                            <a:noAutofit/>
                          </wps:bodyPr>
                        </wps:wsp>
                        <wpg:grpSp>
                          <wpg:cNvPr id="1967994298" name="Группа 4"/>
                          <wpg:cNvGrpSpPr>
                            <a:grpSpLocks/>
                          </wpg:cNvGrpSpPr>
                          <wpg:grpSpPr bwMode="auto">
                            <a:xfrm>
                              <a:off x="0" y="0"/>
                              <a:ext cx="4324668" cy="5336540"/>
                              <a:chOff x="0" y="1"/>
                              <a:chExt cx="4844575" cy="5856129"/>
                            </a:xfrm>
                          </wpg:grpSpPr>
                          <wps:wsp>
                            <wps:cNvPr id="1832709556" name="Прямоугольник 5"/>
                            <wps:cNvSpPr>
                              <a:spLocks noChangeArrowheads="1"/>
                            </wps:cNvSpPr>
                            <wps:spPr bwMode="auto">
                              <a:xfrm>
                                <a:off x="457041" y="361950"/>
                                <a:ext cx="1887220" cy="1243330"/>
                              </a:xfrm>
                              <a:prstGeom prst="rect">
                                <a:avLst/>
                              </a:prstGeom>
                              <a:noFill/>
                              <a:ln w="12700">
                                <a:solidFill>
                                  <a:srgbClr val="000000"/>
                                </a:solidFill>
                                <a:miter lim="800000"/>
                                <a:headEnd type="none" w="sm" len="sm"/>
                                <a:tailEnd type="none" w="sm" len="sm"/>
                              </a:ln>
                              <a:extLst>
                                <a:ext uri="{909E8E84-426E-40DD-AFC4-6F175D3DCCD1}">
                                  <a14:hiddenFill xmlns:a14="http://schemas.microsoft.com/office/drawing/2010/main">
                                    <a:solidFill>
                                      <a:srgbClr val="FFFFFF"/>
                                    </a:solidFill>
                                  </a14:hiddenFill>
                                </a:ext>
                              </a:extLst>
                            </wps:spPr>
                            <wps:txbx>
                              <w:txbxContent>
                                <w:p w14:paraId="73D692B7" w14:textId="77777777" w:rsidR="00E3097C" w:rsidRDefault="00E3097C" w:rsidP="00E3097C">
                                  <w:pPr>
                                    <w:spacing w:line="258" w:lineRule="auto"/>
                                    <w:textDirection w:val="btLr"/>
                                  </w:pPr>
                                  <w:r>
                                    <w:rPr>
                                      <w:rFonts w:ascii="Arial" w:hAnsi="Arial" w:cs="Arial"/>
                                      <w:color w:val="000000"/>
                                      <w:sz w:val="18"/>
                                    </w:rPr>
                                    <w:t>Records identified from:</w:t>
                                  </w:r>
                                </w:p>
                                <w:p w14:paraId="09C77364" w14:textId="77777777" w:rsidR="00E3097C" w:rsidRDefault="00E3097C" w:rsidP="00E3097C">
                                  <w:pPr>
                                    <w:spacing w:line="258" w:lineRule="auto"/>
                                    <w:ind w:left="283" w:firstLine="283"/>
                                    <w:textDirection w:val="btLr"/>
                                  </w:pPr>
                                  <w:r>
                                    <w:rPr>
                                      <w:rFonts w:ascii="Arial" w:hAnsi="Arial" w:cs="Arial"/>
                                      <w:color w:val="000000"/>
                                      <w:sz w:val="18"/>
                                    </w:rPr>
                                    <w:t>Databases (n = 9789)</w:t>
                                  </w:r>
                                </w:p>
                                <w:p w14:paraId="43A26F03" w14:textId="77777777" w:rsidR="00E3097C" w:rsidRDefault="00E3097C" w:rsidP="00E3097C">
                                  <w:pPr>
                                    <w:spacing w:line="258" w:lineRule="auto"/>
                                    <w:ind w:left="283" w:firstLine="283"/>
                                    <w:textDirection w:val="btLr"/>
                                  </w:pPr>
                                </w:p>
                              </w:txbxContent>
                            </wps:txbx>
                            <wps:bodyPr rot="0" vert="horz" wrap="square" lIns="91425" tIns="45700" rIns="91425" bIns="45700" anchor="ctr" anchorCtr="0" upright="1">
                              <a:noAutofit/>
                            </wps:bodyPr>
                          </wps:wsp>
                          <wps:wsp>
                            <wps:cNvPr id="850331080" name="Прямоугольник 6"/>
                            <wps:cNvSpPr>
                              <a:spLocks noChangeArrowheads="1"/>
                            </wps:cNvSpPr>
                            <wps:spPr bwMode="auto">
                              <a:xfrm>
                                <a:off x="2938088" y="361929"/>
                                <a:ext cx="1887220" cy="1508232"/>
                              </a:xfrm>
                              <a:prstGeom prst="rect">
                                <a:avLst/>
                              </a:prstGeom>
                              <a:noFill/>
                              <a:ln w="12700">
                                <a:solidFill>
                                  <a:srgbClr val="000000"/>
                                </a:solidFill>
                                <a:miter lim="800000"/>
                                <a:headEnd type="none" w="sm" len="sm"/>
                                <a:tailEnd type="none" w="sm" len="sm"/>
                              </a:ln>
                              <a:extLst>
                                <a:ext uri="{909E8E84-426E-40DD-AFC4-6F175D3DCCD1}">
                                  <a14:hiddenFill xmlns:a14="http://schemas.microsoft.com/office/drawing/2010/main">
                                    <a:solidFill>
                                      <a:srgbClr val="FFFFFF"/>
                                    </a:solidFill>
                                  </a14:hiddenFill>
                                </a:ext>
                              </a:extLst>
                            </wps:spPr>
                            <wps:txbx>
                              <w:txbxContent>
                                <w:p w14:paraId="3F30E5FD" w14:textId="77777777" w:rsidR="00E3097C" w:rsidRDefault="00E3097C" w:rsidP="00E3097C">
                                  <w:pPr>
                                    <w:spacing w:line="258" w:lineRule="auto"/>
                                    <w:textDirection w:val="btLr"/>
                                  </w:pPr>
                                  <w:r>
                                    <w:rPr>
                                      <w:rFonts w:ascii="Arial" w:hAnsi="Arial" w:cs="Arial"/>
                                      <w:color w:val="000000"/>
                                      <w:sz w:val="18"/>
                                    </w:rPr>
                                    <w:t xml:space="preserve">Records removed </w:t>
                                  </w:r>
                                  <w:r>
                                    <w:rPr>
                                      <w:rFonts w:ascii="Arial" w:hAnsi="Arial" w:cs="Arial"/>
                                      <w:i/>
                                      <w:color w:val="000000"/>
                                      <w:sz w:val="18"/>
                                    </w:rPr>
                                    <w:t>before screening</w:t>
                                  </w:r>
                                  <w:r>
                                    <w:rPr>
                                      <w:rFonts w:ascii="Arial" w:hAnsi="Arial" w:cs="Arial"/>
                                      <w:color w:val="000000"/>
                                      <w:sz w:val="18"/>
                                    </w:rPr>
                                    <w:t>:</w:t>
                                  </w:r>
                                </w:p>
                                <w:p w14:paraId="51F3E889" w14:textId="77777777" w:rsidR="00E3097C" w:rsidRDefault="00E3097C" w:rsidP="00E3097C">
                                  <w:pPr>
                                    <w:spacing w:line="258" w:lineRule="auto"/>
                                    <w:ind w:left="283" w:firstLine="283"/>
                                    <w:textDirection w:val="btLr"/>
                                  </w:pPr>
                                  <w:r>
                                    <w:rPr>
                                      <w:rFonts w:ascii="Arial" w:hAnsi="Arial" w:cs="Arial"/>
                                      <w:color w:val="000000"/>
                                      <w:sz w:val="18"/>
                                    </w:rPr>
                                    <w:t xml:space="preserve">Duplicate removed </w:t>
                                  </w:r>
                                </w:p>
                                <w:p w14:paraId="152CB081" w14:textId="77777777" w:rsidR="00E3097C" w:rsidRDefault="00E3097C" w:rsidP="00E3097C">
                                  <w:pPr>
                                    <w:spacing w:line="258" w:lineRule="auto"/>
                                    <w:ind w:left="283" w:firstLine="283"/>
                                    <w:textDirection w:val="btLr"/>
                                  </w:pPr>
                                  <w:r>
                                    <w:rPr>
                                      <w:rFonts w:ascii="Arial" w:hAnsi="Arial" w:cs="Arial"/>
                                      <w:color w:val="000000"/>
                                      <w:sz w:val="18"/>
                                    </w:rPr>
                                    <w:t xml:space="preserve"> (n = 4523)</w:t>
                                  </w:r>
                                </w:p>
                                <w:p w14:paraId="6E7C0B71" w14:textId="77777777" w:rsidR="00E3097C" w:rsidRDefault="00E3097C" w:rsidP="00E3097C">
                                  <w:pPr>
                                    <w:spacing w:line="258" w:lineRule="auto"/>
                                    <w:ind w:left="283" w:firstLine="283"/>
                                    <w:textDirection w:val="btLr"/>
                                  </w:pPr>
                                  <w:r>
                                    <w:rPr>
                                      <w:rFonts w:ascii="Arial" w:hAnsi="Arial" w:cs="Arial"/>
                                      <w:color w:val="000000"/>
                                      <w:sz w:val="18"/>
                                    </w:rPr>
                                    <w:t>Marked as ineligible by automation tools (n = 1289)</w:t>
                                  </w:r>
                                </w:p>
                                <w:p w14:paraId="27CFF24D" w14:textId="77777777" w:rsidR="00E3097C" w:rsidRDefault="00E3097C" w:rsidP="00E3097C">
                                  <w:pPr>
                                    <w:spacing w:line="258" w:lineRule="auto"/>
                                    <w:ind w:left="283" w:firstLine="283"/>
                                    <w:textDirection w:val="btLr"/>
                                  </w:pPr>
                                </w:p>
                              </w:txbxContent>
                            </wps:txbx>
                            <wps:bodyPr rot="0" vert="horz" wrap="square" lIns="91425" tIns="45700" rIns="91425" bIns="45700" anchor="ctr" anchorCtr="0" upright="1">
                              <a:noAutofit/>
                            </wps:bodyPr>
                          </wps:wsp>
                          <wps:wsp>
                            <wps:cNvPr id="2139676130" name="Прямоугольник 7"/>
                            <wps:cNvSpPr>
                              <a:spLocks noChangeArrowheads="1"/>
                            </wps:cNvSpPr>
                            <wps:spPr bwMode="auto">
                              <a:xfrm>
                                <a:off x="457041" y="1990725"/>
                                <a:ext cx="1887220" cy="526415"/>
                              </a:xfrm>
                              <a:prstGeom prst="rect">
                                <a:avLst/>
                              </a:prstGeom>
                              <a:noFill/>
                              <a:ln w="12700">
                                <a:solidFill>
                                  <a:srgbClr val="000000"/>
                                </a:solidFill>
                                <a:miter lim="800000"/>
                                <a:headEnd type="none" w="sm" len="sm"/>
                                <a:tailEnd type="none" w="sm" len="sm"/>
                              </a:ln>
                              <a:extLst>
                                <a:ext uri="{909E8E84-426E-40DD-AFC4-6F175D3DCCD1}">
                                  <a14:hiddenFill xmlns:a14="http://schemas.microsoft.com/office/drawing/2010/main">
                                    <a:solidFill>
                                      <a:srgbClr val="FFFFFF"/>
                                    </a:solidFill>
                                  </a14:hiddenFill>
                                </a:ext>
                              </a:extLst>
                            </wps:spPr>
                            <wps:txbx>
                              <w:txbxContent>
                                <w:p w14:paraId="6558D0E0" w14:textId="77777777" w:rsidR="00E3097C" w:rsidRDefault="00E3097C" w:rsidP="00E3097C">
                                  <w:pPr>
                                    <w:spacing w:line="258" w:lineRule="auto"/>
                                    <w:textDirection w:val="btLr"/>
                                  </w:pPr>
                                  <w:r>
                                    <w:rPr>
                                      <w:rFonts w:ascii="Arial" w:hAnsi="Arial" w:cs="Arial"/>
                                      <w:color w:val="000000"/>
                                      <w:sz w:val="18"/>
                                    </w:rPr>
                                    <w:t>Records screened</w:t>
                                  </w:r>
                                </w:p>
                                <w:p w14:paraId="1B51FFB6" w14:textId="77777777" w:rsidR="00E3097C" w:rsidRDefault="00E3097C" w:rsidP="00E3097C">
                                  <w:pPr>
                                    <w:spacing w:line="258" w:lineRule="auto"/>
                                    <w:textDirection w:val="btLr"/>
                                  </w:pPr>
                                  <w:r>
                                    <w:rPr>
                                      <w:rFonts w:ascii="Arial" w:hAnsi="Arial" w:cs="Arial"/>
                                      <w:color w:val="000000"/>
                                      <w:sz w:val="18"/>
                                    </w:rPr>
                                    <w:t>(n = 3977)</w:t>
                                  </w:r>
                                </w:p>
                              </w:txbxContent>
                            </wps:txbx>
                            <wps:bodyPr rot="0" vert="horz" wrap="square" lIns="91425" tIns="45700" rIns="91425" bIns="45700" anchor="ctr" anchorCtr="0" upright="1">
                              <a:noAutofit/>
                            </wps:bodyPr>
                          </wps:wsp>
                          <wps:wsp>
                            <wps:cNvPr id="379360048" name="Прямоугольник 8"/>
                            <wps:cNvSpPr>
                              <a:spLocks noChangeArrowheads="1"/>
                            </wps:cNvSpPr>
                            <wps:spPr bwMode="auto">
                              <a:xfrm>
                                <a:off x="2947732" y="1990671"/>
                                <a:ext cx="1887220" cy="719192"/>
                              </a:xfrm>
                              <a:prstGeom prst="rect">
                                <a:avLst/>
                              </a:prstGeom>
                              <a:noFill/>
                              <a:ln w="12700">
                                <a:solidFill>
                                  <a:srgbClr val="000000"/>
                                </a:solidFill>
                                <a:miter lim="800000"/>
                                <a:headEnd type="none" w="sm" len="sm"/>
                                <a:tailEnd type="none" w="sm" len="sm"/>
                              </a:ln>
                              <a:extLst>
                                <a:ext uri="{909E8E84-426E-40DD-AFC4-6F175D3DCCD1}">
                                  <a14:hiddenFill xmlns:a14="http://schemas.microsoft.com/office/drawing/2010/main">
                                    <a:solidFill>
                                      <a:srgbClr val="FFFFFF"/>
                                    </a:solidFill>
                                  </a14:hiddenFill>
                                </a:ext>
                              </a:extLst>
                            </wps:spPr>
                            <wps:txbx>
                              <w:txbxContent>
                                <w:p w14:paraId="29343780" w14:textId="77777777" w:rsidR="00E3097C" w:rsidRDefault="00E3097C" w:rsidP="00E3097C">
                                  <w:pPr>
                                    <w:spacing w:line="258" w:lineRule="auto"/>
                                    <w:textDirection w:val="btLr"/>
                                  </w:pPr>
                                  <w:r>
                                    <w:rPr>
                                      <w:rFonts w:ascii="Arial" w:hAnsi="Arial" w:cs="Arial"/>
                                      <w:color w:val="000000"/>
                                      <w:sz w:val="18"/>
                                    </w:rPr>
                                    <w:t xml:space="preserve">Records excluded by analysis abstracts </w:t>
                                  </w:r>
                                </w:p>
                                <w:p w14:paraId="5341E7D7" w14:textId="77777777" w:rsidR="00E3097C" w:rsidRDefault="00E3097C" w:rsidP="00E3097C">
                                  <w:pPr>
                                    <w:spacing w:line="258" w:lineRule="auto"/>
                                    <w:textDirection w:val="btLr"/>
                                  </w:pPr>
                                  <w:r>
                                    <w:rPr>
                                      <w:rFonts w:ascii="Arial" w:hAnsi="Arial" w:cs="Arial"/>
                                      <w:color w:val="000000"/>
                                      <w:sz w:val="18"/>
                                    </w:rPr>
                                    <w:t>(n = 1745)</w:t>
                                  </w:r>
                                </w:p>
                              </w:txbxContent>
                            </wps:txbx>
                            <wps:bodyPr rot="0" vert="horz" wrap="square" lIns="91425" tIns="45700" rIns="91425" bIns="45700" anchor="ctr" anchorCtr="0" upright="1">
                              <a:noAutofit/>
                            </wps:bodyPr>
                          </wps:wsp>
                          <wps:wsp>
                            <wps:cNvPr id="2103797238" name="Прямоугольник 9"/>
                            <wps:cNvSpPr>
                              <a:spLocks noChangeArrowheads="1"/>
                            </wps:cNvSpPr>
                            <wps:spPr bwMode="auto">
                              <a:xfrm>
                                <a:off x="461804" y="2867025"/>
                                <a:ext cx="1887220" cy="526415"/>
                              </a:xfrm>
                              <a:prstGeom prst="rect">
                                <a:avLst/>
                              </a:prstGeom>
                              <a:noFill/>
                              <a:ln w="12700">
                                <a:solidFill>
                                  <a:srgbClr val="000000"/>
                                </a:solidFill>
                                <a:miter lim="800000"/>
                                <a:headEnd type="none" w="sm" len="sm"/>
                                <a:tailEnd type="none" w="sm" len="sm"/>
                              </a:ln>
                              <a:extLst>
                                <a:ext uri="{909E8E84-426E-40DD-AFC4-6F175D3DCCD1}">
                                  <a14:hiddenFill xmlns:a14="http://schemas.microsoft.com/office/drawing/2010/main">
                                    <a:solidFill>
                                      <a:srgbClr val="FFFFFF"/>
                                    </a:solidFill>
                                  </a14:hiddenFill>
                                </a:ext>
                              </a:extLst>
                            </wps:spPr>
                            <wps:txbx>
                              <w:txbxContent>
                                <w:p w14:paraId="0B179950" w14:textId="77777777" w:rsidR="00E3097C" w:rsidRDefault="00E3097C" w:rsidP="00E3097C">
                                  <w:pPr>
                                    <w:spacing w:line="258" w:lineRule="auto"/>
                                    <w:textDirection w:val="btLr"/>
                                  </w:pPr>
                                  <w:r>
                                    <w:rPr>
                                      <w:rFonts w:ascii="Arial" w:hAnsi="Arial" w:cs="Arial"/>
                                      <w:color w:val="000000"/>
                                      <w:sz w:val="18"/>
                                    </w:rPr>
                                    <w:t>Reports sought for retrieval</w:t>
                                  </w:r>
                                </w:p>
                                <w:p w14:paraId="236149E3" w14:textId="77777777" w:rsidR="00E3097C" w:rsidRDefault="00E3097C" w:rsidP="00E3097C">
                                  <w:pPr>
                                    <w:spacing w:line="258" w:lineRule="auto"/>
                                    <w:textDirection w:val="btLr"/>
                                  </w:pPr>
                                  <w:r>
                                    <w:rPr>
                                      <w:rFonts w:ascii="Arial" w:hAnsi="Arial" w:cs="Arial"/>
                                      <w:color w:val="000000"/>
                                      <w:sz w:val="18"/>
                                    </w:rPr>
                                    <w:t>(n = 2232)</w:t>
                                  </w:r>
                                </w:p>
                              </w:txbxContent>
                            </wps:txbx>
                            <wps:bodyPr rot="0" vert="horz" wrap="square" lIns="91425" tIns="45700" rIns="91425" bIns="45700" anchor="ctr" anchorCtr="0" upright="1">
                              <a:noAutofit/>
                            </wps:bodyPr>
                          </wps:wsp>
                          <wps:wsp>
                            <wps:cNvPr id="1890165776" name="Прямоугольник 10"/>
                            <wps:cNvSpPr>
                              <a:spLocks noChangeArrowheads="1"/>
                            </wps:cNvSpPr>
                            <wps:spPr bwMode="auto">
                              <a:xfrm>
                                <a:off x="461804" y="3738563"/>
                                <a:ext cx="1887220" cy="526415"/>
                              </a:xfrm>
                              <a:prstGeom prst="rect">
                                <a:avLst/>
                              </a:prstGeom>
                              <a:noFill/>
                              <a:ln w="12700">
                                <a:solidFill>
                                  <a:srgbClr val="000000"/>
                                </a:solidFill>
                                <a:miter lim="800000"/>
                                <a:headEnd type="none" w="sm" len="sm"/>
                                <a:tailEnd type="none" w="sm" len="sm"/>
                              </a:ln>
                              <a:extLst>
                                <a:ext uri="{909E8E84-426E-40DD-AFC4-6F175D3DCCD1}">
                                  <a14:hiddenFill xmlns:a14="http://schemas.microsoft.com/office/drawing/2010/main">
                                    <a:solidFill>
                                      <a:srgbClr val="FFFFFF"/>
                                    </a:solidFill>
                                  </a14:hiddenFill>
                                </a:ext>
                              </a:extLst>
                            </wps:spPr>
                            <wps:txbx>
                              <w:txbxContent>
                                <w:p w14:paraId="7D7505E1" w14:textId="77777777" w:rsidR="00E3097C" w:rsidRDefault="00E3097C" w:rsidP="00E3097C">
                                  <w:pPr>
                                    <w:spacing w:line="258" w:lineRule="auto"/>
                                    <w:textDirection w:val="btLr"/>
                                  </w:pPr>
                                  <w:r>
                                    <w:rPr>
                                      <w:rFonts w:ascii="Arial" w:hAnsi="Arial" w:cs="Arial"/>
                                      <w:color w:val="000000"/>
                                      <w:sz w:val="18"/>
                                    </w:rPr>
                                    <w:t>Reports assessed for eligibility</w:t>
                                  </w:r>
                                </w:p>
                                <w:p w14:paraId="0D6F930F" w14:textId="77777777" w:rsidR="00E3097C" w:rsidRDefault="00E3097C" w:rsidP="00E3097C">
                                  <w:pPr>
                                    <w:spacing w:line="258" w:lineRule="auto"/>
                                    <w:textDirection w:val="btLr"/>
                                  </w:pPr>
                                  <w:r>
                                    <w:rPr>
                                      <w:rFonts w:ascii="Arial" w:hAnsi="Arial" w:cs="Arial"/>
                                      <w:color w:val="000000"/>
                                      <w:sz w:val="18"/>
                                    </w:rPr>
                                    <w:t>(n = 1911)</w:t>
                                  </w:r>
                                </w:p>
                              </w:txbxContent>
                            </wps:txbx>
                            <wps:bodyPr rot="0" vert="horz" wrap="square" lIns="91425" tIns="45700" rIns="91425" bIns="45700" anchor="ctr" anchorCtr="0" upright="1">
                              <a:noAutofit/>
                            </wps:bodyPr>
                          </wps:wsp>
                          <wps:wsp>
                            <wps:cNvPr id="1860102955" name="Прямоугольник 11"/>
                            <wps:cNvSpPr>
                              <a:spLocks noChangeArrowheads="1"/>
                            </wps:cNvSpPr>
                            <wps:spPr bwMode="auto">
                              <a:xfrm>
                                <a:off x="2957354" y="3733800"/>
                                <a:ext cx="1887220" cy="1133475"/>
                              </a:xfrm>
                              <a:prstGeom prst="rect">
                                <a:avLst/>
                              </a:prstGeom>
                              <a:noFill/>
                              <a:ln w="12700">
                                <a:solidFill>
                                  <a:srgbClr val="000000"/>
                                </a:solidFill>
                                <a:miter lim="800000"/>
                                <a:headEnd type="none" w="sm" len="sm"/>
                                <a:tailEnd type="none" w="sm" len="sm"/>
                              </a:ln>
                              <a:extLst>
                                <a:ext uri="{909E8E84-426E-40DD-AFC4-6F175D3DCCD1}">
                                  <a14:hiddenFill xmlns:a14="http://schemas.microsoft.com/office/drawing/2010/main">
                                    <a:solidFill>
                                      <a:srgbClr val="FFFFFF"/>
                                    </a:solidFill>
                                  </a14:hiddenFill>
                                </a:ext>
                              </a:extLst>
                            </wps:spPr>
                            <wps:txbx>
                              <w:txbxContent>
                                <w:p w14:paraId="4271D656" w14:textId="77777777" w:rsidR="00E3097C" w:rsidRPr="0090631F" w:rsidRDefault="00E3097C" w:rsidP="00E3097C">
                                  <w:pPr>
                                    <w:spacing w:line="258" w:lineRule="auto"/>
                                    <w:textDirection w:val="btLr"/>
                                    <w:rPr>
                                      <w:lang w:val="pt-PT"/>
                                    </w:rPr>
                                  </w:pPr>
                                  <w:r w:rsidRPr="0090631F">
                                    <w:rPr>
                                      <w:rFonts w:ascii="Arial" w:hAnsi="Arial" w:cs="Arial"/>
                                      <w:color w:val="000000"/>
                                      <w:sz w:val="18"/>
                                      <w:lang w:val="pt-PT"/>
                                    </w:rPr>
                                    <w:t>Reports excluded:</w:t>
                                  </w:r>
                                </w:p>
                                <w:p w14:paraId="24387BAF" w14:textId="77777777" w:rsidR="00E3097C" w:rsidRPr="0090631F" w:rsidRDefault="00E3097C" w:rsidP="00E3097C">
                                  <w:pPr>
                                    <w:spacing w:line="258" w:lineRule="auto"/>
                                    <w:ind w:left="283" w:firstLine="283"/>
                                    <w:textDirection w:val="btLr"/>
                                    <w:rPr>
                                      <w:lang w:val="pt-PT"/>
                                    </w:rPr>
                                  </w:pPr>
                                  <w:r>
                                    <w:rPr>
                                      <w:rFonts w:ascii="Arial" w:hAnsi="Arial" w:cs="Arial"/>
                                      <w:color w:val="000000"/>
                                      <w:sz w:val="18"/>
                                    </w:rPr>
                                    <w:t>С</w:t>
                                  </w:r>
                                  <w:r w:rsidRPr="0090631F">
                                    <w:rPr>
                                      <w:rFonts w:ascii="Arial" w:hAnsi="Arial" w:cs="Arial"/>
                                      <w:color w:val="000000"/>
                                      <w:sz w:val="18"/>
                                      <w:lang w:val="pt-PT"/>
                                    </w:rPr>
                                    <w:t>. 1 (n = 334)</w:t>
                                  </w:r>
                                </w:p>
                                <w:p w14:paraId="25EDA545" w14:textId="77777777" w:rsidR="00E3097C" w:rsidRPr="0090631F" w:rsidRDefault="00E3097C" w:rsidP="00E3097C">
                                  <w:pPr>
                                    <w:spacing w:line="258" w:lineRule="auto"/>
                                    <w:ind w:left="283" w:firstLine="283"/>
                                    <w:textDirection w:val="btLr"/>
                                    <w:rPr>
                                      <w:lang w:val="pt-PT"/>
                                    </w:rPr>
                                  </w:pPr>
                                  <w:r>
                                    <w:rPr>
                                      <w:rFonts w:ascii="Arial" w:hAnsi="Arial" w:cs="Arial"/>
                                      <w:color w:val="000000"/>
                                      <w:sz w:val="18"/>
                                    </w:rPr>
                                    <w:t>С</w:t>
                                  </w:r>
                                  <w:r w:rsidRPr="0090631F">
                                    <w:rPr>
                                      <w:rFonts w:ascii="Arial" w:hAnsi="Arial" w:cs="Arial"/>
                                      <w:color w:val="000000"/>
                                      <w:sz w:val="18"/>
                                      <w:lang w:val="pt-PT"/>
                                    </w:rPr>
                                    <w:t>. 2 (n = 477)</w:t>
                                  </w:r>
                                </w:p>
                                <w:p w14:paraId="28EA007D" w14:textId="77777777" w:rsidR="00E3097C" w:rsidRPr="0090631F" w:rsidRDefault="00E3097C" w:rsidP="00E3097C">
                                  <w:pPr>
                                    <w:spacing w:line="258" w:lineRule="auto"/>
                                    <w:ind w:left="283" w:firstLine="283"/>
                                    <w:textDirection w:val="btLr"/>
                                    <w:rPr>
                                      <w:lang w:val="pt-PT"/>
                                    </w:rPr>
                                  </w:pPr>
                                  <w:r>
                                    <w:rPr>
                                      <w:rFonts w:ascii="Arial" w:hAnsi="Arial" w:cs="Arial"/>
                                      <w:color w:val="000000"/>
                                      <w:sz w:val="18"/>
                                    </w:rPr>
                                    <w:t>С</w:t>
                                  </w:r>
                                  <w:r w:rsidRPr="0090631F">
                                    <w:rPr>
                                      <w:rFonts w:ascii="Arial" w:hAnsi="Arial" w:cs="Arial"/>
                                      <w:color w:val="000000"/>
                                      <w:sz w:val="18"/>
                                      <w:lang w:val="pt-PT"/>
                                    </w:rPr>
                                    <w:t>. 3 (n = 695)</w:t>
                                  </w:r>
                                </w:p>
                                <w:p w14:paraId="34218CA2" w14:textId="77777777" w:rsidR="00E3097C" w:rsidRDefault="00E3097C" w:rsidP="00E3097C">
                                  <w:pPr>
                                    <w:spacing w:line="258" w:lineRule="auto"/>
                                    <w:ind w:left="283" w:firstLine="283"/>
                                    <w:textDirection w:val="btLr"/>
                                  </w:pPr>
                                  <w:r>
                                    <w:rPr>
                                      <w:rFonts w:ascii="Arial" w:hAnsi="Arial" w:cs="Arial"/>
                                      <w:color w:val="000000"/>
                                      <w:sz w:val="18"/>
                                    </w:rPr>
                                    <w:t>С. 4.( n =  361)</w:t>
                                  </w:r>
                                </w:p>
                                <w:p w14:paraId="061CF8CC" w14:textId="77777777" w:rsidR="00E3097C" w:rsidRDefault="00E3097C" w:rsidP="00E3097C">
                                  <w:pPr>
                                    <w:spacing w:line="258" w:lineRule="auto"/>
                                    <w:ind w:left="283" w:firstLine="283"/>
                                    <w:textDirection w:val="btLr"/>
                                  </w:pPr>
                                </w:p>
                              </w:txbxContent>
                            </wps:txbx>
                            <wps:bodyPr rot="0" vert="horz" wrap="square" lIns="91425" tIns="45700" rIns="91425" bIns="45700" anchor="ctr" anchorCtr="0" upright="1">
                              <a:noAutofit/>
                            </wps:bodyPr>
                          </wps:wsp>
                          <wps:wsp>
                            <wps:cNvPr id="1222619073" name="Прямоугольник 12"/>
                            <wps:cNvSpPr>
                              <a:spLocks noChangeArrowheads="1"/>
                            </wps:cNvSpPr>
                            <wps:spPr bwMode="auto">
                              <a:xfrm>
                                <a:off x="437991" y="5100638"/>
                                <a:ext cx="1887220" cy="723900"/>
                              </a:xfrm>
                              <a:prstGeom prst="rect">
                                <a:avLst/>
                              </a:prstGeom>
                              <a:noFill/>
                              <a:ln w="12700">
                                <a:solidFill>
                                  <a:srgbClr val="000000"/>
                                </a:solidFill>
                                <a:miter lim="800000"/>
                                <a:headEnd type="none" w="sm" len="sm"/>
                                <a:tailEnd type="none" w="sm" len="sm"/>
                              </a:ln>
                              <a:extLst>
                                <a:ext uri="{909E8E84-426E-40DD-AFC4-6F175D3DCCD1}">
                                  <a14:hiddenFill xmlns:a14="http://schemas.microsoft.com/office/drawing/2010/main">
                                    <a:solidFill>
                                      <a:srgbClr val="FFFFFF"/>
                                    </a:solidFill>
                                  </a14:hiddenFill>
                                </a:ext>
                              </a:extLst>
                            </wps:spPr>
                            <wps:txbx>
                              <w:txbxContent>
                                <w:p w14:paraId="1FE71E89" w14:textId="77777777" w:rsidR="00E3097C" w:rsidRDefault="00E3097C" w:rsidP="00E3097C">
                                  <w:pPr>
                                    <w:spacing w:line="258" w:lineRule="auto"/>
                                    <w:textDirection w:val="btLr"/>
                                  </w:pPr>
                                  <w:r>
                                    <w:rPr>
                                      <w:rFonts w:ascii="Arial" w:hAnsi="Arial" w:cs="Arial"/>
                                      <w:color w:val="000000"/>
                                      <w:sz w:val="18"/>
                                    </w:rPr>
                                    <w:t>Studies included</w:t>
                                  </w:r>
                                </w:p>
                                <w:p w14:paraId="008B2884" w14:textId="77777777" w:rsidR="00E3097C" w:rsidRDefault="00E3097C" w:rsidP="00E3097C">
                                  <w:pPr>
                                    <w:spacing w:line="258" w:lineRule="auto"/>
                                    <w:textDirection w:val="btLr"/>
                                  </w:pPr>
                                  <w:r>
                                    <w:rPr>
                                      <w:rFonts w:ascii="Arial" w:hAnsi="Arial" w:cs="Arial"/>
                                      <w:color w:val="000000"/>
                                      <w:sz w:val="18"/>
                                    </w:rPr>
                                    <w:t>(n = 44)</w:t>
                                  </w:r>
                                </w:p>
                                <w:p w14:paraId="759E1303" w14:textId="77777777" w:rsidR="00E3097C" w:rsidRDefault="00E3097C" w:rsidP="00E3097C">
                                  <w:pPr>
                                    <w:spacing w:line="258" w:lineRule="auto"/>
                                    <w:textDirection w:val="btLr"/>
                                  </w:pPr>
                                </w:p>
                              </w:txbxContent>
                            </wps:txbx>
                            <wps:bodyPr rot="0" vert="horz" wrap="square" lIns="91425" tIns="45700" rIns="91425" bIns="45700" anchor="ctr" anchorCtr="0" upright="1">
                              <a:noAutofit/>
                            </wps:bodyPr>
                          </wps:wsp>
                          <wps:wsp>
                            <wps:cNvPr id="799870289" name="Прямая со стрелкой 13"/>
                            <wps:cNvCnPr>
                              <a:cxnSpLocks noChangeShapeType="1"/>
                            </wps:cNvCnPr>
                            <wps:spPr bwMode="auto">
                              <a:xfrm>
                                <a:off x="2352516" y="1019175"/>
                                <a:ext cx="563245" cy="0"/>
                              </a:xfrm>
                              <a:prstGeom prst="straightConnector1">
                                <a:avLst/>
                              </a:prstGeom>
                              <a:noFill/>
                              <a:ln w="9525">
                                <a:solidFill>
                                  <a:srgbClr val="000000"/>
                                </a:solidFill>
                                <a:miter lim="800000"/>
                                <a:headEnd type="none" w="sm" len="sm"/>
                                <a:tailEnd type="triangle" w="med" len="med"/>
                              </a:ln>
                              <a:extLst>
                                <a:ext uri="{909E8E84-426E-40DD-AFC4-6F175D3DCCD1}">
                                  <a14:hiddenFill xmlns:a14="http://schemas.microsoft.com/office/drawing/2010/main">
                                    <a:noFill/>
                                  </a14:hiddenFill>
                                </a:ext>
                              </a:extLst>
                            </wps:spPr>
                            <wps:bodyPr/>
                          </wps:wsp>
                          <wps:wsp>
                            <wps:cNvPr id="1372210060" name="Прямая со стрелкой 14"/>
                            <wps:cNvCnPr>
                              <a:cxnSpLocks noChangeShapeType="1"/>
                            </wps:cNvCnPr>
                            <wps:spPr bwMode="auto">
                              <a:xfrm>
                                <a:off x="2352516" y="2243138"/>
                                <a:ext cx="563245" cy="0"/>
                              </a:xfrm>
                              <a:prstGeom prst="straightConnector1">
                                <a:avLst/>
                              </a:prstGeom>
                              <a:noFill/>
                              <a:ln w="9525">
                                <a:solidFill>
                                  <a:srgbClr val="000000"/>
                                </a:solidFill>
                                <a:miter lim="800000"/>
                                <a:headEnd type="none" w="sm" len="sm"/>
                                <a:tailEnd type="triangle" w="med" len="med"/>
                              </a:ln>
                              <a:extLst>
                                <a:ext uri="{909E8E84-426E-40DD-AFC4-6F175D3DCCD1}">
                                  <a14:hiddenFill xmlns:a14="http://schemas.microsoft.com/office/drawing/2010/main">
                                    <a:noFill/>
                                  </a14:hiddenFill>
                                </a:ext>
                              </a:extLst>
                            </wps:spPr>
                            <wps:bodyPr/>
                          </wps:wsp>
                          <wps:wsp>
                            <wps:cNvPr id="562577238" name="Прямая со стрелкой 15"/>
                            <wps:cNvCnPr>
                              <a:cxnSpLocks noChangeShapeType="1"/>
                            </wps:cNvCnPr>
                            <wps:spPr bwMode="auto">
                              <a:xfrm>
                                <a:off x="2362041" y="3138488"/>
                                <a:ext cx="563245" cy="0"/>
                              </a:xfrm>
                              <a:prstGeom prst="straightConnector1">
                                <a:avLst/>
                              </a:prstGeom>
                              <a:noFill/>
                              <a:ln w="9525">
                                <a:solidFill>
                                  <a:srgbClr val="000000"/>
                                </a:solidFill>
                                <a:miter lim="800000"/>
                                <a:headEnd type="none" w="sm" len="sm"/>
                                <a:tailEnd type="triangle" w="med" len="med"/>
                              </a:ln>
                              <a:extLst>
                                <a:ext uri="{909E8E84-426E-40DD-AFC4-6F175D3DCCD1}">
                                  <a14:hiddenFill xmlns:a14="http://schemas.microsoft.com/office/drawing/2010/main">
                                    <a:noFill/>
                                  </a14:hiddenFill>
                                </a:ext>
                              </a:extLst>
                            </wps:spPr>
                            <wps:bodyPr/>
                          </wps:wsp>
                          <wps:wsp>
                            <wps:cNvPr id="354698889" name="Прямая со стрелкой 16"/>
                            <wps:cNvCnPr>
                              <a:cxnSpLocks noChangeShapeType="1"/>
                            </wps:cNvCnPr>
                            <wps:spPr bwMode="auto">
                              <a:xfrm>
                                <a:off x="2376329" y="4019550"/>
                                <a:ext cx="563245" cy="0"/>
                              </a:xfrm>
                              <a:prstGeom prst="straightConnector1">
                                <a:avLst/>
                              </a:prstGeom>
                              <a:noFill/>
                              <a:ln w="9525">
                                <a:solidFill>
                                  <a:srgbClr val="000000"/>
                                </a:solidFill>
                                <a:miter lim="800000"/>
                                <a:headEnd type="none" w="sm" len="sm"/>
                                <a:tailEnd type="triangle" w="med" len="med"/>
                              </a:ln>
                              <a:extLst>
                                <a:ext uri="{909E8E84-426E-40DD-AFC4-6F175D3DCCD1}">
                                  <a14:hiddenFill xmlns:a14="http://schemas.microsoft.com/office/drawing/2010/main">
                                    <a:noFill/>
                                  </a14:hiddenFill>
                                </a:ext>
                              </a:extLst>
                            </wps:spPr>
                            <wps:bodyPr/>
                          </wps:wsp>
                          <wps:wsp>
                            <wps:cNvPr id="1682775693" name="Блок-схема: альтернативный процесс 17"/>
                            <wps:cNvSpPr>
                              <a:spLocks noChangeArrowheads="1"/>
                            </wps:cNvSpPr>
                            <wps:spPr bwMode="auto">
                              <a:xfrm>
                                <a:off x="466566" y="1"/>
                                <a:ext cx="4344670" cy="262890"/>
                              </a:xfrm>
                              <a:prstGeom prst="flowChartAlternateProcess">
                                <a:avLst/>
                              </a:prstGeom>
                              <a:solidFill>
                                <a:srgbClr val="8064A2"/>
                              </a:solidFill>
                              <a:ln w="12700">
                                <a:solidFill>
                                  <a:srgbClr val="BA8C00"/>
                                </a:solidFill>
                                <a:miter lim="800000"/>
                                <a:headEnd type="none" w="sm" len="sm"/>
                                <a:tailEnd type="none" w="sm" len="sm"/>
                              </a:ln>
                            </wps:spPr>
                            <wps:txbx>
                              <w:txbxContent>
                                <w:p w14:paraId="25B5890A" w14:textId="77777777" w:rsidR="00E3097C" w:rsidRDefault="00E3097C" w:rsidP="00E3097C">
                                  <w:pPr>
                                    <w:spacing w:line="258" w:lineRule="auto"/>
                                    <w:jc w:val="center"/>
                                    <w:textDirection w:val="btLr"/>
                                  </w:pPr>
                                  <w:r>
                                    <w:rPr>
                                      <w:rFonts w:ascii="Arial" w:hAnsi="Arial" w:cs="Arial"/>
                                      <w:b/>
                                      <w:color w:val="000000"/>
                                      <w:sz w:val="18"/>
                                    </w:rPr>
                                    <w:t>Identification of studies via databases and registers</w:t>
                                  </w:r>
                                </w:p>
                              </w:txbxContent>
                            </wps:txbx>
                            <wps:bodyPr rot="0" vert="horz" wrap="square" lIns="91425" tIns="45700" rIns="91425" bIns="45700" anchor="ctr" anchorCtr="0" upright="1">
                              <a:noAutofit/>
                            </wps:bodyPr>
                          </wps:wsp>
                          <wps:wsp>
                            <wps:cNvPr id="1168996061" name="Блок-схема: альтернативный процесс 18"/>
                            <wps:cNvSpPr>
                              <a:spLocks noChangeArrowheads="1"/>
                            </wps:cNvSpPr>
                            <wps:spPr bwMode="auto">
                              <a:xfrm rot="-5400000">
                                <a:off x="-503872" y="872649"/>
                                <a:ext cx="1276985" cy="262890"/>
                              </a:xfrm>
                              <a:prstGeom prst="flowChartAlternateProcess">
                                <a:avLst/>
                              </a:prstGeom>
                              <a:solidFill>
                                <a:srgbClr val="9CC2E5"/>
                              </a:solidFill>
                              <a:ln w="12700">
                                <a:solidFill>
                                  <a:srgbClr val="000000"/>
                                </a:solidFill>
                                <a:miter lim="800000"/>
                                <a:headEnd type="none" w="sm" len="sm"/>
                                <a:tailEnd type="none" w="sm" len="sm"/>
                              </a:ln>
                            </wps:spPr>
                            <wps:txbx>
                              <w:txbxContent>
                                <w:p w14:paraId="67810D6A" w14:textId="77777777" w:rsidR="00E3097C" w:rsidRDefault="00E3097C" w:rsidP="00E3097C">
                                  <w:pPr>
                                    <w:spacing w:line="258" w:lineRule="auto"/>
                                    <w:jc w:val="center"/>
                                    <w:textDirection w:val="btLr"/>
                                  </w:pPr>
                                  <w:r>
                                    <w:rPr>
                                      <w:rFonts w:ascii="Arial" w:hAnsi="Arial" w:cs="Arial"/>
                                      <w:b/>
                                      <w:color w:val="000000"/>
                                      <w:sz w:val="18"/>
                                    </w:rPr>
                                    <w:t>Identification</w:t>
                                  </w:r>
                                </w:p>
                              </w:txbxContent>
                            </wps:txbx>
                            <wps:bodyPr rot="0" vert="vert270" wrap="square" lIns="91425" tIns="45700" rIns="91425" bIns="45700" anchor="ctr" anchorCtr="0" upright="1">
                              <a:noAutofit/>
                            </wps:bodyPr>
                          </wps:wsp>
                          <wps:wsp>
                            <wps:cNvPr id="991068361" name="Блок-схема: альтернативный процесс 19"/>
                            <wps:cNvSpPr>
                              <a:spLocks noChangeArrowheads="1"/>
                            </wps:cNvSpPr>
                            <wps:spPr bwMode="auto">
                              <a:xfrm rot="-5400000">
                                <a:off x="-1262063" y="3319622"/>
                                <a:ext cx="2787015" cy="262890"/>
                              </a:xfrm>
                              <a:prstGeom prst="flowChartAlternateProcess">
                                <a:avLst/>
                              </a:prstGeom>
                              <a:solidFill>
                                <a:srgbClr val="9CC2E5"/>
                              </a:solidFill>
                              <a:ln w="12700">
                                <a:solidFill>
                                  <a:srgbClr val="000000"/>
                                </a:solidFill>
                                <a:miter lim="800000"/>
                                <a:headEnd type="none" w="sm" len="sm"/>
                                <a:tailEnd type="none" w="sm" len="sm"/>
                              </a:ln>
                            </wps:spPr>
                            <wps:txbx>
                              <w:txbxContent>
                                <w:p w14:paraId="78CE6CF0" w14:textId="77777777" w:rsidR="00E3097C" w:rsidRDefault="00E3097C" w:rsidP="00E3097C">
                                  <w:pPr>
                                    <w:spacing w:line="258" w:lineRule="auto"/>
                                    <w:jc w:val="center"/>
                                    <w:textDirection w:val="btLr"/>
                                  </w:pPr>
                                  <w:r>
                                    <w:rPr>
                                      <w:rFonts w:ascii="Arial" w:hAnsi="Arial" w:cs="Arial"/>
                                      <w:b/>
                                      <w:color w:val="000000"/>
                                      <w:sz w:val="18"/>
                                    </w:rPr>
                                    <w:t>Screening</w:t>
                                  </w:r>
                                </w:p>
                                <w:p w14:paraId="22362707" w14:textId="77777777" w:rsidR="00E3097C" w:rsidRDefault="00E3097C" w:rsidP="00E3097C">
                                  <w:pPr>
                                    <w:spacing w:line="258" w:lineRule="auto"/>
                                    <w:textDirection w:val="btLr"/>
                                  </w:pPr>
                                </w:p>
                              </w:txbxContent>
                            </wps:txbx>
                            <wps:bodyPr rot="0" vert="vert270" wrap="square" lIns="91425" tIns="45700" rIns="91425" bIns="45700" anchor="ctr" anchorCtr="0" upright="1">
                              <a:noAutofit/>
                            </wps:bodyPr>
                          </wps:wsp>
                          <wps:wsp>
                            <wps:cNvPr id="782279635" name="Блок-схема: альтернативный процесс 20"/>
                            <wps:cNvSpPr>
                              <a:spLocks noChangeArrowheads="1"/>
                            </wps:cNvSpPr>
                            <wps:spPr bwMode="auto">
                              <a:xfrm rot="-5400000">
                                <a:off x="-234315" y="5342732"/>
                                <a:ext cx="763905" cy="262890"/>
                              </a:xfrm>
                              <a:prstGeom prst="flowChartAlternateProcess">
                                <a:avLst/>
                              </a:prstGeom>
                              <a:solidFill>
                                <a:srgbClr val="9CC2E5"/>
                              </a:solidFill>
                              <a:ln w="12700">
                                <a:solidFill>
                                  <a:srgbClr val="000000"/>
                                </a:solidFill>
                                <a:miter lim="800000"/>
                                <a:headEnd type="none" w="sm" len="sm"/>
                                <a:tailEnd type="none" w="sm" len="sm"/>
                              </a:ln>
                            </wps:spPr>
                            <wps:txbx>
                              <w:txbxContent>
                                <w:p w14:paraId="6E8D7A6D" w14:textId="77777777" w:rsidR="00E3097C" w:rsidRDefault="00E3097C" w:rsidP="00E3097C">
                                  <w:pPr>
                                    <w:spacing w:line="258" w:lineRule="auto"/>
                                    <w:jc w:val="center"/>
                                    <w:textDirection w:val="btLr"/>
                                  </w:pPr>
                                  <w:r>
                                    <w:rPr>
                                      <w:rFonts w:ascii="Arial" w:hAnsi="Arial" w:cs="Arial"/>
                                      <w:b/>
                                      <w:color w:val="000000"/>
                                      <w:sz w:val="18"/>
                                    </w:rPr>
                                    <w:t>Included</w:t>
                                  </w:r>
                                </w:p>
                              </w:txbxContent>
                            </wps:txbx>
                            <wps:bodyPr rot="0" vert="vert270" wrap="square" lIns="91425" tIns="45700" rIns="91425" bIns="45700" anchor="ctr" anchorCtr="0" upright="1">
                              <a:noAutofit/>
                            </wps:bodyPr>
                          </wps:wsp>
                          <wps:wsp>
                            <wps:cNvPr id="975986256" name="Прямая со стрелкой 21"/>
                            <wps:cNvCnPr>
                              <a:cxnSpLocks noChangeShapeType="1"/>
                            </wps:cNvCnPr>
                            <wps:spPr bwMode="auto">
                              <a:xfrm>
                                <a:off x="1300004" y="1681163"/>
                                <a:ext cx="0" cy="281305"/>
                              </a:xfrm>
                              <a:prstGeom prst="straightConnector1">
                                <a:avLst/>
                              </a:prstGeom>
                              <a:noFill/>
                              <a:ln w="9525">
                                <a:solidFill>
                                  <a:srgbClr val="000000"/>
                                </a:solidFill>
                                <a:miter lim="800000"/>
                                <a:headEnd type="none" w="sm" len="sm"/>
                                <a:tailEnd type="triangle" w="med" len="med"/>
                              </a:ln>
                              <a:extLst>
                                <a:ext uri="{909E8E84-426E-40DD-AFC4-6F175D3DCCD1}">
                                  <a14:hiddenFill xmlns:a14="http://schemas.microsoft.com/office/drawing/2010/main">
                                    <a:noFill/>
                                  </a14:hiddenFill>
                                </a:ext>
                              </a:extLst>
                            </wps:spPr>
                            <wps:bodyPr/>
                          </wps:wsp>
                          <wps:wsp>
                            <wps:cNvPr id="1441039931" name="Прямая со стрелкой 22"/>
                            <wps:cNvCnPr>
                              <a:cxnSpLocks noChangeShapeType="1"/>
                            </wps:cNvCnPr>
                            <wps:spPr bwMode="auto">
                              <a:xfrm>
                                <a:off x="1300004" y="2557463"/>
                                <a:ext cx="0" cy="281305"/>
                              </a:xfrm>
                              <a:prstGeom prst="straightConnector1">
                                <a:avLst/>
                              </a:prstGeom>
                              <a:noFill/>
                              <a:ln w="9525">
                                <a:solidFill>
                                  <a:srgbClr val="000000"/>
                                </a:solidFill>
                                <a:miter lim="800000"/>
                                <a:headEnd type="none" w="sm" len="sm"/>
                                <a:tailEnd type="triangle" w="med" len="med"/>
                              </a:ln>
                              <a:extLst>
                                <a:ext uri="{909E8E84-426E-40DD-AFC4-6F175D3DCCD1}">
                                  <a14:hiddenFill xmlns:a14="http://schemas.microsoft.com/office/drawing/2010/main">
                                    <a:noFill/>
                                  </a14:hiddenFill>
                                </a:ext>
                              </a:extLst>
                            </wps:spPr>
                            <wps:bodyPr/>
                          </wps:wsp>
                          <wps:wsp>
                            <wps:cNvPr id="1755669254" name="Прямая со стрелкой 23"/>
                            <wps:cNvCnPr>
                              <a:cxnSpLocks noChangeShapeType="1"/>
                            </wps:cNvCnPr>
                            <wps:spPr bwMode="auto">
                              <a:xfrm>
                                <a:off x="1309529" y="3419475"/>
                                <a:ext cx="0" cy="281305"/>
                              </a:xfrm>
                              <a:prstGeom prst="straightConnector1">
                                <a:avLst/>
                              </a:prstGeom>
                              <a:noFill/>
                              <a:ln w="9525">
                                <a:solidFill>
                                  <a:srgbClr val="000000"/>
                                </a:solidFill>
                                <a:miter lim="800000"/>
                                <a:headEnd type="none" w="sm" len="sm"/>
                                <a:tailEnd type="triangle" w="med" len="med"/>
                              </a:ln>
                              <a:extLst>
                                <a:ext uri="{909E8E84-426E-40DD-AFC4-6F175D3DCCD1}">
                                  <a14:hiddenFill xmlns:a14="http://schemas.microsoft.com/office/drawing/2010/main">
                                    <a:noFill/>
                                  </a14:hiddenFill>
                                </a:ext>
                              </a:extLst>
                            </wps:spPr>
                            <wps:bodyPr/>
                          </wps:wsp>
                          <wps:wsp>
                            <wps:cNvPr id="1488304501" name="Прямая со стрелкой 24"/>
                            <wps:cNvCnPr>
                              <a:cxnSpLocks noChangeShapeType="1"/>
                            </wps:cNvCnPr>
                            <wps:spPr bwMode="auto">
                              <a:xfrm>
                                <a:off x="1300004" y="4295775"/>
                                <a:ext cx="0" cy="746125"/>
                              </a:xfrm>
                              <a:prstGeom prst="straightConnector1">
                                <a:avLst/>
                              </a:prstGeom>
                              <a:noFill/>
                              <a:ln w="9525">
                                <a:solidFill>
                                  <a:srgbClr val="000000"/>
                                </a:solidFill>
                                <a:miter lim="800000"/>
                                <a:headEnd type="none" w="sm" len="sm"/>
                                <a:tailEnd type="triangle" w="med" len="med"/>
                              </a:ln>
                              <a:extLst>
                                <a:ext uri="{909E8E84-426E-40DD-AFC4-6F175D3DCCD1}">
                                  <a14:hiddenFill xmlns:a14="http://schemas.microsoft.com/office/drawing/2010/main">
                                    <a:noFill/>
                                  </a14:hiddenFill>
                                </a:ext>
                              </a:extLst>
                            </wps:spPr>
                            <wps:bodyPr/>
                          </wps:wsp>
                        </wpg:grpSp>
                      </wpg:grpSp>
                    </wpg:wgp>
                  </a:graphicData>
                </a:graphic>
              </wp:inline>
            </w:drawing>
          </mc:Choice>
          <mc:Fallback>
            <w:pict>
              <v:group w14:anchorId="71837B94" id="Группа 1605666494" o:spid="_x0000_s1026" style="width:372.75pt;height:419.25pt;mso-position-horizontal-relative:char;mso-position-vertical-relative:line" coordorigin="28860,11114" coordsize="48333,533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">
                <v:group id="Группа 1" o:spid="_x0000_s1027" style="position:absolute;left:29790;top:11177;width:47339;height:53245" coordsize="43354,533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">
                  <v:rect id="Прямоугольник 2" o:spid="_x0000_s1028" style="position:absolute;width:43354;height:5336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" filled="f" stroked="f">
                    <v:textbox inset="2.53958mm,2.53958mm,2.53958mm,2.53958mm">
                      <w:txbxContent>
                        <w:p w14:paraId="0AF72B76" w14:textId="77777777" w:rsidR="00E3097C" w:rsidRDefault="00E3097C" w:rsidP="00E3097C">
                          <w:pPr>
                            <w:textDirection w:val="btLr"/>
                          </w:pPr>
                        </w:p>
                      </w:txbxContent>
                    </v:textbox>
                  </v:rect>
                  <v:rect id="Прямоугольник 3" o:spid="_x0000_s1029" style="position:absolute;left:26765;top:26860;width:16589;height:52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" filled="f" strokeweight="1pt">
                    <v:stroke startarrowwidth="narrow" startarrowlength="short" endarrowwidth="narrow" endarrowlength="short"/>
                    <v:textbox inset="2.53958mm,1.2694mm,2.53958mm,1.2694mm">
                      <w:txbxContent>
                        <w:p w14:paraId="23DE3A60" w14:textId="77777777" w:rsidR="00E3097C" w:rsidRDefault="00E3097C" w:rsidP="00E3097C">
                          <w:pPr>
                            <w:spacing w:line="258" w:lineRule="auto"/>
                            <w:textDirection w:val="btLr"/>
                          </w:pPr>
                          <w:r>
                            <w:rPr>
                              <w:rFonts w:ascii="Arial" w:hAnsi="Arial" w:cs="Arial"/>
                              <w:color w:val="000000"/>
                              <w:sz w:val="18"/>
                            </w:rPr>
                            <w:t>Reports not retrieved</w:t>
                          </w:r>
                        </w:p>
                        <w:p w14:paraId="1F72395D" w14:textId="77777777" w:rsidR="00E3097C" w:rsidRDefault="00E3097C" w:rsidP="00E3097C">
                          <w:pPr>
                            <w:spacing w:line="258" w:lineRule="auto"/>
                            <w:textDirection w:val="btLr"/>
                          </w:pPr>
                          <w:r>
                            <w:rPr>
                              <w:rFonts w:ascii="Arial" w:hAnsi="Arial" w:cs="Arial"/>
                              <w:color w:val="000000"/>
                              <w:sz w:val="18"/>
                            </w:rPr>
                            <w:t>(n = 321)</w:t>
                          </w:r>
                        </w:p>
                      </w:txbxContent>
                    </v:textbox>
                  </v:rect>
                  <v:group id="Группа 4" o:spid="_x0000_s1030" style="position:absolute;width:43246;height:53365" coordorigin="" coordsize="48445,585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">
                    <v:rect id="Прямоугольник 5" o:spid="_x0000_s1031" style="position:absolute;left:4570;top:3619;width:18872;height:124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" filled="f" strokeweight="1pt">
                      <v:stroke startarrowwidth="narrow" startarrowlength="short" endarrowwidth="narrow" endarrowlength="short"/>
                      <v:textbox inset="2.53958mm,1.2694mm,2.53958mm,1.2694mm">
                        <w:txbxContent>
                          <w:p w14:paraId="73D692B7" w14:textId="77777777" w:rsidR="00E3097C" w:rsidRDefault="00E3097C" w:rsidP="00E3097C">
                            <w:pPr>
                              <w:spacing w:line="258" w:lineRule="auto"/>
                              <w:textDirection w:val="btLr"/>
                            </w:pPr>
                            <w:r>
                              <w:rPr>
                                <w:rFonts w:ascii="Arial" w:hAnsi="Arial" w:cs="Arial"/>
                                <w:color w:val="000000"/>
                                <w:sz w:val="18"/>
                              </w:rPr>
                              <w:t>Records identified from:</w:t>
                            </w:r>
                          </w:p>
                          <w:p w14:paraId="09C77364" w14:textId="77777777" w:rsidR="00E3097C" w:rsidRDefault="00E3097C" w:rsidP="00E3097C">
                            <w:pPr>
                              <w:spacing w:line="258" w:lineRule="auto"/>
                              <w:ind w:left="283" w:firstLine="283"/>
                              <w:textDirection w:val="btLr"/>
                            </w:pPr>
                            <w:r>
                              <w:rPr>
                                <w:rFonts w:ascii="Arial" w:hAnsi="Arial" w:cs="Arial"/>
                                <w:color w:val="000000"/>
                                <w:sz w:val="18"/>
                              </w:rPr>
                              <w:t>Databases (n = 9789)</w:t>
                            </w:r>
                          </w:p>
                          <w:p w14:paraId="43A26F03" w14:textId="77777777" w:rsidR="00E3097C" w:rsidRDefault="00E3097C" w:rsidP="00E3097C">
                            <w:pPr>
                              <w:spacing w:line="258" w:lineRule="auto"/>
                              <w:ind w:left="283" w:firstLine="283"/>
                              <w:textDirection w:val="btLr"/>
                            </w:pPr>
                          </w:p>
                        </w:txbxContent>
                      </v:textbox>
                    </v:rect>
                    <v:rect id="Прямоугольник 6" o:spid="_x0000_s1032" style="position:absolute;left:29380;top:3619;width:18873;height:150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" filled="f" strokeweight="1pt">
                      <v:stroke startarrowwidth="narrow" startarrowlength="short" endarrowwidth="narrow" endarrowlength="short"/>
                      <v:textbox inset="2.53958mm,1.2694mm,2.53958mm,1.2694mm">
                        <w:txbxContent>
                          <w:p w14:paraId="3F30E5FD" w14:textId="77777777" w:rsidR="00E3097C" w:rsidRDefault="00E3097C" w:rsidP="00E3097C">
                            <w:pPr>
                              <w:spacing w:line="258" w:lineRule="auto"/>
                              <w:textDirection w:val="btLr"/>
                            </w:pPr>
                            <w:r>
                              <w:rPr>
                                <w:rFonts w:ascii="Arial" w:hAnsi="Arial" w:cs="Arial"/>
                                <w:color w:val="000000"/>
                                <w:sz w:val="18"/>
                              </w:rPr>
                              <w:t xml:space="preserve">Records removed </w:t>
                            </w:r>
                            <w:r>
                              <w:rPr>
                                <w:rFonts w:ascii="Arial" w:hAnsi="Arial" w:cs="Arial"/>
                                <w:i/>
                                <w:color w:val="000000"/>
                                <w:sz w:val="18"/>
                              </w:rPr>
                              <w:t>before screening</w:t>
                            </w:r>
                            <w:r>
                              <w:rPr>
                                <w:rFonts w:ascii="Arial" w:hAnsi="Arial" w:cs="Arial"/>
                                <w:color w:val="000000"/>
                                <w:sz w:val="18"/>
                              </w:rPr>
                              <w:t>:</w:t>
                            </w:r>
                          </w:p>
                          <w:p w14:paraId="51F3E889" w14:textId="77777777" w:rsidR="00E3097C" w:rsidRDefault="00E3097C" w:rsidP="00E3097C">
                            <w:pPr>
                              <w:spacing w:line="258" w:lineRule="auto"/>
                              <w:ind w:left="283" w:firstLine="283"/>
                              <w:textDirection w:val="btLr"/>
                            </w:pPr>
                            <w:r>
                              <w:rPr>
                                <w:rFonts w:ascii="Arial" w:hAnsi="Arial" w:cs="Arial"/>
                                <w:color w:val="000000"/>
                                <w:sz w:val="18"/>
                              </w:rPr>
                              <w:t xml:space="preserve">Duplicate removed </w:t>
                            </w:r>
                          </w:p>
                          <w:p w14:paraId="152CB081" w14:textId="77777777" w:rsidR="00E3097C" w:rsidRDefault="00E3097C" w:rsidP="00E3097C">
                            <w:pPr>
                              <w:spacing w:line="258" w:lineRule="auto"/>
                              <w:ind w:left="283" w:firstLine="283"/>
                              <w:textDirection w:val="btLr"/>
                            </w:pPr>
                            <w:r>
                              <w:rPr>
                                <w:rFonts w:ascii="Arial" w:hAnsi="Arial" w:cs="Arial"/>
                                <w:color w:val="000000"/>
                                <w:sz w:val="18"/>
                              </w:rPr>
                              <w:t xml:space="preserve"> (n = 4523)</w:t>
                            </w:r>
                          </w:p>
                          <w:p w14:paraId="6E7C0B71" w14:textId="77777777" w:rsidR="00E3097C" w:rsidRDefault="00E3097C" w:rsidP="00E3097C">
                            <w:pPr>
                              <w:spacing w:line="258" w:lineRule="auto"/>
                              <w:ind w:left="283" w:firstLine="283"/>
                              <w:textDirection w:val="btLr"/>
                            </w:pPr>
                            <w:r>
                              <w:rPr>
                                <w:rFonts w:ascii="Arial" w:hAnsi="Arial" w:cs="Arial"/>
                                <w:color w:val="000000"/>
                                <w:sz w:val="18"/>
                              </w:rPr>
                              <w:t>Marked as ineligible by automation tools (n = 1289)</w:t>
                            </w:r>
                          </w:p>
                          <w:p w14:paraId="27CFF24D" w14:textId="77777777" w:rsidR="00E3097C" w:rsidRDefault="00E3097C" w:rsidP="00E3097C">
                            <w:pPr>
                              <w:spacing w:line="258" w:lineRule="auto"/>
                              <w:ind w:left="283" w:firstLine="283"/>
                              <w:textDirection w:val="btLr"/>
                            </w:pPr>
                          </w:p>
                        </w:txbxContent>
                      </v:textbox>
                    </v:rect>
                    <v:rect id="Прямоугольник 7" o:spid="_x0000_s1033" style="position:absolute;left:4570;top:19907;width:18872;height:52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" filled="f" strokeweight="1pt">
                      <v:stroke startarrowwidth="narrow" startarrowlength="short" endarrowwidth="narrow" endarrowlength="short"/>
                      <v:textbox inset="2.53958mm,1.2694mm,2.53958mm,1.2694mm">
                        <w:txbxContent>
                          <w:p w14:paraId="6558D0E0" w14:textId="77777777" w:rsidR="00E3097C" w:rsidRDefault="00E3097C" w:rsidP="00E3097C">
                            <w:pPr>
                              <w:spacing w:line="258" w:lineRule="auto"/>
                              <w:textDirection w:val="btLr"/>
                            </w:pPr>
                            <w:r>
                              <w:rPr>
                                <w:rFonts w:ascii="Arial" w:hAnsi="Arial" w:cs="Arial"/>
                                <w:color w:val="000000"/>
                                <w:sz w:val="18"/>
                              </w:rPr>
                              <w:t>Records screened</w:t>
                            </w:r>
                          </w:p>
                          <w:p w14:paraId="1B51FFB6" w14:textId="77777777" w:rsidR="00E3097C" w:rsidRDefault="00E3097C" w:rsidP="00E3097C">
                            <w:pPr>
                              <w:spacing w:line="258" w:lineRule="auto"/>
                              <w:textDirection w:val="btLr"/>
                            </w:pPr>
                            <w:r>
                              <w:rPr>
                                <w:rFonts w:ascii="Arial" w:hAnsi="Arial" w:cs="Arial"/>
                                <w:color w:val="000000"/>
                                <w:sz w:val="18"/>
                              </w:rPr>
                              <w:t>(n = 3977)</w:t>
                            </w:r>
                          </w:p>
                        </w:txbxContent>
                      </v:textbox>
                    </v:rect>
                    <v:rect id="Прямоугольник 8" o:spid="_x0000_s1034" style="position:absolute;left:29477;top:19906;width:18872;height:719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" filled="f" strokeweight="1pt">
                      <v:stroke startarrowwidth="narrow" startarrowlength="short" endarrowwidth="narrow" endarrowlength="short"/>
                      <v:textbox inset="2.53958mm,1.2694mm,2.53958mm,1.2694mm">
                        <w:txbxContent>
                          <w:p w14:paraId="29343780" w14:textId="77777777" w:rsidR="00E3097C" w:rsidRDefault="00E3097C" w:rsidP="00E3097C">
                            <w:pPr>
                              <w:spacing w:line="258" w:lineRule="auto"/>
                              <w:textDirection w:val="btLr"/>
                            </w:pPr>
                            <w:r>
                              <w:rPr>
                                <w:rFonts w:ascii="Arial" w:hAnsi="Arial" w:cs="Arial"/>
                                <w:color w:val="000000"/>
                                <w:sz w:val="18"/>
                              </w:rPr>
                              <w:t xml:space="preserve">Records excluded by analysis abstracts </w:t>
                            </w:r>
                          </w:p>
                          <w:p w14:paraId="5341E7D7" w14:textId="77777777" w:rsidR="00E3097C" w:rsidRDefault="00E3097C" w:rsidP="00E3097C">
                            <w:pPr>
                              <w:spacing w:line="258" w:lineRule="auto"/>
                              <w:textDirection w:val="btLr"/>
                            </w:pPr>
                            <w:r>
                              <w:rPr>
                                <w:rFonts w:ascii="Arial" w:hAnsi="Arial" w:cs="Arial"/>
                                <w:color w:val="000000"/>
                                <w:sz w:val="18"/>
                              </w:rPr>
                              <w:t>(n = 1745)</w:t>
                            </w:r>
                          </w:p>
                        </w:txbxContent>
                      </v:textbox>
                    </v:rect>
                    <v:rect id="Прямоугольник 9" o:spid="_x0000_s1035" style="position:absolute;left:4618;top:28670;width:18872;height:52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" filled="f" strokeweight="1pt">
                      <v:stroke startarrowwidth="narrow" startarrowlength="short" endarrowwidth="narrow" endarrowlength="short"/>
                      <v:textbox inset="2.53958mm,1.2694mm,2.53958mm,1.2694mm">
                        <w:txbxContent>
                          <w:p w14:paraId="0B179950" w14:textId="77777777" w:rsidR="00E3097C" w:rsidRDefault="00E3097C" w:rsidP="00E3097C">
                            <w:pPr>
                              <w:spacing w:line="258" w:lineRule="auto"/>
                              <w:textDirection w:val="btLr"/>
                            </w:pPr>
                            <w:r>
                              <w:rPr>
                                <w:rFonts w:ascii="Arial" w:hAnsi="Arial" w:cs="Arial"/>
                                <w:color w:val="000000"/>
                                <w:sz w:val="18"/>
                              </w:rPr>
                              <w:t>Reports sought for retrieval</w:t>
                            </w:r>
                          </w:p>
                          <w:p w14:paraId="236149E3" w14:textId="77777777" w:rsidR="00E3097C" w:rsidRDefault="00E3097C" w:rsidP="00E3097C">
                            <w:pPr>
                              <w:spacing w:line="258" w:lineRule="auto"/>
                              <w:textDirection w:val="btLr"/>
                            </w:pPr>
                            <w:r>
                              <w:rPr>
                                <w:rFonts w:ascii="Arial" w:hAnsi="Arial" w:cs="Arial"/>
                                <w:color w:val="000000"/>
                                <w:sz w:val="18"/>
                              </w:rPr>
                              <w:t>(n = 2232)</w:t>
                            </w:r>
                          </w:p>
                        </w:txbxContent>
                      </v:textbox>
                    </v:rect>
                    <v:rect id="Прямоугольник 10" o:spid="_x0000_s1036" style="position:absolute;left:4618;top:37385;width:18872;height:52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" filled="f" strokeweight="1pt">
                      <v:stroke startarrowwidth="narrow" startarrowlength="short" endarrowwidth="narrow" endarrowlength="short"/>
                      <v:textbox inset="2.53958mm,1.2694mm,2.53958mm,1.2694mm">
                        <w:txbxContent>
                          <w:p w14:paraId="7D7505E1" w14:textId="77777777" w:rsidR="00E3097C" w:rsidRDefault="00E3097C" w:rsidP="00E3097C">
                            <w:pPr>
                              <w:spacing w:line="258" w:lineRule="auto"/>
                              <w:textDirection w:val="btLr"/>
                            </w:pPr>
                            <w:r>
                              <w:rPr>
                                <w:rFonts w:ascii="Arial" w:hAnsi="Arial" w:cs="Arial"/>
                                <w:color w:val="000000"/>
                                <w:sz w:val="18"/>
                              </w:rPr>
                              <w:t>Reports assessed for eligibility</w:t>
                            </w:r>
                          </w:p>
                          <w:p w14:paraId="0D6F930F" w14:textId="77777777" w:rsidR="00E3097C" w:rsidRDefault="00E3097C" w:rsidP="00E3097C">
                            <w:pPr>
                              <w:spacing w:line="258" w:lineRule="auto"/>
                              <w:textDirection w:val="btLr"/>
                            </w:pPr>
                            <w:r>
                              <w:rPr>
                                <w:rFonts w:ascii="Arial" w:hAnsi="Arial" w:cs="Arial"/>
                                <w:color w:val="000000"/>
                                <w:sz w:val="18"/>
                              </w:rPr>
                              <w:t>(n = 1911)</w:t>
                            </w:r>
                          </w:p>
                        </w:txbxContent>
                      </v:textbox>
                    </v:rect>
                    <v:rect id="Прямоугольник 11" o:spid="_x0000_s1037" style="position:absolute;left:29573;top:37338;width:18872;height:113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" filled="f" strokeweight="1pt">
                      <v:stroke startarrowwidth="narrow" startarrowlength="short" endarrowwidth="narrow" endarrowlength="short"/>
                      <v:textbox inset="2.53958mm,1.2694mm,2.53958mm,1.2694mm">
                        <w:txbxContent>
                          <w:p w14:paraId="4271D656" w14:textId="77777777" w:rsidR="00E3097C" w:rsidRPr="0090631F" w:rsidRDefault="00E3097C" w:rsidP="00E3097C">
                            <w:pPr>
                              <w:spacing w:line="258" w:lineRule="auto"/>
                              <w:textDirection w:val="btLr"/>
                              <w:rPr>
                                <w:lang w:val="pt-PT"/>
                              </w:rPr>
                            </w:pPr>
                            <w:r w:rsidRPr="0090631F">
                              <w:rPr>
                                <w:rFonts w:ascii="Arial" w:hAnsi="Arial" w:cs="Arial"/>
                                <w:color w:val="000000"/>
                                <w:sz w:val="18"/>
                                <w:lang w:val="pt-PT"/>
                              </w:rPr>
                              <w:t>Reports excluded:</w:t>
                            </w:r>
                          </w:p>
                          <w:p w14:paraId="24387BAF" w14:textId="77777777" w:rsidR="00E3097C" w:rsidRPr="0090631F" w:rsidRDefault="00E3097C" w:rsidP="00E3097C">
                            <w:pPr>
                              <w:spacing w:line="258" w:lineRule="auto"/>
                              <w:ind w:left="283" w:firstLine="283"/>
                              <w:textDirection w:val="btLr"/>
                              <w:rPr>
                                <w:lang w:val="pt-PT"/>
                              </w:rPr>
                            </w:pPr>
                            <w:r>
                              <w:rPr>
                                <w:rFonts w:ascii="Arial" w:hAnsi="Arial" w:cs="Arial"/>
                                <w:color w:val="000000"/>
                                <w:sz w:val="18"/>
                              </w:rPr>
                              <w:t>С</w:t>
                            </w:r>
                            <w:r w:rsidRPr="0090631F">
                              <w:rPr>
                                <w:rFonts w:ascii="Arial" w:hAnsi="Arial" w:cs="Arial"/>
                                <w:color w:val="000000"/>
                                <w:sz w:val="18"/>
                                <w:lang w:val="pt-PT"/>
                              </w:rPr>
                              <w:t>. 1 (n = 334)</w:t>
                            </w:r>
                          </w:p>
                          <w:p w14:paraId="25EDA545" w14:textId="77777777" w:rsidR="00E3097C" w:rsidRPr="0090631F" w:rsidRDefault="00E3097C" w:rsidP="00E3097C">
                            <w:pPr>
                              <w:spacing w:line="258" w:lineRule="auto"/>
                              <w:ind w:left="283" w:firstLine="283"/>
                              <w:textDirection w:val="btLr"/>
                              <w:rPr>
                                <w:lang w:val="pt-PT"/>
                              </w:rPr>
                            </w:pPr>
                            <w:r>
                              <w:rPr>
                                <w:rFonts w:ascii="Arial" w:hAnsi="Arial" w:cs="Arial"/>
                                <w:color w:val="000000"/>
                                <w:sz w:val="18"/>
                              </w:rPr>
                              <w:t>С</w:t>
                            </w:r>
                            <w:r w:rsidRPr="0090631F">
                              <w:rPr>
                                <w:rFonts w:ascii="Arial" w:hAnsi="Arial" w:cs="Arial"/>
                                <w:color w:val="000000"/>
                                <w:sz w:val="18"/>
                                <w:lang w:val="pt-PT"/>
                              </w:rPr>
                              <w:t>. 2 (n = 477)</w:t>
                            </w:r>
                          </w:p>
                          <w:p w14:paraId="28EA007D" w14:textId="77777777" w:rsidR="00E3097C" w:rsidRPr="0090631F" w:rsidRDefault="00E3097C" w:rsidP="00E3097C">
                            <w:pPr>
                              <w:spacing w:line="258" w:lineRule="auto"/>
                              <w:ind w:left="283" w:firstLine="283"/>
                              <w:textDirection w:val="btLr"/>
                              <w:rPr>
                                <w:lang w:val="pt-PT"/>
                              </w:rPr>
                            </w:pPr>
                            <w:r>
                              <w:rPr>
                                <w:rFonts w:ascii="Arial" w:hAnsi="Arial" w:cs="Arial"/>
                                <w:color w:val="000000"/>
                                <w:sz w:val="18"/>
                              </w:rPr>
                              <w:t>С</w:t>
                            </w:r>
                            <w:r w:rsidRPr="0090631F">
                              <w:rPr>
                                <w:rFonts w:ascii="Arial" w:hAnsi="Arial" w:cs="Arial"/>
                                <w:color w:val="000000"/>
                                <w:sz w:val="18"/>
                                <w:lang w:val="pt-PT"/>
                              </w:rPr>
                              <w:t>. 3 (n = 695)</w:t>
                            </w:r>
                          </w:p>
                          <w:p w14:paraId="34218CA2" w14:textId="77777777" w:rsidR="00E3097C" w:rsidRDefault="00E3097C" w:rsidP="00E3097C">
                            <w:pPr>
                              <w:spacing w:line="258" w:lineRule="auto"/>
                              <w:ind w:left="283" w:firstLine="283"/>
                              <w:textDirection w:val="btLr"/>
                            </w:pPr>
                            <w:r>
                              <w:rPr>
                                <w:rFonts w:ascii="Arial" w:hAnsi="Arial" w:cs="Arial"/>
                                <w:color w:val="000000"/>
                                <w:sz w:val="18"/>
                              </w:rPr>
                              <w:t>С. 4.( n =  361)</w:t>
                            </w:r>
                          </w:p>
                          <w:p w14:paraId="061CF8CC" w14:textId="77777777" w:rsidR="00E3097C" w:rsidRDefault="00E3097C" w:rsidP="00E3097C">
                            <w:pPr>
                              <w:spacing w:line="258" w:lineRule="auto"/>
                              <w:ind w:left="283" w:firstLine="283"/>
                              <w:textDirection w:val="btLr"/>
                            </w:pPr>
                          </w:p>
                        </w:txbxContent>
                      </v:textbox>
                    </v:rect>
                    <v:rect id="Прямоугольник 12" o:spid="_x0000_s1038" style="position:absolute;left:4379;top:51006;width:18873;height:72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" filled="f" strokeweight="1pt">
                      <v:stroke startarrowwidth="narrow" startarrowlength="short" endarrowwidth="narrow" endarrowlength="short"/>
                      <v:textbox inset="2.53958mm,1.2694mm,2.53958mm,1.2694mm">
                        <w:txbxContent>
                          <w:p w14:paraId="1FE71E89" w14:textId="77777777" w:rsidR="00E3097C" w:rsidRDefault="00E3097C" w:rsidP="00E3097C">
                            <w:pPr>
                              <w:spacing w:line="258" w:lineRule="auto"/>
                              <w:textDirection w:val="btLr"/>
                            </w:pPr>
                            <w:r>
                              <w:rPr>
                                <w:rFonts w:ascii="Arial" w:hAnsi="Arial" w:cs="Arial"/>
                                <w:color w:val="000000"/>
                                <w:sz w:val="18"/>
                              </w:rPr>
                              <w:t>Studies included</w:t>
                            </w:r>
                          </w:p>
                          <w:p w14:paraId="008B2884" w14:textId="77777777" w:rsidR="00E3097C" w:rsidRDefault="00E3097C" w:rsidP="00E3097C">
                            <w:pPr>
                              <w:spacing w:line="258" w:lineRule="auto"/>
                              <w:textDirection w:val="btLr"/>
                            </w:pPr>
                            <w:r>
                              <w:rPr>
                                <w:rFonts w:ascii="Arial" w:hAnsi="Arial" w:cs="Arial"/>
                                <w:color w:val="000000"/>
                                <w:sz w:val="18"/>
                              </w:rPr>
                              <w:t>(n = 44)</w:t>
                            </w:r>
                          </w:p>
                          <w:p w14:paraId="759E1303" w14:textId="77777777" w:rsidR="00E3097C" w:rsidRDefault="00E3097C" w:rsidP="00E3097C">
                            <w:pPr>
                              <w:spacing w:line="258" w:lineRule="auto"/>
                              <w:textDirection w:val="btLr"/>
                            </w:pPr>
                          </w:p>
                        </w:txbxContent>
                      </v:textbox>
                    </v:rect>
                    <v:shapetype id="_x0000_t32" coordsize="21600,21600" o:spt="32" o:oned="t" path="m,l21600,21600e" filled="f">
                      <v:path arrowok="t" fillok="f" o:connecttype="none"/>
                      <o:lock v:ext="edit" shapetype="t"/>
                    </v:shapetype>
                    <v:shape id="Прямая со стрелкой 13" o:spid="_x0000_s1039" type="#_x0000_t32" style="position:absolute;left:23525;top:10191;width:563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">
                      <v:stroke startarrowwidth="narrow" startarrowlength="short" endarrow="block" joinstyle="miter"/>
                    </v:shape>
                    <v:shape id="Прямая со стрелкой 14" o:spid="_x0000_s1040" type="#_x0000_t32" style="position:absolute;left:23525;top:22431;width:563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">
                      <v:stroke startarrowwidth="narrow" startarrowlength="short" endarrow="block" joinstyle="miter"/>
                    </v:shape>
                    <v:shape id="Прямая со стрелкой 15" o:spid="_x0000_s1041" type="#_x0000_t32" style="position:absolute;left:23620;top:31384;width:563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">
                      <v:stroke startarrowwidth="narrow" startarrowlength="short" endarrow="block" joinstyle="miter"/>
                    </v:shape>
                    <v:shape id="Прямая со стрелкой 16" o:spid="_x0000_s1042" type="#_x0000_t32" style="position:absolute;left:23763;top:40195;width:563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">
                      <v:stroke startarrowwidth="narrow" startarrowlength="short" endarrow="block" joinstyle="miter"/>
                    </v:shape>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Блок-схема: альтернативный процесс 17" o:spid="_x0000_s1043" type="#_x0000_t176" style="position:absolute;left:4665;width:43447;height:26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" fillcolor="#8064a2" strokecolor="#ba8c00" strokeweight="1pt">
                      <v:stroke startarrowwidth="narrow" startarrowlength="short" endarrowwidth="narrow" endarrowlength="short"/>
                      <v:textbox inset="2.53958mm,1.2694mm,2.53958mm,1.2694mm">
                        <w:txbxContent>
                          <w:p w14:paraId="25B5890A" w14:textId="77777777" w:rsidR="00E3097C" w:rsidRDefault="00E3097C" w:rsidP="00E3097C">
                            <w:pPr>
                              <w:spacing w:line="258" w:lineRule="auto"/>
                              <w:jc w:val="center"/>
                              <w:textDirection w:val="btLr"/>
                            </w:pPr>
                            <w:r>
                              <w:rPr>
                                <w:rFonts w:ascii="Arial" w:hAnsi="Arial" w:cs="Arial"/>
                                <w:b/>
                                <w:color w:val="000000"/>
                                <w:sz w:val="18"/>
                              </w:rPr>
                              <w:t>Identification of studies via databases and registers</w:t>
                            </w:r>
                          </w:p>
                        </w:txbxContent>
                      </v:textbox>
                    </v:shape>
                    <v:shape id="Блок-схема: альтернативный процесс 18" o:spid="_x0000_s1044" type="#_x0000_t176" style="position:absolute;left:-5039;top:8726;width:12769;height:2629;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" fillcolor="#9cc2e5" strokeweight="1pt">
                      <v:stroke startarrowwidth="narrow" startarrowlength="short" endarrowwidth="narrow" endarrowlength="short"/>
                      <v:textbox style="layout-flow:vertical;mso-layout-flow-alt:bottom-to-top" inset="2.53958mm,1.2694mm,2.53958mm,1.2694mm">
                        <w:txbxContent>
                          <w:p w14:paraId="67810D6A" w14:textId="77777777" w:rsidR="00E3097C" w:rsidRDefault="00E3097C" w:rsidP="00E3097C">
                            <w:pPr>
                              <w:spacing w:line="258" w:lineRule="auto"/>
                              <w:jc w:val="center"/>
                              <w:textDirection w:val="btLr"/>
                            </w:pPr>
                            <w:r>
                              <w:rPr>
                                <w:rFonts w:ascii="Arial" w:hAnsi="Arial" w:cs="Arial"/>
                                <w:b/>
                                <w:color w:val="000000"/>
                                <w:sz w:val="18"/>
                              </w:rPr>
                              <w:t>Identification</w:t>
                            </w:r>
                          </w:p>
                        </w:txbxContent>
                      </v:textbox>
                    </v:shape>
                    <v:shape id="Блок-схема: альтернативный процесс 19" o:spid="_x0000_s1045" type="#_x0000_t176" style="position:absolute;left:-12621;top:33196;width:27870;height:2628;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" fillcolor="#9cc2e5" strokeweight="1pt">
                      <v:stroke startarrowwidth="narrow" startarrowlength="short" endarrowwidth="narrow" endarrowlength="short"/>
                      <v:textbox style="layout-flow:vertical;mso-layout-flow-alt:bottom-to-top" inset="2.53958mm,1.2694mm,2.53958mm,1.2694mm">
                        <w:txbxContent>
                          <w:p w14:paraId="78CE6CF0" w14:textId="77777777" w:rsidR="00E3097C" w:rsidRDefault="00E3097C" w:rsidP="00E3097C">
                            <w:pPr>
                              <w:spacing w:line="258" w:lineRule="auto"/>
                              <w:jc w:val="center"/>
                              <w:textDirection w:val="btLr"/>
                            </w:pPr>
                            <w:r>
                              <w:rPr>
                                <w:rFonts w:ascii="Arial" w:hAnsi="Arial" w:cs="Arial"/>
                                <w:b/>
                                <w:color w:val="000000"/>
                                <w:sz w:val="18"/>
                              </w:rPr>
                              <w:t>Screening</w:t>
                            </w:r>
                          </w:p>
                          <w:p w14:paraId="22362707" w14:textId="77777777" w:rsidR="00E3097C" w:rsidRDefault="00E3097C" w:rsidP="00E3097C">
                            <w:pPr>
                              <w:spacing w:line="258" w:lineRule="auto"/>
                              <w:textDirection w:val="btLr"/>
                            </w:pPr>
                          </w:p>
                        </w:txbxContent>
                      </v:textbox>
                    </v:shape>
                    <v:shape id="Блок-схема: альтернативный процесс 20" o:spid="_x0000_s1046" type="#_x0000_t176" style="position:absolute;left:-2344;top:53427;width:7639;height:2629;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" fillcolor="#9cc2e5" strokeweight="1pt">
                      <v:stroke startarrowwidth="narrow" startarrowlength="short" endarrowwidth="narrow" endarrowlength="short"/>
                      <v:textbox style="layout-flow:vertical;mso-layout-flow-alt:bottom-to-top" inset="2.53958mm,1.2694mm,2.53958mm,1.2694mm">
                        <w:txbxContent>
                          <w:p w14:paraId="6E8D7A6D" w14:textId="77777777" w:rsidR="00E3097C" w:rsidRDefault="00E3097C" w:rsidP="00E3097C">
                            <w:pPr>
                              <w:spacing w:line="258" w:lineRule="auto"/>
                              <w:jc w:val="center"/>
                              <w:textDirection w:val="btLr"/>
                            </w:pPr>
                            <w:r>
                              <w:rPr>
                                <w:rFonts w:ascii="Arial" w:hAnsi="Arial" w:cs="Arial"/>
                                <w:b/>
                                <w:color w:val="000000"/>
                                <w:sz w:val="18"/>
                              </w:rPr>
                              <w:t>Included</w:t>
                            </w:r>
                          </w:p>
                        </w:txbxContent>
                      </v:textbox>
                    </v:shape>
                    <v:shape id="Прямая со стрелкой 21" o:spid="_x0000_s1047" type="#_x0000_t32" style="position:absolute;left:13000;top:16811;width:0;height:281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">
                      <v:stroke startarrowwidth="narrow" startarrowlength="short" endarrow="block" joinstyle="miter"/>
                    </v:shape>
                    <v:shape id="Прямая со стрелкой 22" o:spid="_x0000_s1048" type="#_x0000_t32" style="position:absolute;left:13000;top:25574;width:0;height:281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">
                      <v:stroke startarrowwidth="narrow" startarrowlength="short" endarrow="block" joinstyle="miter"/>
                    </v:shape>
                    <v:shape id="Прямая со стрелкой 23" o:spid="_x0000_s1049" type="#_x0000_t32" style="position:absolute;left:13095;top:34194;width:0;height:281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">
                      <v:stroke startarrowwidth="narrow" startarrowlength="short" endarrow="block" joinstyle="miter"/>
                    </v:shape>
                    <v:shape id="Прямая со стрелкой 24" o:spid="_x0000_s1050" type="#_x0000_t32" style="position:absolute;left:13000;top:42957;width:0;height:746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">
                      <v:stroke startarrowwidth="narrow" startarrowlength="short" endarrow="block" joinstyle="miter"/>
                    </v:shape>
                  </v:group>
                </v:group>
                <w10:anchorlock/>
              </v:group>
            </w:pict>
          </mc:Fallback>
        </mc:AlternateContent>
      </w:r>
    </w:p>
    <w:p w14:paraId="2CA18CCE" w14:textId="77777777" w:rsidR="00E3097C" w:rsidRPr="0090631F" w:rsidRDefault="00E3097C" w:rsidP="00E3097C">
      <w:pPr>
        <w:spacing w:before="120" w:after="120"/>
        <w:ind w:left="426"/>
        <w:jc w:val="center"/>
        <w:rPr>
          <w:rFonts w:ascii="Calibri Light" w:hAnsi="Calibri Light" w:cs="Calibri Light"/>
          <w:i/>
          <w:sz w:val="24"/>
          <w:szCs w:val="24"/>
          <w:lang w:val="uk-UA"/>
        </w:rPr>
      </w:pPr>
      <w:r w:rsidRPr="0090631F">
        <w:rPr>
          <w:rFonts w:ascii="Calibri Light" w:hAnsi="Calibri Light" w:cs="Calibri Light"/>
          <w:b/>
          <w:i/>
          <w:sz w:val="24"/>
          <w:szCs w:val="24"/>
        </w:rPr>
        <w:t>Figure</w:t>
      </w:r>
      <w:r w:rsidRPr="0090631F">
        <w:rPr>
          <w:rFonts w:ascii="Calibri Light" w:hAnsi="Calibri Light" w:cs="Calibri Light"/>
          <w:b/>
          <w:i/>
          <w:sz w:val="24"/>
          <w:szCs w:val="24"/>
          <w:lang w:val="uk-UA"/>
        </w:rPr>
        <w:t xml:space="preserve"> 1.</w:t>
      </w:r>
      <w:r w:rsidRPr="0090631F">
        <w:rPr>
          <w:rFonts w:ascii="Calibri Light" w:hAnsi="Calibri Light" w:cs="Calibri Light"/>
          <w:i/>
          <w:sz w:val="24"/>
          <w:szCs w:val="24"/>
          <w:lang w:val="uk-UA"/>
        </w:rPr>
        <w:t xml:space="preserve"> </w:t>
      </w:r>
      <w:r w:rsidRPr="0090631F">
        <w:rPr>
          <w:rFonts w:ascii="Calibri Light" w:hAnsi="Calibri Light" w:cs="Calibri Light"/>
          <w:i/>
          <w:sz w:val="24"/>
          <w:szCs w:val="24"/>
        </w:rPr>
        <w:t>PRISMA</w:t>
      </w:r>
      <w:r w:rsidRPr="0090631F">
        <w:rPr>
          <w:rFonts w:ascii="Calibri Light" w:hAnsi="Calibri Light" w:cs="Calibri Light"/>
          <w:i/>
          <w:sz w:val="24"/>
          <w:szCs w:val="24"/>
          <w:lang w:val="uk-UA"/>
        </w:rPr>
        <w:t xml:space="preserve"> </w:t>
      </w:r>
      <w:r w:rsidRPr="0090631F">
        <w:rPr>
          <w:rFonts w:ascii="Calibri Light" w:hAnsi="Calibri Light" w:cs="Calibri Light"/>
          <w:i/>
          <w:sz w:val="24"/>
          <w:szCs w:val="24"/>
        </w:rPr>
        <w:t>Flowchart</w:t>
      </w:r>
    </w:p>
    <w:p w14:paraId="4CA38B4F" w14:textId="77777777" w:rsidR="00E3097C" w:rsidRPr="0090631F" w:rsidRDefault="00E3097C" w:rsidP="00E3097C">
      <w:pPr>
        <w:spacing w:before="120" w:after="120"/>
        <w:ind w:left="426"/>
        <w:jc w:val="center"/>
        <w:rPr>
          <w:rFonts w:ascii="Calibri Light" w:hAnsi="Calibri Light" w:cs="Calibri Light"/>
          <w:i/>
          <w:sz w:val="24"/>
          <w:szCs w:val="24"/>
        </w:rPr>
      </w:pPr>
      <w:r w:rsidRPr="0090631F">
        <w:rPr>
          <w:rFonts w:ascii="Calibri Light" w:hAnsi="Calibri Light" w:cs="Calibri Light"/>
          <w:i/>
          <w:sz w:val="24"/>
          <w:szCs w:val="24"/>
        </w:rPr>
        <w:t>Source: Authors’ development.</w:t>
      </w:r>
    </w:p>
    <w:p w14:paraId="392432B0" w14:textId="77777777" w:rsidR="00E3097C" w:rsidRPr="0090631F" w:rsidRDefault="00E3097C" w:rsidP="00E3097C">
      <w:pPr>
        <w:spacing w:before="120" w:after="120"/>
        <w:ind w:left="426"/>
        <w:jc w:val="both"/>
        <w:rPr>
          <w:rFonts w:ascii="Calibri Light" w:hAnsi="Calibri Light" w:cs="Calibri Light"/>
          <w:b/>
          <w:sz w:val="24"/>
          <w:szCs w:val="24"/>
          <w:lang w:val="en-GB"/>
        </w:rPr>
      </w:pPr>
      <w:r w:rsidRPr="0090631F">
        <w:rPr>
          <w:rFonts w:ascii="Calibri Light" w:hAnsi="Calibri Light" w:cs="Calibri Light"/>
          <w:b/>
          <w:sz w:val="24"/>
          <w:szCs w:val="24"/>
          <w:lang w:val="en-GB"/>
        </w:rPr>
        <w:t>Data Analysis</w:t>
      </w:r>
    </w:p>
    <w:p w14:paraId="3CB94D60" w14:textId="77777777" w:rsidR="00E3097C" w:rsidRPr="0090631F" w:rsidRDefault="00E3097C" w:rsidP="00E3097C">
      <w:pPr>
        <w:spacing w:before="120" w:after="120"/>
        <w:ind w:left="426"/>
        <w:jc w:val="both"/>
        <w:rPr>
          <w:rFonts w:ascii="Calibri Light" w:hAnsi="Calibri Light" w:cs="Calibri Light"/>
          <w:sz w:val="24"/>
          <w:szCs w:val="24"/>
          <w:lang w:val="en-GB"/>
        </w:rPr>
      </w:pPr>
      <w:r w:rsidRPr="0090631F">
        <w:rPr>
          <w:rFonts w:ascii="Calibri Light" w:hAnsi="Calibri Light" w:cs="Calibri Light"/>
          <w:sz w:val="24"/>
          <w:szCs w:val="24"/>
          <w:lang w:val="en-GB"/>
        </w:rPr>
        <w:lastRenderedPageBreak/>
        <w:t>The data were analysed using Excel software. The collected materials and conceptual content were organised into separate tables. The first table covered legislative acts, the year of adoption, and key provisions. The second table focused on identifying the main insights from the academic literature: author, year of publication, and key findings on national security. The third table was more conceptual, addressing factors such as country, mechanisms for ensuring national security, strategies, challenges, authors, and year of publication.</w:t>
      </w:r>
    </w:p>
    <w:p w14:paraId="2BDA21A3" w14:textId="77777777" w:rsidR="00E3097C" w:rsidRDefault="00E3097C" w:rsidP="00E3097C">
      <w:pPr>
        <w:spacing w:before="120" w:after="120"/>
        <w:ind w:left="426"/>
        <w:jc w:val="both"/>
        <w:rPr>
          <w:rFonts w:ascii="Calibri Light" w:hAnsi="Calibri Light" w:cs="Calibri Light"/>
          <w:sz w:val="24"/>
          <w:szCs w:val="24"/>
        </w:rPr>
      </w:pPr>
      <w:r w:rsidRPr="0090631F">
        <w:rPr>
          <w:rFonts w:ascii="Calibri Light" w:hAnsi="Calibri Light" w:cs="Calibri Light"/>
          <w:sz w:val="24"/>
          <w:szCs w:val="24"/>
          <w:lang w:val="en-GB"/>
        </w:rPr>
        <w:t>This systematic organisation facilitated thematic analysis and the characterisation of the strengths and weaknesses of current mechanisms for legal regulation in the national security sector. It also enabled a comparative study of Ukraine’s key legal acts against the perspectives of leading academic scholars. Thus, this research provides a comprehensive analysis of the legal regulation of national security in Ukraine through the lens of fundamental local and global trends.</w:t>
      </w:r>
    </w:p>
    <w:p w14:paraId="6A4921CF" w14:textId="77777777" w:rsidR="00E3097C" w:rsidRPr="00A825DC" w:rsidRDefault="00E3097C" w:rsidP="00E3097C">
      <w:pPr>
        <w:spacing w:before="120" w:after="120"/>
        <w:rPr>
          <w:rFonts w:ascii="Calibri Light" w:hAnsi="Calibri Light" w:cs="Calibri Light"/>
          <w:b/>
          <w:sz w:val="24"/>
          <w:szCs w:val="24"/>
        </w:rPr>
      </w:pPr>
      <w:r w:rsidRPr="00122F5F">
        <w:rPr>
          <w:rFonts w:ascii="Calibri Light" w:hAnsi="Calibri Light" w:cs="Calibri Light"/>
          <w:b/>
          <w:sz w:val="24"/>
          <w:szCs w:val="24"/>
          <w:lang w:val="id-ID"/>
        </w:rPr>
        <w:t>I</w:t>
      </w:r>
      <w:r w:rsidRPr="00122F5F">
        <w:rPr>
          <w:rFonts w:ascii="Calibri Light" w:hAnsi="Calibri Light" w:cs="Calibri Light"/>
          <w:b/>
          <w:sz w:val="24"/>
          <w:szCs w:val="24"/>
        </w:rPr>
        <w:t>II</w:t>
      </w:r>
      <w:r w:rsidRPr="00122F5F">
        <w:rPr>
          <w:rFonts w:ascii="Calibri Light" w:hAnsi="Calibri Light" w:cs="Calibri Light"/>
          <w:b/>
          <w:sz w:val="24"/>
          <w:szCs w:val="24"/>
          <w:lang w:val="id-ID"/>
        </w:rPr>
        <w:t>. RESULT</w:t>
      </w:r>
      <w:r>
        <w:rPr>
          <w:rFonts w:ascii="Calibri Light" w:hAnsi="Calibri Light" w:cs="Calibri Light"/>
          <w:b/>
          <w:sz w:val="24"/>
          <w:szCs w:val="24"/>
        </w:rPr>
        <w:t>S</w:t>
      </w:r>
    </w:p>
    <w:p w14:paraId="12A2F9DD" w14:textId="38710C4C" w:rsidR="00E3097C" w:rsidRPr="0090631F" w:rsidRDefault="00E3097C" w:rsidP="00E3097C">
      <w:pPr>
        <w:spacing w:before="120" w:after="120"/>
        <w:ind w:left="440" w:right="-1" w:hanging="14"/>
        <w:jc w:val="both"/>
        <w:rPr>
          <w:rFonts w:ascii="Calibri Light" w:hAnsi="Calibri Light" w:cs="Calibri Light"/>
          <w:sz w:val="24"/>
          <w:szCs w:val="24"/>
          <w:lang w:val="en-GB"/>
        </w:rPr>
      </w:pPr>
      <w:r w:rsidRPr="0090631F">
        <w:rPr>
          <w:rFonts w:ascii="Calibri Light" w:hAnsi="Calibri Light" w:cs="Calibri Light"/>
          <w:sz w:val="24"/>
          <w:szCs w:val="24"/>
          <w:lang w:val="en-GB"/>
        </w:rPr>
        <w:t xml:space="preserve">The Russian aggression against Ukraine has emerged as a challenge to international security, </w:t>
      </w:r>
      <w:commentRangeStart w:id="5"/>
      <w:r w:rsidRPr="0090631F">
        <w:rPr>
          <w:rFonts w:ascii="Calibri Light" w:hAnsi="Calibri Light" w:cs="Calibri Light"/>
          <w:sz w:val="24"/>
          <w:szCs w:val="24"/>
          <w:lang w:val="en-GB"/>
        </w:rPr>
        <w:t>necessitating a revision of both international collective security agreements and specific national strategies</w:t>
      </w:r>
      <w:commentRangeEnd w:id="5"/>
      <w:r>
        <w:rPr>
          <w:rStyle w:val="ad"/>
        </w:rPr>
        <w:commentReference w:id="5"/>
      </w:r>
      <w:r w:rsidRPr="0090631F">
        <w:rPr>
          <w:rFonts w:ascii="Calibri Light" w:hAnsi="Calibri Light" w:cs="Calibri Light"/>
          <w:sz w:val="24"/>
          <w:szCs w:val="24"/>
          <w:lang w:val="en-GB"/>
        </w:rPr>
        <w:t xml:space="preserve">. </w:t>
      </w:r>
      <w:r w:rsidRPr="00A37381">
        <w:rPr>
          <w:rFonts w:ascii="Calibri Light" w:hAnsi="Calibri Light" w:cs="Calibri Light"/>
          <w:sz w:val="24"/>
          <w:szCs w:val="24"/>
          <w:highlight w:val="yellow"/>
          <w:lang w:val="en-GB"/>
        </w:rPr>
        <w:t xml:space="preserve">The Russian aggression against Ukraine has exposed significant shortcomings in the international security system, </w:t>
      </w:r>
      <w:r w:rsidR="00C10BD5" w:rsidRPr="00A37381">
        <w:rPr>
          <w:rFonts w:ascii="Calibri Light" w:hAnsi="Calibri Light" w:cs="Calibri Light"/>
          <w:sz w:val="24"/>
          <w:szCs w:val="24"/>
          <w:highlight w:val="yellow"/>
          <w:lang w:val="en-GB"/>
        </w:rPr>
        <w:t>in</w:t>
      </w:r>
      <w:r w:rsidRPr="00A37381">
        <w:rPr>
          <w:rFonts w:ascii="Calibri Light" w:hAnsi="Calibri Light" w:cs="Calibri Light"/>
          <w:sz w:val="24"/>
          <w:szCs w:val="24"/>
          <w:highlight w:val="yellow"/>
          <w:lang w:val="en-GB"/>
        </w:rPr>
        <w:t xml:space="preserve"> the effectiveness of the provisions of the UN Charter, OSCE mechanisms, and the Budapest Memorandum. As a result, Ukraine has been forced to review its national security strategies, including updating legislation on mobilization, civil </w:t>
      </w:r>
      <w:r w:rsidR="00C10BD5" w:rsidRPr="00A37381">
        <w:rPr>
          <w:rFonts w:ascii="Calibri Light" w:hAnsi="Calibri Light" w:cs="Calibri Light"/>
          <w:sz w:val="24"/>
          <w:szCs w:val="24"/>
          <w:highlight w:val="yellow"/>
          <w:lang w:val="en-GB"/>
        </w:rPr>
        <w:t>defence</w:t>
      </w:r>
      <w:r w:rsidRPr="00A37381">
        <w:rPr>
          <w:rFonts w:ascii="Calibri Light" w:hAnsi="Calibri Light" w:cs="Calibri Light"/>
          <w:sz w:val="24"/>
          <w:szCs w:val="24"/>
          <w:highlight w:val="yellow"/>
          <w:lang w:val="en-GB"/>
        </w:rPr>
        <w:t>, and integration with NATO standards.</w:t>
      </w:r>
      <w:r>
        <w:rPr>
          <w:rFonts w:ascii="Calibri Light" w:hAnsi="Calibri Light" w:cs="Calibri Light"/>
          <w:sz w:val="24"/>
          <w:szCs w:val="24"/>
          <w:lang w:val="uk-UA"/>
        </w:rPr>
        <w:t xml:space="preserve"> </w:t>
      </w:r>
      <w:r w:rsidRPr="0090631F">
        <w:rPr>
          <w:rFonts w:ascii="Calibri Light" w:hAnsi="Calibri Light" w:cs="Calibri Light"/>
          <w:sz w:val="24"/>
          <w:szCs w:val="24"/>
          <w:lang w:val="en-GB"/>
        </w:rPr>
        <w:t>Beyond the immediate threat of military aggression, hybrid threats such as propaganda, terrorism, and espionage, alongside enforcing cybersecurity standards and legal frameworks for emergency response (including resource mobilisation), remain pressing challenges to the legal sphere. Scholars note that these issues have been exacerbated not only by the aggressive actions of the Russian regime but also by the involvement of Iranian and Chinese intelligence services [1</w:t>
      </w:r>
      <w:r>
        <w:rPr>
          <w:rFonts w:ascii="Calibri Light" w:hAnsi="Calibri Light" w:cs="Calibri Light"/>
          <w:sz w:val="24"/>
          <w:szCs w:val="24"/>
          <w:lang w:val="en-GB"/>
        </w:rPr>
        <w:t>8</w:t>
      </w:r>
      <w:r w:rsidRPr="0090631F">
        <w:rPr>
          <w:rFonts w:ascii="Calibri Light" w:hAnsi="Calibri Light" w:cs="Calibri Light"/>
          <w:sz w:val="24"/>
          <w:szCs w:val="24"/>
          <w:lang w:val="en-GB"/>
        </w:rPr>
        <w:t>]. Addressing these challenges within the legal framework will require the amendment of existing laws and regulations, including those at the international level.</w:t>
      </w:r>
    </w:p>
    <w:p w14:paraId="115849D6" w14:textId="77777777" w:rsidR="00E3097C" w:rsidRDefault="00E3097C" w:rsidP="00E3097C">
      <w:pPr>
        <w:spacing w:before="120" w:after="120"/>
        <w:ind w:left="440" w:right="-1" w:hanging="14"/>
        <w:jc w:val="both"/>
        <w:rPr>
          <w:rFonts w:ascii="Calibri Light" w:hAnsi="Calibri Light" w:cs="Calibri Light"/>
          <w:sz w:val="24"/>
          <w:szCs w:val="24"/>
          <w:lang w:val="en-GB"/>
        </w:rPr>
      </w:pPr>
      <w:r w:rsidRPr="0090631F">
        <w:rPr>
          <w:rFonts w:ascii="Calibri Light" w:hAnsi="Calibri Light" w:cs="Calibri Light"/>
          <w:sz w:val="24"/>
          <w:szCs w:val="24"/>
          <w:lang w:val="en-GB"/>
        </w:rPr>
        <w:t>In the context of Ukrainian legal realities, the legal basis for implementing national security and defence measures is enshrined in the Constitution of Ukraine, Ukrainian laws, subordinate regulatory acts, and ratified international agreements and treaties. The public-law mechanism for ensuring national security operates by the Constitution of Ukraine, which establishes the core principles of domestic and foreign policy concerning security and defence. Notably, the Constitution of Ukraine highlights the country's commitment to the European Union and NATO membership as a priority and fundamental foreign policy objective.</w:t>
      </w:r>
    </w:p>
    <w:p w14:paraId="03155337" w14:textId="4303ABB4" w:rsidR="00E3097C" w:rsidRPr="0090631F" w:rsidRDefault="00E3097C" w:rsidP="00E3097C">
      <w:pPr>
        <w:spacing w:before="120" w:after="120"/>
        <w:ind w:left="440" w:right="-1" w:hanging="14"/>
        <w:jc w:val="both"/>
        <w:rPr>
          <w:rFonts w:ascii="Calibri Light" w:hAnsi="Calibri Light" w:cs="Calibri Light"/>
          <w:sz w:val="24"/>
          <w:szCs w:val="24"/>
          <w:lang w:val="en-GB"/>
        </w:rPr>
      </w:pPr>
      <w:r w:rsidRPr="0090631F">
        <w:rPr>
          <w:rFonts w:ascii="Calibri Light" w:hAnsi="Calibri Light" w:cs="Calibri Light"/>
          <w:sz w:val="24"/>
          <w:szCs w:val="24"/>
          <w:lang w:val="en-GB"/>
        </w:rPr>
        <w:t>The legal framework supporting national security in Ukraine is strengthened by implementing Ukrainian laws and further specified through a system of subordinate regulatory acts. However, researchers describe this system as extensive but poorly coordinated [1</w:t>
      </w:r>
      <w:r>
        <w:rPr>
          <w:rFonts w:ascii="Calibri Light" w:hAnsi="Calibri Light" w:cs="Calibri Light"/>
          <w:sz w:val="24"/>
          <w:szCs w:val="24"/>
          <w:lang w:val="en-GB"/>
        </w:rPr>
        <w:t>9</w:t>
      </w:r>
      <w:r w:rsidRPr="0090631F">
        <w:rPr>
          <w:rFonts w:ascii="Calibri Light" w:hAnsi="Calibri Light" w:cs="Calibri Light"/>
          <w:sz w:val="24"/>
          <w:szCs w:val="24"/>
          <w:lang w:val="en-GB"/>
        </w:rPr>
        <w:t xml:space="preserve">]. This issue mainly addresses contemporary hybrid challenges such as cybercrime and the migrant crisis. Furthermore, another pressing </w:t>
      </w:r>
      <w:r w:rsidRPr="00A825DC">
        <w:rPr>
          <w:rFonts w:ascii="Calibri Light" w:hAnsi="Calibri Light" w:cs="Calibri Light"/>
          <w:sz w:val="24"/>
          <w:szCs w:val="24"/>
          <w:highlight w:val="yellow"/>
          <w:lang w:val="en-GB"/>
        </w:rPr>
        <w:t xml:space="preserve">challenge is the alignment with existing international standards for defence reforms </w:t>
      </w:r>
      <w:r w:rsidRPr="00A825DC">
        <w:rPr>
          <w:rFonts w:asciiTheme="minorHAnsi" w:hAnsiTheme="minorHAnsi" w:cstheme="minorHAnsi"/>
          <w:sz w:val="24"/>
          <w:szCs w:val="24"/>
          <w:highlight w:val="yellow"/>
          <w:lang w:val="en-GB"/>
        </w:rPr>
        <w:t>(</w:t>
      </w:r>
      <w:r w:rsidRPr="00A825DC">
        <w:rPr>
          <w:rFonts w:asciiTheme="minorHAnsi" w:hAnsiTheme="minorHAnsi" w:cstheme="minorHAnsi"/>
          <w:sz w:val="24"/>
          <w:szCs w:val="24"/>
          <w:highlight w:val="yellow"/>
        </w:rPr>
        <w:t xml:space="preserve">NATO interoperability standards and the EU’s Common Security and </w:t>
      </w:r>
      <w:r w:rsidR="00C10BD5" w:rsidRPr="00A825DC">
        <w:rPr>
          <w:rFonts w:asciiTheme="minorHAnsi" w:hAnsiTheme="minorHAnsi" w:cstheme="minorHAnsi"/>
          <w:sz w:val="24"/>
          <w:szCs w:val="24"/>
          <w:highlight w:val="yellow"/>
        </w:rPr>
        <w:t>Defense</w:t>
      </w:r>
      <w:r w:rsidRPr="00A825DC">
        <w:rPr>
          <w:rFonts w:asciiTheme="minorHAnsi" w:hAnsiTheme="minorHAnsi" w:cstheme="minorHAnsi"/>
          <w:sz w:val="24"/>
          <w:szCs w:val="24"/>
          <w:highlight w:val="yellow"/>
        </w:rPr>
        <w:t xml:space="preserve"> Policy (CSDP))</w:t>
      </w:r>
      <w:r w:rsidRPr="00A825DC">
        <w:rPr>
          <w:rFonts w:ascii="Calibri Light" w:hAnsi="Calibri Light" w:cs="Calibri Light"/>
          <w:sz w:val="24"/>
          <w:szCs w:val="24"/>
          <w:highlight w:val="yellow"/>
          <w:lang w:val="en-GB"/>
        </w:rPr>
        <w:t>,</w:t>
      </w:r>
      <w:r w:rsidRPr="0090631F">
        <w:rPr>
          <w:rFonts w:ascii="Calibri Light" w:hAnsi="Calibri Light" w:cs="Calibri Light"/>
          <w:sz w:val="24"/>
          <w:szCs w:val="24"/>
          <w:lang w:val="en-GB"/>
        </w:rPr>
        <w:t xml:space="preserve"> </w:t>
      </w:r>
      <w:r w:rsidRPr="0090631F">
        <w:rPr>
          <w:rFonts w:ascii="Calibri Light" w:hAnsi="Calibri Light" w:cs="Calibri Light"/>
          <w:sz w:val="24"/>
          <w:szCs w:val="24"/>
          <w:lang w:val="en-GB"/>
        </w:rPr>
        <w:lastRenderedPageBreak/>
        <w:t>which are crucial factors in legal cooperation, including the organisation of mass mobilisation efforts.</w:t>
      </w:r>
    </w:p>
    <w:p w14:paraId="6426087F" w14:textId="77777777" w:rsidR="00E3097C" w:rsidRPr="0090631F" w:rsidRDefault="00E3097C" w:rsidP="00E3097C">
      <w:pPr>
        <w:spacing w:before="120" w:after="120"/>
        <w:ind w:left="440" w:right="-1" w:hanging="14"/>
        <w:jc w:val="both"/>
        <w:rPr>
          <w:rFonts w:ascii="Calibri Light" w:hAnsi="Calibri Light" w:cs="Calibri Light"/>
          <w:sz w:val="24"/>
          <w:szCs w:val="24"/>
          <w:lang w:val="uk-UA"/>
        </w:rPr>
      </w:pPr>
      <w:r w:rsidRPr="0090631F">
        <w:rPr>
          <w:rFonts w:ascii="Calibri Light" w:hAnsi="Calibri Light" w:cs="Calibri Light"/>
          <w:sz w:val="24"/>
          <w:szCs w:val="24"/>
          <w:lang w:val="en-GB"/>
        </w:rPr>
        <w:t>At the international level, no unified document outlines established standards for ensuring global and national security, creating specific challenges in addressing diverse threats and risks. National legal systems often differ significantly in practically implementing identical international requirements. Consequently, in the Ukrainian context, meeting the demands of international security platforms remains challenging, as global coordination efforts require additional legal solutions.</w:t>
      </w:r>
    </w:p>
    <w:p w14:paraId="2220CDBA" w14:textId="77777777" w:rsidR="00E3097C" w:rsidRPr="0090631F" w:rsidRDefault="00E3097C" w:rsidP="00E3097C">
      <w:pPr>
        <w:spacing w:before="120" w:after="120"/>
        <w:ind w:left="440" w:right="-1" w:hanging="14"/>
        <w:jc w:val="both"/>
        <w:rPr>
          <w:rFonts w:ascii="Calibri Light" w:hAnsi="Calibri Light" w:cs="Calibri Light"/>
          <w:sz w:val="24"/>
          <w:szCs w:val="24"/>
          <w:lang w:val="en-GB"/>
        </w:rPr>
      </w:pPr>
      <w:r w:rsidRPr="0090631F">
        <w:rPr>
          <w:rFonts w:ascii="Calibri Light" w:hAnsi="Calibri Light" w:cs="Calibri Light"/>
          <w:sz w:val="24"/>
          <w:szCs w:val="24"/>
          <w:lang w:val="en-GB"/>
        </w:rPr>
        <w:t>One example is ensuring food security, which is based on potential economic and legal solutions (see Table 1).</w:t>
      </w:r>
    </w:p>
    <w:p w14:paraId="5F811E07" w14:textId="77777777" w:rsidR="00E3097C" w:rsidRPr="0090631F" w:rsidRDefault="00E3097C" w:rsidP="00E3097C">
      <w:pPr>
        <w:spacing w:before="120" w:after="120"/>
        <w:ind w:left="440" w:right="-1" w:hanging="14"/>
        <w:jc w:val="center"/>
        <w:rPr>
          <w:rFonts w:ascii="Calibri Light" w:hAnsi="Calibri Light" w:cs="Calibri Light"/>
          <w:b/>
          <w:sz w:val="24"/>
          <w:szCs w:val="24"/>
          <w:lang w:val="en-GB"/>
        </w:rPr>
      </w:pPr>
      <w:r w:rsidRPr="0090631F">
        <w:rPr>
          <w:rFonts w:ascii="Calibri Light" w:hAnsi="Calibri Light" w:cs="Calibri Light"/>
          <w:b/>
          <w:sz w:val="24"/>
          <w:szCs w:val="24"/>
          <w:lang w:val="en-GB"/>
        </w:rPr>
        <w:t>Table 1.</w:t>
      </w:r>
      <w:r w:rsidRPr="0090631F">
        <w:rPr>
          <w:rFonts w:ascii="Calibri Light" w:hAnsi="Calibri Light" w:cs="Calibri Light"/>
          <w:sz w:val="24"/>
          <w:szCs w:val="24"/>
          <w:lang w:val="en-GB"/>
        </w:rPr>
        <w:t xml:space="preserve"> </w:t>
      </w:r>
      <w:r w:rsidRPr="0090631F">
        <w:rPr>
          <w:rFonts w:ascii="Calibri Light" w:hAnsi="Calibri Light" w:cs="Calibri Light"/>
          <w:b/>
          <w:sz w:val="24"/>
          <w:szCs w:val="24"/>
          <w:lang w:val="en-GB"/>
        </w:rPr>
        <w:t>Regulation of Food Security</w:t>
      </w:r>
    </w:p>
    <w:tbl>
      <w:tblPr>
        <w:tblStyle w:val="aa"/>
        <w:tblW w:w="8635" w:type="dxa"/>
        <w:tblInd w:w="534" w:type="dxa"/>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425"/>
        <w:gridCol w:w="3118"/>
        <w:gridCol w:w="5092"/>
      </w:tblGrid>
      <w:tr w:rsidR="00E3097C" w:rsidRPr="0090631F" w14:paraId="62D4C0EC" w14:textId="77777777" w:rsidTr="00F0672F">
        <w:tc>
          <w:tcPr>
            <w:tcW w:w="425" w:type="dxa"/>
            <w:shd w:val="clear" w:color="auto" w:fill="BFBFBF" w:themeFill="background1" w:themeFillShade="BF"/>
          </w:tcPr>
          <w:p w14:paraId="7769DAFD" w14:textId="77777777" w:rsidR="00E3097C" w:rsidRPr="0090631F" w:rsidRDefault="00E3097C" w:rsidP="00F0672F">
            <w:pPr>
              <w:jc w:val="both"/>
              <w:rPr>
                <w:rFonts w:ascii="Calibri Light" w:hAnsi="Calibri Light" w:cs="Calibri Light"/>
                <w:b/>
                <w:bCs/>
                <w:sz w:val="22"/>
                <w:szCs w:val="24"/>
                <w:lang w:val="en-GB"/>
              </w:rPr>
            </w:pPr>
            <w:r w:rsidRPr="0090631F">
              <w:rPr>
                <w:rFonts w:ascii="Calibri Light" w:hAnsi="Calibri Light" w:cs="Calibri Light"/>
                <w:b/>
                <w:bCs/>
                <w:sz w:val="22"/>
                <w:szCs w:val="24"/>
                <w:lang w:val="en-GB"/>
              </w:rPr>
              <w:t>N</w:t>
            </w:r>
          </w:p>
        </w:tc>
        <w:tc>
          <w:tcPr>
            <w:tcW w:w="3118" w:type="dxa"/>
            <w:shd w:val="clear" w:color="auto" w:fill="BFBFBF" w:themeFill="background1" w:themeFillShade="BF"/>
          </w:tcPr>
          <w:p w14:paraId="3303240E" w14:textId="77777777" w:rsidR="00E3097C" w:rsidRPr="0090631F" w:rsidRDefault="00E3097C" w:rsidP="00F0672F">
            <w:pPr>
              <w:jc w:val="both"/>
              <w:rPr>
                <w:rFonts w:ascii="Calibri Light" w:hAnsi="Calibri Light" w:cs="Calibri Light"/>
                <w:b/>
                <w:bCs/>
                <w:sz w:val="22"/>
                <w:szCs w:val="24"/>
                <w:lang w:val="en-GB"/>
              </w:rPr>
            </w:pPr>
            <w:r w:rsidRPr="0090631F">
              <w:rPr>
                <w:rFonts w:ascii="Calibri Light" w:hAnsi="Calibri Light" w:cs="Calibri Light"/>
                <w:b/>
                <w:bCs/>
                <w:sz w:val="22"/>
                <w:szCs w:val="24"/>
                <w:lang w:val="en-GB"/>
              </w:rPr>
              <w:t>Problem</w:t>
            </w:r>
          </w:p>
        </w:tc>
        <w:tc>
          <w:tcPr>
            <w:tcW w:w="5092" w:type="dxa"/>
            <w:shd w:val="clear" w:color="auto" w:fill="BFBFBF" w:themeFill="background1" w:themeFillShade="BF"/>
          </w:tcPr>
          <w:p w14:paraId="1A8B0893" w14:textId="77777777" w:rsidR="00E3097C" w:rsidRPr="0090631F" w:rsidRDefault="00E3097C" w:rsidP="00F0672F">
            <w:pPr>
              <w:jc w:val="both"/>
              <w:rPr>
                <w:rFonts w:ascii="Calibri Light" w:hAnsi="Calibri Light" w:cs="Calibri Light"/>
                <w:b/>
                <w:bCs/>
                <w:sz w:val="22"/>
                <w:szCs w:val="24"/>
                <w:lang w:val="en-GB"/>
              </w:rPr>
            </w:pPr>
            <w:r w:rsidRPr="0090631F">
              <w:rPr>
                <w:rFonts w:ascii="Calibri Light" w:hAnsi="Calibri Light" w:cs="Calibri Light"/>
                <w:b/>
                <w:bCs/>
                <w:sz w:val="22"/>
                <w:szCs w:val="24"/>
                <w:lang w:val="en-GB"/>
              </w:rPr>
              <w:t>Regulatory measures</w:t>
            </w:r>
          </w:p>
        </w:tc>
      </w:tr>
      <w:tr w:rsidR="00E3097C" w:rsidRPr="0090631F" w14:paraId="24072A5C" w14:textId="77777777" w:rsidTr="00F0672F">
        <w:tc>
          <w:tcPr>
            <w:tcW w:w="425" w:type="dxa"/>
          </w:tcPr>
          <w:p w14:paraId="16FA0F8E" w14:textId="77777777" w:rsidR="00E3097C" w:rsidRPr="0090631F" w:rsidRDefault="00E3097C" w:rsidP="00F0672F">
            <w:pPr>
              <w:jc w:val="both"/>
              <w:rPr>
                <w:rFonts w:ascii="Calibri Light" w:hAnsi="Calibri Light" w:cs="Calibri Light"/>
                <w:sz w:val="22"/>
                <w:szCs w:val="24"/>
                <w:lang w:val="en-GB"/>
              </w:rPr>
            </w:pPr>
            <w:r w:rsidRPr="0090631F">
              <w:rPr>
                <w:rFonts w:ascii="Calibri Light" w:hAnsi="Calibri Light" w:cs="Calibri Light"/>
                <w:sz w:val="22"/>
                <w:szCs w:val="24"/>
                <w:lang w:val="en-GB"/>
              </w:rPr>
              <w:t>1</w:t>
            </w:r>
          </w:p>
        </w:tc>
        <w:tc>
          <w:tcPr>
            <w:tcW w:w="3118" w:type="dxa"/>
          </w:tcPr>
          <w:p w14:paraId="12336AB1" w14:textId="77777777" w:rsidR="00E3097C" w:rsidRPr="0090631F" w:rsidRDefault="00E3097C" w:rsidP="00F0672F">
            <w:pPr>
              <w:jc w:val="both"/>
              <w:rPr>
                <w:rFonts w:ascii="Calibri Light" w:hAnsi="Calibri Light" w:cs="Calibri Light"/>
                <w:sz w:val="22"/>
                <w:szCs w:val="24"/>
                <w:lang w:val="en-GB"/>
              </w:rPr>
            </w:pPr>
            <w:r w:rsidRPr="0090631F">
              <w:rPr>
                <w:rFonts w:ascii="Calibri Light" w:hAnsi="Calibri Light" w:cs="Calibri Light"/>
                <w:sz w:val="22"/>
                <w:szCs w:val="24"/>
                <w:lang w:val="en-GB"/>
              </w:rPr>
              <w:t>Legal regulation of the development of the agricultural sector of Ukraine</w:t>
            </w:r>
          </w:p>
        </w:tc>
        <w:tc>
          <w:tcPr>
            <w:tcW w:w="5092" w:type="dxa"/>
          </w:tcPr>
          <w:p w14:paraId="5990D34E" w14:textId="4B78222A" w:rsidR="00E3097C" w:rsidRPr="0090631F" w:rsidRDefault="00E3097C" w:rsidP="00F0672F">
            <w:pPr>
              <w:jc w:val="both"/>
              <w:rPr>
                <w:rFonts w:ascii="Calibri Light" w:hAnsi="Calibri Light" w:cs="Calibri Light"/>
                <w:sz w:val="22"/>
                <w:szCs w:val="24"/>
                <w:lang w:val="en-GB"/>
              </w:rPr>
            </w:pPr>
            <w:r w:rsidRPr="0090631F">
              <w:rPr>
                <w:rFonts w:ascii="Calibri Light" w:hAnsi="Calibri Light" w:cs="Calibri Light"/>
                <w:sz w:val="22"/>
                <w:szCs w:val="24"/>
                <w:lang w:val="en-GB"/>
              </w:rPr>
              <w:t xml:space="preserve">Legislative regulation of state aid to organizations on </w:t>
            </w:r>
            <w:r w:rsidR="00C10BD5" w:rsidRPr="0090631F">
              <w:rPr>
                <w:rFonts w:ascii="Calibri Light" w:hAnsi="Calibri Light" w:cs="Calibri Light"/>
                <w:sz w:val="22"/>
                <w:szCs w:val="24"/>
                <w:lang w:val="en-GB"/>
              </w:rPr>
              <w:t>reoccupied</w:t>
            </w:r>
            <w:r w:rsidRPr="0090631F">
              <w:rPr>
                <w:rFonts w:ascii="Calibri Light" w:hAnsi="Calibri Light" w:cs="Calibri Light"/>
                <w:sz w:val="22"/>
                <w:szCs w:val="24"/>
                <w:lang w:val="en-GB"/>
              </w:rPr>
              <w:t xml:space="preserve"> lands; use of state programs for the restoration of agricultural infrastructure; use of state loans.</w:t>
            </w:r>
          </w:p>
        </w:tc>
      </w:tr>
      <w:tr w:rsidR="00E3097C" w:rsidRPr="0090631F" w14:paraId="07F000DC" w14:textId="77777777" w:rsidTr="00F0672F">
        <w:tc>
          <w:tcPr>
            <w:tcW w:w="425" w:type="dxa"/>
          </w:tcPr>
          <w:p w14:paraId="41F0C8CA" w14:textId="77777777" w:rsidR="00E3097C" w:rsidRPr="0090631F" w:rsidRDefault="00E3097C" w:rsidP="00F0672F">
            <w:pPr>
              <w:jc w:val="both"/>
              <w:rPr>
                <w:rFonts w:ascii="Calibri Light" w:hAnsi="Calibri Light" w:cs="Calibri Light"/>
                <w:sz w:val="22"/>
                <w:szCs w:val="24"/>
                <w:lang w:val="en-GB"/>
              </w:rPr>
            </w:pPr>
            <w:r w:rsidRPr="0090631F">
              <w:rPr>
                <w:rFonts w:ascii="Calibri Light" w:hAnsi="Calibri Light" w:cs="Calibri Light"/>
                <w:sz w:val="22"/>
                <w:szCs w:val="24"/>
                <w:lang w:val="en-GB"/>
              </w:rPr>
              <w:t>2</w:t>
            </w:r>
          </w:p>
        </w:tc>
        <w:tc>
          <w:tcPr>
            <w:tcW w:w="3118" w:type="dxa"/>
          </w:tcPr>
          <w:p w14:paraId="4D53BE28" w14:textId="77777777" w:rsidR="00E3097C" w:rsidRPr="0090631F" w:rsidRDefault="00E3097C" w:rsidP="00F0672F">
            <w:pPr>
              <w:jc w:val="both"/>
              <w:rPr>
                <w:rFonts w:ascii="Calibri Light" w:hAnsi="Calibri Light" w:cs="Calibri Light"/>
                <w:sz w:val="22"/>
                <w:szCs w:val="24"/>
                <w:lang w:val="en-GB"/>
              </w:rPr>
            </w:pPr>
            <w:r w:rsidRPr="0090631F">
              <w:rPr>
                <w:rFonts w:ascii="Calibri Light" w:hAnsi="Calibri Light" w:cs="Calibri Light"/>
                <w:sz w:val="22"/>
                <w:szCs w:val="24"/>
                <w:lang w:val="en-GB"/>
              </w:rPr>
              <w:t>Harmonization of Ukrainian law with the norms of the European Union countries</w:t>
            </w:r>
          </w:p>
        </w:tc>
        <w:tc>
          <w:tcPr>
            <w:tcW w:w="5092" w:type="dxa"/>
          </w:tcPr>
          <w:p w14:paraId="20B2D708" w14:textId="1876F930" w:rsidR="00E3097C" w:rsidRPr="0090631F" w:rsidRDefault="00E3097C" w:rsidP="00F0672F">
            <w:pPr>
              <w:jc w:val="both"/>
              <w:rPr>
                <w:rFonts w:ascii="Calibri Light" w:hAnsi="Calibri Light" w:cs="Calibri Light"/>
                <w:sz w:val="22"/>
                <w:szCs w:val="24"/>
                <w:lang w:val="en-GB"/>
              </w:rPr>
            </w:pPr>
            <w:r w:rsidRPr="0090631F">
              <w:rPr>
                <w:rFonts w:ascii="Calibri Light" w:hAnsi="Calibri Light" w:cs="Calibri Light"/>
                <w:sz w:val="22"/>
                <w:szCs w:val="24"/>
                <w:lang w:val="en-GB"/>
              </w:rPr>
              <w:t xml:space="preserve">Harmonization of the Ukrainian legal field with EU requirements will allow to increase export opportunities in Europe. </w:t>
            </w:r>
            <w:r w:rsidR="00C10BD5" w:rsidRPr="0090631F">
              <w:rPr>
                <w:rFonts w:ascii="Calibri Light" w:hAnsi="Calibri Light" w:cs="Calibri Light"/>
                <w:sz w:val="22"/>
                <w:szCs w:val="24"/>
                <w:lang w:val="en-GB"/>
              </w:rPr>
              <w:t>40%</w:t>
            </w:r>
            <w:r w:rsidRPr="0090631F">
              <w:rPr>
                <w:rFonts w:ascii="Calibri Light" w:hAnsi="Calibri Light" w:cs="Calibri Light"/>
                <w:sz w:val="22"/>
                <w:szCs w:val="24"/>
                <w:lang w:val="en-GB"/>
              </w:rPr>
              <w:t xml:space="preserve"> of technical regulations in Europe concern the agricultural sector. Promising legal vectors are increasing operational efficiency, resorting to green policy, using alternative sources of fuel and energy, introducing product formulations with improved properties</w:t>
            </w:r>
          </w:p>
        </w:tc>
      </w:tr>
      <w:tr w:rsidR="00E3097C" w:rsidRPr="0090631F" w14:paraId="0AADFA20" w14:textId="77777777" w:rsidTr="00F0672F">
        <w:tc>
          <w:tcPr>
            <w:tcW w:w="425" w:type="dxa"/>
          </w:tcPr>
          <w:p w14:paraId="1D5DBF2E" w14:textId="77777777" w:rsidR="00E3097C" w:rsidRPr="0090631F" w:rsidRDefault="00E3097C" w:rsidP="00F0672F">
            <w:pPr>
              <w:jc w:val="both"/>
              <w:rPr>
                <w:rFonts w:ascii="Calibri Light" w:hAnsi="Calibri Light" w:cs="Calibri Light"/>
                <w:sz w:val="22"/>
                <w:szCs w:val="24"/>
                <w:lang w:val="en-GB"/>
              </w:rPr>
            </w:pPr>
            <w:r w:rsidRPr="0090631F">
              <w:rPr>
                <w:rFonts w:ascii="Calibri Light" w:hAnsi="Calibri Light" w:cs="Calibri Light"/>
                <w:sz w:val="22"/>
                <w:szCs w:val="24"/>
                <w:lang w:val="en-GB"/>
              </w:rPr>
              <w:t>3</w:t>
            </w:r>
          </w:p>
        </w:tc>
        <w:tc>
          <w:tcPr>
            <w:tcW w:w="3118" w:type="dxa"/>
          </w:tcPr>
          <w:p w14:paraId="307C1796" w14:textId="77777777" w:rsidR="00E3097C" w:rsidRPr="0090631F" w:rsidRDefault="00E3097C" w:rsidP="00F0672F">
            <w:pPr>
              <w:jc w:val="both"/>
              <w:rPr>
                <w:rFonts w:ascii="Calibri Light" w:hAnsi="Calibri Light" w:cs="Calibri Light"/>
                <w:sz w:val="22"/>
                <w:szCs w:val="24"/>
                <w:lang w:val="en-GB"/>
              </w:rPr>
            </w:pPr>
            <w:r w:rsidRPr="0090631F">
              <w:rPr>
                <w:rFonts w:ascii="Calibri Light" w:hAnsi="Calibri Light" w:cs="Calibri Light"/>
                <w:sz w:val="22"/>
                <w:szCs w:val="24"/>
                <w:lang w:val="en-GB"/>
              </w:rPr>
              <w:t>Control over the implementation of state programs, product quality</w:t>
            </w:r>
          </w:p>
        </w:tc>
        <w:tc>
          <w:tcPr>
            <w:tcW w:w="5092" w:type="dxa"/>
          </w:tcPr>
          <w:p w14:paraId="23A1A119" w14:textId="77777777" w:rsidR="00E3097C" w:rsidRPr="0090631F" w:rsidRDefault="00E3097C" w:rsidP="00F0672F">
            <w:pPr>
              <w:jc w:val="both"/>
              <w:rPr>
                <w:rFonts w:ascii="Calibri Light" w:hAnsi="Calibri Light" w:cs="Calibri Light"/>
                <w:sz w:val="22"/>
                <w:szCs w:val="24"/>
                <w:lang w:val="en-GB"/>
              </w:rPr>
            </w:pPr>
            <w:r w:rsidRPr="0090631F">
              <w:rPr>
                <w:rFonts w:ascii="Calibri Light" w:hAnsi="Calibri Light" w:cs="Calibri Light"/>
                <w:sz w:val="22"/>
                <w:szCs w:val="24"/>
                <w:lang w:val="en-GB"/>
              </w:rPr>
              <w:t>Legislative consolidation of the Ukrainian manufacturer as a recipient of financial assistance; use of special state regulation programs; effective state control over the safety and quality of seed stock, raw materials, food products, etc.</w:t>
            </w:r>
          </w:p>
        </w:tc>
      </w:tr>
    </w:tbl>
    <w:p w14:paraId="4F616063" w14:textId="77777777" w:rsidR="00E3097C" w:rsidRPr="0090631F" w:rsidRDefault="00E3097C" w:rsidP="00E3097C">
      <w:pPr>
        <w:spacing w:before="120" w:after="120"/>
        <w:ind w:left="440" w:right="-1" w:hanging="14"/>
        <w:jc w:val="center"/>
        <w:rPr>
          <w:rFonts w:ascii="Calibri Light" w:hAnsi="Calibri Light" w:cs="Calibri Light"/>
          <w:i/>
          <w:sz w:val="24"/>
          <w:szCs w:val="24"/>
        </w:rPr>
      </w:pPr>
      <w:r w:rsidRPr="0090631F">
        <w:rPr>
          <w:rFonts w:ascii="Calibri Light" w:hAnsi="Calibri Light" w:cs="Calibri Light"/>
          <w:i/>
          <w:sz w:val="24"/>
          <w:szCs w:val="24"/>
        </w:rPr>
        <w:t>Source: Authors’ development.</w:t>
      </w:r>
    </w:p>
    <w:p w14:paraId="65BB89BC" w14:textId="77777777" w:rsidR="00E3097C" w:rsidRPr="0090631F" w:rsidRDefault="00E3097C" w:rsidP="00E3097C">
      <w:pPr>
        <w:spacing w:before="120" w:after="120"/>
        <w:ind w:left="440" w:right="-1" w:hanging="14"/>
        <w:jc w:val="both"/>
        <w:rPr>
          <w:rFonts w:ascii="Calibri Light" w:hAnsi="Calibri Light" w:cs="Calibri Light"/>
          <w:sz w:val="24"/>
          <w:szCs w:val="24"/>
          <w:lang w:val="en-GB"/>
        </w:rPr>
      </w:pPr>
      <w:r w:rsidRPr="0090631F">
        <w:rPr>
          <w:rFonts w:ascii="Calibri Light" w:hAnsi="Calibri Light" w:cs="Calibri Light"/>
          <w:sz w:val="24"/>
          <w:szCs w:val="24"/>
          <w:lang w:val="en-GB"/>
        </w:rPr>
        <w:t>Compliance with food security standards and the continued evolution of the relevant legislative framework will enable adherence to other dimensions of national security as well. In particular, the utilisation of existing legal mechanisms to ensure economic security is of significant importance (see Table 2).</w:t>
      </w:r>
    </w:p>
    <w:p w14:paraId="669FCDFB" w14:textId="77777777" w:rsidR="00E3097C" w:rsidRPr="00141A2D" w:rsidRDefault="00E3097C" w:rsidP="00E3097C">
      <w:pPr>
        <w:spacing w:before="120" w:after="120"/>
        <w:ind w:left="440" w:right="-1" w:hanging="14"/>
        <w:jc w:val="center"/>
        <w:rPr>
          <w:rFonts w:ascii="Calibri Light" w:hAnsi="Calibri Light" w:cs="Calibri Light"/>
          <w:b/>
          <w:sz w:val="24"/>
          <w:szCs w:val="24"/>
        </w:rPr>
      </w:pPr>
      <w:r w:rsidRPr="0090631F">
        <w:rPr>
          <w:rFonts w:ascii="Calibri Light" w:hAnsi="Calibri Light" w:cs="Calibri Light"/>
          <w:b/>
          <w:bCs/>
          <w:sz w:val="24"/>
          <w:szCs w:val="24"/>
        </w:rPr>
        <w:t>Table 2.</w:t>
      </w:r>
      <w:r w:rsidRPr="0090631F">
        <w:rPr>
          <w:rFonts w:ascii="Calibri Light" w:hAnsi="Calibri Light" w:cs="Calibri Light"/>
          <w:bCs/>
          <w:sz w:val="24"/>
          <w:szCs w:val="24"/>
        </w:rPr>
        <w:t xml:space="preserve"> </w:t>
      </w:r>
      <w:r w:rsidRPr="00141A2D">
        <w:rPr>
          <w:rFonts w:ascii="Calibri Light" w:hAnsi="Calibri Light" w:cs="Calibri Light"/>
          <w:b/>
          <w:bCs/>
          <w:sz w:val="24"/>
          <w:szCs w:val="24"/>
        </w:rPr>
        <w:t>Legal Dimensions of Economic Security</w:t>
      </w:r>
    </w:p>
    <w:tbl>
      <w:tblPr>
        <w:tblStyle w:val="aa"/>
        <w:tblW w:w="8613" w:type="dxa"/>
        <w:tblInd w:w="562" w:type="dxa"/>
        <w:tblBorders>
          <w:left w:val="none" w:sz="0" w:space="0" w:color="auto"/>
          <w:right w:val="none" w:sz="0" w:space="0" w:color="auto"/>
          <w:insideV w:val="none" w:sz="0" w:space="0" w:color="auto"/>
        </w:tblBorders>
        <w:tblLook w:val="04A0" w:firstRow="1" w:lastRow="0" w:firstColumn="1" w:lastColumn="0" w:noHBand="0" w:noVBand="1"/>
      </w:tblPr>
      <w:tblGrid>
        <w:gridCol w:w="397"/>
        <w:gridCol w:w="2693"/>
        <w:gridCol w:w="5523"/>
      </w:tblGrid>
      <w:tr w:rsidR="00E3097C" w:rsidRPr="00141A2D" w14:paraId="6D44334B" w14:textId="77777777" w:rsidTr="00F0672F">
        <w:tc>
          <w:tcPr>
            <w:tcW w:w="397" w:type="dxa"/>
            <w:shd w:val="clear" w:color="auto" w:fill="BFBFBF" w:themeFill="background1" w:themeFillShade="BF"/>
          </w:tcPr>
          <w:p w14:paraId="1BAE0A7A" w14:textId="77777777" w:rsidR="00E3097C" w:rsidRPr="00141A2D" w:rsidRDefault="00E3097C" w:rsidP="00F0672F">
            <w:pPr>
              <w:jc w:val="both"/>
              <w:rPr>
                <w:rFonts w:ascii="Calibri Light" w:hAnsi="Calibri Light" w:cs="Calibri Light"/>
                <w:b/>
                <w:bCs/>
                <w:sz w:val="22"/>
                <w:szCs w:val="24"/>
                <w:lang w:val="en-GB"/>
              </w:rPr>
            </w:pPr>
            <w:r w:rsidRPr="00141A2D">
              <w:rPr>
                <w:rFonts w:ascii="Calibri Light" w:hAnsi="Calibri Light" w:cs="Calibri Light"/>
                <w:b/>
                <w:bCs/>
                <w:sz w:val="22"/>
                <w:szCs w:val="24"/>
                <w:lang w:val="en-GB"/>
              </w:rPr>
              <w:t>N</w:t>
            </w:r>
          </w:p>
        </w:tc>
        <w:tc>
          <w:tcPr>
            <w:tcW w:w="2693" w:type="dxa"/>
            <w:shd w:val="clear" w:color="auto" w:fill="BFBFBF" w:themeFill="background1" w:themeFillShade="BF"/>
          </w:tcPr>
          <w:p w14:paraId="7ED49A32" w14:textId="77777777" w:rsidR="00E3097C" w:rsidRPr="00141A2D" w:rsidRDefault="00E3097C" w:rsidP="00F0672F">
            <w:pPr>
              <w:jc w:val="both"/>
              <w:rPr>
                <w:rFonts w:ascii="Calibri Light" w:hAnsi="Calibri Light" w:cs="Calibri Light"/>
                <w:b/>
                <w:bCs/>
                <w:sz w:val="22"/>
                <w:szCs w:val="24"/>
                <w:lang w:val="en-GB"/>
              </w:rPr>
            </w:pPr>
            <w:r w:rsidRPr="00141A2D">
              <w:rPr>
                <w:rFonts w:ascii="Calibri Light" w:hAnsi="Calibri Light" w:cs="Calibri Light"/>
                <w:b/>
                <w:bCs/>
                <w:sz w:val="22"/>
                <w:szCs w:val="24"/>
                <w:lang w:val="en-GB"/>
              </w:rPr>
              <w:t>Problem</w:t>
            </w:r>
          </w:p>
        </w:tc>
        <w:tc>
          <w:tcPr>
            <w:tcW w:w="5523" w:type="dxa"/>
            <w:shd w:val="clear" w:color="auto" w:fill="BFBFBF" w:themeFill="background1" w:themeFillShade="BF"/>
          </w:tcPr>
          <w:p w14:paraId="3D2C72FD" w14:textId="77777777" w:rsidR="00E3097C" w:rsidRPr="00141A2D" w:rsidRDefault="00E3097C" w:rsidP="00F0672F">
            <w:pPr>
              <w:jc w:val="both"/>
              <w:rPr>
                <w:rFonts w:ascii="Calibri Light" w:hAnsi="Calibri Light" w:cs="Calibri Light"/>
                <w:b/>
                <w:bCs/>
                <w:sz w:val="22"/>
                <w:szCs w:val="24"/>
                <w:lang w:val="en-GB"/>
              </w:rPr>
            </w:pPr>
            <w:r w:rsidRPr="00141A2D">
              <w:rPr>
                <w:rFonts w:ascii="Calibri Light" w:hAnsi="Calibri Light" w:cs="Calibri Light"/>
                <w:b/>
                <w:bCs/>
                <w:sz w:val="22"/>
                <w:szCs w:val="24"/>
                <w:lang w:val="en-GB"/>
              </w:rPr>
              <w:t>Regulatory measures</w:t>
            </w:r>
          </w:p>
        </w:tc>
      </w:tr>
      <w:tr w:rsidR="00E3097C" w:rsidRPr="00141A2D" w14:paraId="45E709A0" w14:textId="77777777" w:rsidTr="00F0672F">
        <w:tc>
          <w:tcPr>
            <w:tcW w:w="397" w:type="dxa"/>
          </w:tcPr>
          <w:p w14:paraId="6C70A6D9" w14:textId="77777777" w:rsidR="00E3097C" w:rsidRPr="00141A2D" w:rsidRDefault="00E3097C" w:rsidP="00F0672F">
            <w:pPr>
              <w:jc w:val="both"/>
              <w:rPr>
                <w:rFonts w:ascii="Calibri Light" w:hAnsi="Calibri Light" w:cs="Calibri Light"/>
                <w:sz w:val="22"/>
                <w:szCs w:val="24"/>
                <w:lang w:val="en-GB"/>
              </w:rPr>
            </w:pPr>
            <w:r w:rsidRPr="00141A2D">
              <w:rPr>
                <w:rFonts w:ascii="Calibri Light" w:hAnsi="Calibri Light" w:cs="Calibri Light"/>
                <w:sz w:val="22"/>
                <w:szCs w:val="24"/>
                <w:lang w:val="en-GB"/>
              </w:rPr>
              <w:t>1</w:t>
            </w:r>
          </w:p>
        </w:tc>
        <w:tc>
          <w:tcPr>
            <w:tcW w:w="2693" w:type="dxa"/>
          </w:tcPr>
          <w:p w14:paraId="38BDD489" w14:textId="77777777" w:rsidR="00E3097C" w:rsidRPr="00141A2D" w:rsidRDefault="00E3097C" w:rsidP="00F0672F">
            <w:pPr>
              <w:jc w:val="both"/>
              <w:rPr>
                <w:rFonts w:ascii="Calibri Light" w:hAnsi="Calibri Light" w:cs="Calibri Light"/>
                <w:sz w:val="22"/>
                <w:szCs w:val="24"/>
                <w:lang w:val="en-GB"/>
              </w:rPr>
            </w:pPr>
            <w:r w:rsidRPr="00141A2D">
              <w:rPr>
                <w:rFonts w:ascii="Calibri Light" w:hAnsi="Calibri Light" w:cs="Calibri Light"/>
                <w:sz w:val="22"/>
                <w:szCs w:val="24"/>
                <w:lang w:val="en-GB"/>
              </w:rPr>
              <w:t>Support for Ukrainian production facilities</w:t>
            </w:r>
          </w:p>
        </w:tc>
        <w:tc>
          <w:tcPr>
            <w:tcW w:w="5523" w:type="dxa"/>
          </w:tcPr>
          <w:p w14:paraId="658F4F6E" w14:textId="77777777" w:rsidR="00E3097C" w:rsidRPr="00141A2D" w:rsidRDefault="00E3097C" w:rsidP="00F0672F">
            <w:pPr>
              <w:jc w:val="both"/>
              <w:rPr>
                <w:rFonts w:ascii="Calibri Light" w:hAnsi="Calibri Light" w:cs="Calibri Light"/>
                <w:sz w:val="22"/>
                <w:szCs w:val="24"/>
                <w:lang w:val="en-GB"/>
              </w:rPr>
            </w:pPr>
            <w:r w:rsidRPr="00141A2D">
              <w:rPr>
                <w:rFonts w:ascii="Calibri Light" w:hAnsi="Calibri Light" w:cs="Calibri Light"/>
                <w:sz w:val="22"/>
                <w:szCs w:val="24"/>
                <w:lang w:val="en-GB"/>
              </w:rPr>
              <w:t>Introduction of national support programs and the corresponding legislative framework for adjusting the volumes and areas of support. An important direction is innovation [19]. This refers to legislative support for innovative activities by the state, which will contribute to the revival of the competitiveness of Ukrainian industry in the global market.</w:t>
            </w:r>
          </w:p>
        </w:tc>
      </w:tr>
      <w:tr w:rsidR="00E3097C" w:rsidRPr="00141A2D" w14:paraId="27863A1F" w14:textId="77777777" w:rsidTr="00F0672F">
        <w:tc>
          <w:tcPr>
            <w:tcW w:w="397" w:type="dxa"/>
          </w:tcPr>
          <w:p w14:paraId="4B6910B9" w14:textId="77777777" w:rsidR="00E3097C" w:rsidRPr="00141A2D" w:rsidRDefault="00E3097C" w:rsidP="00F0672F">
            <w:pPr>
              <w:jc w:val="both"/>
              <w:rPr>
                <w:rFonts w:ascii="Calibri Light" w:hAnsi="Calibri Light" w:cs="Calibri Light"/>
                <w:sz w:val="22"/>
                <w:szCs w:val="24"/>
                <w:lang w:val="en-GB"/>
              </w:rPr>
            </w:pPr>
            <w:r w:rsidRPr="00141A2D">
              <w:rPr>
                <w:rFonts w:ascii="Calibri Light" w:hAnsi="Calibri Light" w:cs="Calibri Light"/>
                <w:sz w:val="22"/>
                <w:szCs w:val="24"/>
                <w:lang w:val="en-GB"/>
              </w:rPr>
              <w:lastRenderedPageBreak/>
              <w:t>2</w:t>
            </w:r>
          </w:p>
        </w:tc>
        <w:tc>
          <w:tcPr>
            <w:tcW w:w="2693" w:type="dxa"/>
          </w:tcPr>
          <w:p w14:paraId="18B35BA2" w14:textId="77777777" w:rsidR="00E3097C" w:rsidRPr="00141A2D" w:rsidRDefault="00E3097C" w:rsidP="00F0672F">
            <w:pPr>
              <w:jc w:val="both"/>
              <w:rPr>
                <w:rFonts w:ascii="Calibri Light" w:hAnsi="Calibri Light" w:cs="Calibri Light"/>
                <w:sz w:val="22"/>
                <w:szCs w:val="24"/>
                <w:lang w:val="en-GB"/>
              </w:rPr>
            </w:pPr>
            <w:r w:rsidRPr="00141A2D">
              <w:rPr>
                <w:rFonts w:ascii="Calibri Light" w:hAnsi="Calibri Light" w:cs="Calibri Light"/>
                <w:sz w:val="22"/>
                <w:szCs w:val="24"/>
                <w:lang w:val="en-GB"/>
              </w:rPr>
              <w:t>Scientific and technical security</w:t>
            </w:r>
          </w:p>
        </w:tc>
        <w:tc>
          <w:tcPr>
            <w:tcW w:w="5523" w:type="dxa"/>
          </w:tcPr>
          <w:p w14:paraId="33CF01D6" w14:textId="77777777" w:rsidR="00E3097C" w:rsidRPr="00141A2D" w:rsidRDefault="00E3097C" w:rsidP="00F0672F">
            <w:pPr>
              <w:jc w:val="both"/>
              <w:rPr>
                <w:rFonts w:ascii="Calibri Light" w:hAnsi="Calibri Light" w:cs="Calibri Light"/>
                <w:sz w:val="22"/>
                <w:szCs w:val="24"/>
                <w:lang w:val="en-GB"/>
              </w:rPr>
            </w:pPr>
            <w:r w:rsidRPr="00141A2D">
              <w:rPr>
                <w:rFonts w:ascii="Calibri Light" w:hAnsi="Calibri Light" w:cs="Calibri Light"/>
                <w:sz w:val="22"/>
                <w:szCs w:val="24"/>
                <w:lang w:val="en-GB"/>
              </w:rPr>
              <w:t>Legislative regulation of the use of innovations indicates the need to protect intellectual property. In particular, it refers to the application of national programs for the restoration of industry. An important aspect of this is the protection of the military-industrial complex (production of equipment, drones, missile systems).</w:t>
            </w:r>
          </w:p>
        </w:tc>
      </w:tr>
      <w:tr w:rsidR="00E3097C" w:rsidRPr="00141A2D" w14:paraId="42072534" w14:textId="77777777" w:rsidTr="00F0672F">
        <w:tc>
          <w:tcPr>
            <w:tcW w:w="397" w:type="dxa"/>
          </w:tcPr>
          <w:p w14:paraId="637086C2" w14:textId="77777777" w:rsidR="00E3097C" w:rsidRPr="00141A2D" w:rsidRDefault="00E3097C" w:rsidP="00F0672F">
            <w:pPr>
              <w:jc w:val="both"/>
              <w:rPr>
                <w:rFonts w:ascii="Calibri Light" w:hAnsi="Calibri Light" w:cs="Calibri Light"/>
                <w:sz w:val="22"/>
                <w:szCs w:val="24"/>
                <w:lang w:val="en-GB"/>
              </w:rPr>
            </w:pPr>
            <w:r w:rsidRPr="00141A2D">
              <w:rPr>
                <w:rFonts w:ascii="Calibri Light" w:hAnsi="Calibri Light" w:cs="Calibri Light"/>
                <w:sz w:val="22"/>
                <w:szCs w:val="24"/>
                <w:lang w:val="en-GB"/>
              </w:rPr>
              <w:t>3</w:t>
            </w:r>
          </w:p>
        </w:tc>
        <w:tc>
          <w:tcPr>
            <w:tcW w:w="2693" w:type="dxa"/>
          </w:tcPr>
          <w:p w14:paraId="6EEEB5F6" w14:textId="77777777" w:rsidR="00E3097C" w:rsidRPr="00141A2D" w:rsidRDefault="00E3097C" w:rsidP="00F0672F">
            <w:pPr>
              <w:jc w:val="both"/>
              <w:rPr>
                <w:rFonts w:ascii="Calibri Light" w:hAnsi="Calibri Light" w:cs="Calibri Light"/>
                <w:sz w:val="22"/>
                <w:szCs w:val="24"/>
                <w:lang w:val="en-GB"/>
              </w:rPr>
            </w:pPr>
            <w:r w:rsidRPr="00141A2D">
              <w:rPr>
                <w:rFonts w:ascii="Calibri Light" w:hAnsi="Calibri Light" w:cs="Calibri Light"/>
                <w:sz w:val="22"/>
                <w:szCs w:val="24"/>
                <w:lang w:val="en-GB"/>
              </w:rPr>
              <w:t>Information security</w:t>
            </w:r>
          </w:p>
        </w:tc>
        <w:tc>
          <w:tcPr>
            <w:tcW w:w="5523" w:type="dxa"/>
          </w:tcPr>
          <w:p w14:paraId="56C79760" w14:textId="77777777" w:rsidR="00E3097C" w:rsidRPr="00141A2D" w:rsidRDefault="00E3097C" w:rsidP="00F0672F">
            <w:pPr>
              <w:jc w:val="both"/>
              <w:rPr>
                <w:rFonts w:ascii="Calibri Light" w:hAnsi="Calibri Light" w:cs="Calibri Light"/>
                <w:sz w:val="22"/>
                <w:szCs w:val="24"/>
                <w:lang w:val="en-GB"/>
              </w:rPr>
            </w:pPr>
            <w:r w:rsidRPr="00141A2D">
              <w:rPr>
                <w:rFonts w:ascii="Calibri Light" w:hAnsi="Calibri Light" w:cs="Calibri Light"/>
                <w:sz w:val="22"/>
                <w:szCs w:val="24"/>
                <w:lang w:val="en-GB"/>
              </w:rPr>
              <w:t>Legislative regulation of information security in Ukraine is an important element of national security, especially in conditions of armed conflict, hybrid threats and the rapid development of information technologies [20]. The main provisions of the legislation in this area are based on the Constitution of Ukraine, the Law of Ukraine “On the Fundamentals of National Security of Ukraine”, the Law of Ukraine “On Information”.</w:t>
            </w:r>
          </w:p>
        </w:tc>
      </w:tr>
    </w:tbl>
    <w:p w14:paraId="272B01E0" w14:textId="77777777" w:rsidR="00E3097C" w:rsidRPr="00141A2D" w:rsidRDefault="00E3097C" w:rsidP="00E3097C">
      <w:pPr>
        <w:spacing w:before="120" w:after="120"/>
        <w:ind w:left="440" w:right="-1" w:hanging="14"/>
        <w:jc w:val="center"/>
        <w:rPr>
          <w:rFonts w:ascii="Calibri Light" w:hAnsi="Calibri Light" w:cs="Calibri Light"/>
          <w:i/>
          <w:sz w:val="24"/>
          <w:szCs w:val="24"/>
          <w:lang w:val="uk-UA"/>
        </w:rPr>
      </w:pPr>
      <w:r w:rsidRPr="00141A2D">
        <w:rPr>
          <w:rFonts w:ascii="Calibri Light" w:hAnsi="Calibri Light" w:cs="Calibri Light"/>
          <w:i/>
          <w:sz w:val="24"/>
          <w:szCs w:val="24"/>
        </w:rPr>
        <w:t>Source</w:t>
      </w:r>
      <w:r w:rsidRPr="00141A2D">
        <w:rPr>
          <w:rFonts w:ascii="Calibri Light" w:hAnsi="Calibri Light" w:cs="Calibri Light"/>
          <w:i/>
          <w:sz w:val="24"/>
          <w:szCs w:val="24"/>
          <w:lang w:val="uk-UA"/>
        </w:rPr>
        <w:t xml:space="preserve">: </w:t>
      </w:r>
      <w:r w:rsidRPr="00141A2D">
        <w:rPr>
          <w:rFonts w:ascii="Calibri Light" w:hAnsi="Calibri Light" w:cs="Calibri Light"/>
          <w:i/>
          <w:sz w:val="24"/>
          <w:szCs w:val="24"/>
        </w:rPr>
        <w:t>Authors</w:t>
      </w:r>
      <w:r w:rsidRPr="00141A2D">
        <w:rPr>
          <w:rFonts w:ascii="Calibri Light" w:hAnsi="Calibri Light" w:cs="Calibri Light"/>
          <w:i/>
          <w:sz w:val="24"/>
          <w:szCs w:val="24"/>
          <w:lang w:val="uk-UA"/>
        </w:rPr>
        <w:t xml:space="preserve">’ </w:t>
      </w:r>
      <w:r w:rsidRPr="00141A2D">
        <w:rPr>
          <w:rFonts w:ascii="Calibri Light" w:hAnsi="Calibri Light" w:cs="Calibri Light"/>
          <w:i/>
          <w:sz w:val="24"/>
          <w:szCs w:val="24"/>
        </w:rPr>
        <w:t>development</w:t>
      </w:r>
      <w:r w:rsidRPr="00141A2D">
        <w:rPr>
          <w:rFonts w:ascii="Calibri Light" w:hAnsi="Calibri Light" w:cs="Calibri Light"/>
          <w:i/>
          <w:sz w:val="24"/>
          <w:szCs w:val="24"/>
          <w:lang w:val="uk-UA"/>
        </w:rPr>
        <w:t>.</w:t>
      </w:r>
    </w:p>
    <w:p w14:paraId="37F3BAE1" w14:textId="3A601693" w:rsidR="00E3097C" w:rsidRPr="00A825DC" w:rsidRDefault="00E3097C" w:rsidP="00E3097C">
      <w:pPr>
        <w:spacing w:before="120" w:after="120"/>
        <w:ind w:left="440" w:right="-1" w:hanging="14"/>
        <w:jc w:val="both"/>
        <w:rPr>
          <w:rFonts w:asciiTheme="minorHAnsi" w:hAnsiTheme="minorHAnsi" w:cstheme="minorHAnsi"/>
          <w:sz w:val="24"/>
          <w:szCs w:val="24"/>
          <w:highlight w:val="yellow"/>
          <w:lang w:val="en-GB"/>
        </w:rPr>
      </w:pPr>
      <w:r w:rsidRPr="00A825DC">
        <w:rPr>
          <w:rFonts w:asciiTheme="minorHAnsi" w:hAnsiTheme="minorHAnsi" w:cstheme="minorHAnsi"/>
          <w:sz w:val="24"/>
          <w:szCs w:val="24"/>
          <w:highlight w:val="yellow"/>
          <w:lang w:val="en-GB"/>
        </w:rPr>
        <w:t xml:space="preserve">The legislative regulation of the security sector in Ukraine is continuously improving, </w:t>
      </w:r>
      <w:r w:rsidR="00C10BD5" w:rsidRPr="00A825DC">
        <w:rPr>
          <w:rFonts w:asciiTheme="minorHAnsi" w:hAnsiTheme="minorHAnsi" w:cstheme="minorHAnsi"/>
          <w:sz w:val="24"/>
          <w:szCs w:val="24"/>
          <w:highlight w:val="yellow"/>
          <w:lang w:val="en-GB"/>
        </w:rPr>
        <w:t>considering</w:t>
      </w:r>
      <w:r w:rsidRPr="00A825DC">
        <w:rPr>
          <w:rFonts w:asciiTheme="minorHAnsi" w:hAnsiTheme="minorHAnsi" w:cstheme="minorHAnsi"/>
          <w:sz w:val="24"/>
          <w:szCs w:val="24"/>
          <w:highlight w:val="yellow"/>
          <w:lang w:val="en-GB"/>
        </w:rPr>
        <w:t xml:space="preserve"> both internal challenges and external threats. At the same time, further development </w:t>
      </w:r>
      <w:commentRangeStart w:id="6"/>
      <w:r w:rsidRPr="00A825DC">
        <w:rPr>
          <w:rFonts w:asciiTheme="minorHAnsi" w:hAnsiTheme="minorHAnsi" w:cstheme="minorHAnsi"/>
          <w:sz w:val="24"/>
          <w:szCs w:val="24"/>
          <w:highlight w:val="yellow"/>
          <w:lang w:val="en-GB"/>
        </w:rPr>
        <w:t>requires the integration of civil society and the engagement of international partners</w:t>
      </w:r>
      <w:r w:rsidRPr="00A825DC">
        <w:rPr>
          <w:rFonts w:asciiTheme="minorHAnsi" w:hAnsiTheme="minorHAnsi" w:cstheme="minorHAnsi"/>
          <w:sz w:val="24"/>
          <w:szCs w:val="24"/>
          <w:highlight w:val="yellow"/>
          <w:lang w:val="uk-UA"/>
        </w:rPr>
        <w:t xml:space="preserve"> (</w:t>
      </w:r>
      <w:r w:rsidRPr="00A825DC">
        <w:rPr>
          <w:rFonts w:asciiTheme="minorHAnsi" w:hAnsiTheme="minorHAnsi" w:cstheme="minorHAnsi"/>
          <w:sz w:val="24"/>
          <w:szCs w:val="24"/>
          <w:highlight w:val="yellow"/>
        </w:rPr>
        <w:t>human rights monitoring, legislative advocacy, NATO support</w:t>
      </w:r>
      <w:r w:rsidRPr="00A825DC">
        <w:rPr>
          <w:rFonts w:asciiTheme="minorHAnsi" w:hAnsiTheme="minorHAnsi" w:cstheme="minorHAnsi"/>
          <w:sz w:val="24"/>
          <w:szCs w:val="24"/>
          <w:highlight w:val="yellow"/>
          <w:lang w:val="uk-UA"/>
        </w:rPr>
        <w:t>)</w:t>
      </w:r>
      <w:r w:rsidRPr="00A825DC">
        <w:rPr>
          <w:rFonts w:asciiTheme="minorHAnsi" w:hAnsiTheme="minorHAnsi" w:cstheme="minorHAnsi"/>
          <w:sz w:val="24"/>
          <w:szCs w:val="24"/>
          <w:highlight w:val="yellow"/>
          <w:lang w:val="en-GB"/>
        </w:rPr>
        <w:t xml:space="preserve"> to effectively counter modern threats. It is essential to consider the legal norms of EU countries for their potential future implementation</w:t>
      </w:r>
      <w:commentRangeEnd w:id="6"/>
      <w:r w:rsidRPr="00A825DC">
        <w:rPr>
          <w:rStyle w:val="ad"/>
          <w:rFonts w:asciiTheme="minorHAnsi" w:hAnsiTheme="minorHAnsi" w:cstheme="minorHAnsi"/>
          <w:sz w:val="24"/>
          <w:szCs w:val="24"/>
          <w:highlight w:val="yellow"/>
        </w:rPr>
        <w:commentReference w:id="6"/>
      </w:r>
      <w:r w:rsidRPr="00A825DC">
        <w:rPr>
          <w:rFonts w:asciiTheme="minorHAnsi" w:hAnsiTheme="minorHAnsi" w:cstheme="minorHAnsi"/>
          <w:sz w:val="24"/>
          <w:szCs w:val="24"/>
          <w:highlight w:val="yellow"/>
          <w:lang w:val="en-GB"/>
        </w:rPr>
        <w:t>.</w:t>
      </w:r>
    </w:p>
    <w:p w14:paraId="1C550EAD" w14:textId="77777777" w:rsidR="00E3097C" w:rsidRPr="0090631F" w:rsidRDefault="00E3097C" w:rsidP="00E3097C">
      <w:pPr>
        <w:spacing w:before="120" w:after="120"/>
        <w:ind w:left="440" w:right="-1" w:hanging="14"/>
        <w:jc w:val="both"/>
        <w:rPr>
          <w:rFonts w:ascii="Calibri Light" w:hAnsi="Calibri Light" w:cs="Calibri Light"/>
          <w:sz w:val="24"/>
          <w:szCs w:val="24"/>
          <w:lang w:val="en-GB"/>
        </w:rPr>
      </w:pPr>
      <w:r w:rsidRPr="00A825DC">
        <w:rPr>
          <w:rFonts w:ascii="Calibri Light" w:hAnsi="Calibri Light" w:cs="Calibri Light"/>
          <w:sz w:val="24"/>
          <w:szCs w:val="24"/>
          <w:highlight w:val="yellow"/>
          <w:lang w:val="en-GB"/>
        </w:rPr>
        <w:t>Incorporating European countries' experiences (EU member states and others) is a critical factor in advancing Ukraine's national security system. For instance, in 2023, the United Kingdom enacted a significantly updated National Security Act [22].</w:t>
      </w:r>
      <w:r w:rsidRPr="0090631F">
        <w:rPr>
          <w:rFonts w:ascii="Calibri Light" w:hAnsi="Calibri Light" w:cs="Calibri Light"/>
          <w:sz w:val="24"/>
          <w:szCs w:val="24"/>
          <w:lang w:val="en-GB"/>
        </w:rPr>
        <w:t xml:space="preserve"> This legislation aimed to clarify and enhance measures against espionage and the growing threats to national security. Its implementation has made hostile actions against the UK substantially more difficult, particularly in areas such as sabotage, espionage, interference in democratic processes (elections and political life), blackmail, and targeted killings [2</w:t>
      </w:r>
      <w:r>
        <w:rPr>
          <w:rFonts w:ascii="Calibri Light" w:hAnsi="Calibri Light" w:cs="Calibri Light"/>
          <w:sz w:val="24"/>
          <w:szCs w:val="24"/>
          <w:lang w:val="en-GB"/>
        </w:rPr>
        <w:t>3</w:t>
      </w:r>
      <w:r w:rsidRPr="0090631F">
        <w:rPr>
          <w:rFonts w:ascii="Calibri Light" w:hAnsi="Calibri Light" w:cs="Calibri Light"/>
          <w:sz w:val="24"/>
          <w:szCs w:val="24"/>
          <w:lang w:val="en-GB"/>
        </w:rPr>
        <w:t>]. According to this law, continuous monitoring of harmful activities is carried out around sites officially designated as prohibited zones. These include locations and systems considered highly sensitive from a strategic perspective, as their compromise poses a potential national threat [21]. The police have been granted new powers to prevent subversive activities in these vulnerable areas. Special emphasis has been placed on ensuring the digital security of management systems and data. Critical websites are not publicly required to declare themselves prohibited zones [23]. This adherence to principles of anonymity, which avoids unnecessary attention, is considered an integral part of the security system.</w:t>
      </w:r>
    </w:p>
    <w:p w14:paraId="0620BA86" w14:textId="77777777" w:rsidR="00E3097C" w:rsidRPr="0090631F" w:rsidRDefault="00E3097C" w:rsidP="00E3097C">
      <w:pPr>
        <w:spacing w:before="120" w:after="120"/>
        <w:ind w:left="440" w:right="-1" w:hanging="14"/>
        <w:jc w:val="both"/>
        <w:rPr>
          <w:rFonts w:ascii="Calibri Light" w:hAnsi="Calibri Light" w:cs="Calibri Light"/>
          <w:sz w:val="24"/>
          <w:szCs w:val="24"/>
          <w:lang w:val="en-GB"/>
        </w:rPr>
      </w:pPr>
      <w:r w:rsidRPr="0090631F">
        <w:rPr>
          <w:rFonts w:ascii="Calibri Light" w:hAnsi="Calibri Light" w:cs="Calibri Light"/>
          <w:sz w:val="24"/>
          <w:szCs w:val="24"/>
          <w:lang w:val="en-GB"/>
        </w:rPr>
        <w:t>Conversely, in certain situations, the opposite approach is employed. To hold perpetrators accountable, prohibited zones may be explicitly declared, granting law enforcement agencies the authority to conduct corresponding investigative actions [2</w:t>
      </w:r>
      <w:r>
        <w:rPr>
          <w:rFonts w:ascii="Calibri Light" w:hAnsi="Calibri Light" w:cs="Calibri Light"/>
          <w:sz w:val="24"/>
          <w:szCs w:val="24"/>
          <w:lang w:val="en-GB"/>
        </w:rPr>
        <w:t>2</w:t>
      </w:r>
      <w:r w:rsidRPr="0090631F">
        <w:rPr>
          <w:rFonts w:ascii="Calibri Light" w:hAnsi="Calibri Light" w:cs="Calibri Light"/>
          <w:sz w:val="24"/>
          <w:szCs w:val="24"/>
          <w:lang w:val="en-GB"/>
        </w:rPr>
        <w:t>]. Moreover, as law enforcement officers have been given broader powers, they must first ascertain that the crime targets a site deemed critical within the UK system [2</w:t>
      </w:r>
      <w:r>
        <w:rPr>
          <w:rFonts w:ascii="Calibri Light" w:hAnsi="Calibri Light" w:cs="Calibri Light"/>
          <w:sz w:val="24"/>
          <w:szCs w:val="24"/>
          <w:lang w:val="en-GB"/>
        </w:rPr>
        <w:t>5</w:t>
      </w:r>
      <w:r w:rsidRPr="0090631F">
        <w:rPr>
          <w:rFonts w:ascii="Calibri Light" w:hAnsi="Calibri Light" w:cs="Calibri Light"/>
          <w:sz w:val="24"/>
          <w:szCs w:val="24"/>
          <w:lang w:val="en-GB"/>
        </w:rPr>
        <w:t>]. Special service personnel are also authorised to mitigate threats, although not necessarily neutralise them entirely, to facilitate extended investigations into hostile intelligence agents.</w:t>
      </w:r>
    </w:p>
    <w:p w14:paraId="30A05895" w14:textId="50E60114" w:rsidR="00E3097C" w:rsidRPr="0090631F" w:rsidRDefault="00E3097C" w:rsidP="00E3097C">
      <w:pPr>
        <w:spacing w:before="120" w:after="120"/>
        <w:ind w:left="440" w:right="-1" w:hanging="14"/>
        <w:jc w:val="both"/>
        <w:rPr>
          <w:rFonts w:ascii="Calibri Light" w:hAnsi="Calibri Light" w:cs="Calibri Light"/>
          <w:sz w:val="24"/>
          <w:szCs w:val="24"/>
          <w:lang w:val="en-GB"/>
        </w:rPr>
      </w:pPr>
      <w:r w:rsidRPr="00A37381">
        <w:rPr>
          <w:rFonts w:ascii="Calibri Light" w:hAnsi="Calibri Light" w:cs="Calibri Light"/>
          <w:sz w:val="24"/>
          <w:szCs w:val="24"/>
          <w:highlight w:val="yellow"/>
          <w:lang w:val="en-GB"/>
        </w:rPr>
        <w:lastRenderedPageBreak/>
        <w:t xml:space="preserve">The Law on National Security, in force since 2004, has undergone significant changes, especially after 2014, </w:t>
      </w:r>
      <w:r w:rsidR="00C10BD5" w:rsidRPr="00A37381">
        <w:rPr>
          <w:rFonts w:ascii="Calibri Light" w:hAnsi="Calibri Light" w:cs="Calibri Light"/>
          <w:sz w:val="24"/>
          <w:szCs w:val="24"/>
          <w:highlight w:val="yellow"/>
          <w:lang w:val="en-GB"/>
        </w:rPr>
        <w:t>to</w:t>
      </w:r>
      <w:r w:rsidRPr="00A37381">
        <w:rPr>
          <w:rFonts w:ascii="Calibri Light" w:hAnsi="Calibri Light" w:cs="Calibri Light"/>
          <w:sz w:val="24"/>
          <w:szCs w:val="24"/>
          <w:highlight w:val="yellow"/>
          <w:lang w:val="en-GB"/>
        </w:rPr>
        <w:t xml:space="preserve"> align Ukraine's legislative framework with new threats and Euro-Atlantic standards.</w:t>
      </w:r>
      <w:r w:rsidRPr="0090631F">
        <w:rPr>
          <w:rFonts w:ascii="Calibri Light" w:hAnsi="Calibri Light" w:cs="Calibri Light"/>
          <w:sz w:val="24"/>
          <w:szCs w:val="24"/>
          <w:lang w:val="en-GB"/>
        </w:rPr>
        <w:t xml:space="preserve"> The existing legislative framework underwent substantial updates following adopting the Intelligence Reform and Terrorism Prevention Act of 2004 (IRTPA). According to current paradigms, national security is ensured through various institutional structures. Representatives of the U.S. Department of </w:t>
      </w:r>
      <w:proofErr w:type="spellStart"/>
      <w:r w:rsidRPr="0090631F">
        <w:rPr>
          <w:rFonts w:ascii="Calibri Light" w:hAnsi="Calibri Light" w:cs="Calibri Light"/>
          <w:sz w:val="24"/>
          <w:szCs w:val="24"/>
          <w:lang w:val="en-GB"/>
        </w:rPr>
        <w:t>Defense</w:t>
      </w:r>
      <w:proofErr w:type="spellEnd"/>
      <w:r w:rsidRPr="0090631F">
        <w:rPr>
          <w:rFonts w:ascii="Calibri Light" w:hAnsi="Calibri Light" w:cs="Calibri Light"/>
          <w:sz w:val="24"/>
          <w:szCs w:val="24"/>
          <w:lang w:val="en-GB"/>
        </w:rPr>
        <w:t>, the Intelligence Community (IC), the National Security Council, the Central Intelligence Agency (CIA), and the Director of National Intelligence (DNI)—who simultaneously serves as the head of the IC—oversee and implement the National Intelligence Program [2</w:t>
      </w:r>
      <w:r>
        <w:rPr>
          <w:rFonts w:ascii="Calibri Light" w:hAnsi="Calibri Light" w:cs="Calibri Light"/>
          <w:sz w:val="24"/>
          <w:szCs w:val="24"/>
          <w:lang w:val="en-GB"/>
        </w:rPr>
        <w:t>6</w:t>
      </w:r>
      <w:r w:rsidRPr="0090631F">
        <w:rPr>
          <w:rFonts w:ascii="Calibri Light" w:hAnsi="Calibri Light" w:cs="Calibri Light"/>
          <w:sz w:val="24"/>
          <w:szCs w:val="24"/>
          <w:lang w:val="en-GB"/>
        </w:rPr>
        <w:t>]. These representatives also influence the White House, as intelligence officials are consistently part of the U.S. President's advisory team.</w:t>
      </w:r>
    </w:p>
    <w:p w14:paraId="127324EC" w14:textId="77777777" w:rsidR="00E3097C" w:rsidRPr="0090631F" w:rsidRDefault="00E3097C" w:rsidP="00E3097C">
      <w:pPr>
        <w:spacing w:before="120" w:after="120"/>
        <w:ind w:left="440" w:right="-1" w:hanging="14"/>
        <w:jc w:val="both"/>
        <w:rPr>
          <w:rFonts w:ascii="Calibri Light" w:hAnsi="Calibri Light" w:cs="Calibri Light"/>
          <w:sz w:val="24"/>
          <w:szCs w:val="24"/>
          <w:lang w:val="en-GB"/>
        </w:rPr>
      </w:pPr>
      <w:r w:rsidRPr="0090631F">
        <w:rPr>
          <w:rFonts w:ascii="Calibri Light" w:hAnsi="Calibri Light" w:cs="Calibri Light"/>
          <w:sz w:val="24"/>
          <w:szCs w:val="24"/>
          <w:lang w:val="en-GB"/>
        </w:rPr>
        <w:t>Implementing the National Security Act and subsequent amendments for enhanced efficiency has led to significant changes in the organisation of the intelligence community. Specifically, establishing the Director of National Intelligence has facilitated the creation of an essential inter-agency centre. This approach enabled prompt analysis and integration of information related to terrorism, drug cartels, and threats to U.S. interests both domestically and internationally, as suggested in the reforms of the “9/11 Commission” [2</w:t>
      </w:r>
      <w:r>
        <w:rPr>
          <w:rFonts w:ascii="Calibri Light" w:hAnsi="Calibri Light" w:cs="Calibri Light"/>
          <w:sz w:val="24"/>
          <w:szCs w:val="24"/>
          <w:lang w:val="en-GB"/>
        </w:rPr>
        <w:t>7</w:t>
      </w:r>
      <w:r w:rsidRPr="0090631F">
        <w:rPr>
          <w:rFonts w:ascii="Calibri Light" w:hAnsi="Calibri Light" w:cs="Calibri Light"/>
          <w:sz w:val="24"/>
          <w:szCs w:val="24"/>
          <w:lang w:val="en-GB"/>
        </w:rPr>
        <w:t>; 2</w:t>
      </w:r>
      <w:r>
        <w:rPr>
          <w:rFonts w:ascii="Calibri Light" w:hAnsi="Calibri Light" w:cs="Calibri Light"/>
          <w:sz w:val="24"/>
          <w:szCs w:val="24"/>
          <w:lang w:val="en-GB"/>
        </w:rPr>
        <w:t>8</w:t>
      </w:r>
      <w:r w:rsidRPr="0090631F">
        <w:rPr>
          <w:rFonts w:ascii="Calibri Light" w:hAnsi="Calibri Light" w:cs="Calibri Light"/>
          <w:sz w:val="24"/>
          <w:szCs w:val="24"/>
          <w:lang w:val="en-GB"/>
        </w:rPr>
        <w:t>]. Opportunities for collaboration with foreign intelligence agencies, joint criminal investigations, and rapid information exchange were also introduced. Implementing such legislative initiatives has strengthened the existing system of countering national security threats.</w:t>
      </w:r>
    </w:p>
    <w:p w14:paraId="665C2E93" w14:textId="77777777" w:rsidR="00E3097C" w:rsidRPr="0090631F" w:rsidRDefault="00E3097C" w:rsidP="00E3097C">
      <w:pPr>
        <w:spacing w:before="120" w:after="120"/>
        <w:ind w:left="440" w:right="-1" w:hanging="14"/>
        <w:jc w:val="both"/>
        <w:rPr>
          <w:rFonts w:ascii="Calibri Light" w:hAnsi="Calibri Light" w:cs="Calibri Light"/>
          <w:sz w:val="24"/>
          <w:szCs w:val="24"/>
          <w:lang w:val="en-GB"/>
        </w:rPr>
      </w:pPr>
      <w:r w:rsidRPr="0090631F">
        <w:rPr>
          <w:rFonts w:ascii="Calibri Light" w:hAnsi="Calibri Light" w:cs="Calibri Light"/>
          <w:sz w:val="24"/>
          <w:szCs w:val="24"/>
          <w:lang w:val="en-GB"/>
        </w:rPr>
        <w:t>National security system reforms are also relevant for Central and Eastern Europe. Researchers particularly note the effectiveness of Poland's approach in forming fundamentally new national security systems [</w:t>
      </w:r>
      <w:r>
        <w:rPr>
          <w:rFonts w:ascii="Calibri Light" w:hAnsi="Calibri Light" w:cs="Calibri Light"/>
          <w:sz w:val="24"/>
          <w:szCs w:val="24"/>
          <w:lang w:val="en-GB"/>
        </w:rPr>
        <w:t>29</w:t>
      </w:r>
      <w:r w:rsidRPr="0090631F">
        <w:rPr>
          <w:rFonts w:ascii="Calibri Light" w:hAnsi="Calibri Light" w:cs="Calibri Light"/>
          <w:sz w:val="24"/>
          <w:szCs w:val="24"/>
          <w:lang w:val="en-GB"/>
        </w:rPr>
        <w:t>]. This extensive process began with Poland's withdrawal from one collective security treaty (participation in the Warsaw Pact) and its integration into another (NATO). This transition is considered a critical political milestone for contemporary Ukraine. Key stages along this path included adherence to a sustainable diplomatic and military-political course, which included integration into NATO and the EU while accounting for the dynamic transformations in the surrounding security environment [</w:t>
      </w:r>
      <w:r>
        <w:rPr>
          <w:rFonts w:ascii="Calibri Light" w:hAnsi="Calibri Light" w:cs="Calibri Light"/>
          <w:sz w:val="24"/>
          <w:szCs w:val="24"/>
          <w:lang w:val="en-GB"/>
        </w:rPr>
        <w:t>30</w:t>
      </w:r>
      <w:r w:rsidRPr="0090631F">
        <w:rPr>
          <w:rFonts w:ascii="Calibri Light" w:hAnsi="Calibri Light" w:cs="Calibri Light"/>
          <w:sz w:val="24"/>
          <w:szCs w:val="24"/>
          <w:lang w:val="en-GB"/>
        </w:rPr>
        <w:t>]. The legislative framework in such conditions became a vital component supporting the rapid adaptation of the national security system to new security realities.</w:t>
      </w:r>
    </w:p>
    <w:p w14:paraId="7973AA1F" w14:textId="77777777" w:rsidR="00E3097C" w:rsidRPr="0090631F" w:rsidRDefault="00E3097C" w:rsidP="00E3097C">
      <w:pPr>
        <w:spacing w:before="120" w:after="120"/>
        <w:ind w:left="440" w:right="-1" w:hanging="14"/>
        <w:jc w:val="both"/>
        <w:rPr>
          <w:rFonts w:ascii="Calibri Light" w:hAnsi="Calibri Light" w:cs="Calibri Light"/>
          <w:sz w:val="24"/>
          <w:szCs w:val="24"/>
          <w:lang w:val="en-GB"/>
        </w:rPr>
      </w:pPr>
      <w:r w:rsidRPr="0090631F">
        <w:rPr>
          <w:rFonts w:ascii="Calibri Light" w:hAnsi="Calibri Light" w:cs="Calibri Light"/>
          <w:sz w:val="24"/>
          <w:szCs w:val="24"/>
          <w:lang w:val="en-GB"/>
        </w:rPr>
        <w:t>An analysis of legal documents such as the “Defence Concept of the Republic of Poland,” the “White Paper on National Security of Poland,” the Constitution of the Republic of Poland, and other acts influencing the formation of national security revealed that the establishment of such a security system is rooted in the theory of national security. Central considerations included adherence to national security norms, armed forces reform, sustainable development trajectory, understanding acceptable risks, justified risks, and strategic challenges.</w:t>
      </w:r>
    </w:p>
    <w:p w14:paraId="6552569A" w14:textId="77777777" w:rsidR="00E3097C" w:rsidRPr="0090631F" w:rsidRDefault="00E3097C" w:rsidP="00E3097C">
      <w:pPr>
        <w:spacing w:before="120" w:after="120"/>
        <w:ind w:left="440" w:right="-1" w:hanging="14"/>
        <w:jc w:val="both"/>
        <w:rPr>
          <w:rFonts w:ascii="Calibri Light" w:hAnsi="Calibri Light" w:cs="Calibri Light"/>
          <w:sz w:val="24"/>
          <w:szCs w:val="24"/>
          <w:lang w:val="en-GB"/>
        </w:rPr>
      </w:pPr>
      <w:r w:rsidRPr="0090631F">
        <w:rPr>
          <w:rFonts w:ascii="Calibri Light" w:hAnsi="Calibri Light" w:cs="Calibri Light"/>
          <w:sz w:val="24"/>
          <w:szCs w:val="24"/>
          <w:lang w:val="en-GB"/>
        </w:rPr>
        <w:t xml:space="preserve">The practical application of Poland's model has demonstrated that the political-legal design of its national security structure has resulted in a military-political system fully capable of fulfilling its alliance obligations to NATO member states [30]. Legal regulation in reforming military governance in Poland adhered to NATO standards, which also upheld the principle of separating the functions of deploying and training forces. However, this state of affairs </w:t>
      </w:r>
      <w:r w:rsidRPr="0090631F">
        <w:rPr>
          <w:rFonts w:ascii="Calibri Light" w:hAnsi="Calibri Light" w:cs="Calibri Light"/>
          <w:sz w:val="24"/>
          <w:szCs w:val="24"/>
          <w:lang w:val="en-GB"/>
        </w:rPr>
        <w:lastRenderedPageBreak/>
        <w:t>at the operational level led to issues within the military command hierarchy [31]. Addressing such challenges will be imperative, especially in light of growing Russian aggression in the region.</w:t>
      </w:r>
    </w:p>
    <w:p w14:paraId="22D14F01" w14:textId="77777777" w:rsidR="00E3097C" w:rsidRPr="0090631F" w:rsidRDefault="00E3097C" w:rsidP="00E3097C">
      <w:pPr>
        <w:spacing w:before="120" w:after="120"/>
        <w:ind w:left="440" w:right="-1" w:hanging="14"/>
        <w:jc w:val="both"/>
        <w:rPr>
          <w:rFonts w:ascii="Calibri Light" w:hAnsi="Calibri Light" w:cs="Calibri Light"/>
          <w:sz w:val="24"/>
          <w:szCs w:val="24"/>
          <w:lang w:val="en-GB"/>
        </w:rPr>
      </w:pPr>
      <w:r w:rsidRPr="0090631F">
        <w:rPr>
          <w:rFonts w:ascii="Calibri Light" w:hAnsi="Calibri Light" w:cs="Calibri Light"/>
          <w:sz w:val="24"/>
          <w:szCs w:val="24"/>
          <w:lang w:val="en-GB"/>
        </w:rPr>
        <w:t>Their NATO membership also influences strengthening national security positions in these states. In 2022, due to Russia's aggression in Ukraine, strategic views on power dynamics in Eastern Europe shifted. NATO’s new Strategic Concept replaced the previous principle of “deterrence through retaliation” with “deterrence by denial of aggression.” This shift resulted in fortifying NATO’s eastern flank (including Sweden and Finland's accession to the alliance) and increasing the size of military contingents in the Baltic States to brigade levels. Consequently, the Baltic Sea region has gradually become an area dominated by democratic nations, though the possibility of Russian provocations remains.</w:t>
      </w:r>
    </w:p>
    <w:p w14:paraId="52D092E8" w14:textId="77777777" w:rsidR="00E3097C" w:rsidRPr="0090631F" w:rsidRDefault="00E3097C" w:rsidP="00E3097C">
      <w:pPr>
        <w:spacing w:before="120" w:after="120"/>
        <w:ind w:left="440" w:right="-1" w:hanging="14"/>
        <w:jc w:val="both"/>
        <w:rPr>
          <w:rFonts w:ascii="Calibri Light" w:hAnsi="Calibri Light" w:cs="Calibri Light"/>
          <w:sz w:val="24"/>
          <w:szCs w:val="24"/>
          <w:lang w:val="en-GB"/>
        </w:rPr>
      </w:pPr>
      <w:r w:rsidRPr="0090631F">
        <w:rPr>
          <w:rFonts w:ascii="Calibri Light" w:hAnsi="Calibri Light" w:cs="Calibri Light"/>
          <w:sz w:val="24"/>
          <w:szCs w:val="24"/>
          <w:lang w:val="en-GB"/>
        </w:rPr>
        <w:t>Efforts to enhance international cooperation within NATO also took place. In 2017, the Baltic States signed separate agreements with the United States to establish defence cooperation, enabling the purchase of American weapons, including missile systems and air defence equipment [3</w:t>
      </w:r>
      <w:r>
        <w:rPr>
          <w:rFonts w:ascii="Calibri Light" w:hAnsi="Calibri Light" w:cs="Calibri Light"/>
          <w:sz w:val="24"/>
          <w:szCs w:val="24"/>
          <w:lang w:val="en-GB"/>
        </w:rPr>
        <w:t>3</w:t>
      </w:r>
      <w:r w:rsidRPr="0090631F">
        <w:rPr>
          <w:rFonts w:ascii="Calibri Light" w:hAnsi="Calibri Light" w:cs="Calibri Light"/>
          <w:sz w:val="24"/>
          <w:szCs w:val="24"/>
          <w:lang w:val="en-GB"/>
        </w:rPr>
        <w:t>]. Multinational combat groups operate in the Baltic States under the leadership of the United Kingdom (in Estonia), Canada (in Latvia), and Germany (in Lithuania). Furthermore, national security strategies in the Baltic countries include the gradual (or partial) reintroduction of mandatory military service and preparing a reserve force in case of direct enemy aggression.</w:t>
      </w:r>
    </w:p>
    <w:p w14:paraId="26A0BB4E" w14:textId="77777777" w:rsidR="00E3097C" w:rsidRPr="0090631F" w:rsidRDefault="00E3097C" w:rsidP="00E3097C">
      <w:pPr>
        <w:spacing w:before="120" w:after="120"/>
        <w:ind w:left="440" w:right="-1" w:hanging="14"/>
        <w:jc w:val="both"/>
        <w:rPr>
          <w:rFonts w:ascii="Calibri Light" w:hAnsi="Calibri Light" w:cs="Calibri Light"/>
          <w:sz w:val="24"/>
          <w:szCs w:val="24"/>
          <w:lang w:val="en-GB"/>
        </w:rPr>
      </w:pPr>
      <w:r w:rsidRPr="0090631F">
        <w:rPr>
          <w:rFonts w:ascii="Calibri Light" w:hAnsi="Calibri Light" w:cs="Calibri Light"/>
          <w:sz w:val="24"/>
          <w:szCs w:val="24"/>
          <w:lang w:val="en-GB"/>
        </w:rPr>
        <w:t>Based on this overview, the new principles of national security, partly updated due to Russia's aggression against Ukraine (Table 3), can be identified as having commonalities and differences.</w:t>
      </w:r>
    </w:p>
    <w:p w14:paraId="7F3E5DD3" w14:textId="77777777" w:rsidR="00E3097C" w:rsidRPr="00141A2D" w:rsidRDefault="00E3097C" w:rsidP="00E3097C">
      <w:pPr>
        <w:spacing w:before="120" w:after="120"/>
        <w:ind w:left="440" w:right="-1" w:hanging="14"/>
        <w:jc w:val="center"/>
        <w:rPr>
          <w:rFonts w:ascii="Calibri Light" w:hAnsi="Calibri Light" w:cs="Calibri Light"/>
          <w:b/>
          <w:sz w:val="24"/>
          <w:szCs w:val="24"/>
          <w:lang w:val="en-GB"/>
        </w:rPr>
      </w:pPr>
      <w:r w:rsidRPr="0090631F">
        <w:rPr>
          <w:rFonts w:ascii="Calibri Light" w:hAnsi="Calibri Light" w:cs="Calibri Light"/>
          <w:b/>
          <w:sz w:val="24"/>
          <w:szCs w:val="24"/>
          <w:lang w:val="en-GB"/>
        </w:rPr>
        <w:t>Table 3.</w:t>
      </w:r>
      <w:r w:rsidRPr="0090631F">
        <w:rPr>
          <w:rFonts w:ascii="Calibri Light" w:hAnsi="Calibri Light" w:cs="Calibri Light"/>
          <w:sz w:val="24"/>
          <w:szCs w:val="24"/>
          <w:lang w:val="en-GB"/>
        </w:rPr>
        <w:t xml:space="preserve"> </w:t>
      </w:r>
      <w:r w:rsidRPr="00141A2D">
        <w:rPr>
          <w:rFonts w:ascii="Calibri Light" w:hAnsi="Calibri Light" w:cs="Calibri Light"/>
          <w:b/>
          <w:sz w:val="24"/>
          <w:szCs w:val="24"/>
          <w:lang w:val="en-GB"/>
        </w:rPr>
        <w:t>National Security Strategy Compliance Matrix</w:t>
      </w:r>
    </w:p>
    <w:tbl>
      <w:tblPr>
        <w:tblW w:w="8647" w:type="dxa"/>
        <w:tblInd w:w="534" w:type="dxa"/>
        <w:tblBorders>
          <w:top w:val="single" w:sz="4" w:space="0" w:color="auto"/>
          <w:bottom w:val="single" w:sz="4" w:space="0" w:color="auto"/>
        </w:tblBorders>
        <w:tblLayout w:type="fixed"/>
        <w:tblLook w:val="0400" w:firstRow="0" w:lastRow="0" w:firstColumn="0" w:lastColumn="0" w:noHBand="0" w:noVBand="1"/>
      </w:tblPr>
      <w:tblGrid>
        <w:gridCol w:w="3685"/>
        <w:gridCol w:w="1134"/>
        <w:gridCol w:w="1442"/>
        <w:gridCol w:w="1252"/>
        <w:gridCol w:w="1134"/>
      </w:tblGrid>
      <w:tr w:rsidR="00E3097C" w:rsidRPr="00141A2D" w14:paraId="35CD4CA2" w14:textId="77777777" w:rsidTr="00F0672F">
        <w:tc>
          <w:tcPr>
            <w:tcW w:w="3685" w:type="dxa"/>
            <w:tcBorders>
              <w:top w:val="single" w:sz="4" w:space="0" w:color="auto"/>
              <w:bottom w:val="single" w:sz="4" w:space="0" w:color="auto"/>
            </w:tcBorders>
            <w:shd w:val="clear" w:color="auto" w:fill="BFBFBF" w:themeFill="background1" w:themeFillShade="BF"/>
          </w:tcPr>
          <w:p w14:paraId="16A2543A" w14:textId="77777777" w:rsidR="00E3097C" w:rsidRPr="00141A2D" w:rsidRDefault="00E3097C" w:rsidP="00F0672F">
            <w:pPr>
              <w:jc w:val="both"/>
              <w:rPr>
                <w:rFonts w:ascii="Calibri Light" w:hAnsi="Calibri Light" w:cs="Calibri Light"/>
                <w:b/>
                <w:sz w:val="22"/>
                <w:szCs w:val="24"/>
                <w:lang w:val="en-GB"/>
              </w:rPr>
            </w:pPr>
            <w:r w:rsidRPr="00141A2D">
              <w:rPr>
                <w:rFonts w:ascii="Calibri Light" w:hAnsi="Calibri Light" w:cs="Calibri Light"/>
                <w:b/>
                <w:sz w:val="22"/>
                <w:szCs w:val="24"/>
                <w:lang w:val="en-GB"/>
              </w:rPr>
              <w:t>Assumption</w:t>
            </w:r>
          </w:p>
        </w:tc>
        <w:tc>
          <w:tcPr>
            <w:tcW w:w="1134" w:type="dxa"/>
            <w:tcBorders>
              <w:top w:val="single" w:sz="4" w:space="0" w:color="auto"/>
              <w:bottom w:val="single" w:sz="4" w:space="0" w:color="auto"/>
            </w:tcBorders>
            <w:shd w:val="clear" w:color="auto" w:fill="BFBFBF" w:themeFill="background1" w:themeFillShade="BF"/>
          </w:tcPr>
          <w:p w14:paraId="6C85F030" w14:textId="77777777" w:rsidR="00E3097C" w:rsidRPr="00141A2D" w:rsidRDefault="00E3097C" w:rsidP="00F0672F">
            <w:pPr>
              <w:jc w:val="both"/>
              <w:rPr>
                <w:rFonts w:ascii="Calibri Light" w:hAnsi="Calibri Light" w:cs="Calibri Light"/>
                <w:b/>
                <w:sz w:val="22"/>
                <w:szCs w:val="24"/>
                <w:lang w:val="en-GB"/>
              </w:rPr>
            </w:pPr>
            <w:r w:rsidRPr="00141A2D">
              <w:rPr>
                <w:rFonts w:ascii="Calibri Light" w:hAnsi="Calibri Light" w:cs="Calibri Light"/>
                <w:b/>
                <w:sz w:val="22"/>
                <w:szCs w:val="24"/>
                <w:lang w:val="en-GB"/>
              </w:rPr>
              <w:t>USA</w:t>
            </w:r>
          </w:p>
        </w:tc>
        <w:tc>
          <w:tcPr>
            <w:tcW w:w="1442" w:type="dxa"/>
            <w:tcBorders>
              <w:top w:val="single" w:sz="4" w:space="0" w:color="auto"/>
              <w:bottom w:val="single" w:sz="4" w:space="0" w:color="auto"/>
            </w:tcBorders>
            <w:shd w:val="clear" w:color="auto" w:fill="BFBFBF" w:themeFill="background1" w:themeFillShade="BF"/>
          </w:tcPr>
          <w:p w14:paraId="695C4756" w14:textId="77777777" w:rsidR="00E3097C" w:rsidRPr="00141A2D" w:rsidRDefault="00E3097C" w:rsidP="00F0672F">
            <w:pPr>
              <w:jc w:val="both"/>
              <w:rPr>
                <w:rFonts w:ascii="Calibri Light" w:hAnsi="Calibri Light" w:cs="Calibri Light"/>
                <w:b/>
                <w:sz w:val="22"/>
                <w:szCs w:val="24"/>
                <w:lang w:val="en-GB"/>
              </w:rPr>
            </w:pPr>
            <w:r w:rsidRPr="00141A2D">
              <w:rPr>
                <w:rFonts w:ascii="Calibri Light" w:hAnsi="Calibri Light" w:cs="Calibri Light"/>
                <w:b/>
                <w:sz w:val="22"/>
                <w:szCs w:val="24"/>
                <w:lang w:val="en-GB"/>
              </w:rPr>
              <w:t>Great Britain</w:t>
            </w:r>
          </w:p>
        </w:tc>
        <w:tc>
          <w:tcPr>
            <w:tcW w:w="1252" w:type="dxa"/>
            <w:tcBorders>
              <w:top w:val="single" w:sz="4" w:space="0" w:color="auto"/>
              <w:bottom w:val="single" w:sz="4" w:space="0" w:color="auto"/>
            </w:tcBorders>
            <w:shd w:val="clear" w:color="auto" w:fill="BFBFBF" w:themeFill="background1" w:themeFillShade="BF"/>
          </w:tcPr>
          <w:p w14:paraId="1429AFA5" w14:textId="77777777" w:rsidR="00E3097C" w:rsidRPr="00141A2D" w:rsidRDefault="00E3097C" w:rsidP="00F0672F">
            <w:pPr>
              <w:jc w:val="both"/>
              <w:rPr>
                <w:rFonts w:ascii="Calibri Light" w:hAnsi="Calibri Light" w:cs="Calibri Light"/>
                <w:b/>
                <w:sz w:val="22"/>
                <w:szCs w:val="24"/>
                <w:lang w:val="en-GB"/>
              </w:rPr>
            </w:pPr>
            <w:r w:rsidRPr="00141A2D">
              <w:rPr>
                <w:rFonts w:ascii="Calibri Light" w:hAnsi="Calibri Light" w:cs="Calibri Light"/>
                <w:b/>
                <w:sz w:val="22"/>
                <w:szCs w:val="24"/>
                <w:lang w:val="en-GB"/>
              </w:rPr>
              <w:t>Poland</w:t>
            </w:r>
          </w:p>
        </w:tc>
        <w:tc>
          <w:tcPr>
            <w:tcW w:w="1134" w:type="dxa"/>
            <w:tcBorders>
              <w:top w:val="single" w:sz="4" w:space="0" w:color="auto"/>
              <w:bottom w:val="single" w:sz="4" w:space="0" w:color="auto"/>
            </w:tcBorders>
            <w:shd w:val="clear" w:color="auto" w:fill="BFBFBF" w:themeFill="background1" w:themeFillShade="BF"/>
          </w:tcPr>
          <w:p w14:paraId="1E441B05" w14:textId="77777777" w:rsidR="00E3097C" w:rsidRPr="00141A2D" w:rsidRDefault="00E3097C" w:rsidP="00F0672F">
            <w:pPr>
              <w:jc w:val="both"/>
              <w:rPr>
                <w:rFonts w:ascii="Calibri Light" w:hAnsi="Calibri Light" w:cs="Calibri Light"/>
                <w:b/>
                <w:sz w:val="22"/>
                <w:szCs w:val="24"/>
                <w:lang w:val="en-GB"/>
              </w:rPr>
            </w:pPr>
            <w:r w:rsidRPr="00141A2D">
              <w:rPr>
                <w:rFonts w:ascii="Calibri Light" w:hAnsi="Calibri Light" w:cs="Calibri Light"/>
                <w:b/>
                <w:sz w:val="22"/>
                <w:szCs w:val="24"/>
                <w:lang w:val="en-GB"/>
              </w:rPr>
              <w:t>Baltic States</w:t>
            </w:r>
          </w:p>
        </w:tc>
      </w:tr>
      <w:tr w:rsidR="00E3097C" w:rsidRPr="00141A2D" w14:paraId="40E206E3" w14:textId="77777777" w:rsidTr="00F0672F">
        <w:tc>
          <w:tcPr>
            <w:tcW w:w="3685" w:type="dxa"/>
            <w:tcBorders>
              <w:top w:val="single" w:sz="4" w:space="0" w:color="auto"/>
            </w:tcBorders>
          </w:tcPr>
          <w:p w14:paraId="2001B713" w14:textId="77777777" w:rsidR="00E3097C" w:rsidRPr="00141A2D" w:rsidRDefault="00E3097C" w:rsidP="00F0672F">
            <w:pPr>
              <w:jc w:val="both"/>
              <w:rPr>
                <w:rFonts w:ascii="Calibri Light" w:hAnsi="Calibri Light" w:cs="Calibri Light"/>
                <w:sz w:val="22"/>
                <w:szCs w:val="24"/>
                <w:lang w:val="en-GB"/>
              </w:rPr>
            </w:pPr>
            <w:r w:rsidRPr="00141A2D">
              <w:rPr>
                <w:rFonts w:ascii="Calibri Light" w:hAnsi="Calibri Light" w:cs="Calibri Light"/>
                <w:sz w:val="22"/>
                <w:szCs w:val="24"/>
                <w:lang w:val="en-GB"/>
              </w:rPr>
              <w:t>Focus on strengthening cooperation within NATO</w:t>
            </w:r>
          </w:p>
        </w:tc>
        <w:tc>
          <w:tcPr>
            <w:tcW w:w="1134" w:type="dxa"/>
            <w:tcBorders>
              <w:top w:val="single" w:sz="4" w:space="0" w:color="auto"/>
            </w:tcBorders>
          </w:tcPr>
          <w:p w14:paraId="7CD90DAB" w14:textId="77777777" w:rsidR="00E3097C" w:rsidRPr="00141A2D" w:rsidRDefault="00E3097C" w:rsidP="00F0672F">
            <w:pPr>
              <w:jc w:val="both"/>
              <w:rPr>
                <w:rFonts w:ascii="Calibri Light" w:hAnsi="Calibri Light" w:cs="Calibri Light"/>
                <w:sz w:val="22"/>
                <w:szCs w:val="24"/>
                <w:lang w:val="en-GB"/>
              </w:rPr>
            </w:pPr>
            <w:r w:rsidRPr="00141A2D">
              <w:rPr>
                <w:rFonts w:ascii="Calibri Light" w:hAnsi="Calibri Light" w:cs="Calibri Light"/>
                <w:sz w:val="22"/>
                <w:szCs w:val="24"/>
                <w:lang w:val="en-GB"/>
              </w:rPr>
              <w:t>Adheres</w:t>
            </w:r>
          </w:p>
        </w:tc>
        <w:tc>
          <w:tcPr>
            <w:tcW w:w="1442" w:type="dxa"/>
            <w:tcBorders>
              <w:top w:val="single" w:sz="4" w:space="0" w:color="auto"/>
            </w:tcBorders>
          </w:tcPr>
          <w:p w14:paraId="2DEE5B0C" w14:textId="77777777" w:rsidR="00E3097C" w:rsidRPr="00141A2D" w:rsidRDefault="00E3097C" w:rsidP="00F0672F">
            <w:pPr>
              <w:jc w:val="both"/>
              <w:rPr>
                <w:rFonts w:ascii="Calibri Light" w:hAnsi="Calibri Light" w:cs="Calibri Light"/>
                <w:sz w:val="22"/>
                <w:szCs w:val="24"/>
                <w:lang w:val="en-GB"/>
              </w:rPr>
            </w:pPr>
            <w:r w:rsidRPr="00141A2D">
              <w:rPr>
                <w:rFonts w:ascii="Calibri Light" w:hAnsi="Calibri Light" w:cs="Calibri Light"/>
                <w:sz w:val="22"/>
                <w:szCs w:val="24"/>
                <w:lang w:val="en-GB"/>
              </w:rPr>
              <w:t>Adheres</w:t>
            </w:r>
          </w:p>
        </w:tc>
        <w:tc>
          <w:tcPr>
            <w:tcW w:w="1252" w:type="dxa"/>
            <w:tcBorders>
              <w:top w:val="single" w:sz="4" w:space="0" w:color="auto"/>
            </w:tcBorders>
          </w:tcPr>
          <w:p w14:paraId="2C27B3DA" w14:textId="77777777" w:rsidR="00E3097C" w:rsidRPr="00141A2D" w:rsidRDefault="00E3097C" w:rsidP="00F0672F">
            <w:pPr>
              <w:jc w:val="both"/>
              <w:rPr>
                <w:rFonts w:ascii="Calibri Light" w:hAnsi="Calibri Light" w:cs="Calibri Light"/>
                <w:sz w:val="22"/>
                <w:szCs w:val="24"/>
                <w:lang w:val="en-GB"/>
              </w:rPr>
            </w:pPr>
            <w:r w:rsidRPr="00141A2D">
              <w:rPr>
                <w:rFonts w:ascii="Calibri Light" w:hAnsi="Calibri Light" w:cs="Calibri Light"/>
                <w:sz w:val="22"/>
                <w:szCs w:val="24"/>
                <w:lang w:val="en-GB"/>
              </w:rPr>
              <w:t>Adheres</w:t>
            </w:r>
          </w:p>
        </w:tc>
        <w:tc>
          <w:tcPr>
            <w:tcW w:w="1134" w:type="dxa"/>
            <w:tcBorders>
              <w:top w:val="single" w:sz="4" w:space="0" w:color="auto"/>
            </w:tcBorders>
          </w:tcPr>
          <w:p w14:paraId="0A2B7988" w14:textId="77777777" w:rsidR="00E3097C" w:rsidRPr="00141A2D" w:rsidRDefault="00E3097C" w:rsidP="00F0672F">
            <w:pPr>
              <w:jc w:val="both"/>
              <w:rPr>
                <w:rFonts w:ascii="Calibri Light" w:hAnsi="Calibri Light" w:cs="Calibri Light"/>
                <w:sz w:val="22"/>
                <w:szCs w:val="24"/>
                <w:lang w:val="en-GB"/>
              </w:rPr>
            </w:pPr>
            <w:r w:rsidRPr="00141A2D">
              <w:rPr>
                <w:rFonts w:ascii="Calibri Light" w:hAnsi="Calibri Light" w:cs="Calibri Light"/>
                <w:sz w:val="22"/>
                <w:szCs w:val="24"/>
                <w:lang w:val="en-GB"/>
              </w:rPr>
              <w:t>Adheres</w:t>
            </w:r>
          </w:p>
        </w:tc>
      </w:tr>
      <w:tr w:rsidR="00E3097C" w:rsidRPr="00141A2D" w14:paraId="291C7903" w14:textId="77777777" w:rsidTr="00F0672F">
        <w:tc>
          <w:tcPr>
            <w:tcW w:w="3685" w:type="dxa"/>
          </w:tcPr>
          <w:p w14:paraId="3A2EF9F2" w14:textId="77777777" w:rsidR="00E3097C" w:rsidRPr="00141A2D" w:rsidRDefault="00E3097C" w:rsidP="00F0672F">
            <w:pPr>
              <w:jc w:val="both"/>
              <w:rPr>
                <w:rFonts w:ascii="Calibri Light" w:hAnsi="Calibri Light" w:cs="Calibri Light"/>
                <w:sz w:val="22"/>
                <w:szCs w:val="24"/>
                <w:lang w:val="en-GB"/>
              </w:rPr>
            </w:pPr>
            <w:r w:rsidRPr="00141A2D">
              <w:rPr>
                <w:rFonts w:ascii="Calibri Light" w:hAnsi="Calibri Light" w:cs="Calibri Light"/>
                <w:sz w:val="22"/>
                <w:szCs w:val="24"/>
                <w:lang w:val="en-GB"/>
              </w:rPr>
              <w:t>Identification of terrorism, espionage, countering migrants as key challenges</w:t>
            </w:r>
          </w:p>
        </w:tc>
        <w:tc>
          <w:tcPr>
            <w:tcW w:w="1134" w:type="dxa"/>
          </w:tcPr>
          <w:p w14:paraId="37379DB2" w14:textId="77777777" w:rsidR="00E3097C" w:rsidRPr="00141A2D" w:rsidRDefault="00E3097C" w:rsidP="00F0672F">
            <w:pPr>
              <w:jc w:val="both"/>
              <w:rPr>
                <w:rFonts w:ascii="Calibri Light" w:hAnsi="Calibri Light" w:cs="Calibri Light"/>
                <w:sz w:val="22"/>
                <w:szCs w:val="24"/>
                <w:lang w:val="en-GB"/>
              </w:rPr>
            </w:pPr>
            <w:r w:rsidRPr="00141A2D">
              <w:rPr>
                <w:rFonts w:ascii="Calibri Light" w:hAnsi="Calibri Light" w:cs="Calibri Light"/>
                <w:sz w:val="22"/>
                <w:szCs w:val="24"/>
                <w:lang w:val="en-GB"/>
              </w:rPr>
              <w:t>Adheres</w:t>
            </w:r>
          </w:p>
        </w:tc>
        <w:tc>
          <w:tcPr>
            <w:tcW w:w="1442" w:type="dxa"/>
          </w:tcPr>
          <w:p w14:paraId="6BA974E7" w14:textId="77777777" w:rsidR="00E3097C" w:rsidRPr="00141A2D" w:rsidRDefault="00E3097C" w:rsidP="00F0672F">
            <w:pPr>
              <w:jc w:val="both"/>
              <w:rPr>
                <w:rFonts w:ascii="Calibri Light" w:hAnsi="Calibri Light" w:cs="Calibri Light"/>
                <w:sz w:val="22"/>
                <w:szCs w:val="24"/>
                <w:lang w:val="en-GB"/>
              </w:rPr>
            </w:pPr>
            <w:r w:rsidRPr="00141A2D">
              <w:rPr>
                <w:rFonts w:ascii="Calibri Light" w:hAnsi="Calibri Light" w:cs="Calibri Light"/>
                <w:sz w:val="22"/>
                <w:szCs w:val="24"/>
                <w:lang w:val="en-GB"/>
              </w:rPr>
              <w:t>Adheres</w:t>
            </w:r>
          </w:p>
        </w:tc>
        <w:tc>
          <w:tcPr>
            <w:tcW w:w="1252" w:type="dxa"/>
          </w:tcPr>
          <w:p w14:paraId="5EF6A772" w14:textId="77777777" w:rsidR="00E3097C" w:rsidRPr="00141A2D" w:rsidRDefault="00E3097C" w:rsidP="00F0672F">
            <w:pPr>
              <w:jc w:val="both"/>
              <w:rPr>
                <w:rFonts w:ascii="Calibri Light" w:hAnsi="Calibri Light" w:cs="Calibri Light"/>
                <w:sz w:val="22"/>
                <w:szCs w:val="24"/>
                <w:lang w:val="en-GB"/>
              </w:rPr>
            </w:pPr>
            <w:r w:rsidRPr="00141A2D">
              <w:rPr>
                <w:rFonts w:ascii="Calibri Light" w:hAnsi="Calibri Light" w:cs="Calibri Light"/>
                <w:sz w:val="22"/>
                <w:szCs w:val="24"/>
                <w:lang w:val="en-GB"/>
              </w:rPr>
              <w:t>Partially adheres</w:t>
            </w:r>
          </w:p>
        </w:tc>
        <w:tc>
          <w:tcPr>
            <w:tcW w:w="1134" w:type="dxa"/>
          </w:tcPr>
          <w:p w14:paraId="37829F0D" w14:textId="77777777" w:rsidR="00E3097C" w:rsidRPr="00141A2D" w:rsidRDefault="00E3097C" w:rsidP="00F0672F">
            <w:pPr>
              <w:jc w:val="both"/>
              <w:rPr>
                <w:rFonts w:ascii="Calibri Light" w:hAnsi="Calibri Light" w:cs="Calibri Light"/>
                <w:sz w:val="22"/>
                <w:szCs w:val="24"/>
                <w:lang w:val="en-GB"/>
              </w:rPr>
            </w:pPr>
            <w:r w:rsidRPr="00141A2D">
              <w:rPr>
                <w:rFonts w:ascii="Calibri Light" w:hAnsi="Calibri Light" w:cs="Calibri Light"/>
                <w:sz w:val="22"/>
                <w:szCs w:val="24"/>
                <w:lang w:val="en-GB"/>
              </w:rPr>
              <w:t>Partially adheres</w:t>
            </w:r>
          </w:p>
        </w:tc>
      </w:tr>
      <w:tr w:rsidR="00E3097C" w:rsidRPr="00141A2D" w14:paraId="70F288B4" w14:textId="77777777" w:rsidTr="00F0672F">
        <w:tc>
          <w:tcPr>
            <w:tcW w:w="3685" w:type="dxa"/>
          </w:tcPr>
          <w:p w14:paraId="445B1FE9" w14:textId="77777777" w:rsidR="00E3097C" w:rsidRPr="00141A2D" w:rsidRDefault="00E3097C" w:rsidP="00F0672F">
            <w:pPr>
              <w:jc w:val="both"/>
              <w:rPr>
                <w:rFonts w:ascii="Calibri Light" w:hAnsi="Calibri Light" w:cs="Calibri Light"/>
                <w:sz w:val="22"/>
                <w:szCs w:val="24"/>
                <w:lang w:val="en-GB"/>
              </w:rPr>
            </w:pPr>
            <w:r w:rsidRPr="00141A2D">
              <w:rPr>
                <w:rFonts w:ascii="Calibri Light" w:hAnsi="Calibri Light" w:cs="Calibri Light"/>
                <w:sz w:val="22"/>
                <w:szCs w:val="24"/>
                <w:lang w:val="en-GB"/>
              </w:rPr>
              <w:t>Identification of Russian aggression as key challenge</w:t>
            </w:r>
          </w:p>
        </w:tc>
        <w:tc>
          <w:tcPr>
            <w:tcW w:w="1134" w:type="dxa"/>
          </w:tcPr>
          <w:p w14:paraId="76E413D8" w14:textId="77777777" w:rsidR="00E3097C" w:rsidRPr="00141A2D" w:rsidRDefault="00E3097C" w:rsidP="00F0672F">
            <w:pPr>
              <w:jc w:val="both"/>
              <w:rPr>
                <w:rFonts w:ascii="Calibri Light" w:hAnsi="Calibri Light" w:cs="Calibri Light"/>
                <w:sz w:val="22"/>
                <w:szCs w:val="24"/>
                <w:lang w:val="en-GB"/>
              </w:rPr>
            </w:pPr>
            <w:r w:rsidRPr="00141A2D">
              <w:rPr>
                <w:rFonts w:ascii="Calibri Light" w:hAnsi="Calibri Light" w:cs="Calibri Light"/>
                <w:sz w:val="22"/>
                <w:szCs w:val="24"/>
                <w:lang w:val="en-GB"/>
              </w:rPr>
              <w:t>Does not adhere</w:t>
            </w:r>
          </w:p>
        </w:tc>
        <w:tc>
          <w:tcPr>
            <w:tcW w:w="1442" w:type="dxa"/>
          </w:tcPr>
          <w:p w14:paraId="26DA3C62" w14:textId="77777777" w:rsidR="00E3097C" w:rsidRPr="00141A2D" w:rsidRDefault="00E3097C" w:rsidP="00F0672F">
            <w:pPr>
              <w:jc w:val="both"/>
              <w:rPr>
                <w:rFonts w:ascii="Calibri Light" w:hAnsi="Calibri Light" w:cs="Calibri Light"/>
                <w:sz w:val="22"/>
                <w:szCs w:val="24"/>
                <w:lang w:val="en-GB"/>
              </w:rPr>
            </w:pPr>
            <w:r w:rsidRPr="00141A2D">
              <w:rPr>
                <w:rFonts w:ascii="Calibri Light" w:hAnsi="Calibri Light" w:cs="Calibri Light"/>
                <w:sz w:val="22"/>
                <w:szCs w:val="24"/>
                <w:lang w:val="en-GB"/>
              </w:rPr>
              <w:t>Partially adheres</w:t>
            </w:r>
          </w:p>
        </w:tc>
        <w:tc>
          <w:tcPr>
            <w:tcW w:w="1252" w:type="dxa"/>
          </w:tcPr>
          <w:p w14:paraId="1D4B3945" w14:textId="77777777" w:rsidR="00E3097C" w:rsidRPr="00141A2D" w:rsidRDefault="00E3097C" w:rsidP="00F0672F">
            <w:pPr>
              <w:jc w:val="both"/>
              <w:rPr>
                <w:rFonts w:ascii="Calibri Light" w:hAnsi="Calibri Light" w:cs="Calibri Light"/>
                <w:sz w:val="22"/>
                <w:szCs w:val="24"/>
                <w:lang w:val="en-GB"/>
              </w:rPr>
            </w:pPr>
            <w:r w:rsidRPr="00141A2D">
              <w:rPr>
                <w:rFonts w:ascii="Calibri Light" w:hAnsi="Calibri Light" w:cs="Calibri Light"/>
                <w:sz w:val="22"/>
                <w:szCs w:val="24"/>
                <w:lang w:val="en-GB"/>
              </w:rPr>
              <w:t>Adheres</w:t>
            </w:r>
          </w:p>
        </w:tc>
        <w:tc>
          <w:tcPr>
            <w:tcW w:w="1134" w:type="dxa"/>
          </w:tcPr>
          <w:p w14:paraId="69E0D259" w14:textId="77777777" w:rsidR="00E3097C" w:rsidRPr="00141A2D" w:rsidRDefault="00E3097C" w:rsidP="00F0672F">
            <w:pPr>
              <w:jc w:val="both"/>
              <w:rPr>
                <w:rFonts w:ascii="Calibri Light" w:hAnsi="Calibri Light" w:cs="Calibri Light"/>
                <w:sz w:val="22"/>
                <w:szCs w:val="24"/>
                <w:lang w:val="en-GB"/>
              </w:rPr>
            </w:pPr>
            <w:r w:rsidRPr="00141A2D">
              <w:rPr>
                <w:rFonts w:ascii="Calibri Light" w:hAnsi="Calibri Light" w:cs="Calibri Light"/>
                <w:sz w:val="22"/>
                <w:szCs w:val="24"/>
                <w:lang w:val="en-GB"/>
              </w:rPr>
              <w:t>Adheres</w:t>
            </w:r>
          </w:p>
        </w:tc>
      </w:tr>
      <w:tr w:rsidR="00E3097C" w:rsidRPr="00141A2D" w14:paraId="055A5483" w14:textId="77777777" w:rsidTr="00F0672F">
        <w:tc>
          <w:tcPr>
            <w:tcW w:w="3685" w:type="dxa"/>
          </w:tcPr>
          <w:p w14:paraId="23736292" w14:textId="77777777" w:rsidR="00E3097C" w:rsidRPr="00141A2D" w:rsidRDefault="00E3097C" w:rsidP="00F0672F">
            <w:pPr>
              <w:jc w:val="both"/>
              <w:rPr>
                <w:rFonts w:ascii="Calibri Light" w:hAnsi="Calibri Light" w:cs="Calibri Light"/>
                <w:sz w:val="22"/>
                <w:szCs w:val="24"/>
              </w:rPr>
            </w:pPr>
            <w:r w:rsidRPr="00141A2D">
              <w:rPr>
                <w:rFonts w:ascii="Calibri Light" w:hAnsi="Calibri Light" w:cs="Calibri Light"/>
                <w:sz w:val="22"/>
                <w:szCs w:val="24"/>
                <w:lang w:val="en-GB"/>
              </w:rPr>
              <w:t>Establishing information exchange during international investigations</w:t>
            </w:r>
          </w:p>
        </w:tc>
        <w:tc>
          <w:tcPr>
            <w:tcW w:w="1134" w:type="dxa"/>
          </w:tcPr>
          <w:p w14:paraId="1C993436" w14:textId="77777777" w:rsidR="00E3097C" w:rsidRPr="00141A2D" w:rsidRDefault="00E3097C" w:rsidP="00F0672F">
            <w:pPr>
              <w:jc w:val="both"/>
              <w:rPr>
                <w:rFonts w:ascii="Calibri Light" w:hAnsi="Calibri Light" w:cs="Calibri Light"/>
                <w:sz w:val="22"/>
                <w:szCs w:val="24"/>
                <w:lang w:val="en-GB"/>
              </w:rPr>
            </w:pPr>
            <w:r w:rsidRPr="00141A2D">
              <w:rPr>
                <w:rFonts w:ascii="Calibri Light" w:hAnsi="Calibri Light" w:cs="Calibri Light"/>
                <w:sz w:val="22"/>
                <w:szCs w:val="24"/>
                <w:lang w:val="en-GB"/>
              </w:rPr>
              <w:t>Adheres</w:t>
            </w:r>
          </w:p>
        </w:tc>
        <w:tc>
          <w:tcPr>
            <w:tcW w:w="1442" w:type="dxa"/>
          </w:tcPr>
          <w:p w14:paraId="3C74C5CC" w14:textId="77777777" w:rsidR="00E3097C" w:rsidRPr="00141A2D" w:rsidRDefault="00E3097C" w:rsidP="00F0672F">
            <w:pPr>
              <w:jc w:val="both"/>
              <w:rPr>
                <w:rFonts w:ascii="Calibri Light" w:hAnsi="Calibri Light" w:cs="Calibri Light"/>
                <w:sz w:val="22"/>
                <w:szCs w:val="24"/>
                <w:lang w:val="en-GB"/>
              </w:rPr>
            </w:pPr>
            <w:r w:rsidRPr="00141A2D">
              <w:rPr>
                <w:rFonts w:ascii="Calibri Light" w:hAnsi="Calibri Light" w:cs="Calibri Light"/>
                <w:sz w:val="22"/>
                <w:szCs w:val="24"/>
                <w:lang w:val="en-GB"/>
              </w:rPr>
              <w:t>Adheres</w:t>
            </w:r>
          </w:p>
        </w:tc>
        <w:tc>
          <w:tcPr>
            <w:tcW w:w="1252" w:type="dxa"/>
          </w:tcPr>
          <w:p w14:paraId="66D4F634" w14:textId="77777777" w:rsidR="00E3097C" w:rsidRPr="00141A2D" w:rsidRDefault="00E3097C" w:rsidP="00F0672F">
            <w:pPr>
              <w:jc w:val="both"/>
              <w:rPr>
                <w:rFonts w:ascii="Calibri Light" w:hAnsi="Calibri Light" w:cs="Calibri Light"/>
                <w:sz w:val="22"/>
                <w:szCs w:val="24"/>
                <w:lang w:val="en-GB"/>
              </w:rPr>
            </w:pPr>
            <w:r w:rsidRPr="00141A2D">
              <w:rPr>
                <w:rFonts w:ascii="Calibri Light" w:hAnsi="Calibri Light" w:cs="Calibri Light"/>
                <w:sz w:val="22"/>
                <w:szCs w:val="24"/>
                <w:lang w:val="en-GB"/>
              </w:rPr>
              <w:t>Does not adhere</w:t>
            </w:r>
          </w:p>
        </w:tc>
        <w:tc>
          <w:tcPr>
            <w:tcW w:w="1134" w:type="dxa"/>
          </w:tcPr>
          <w:p w14:paraId="12F61397" w14:textId="77777777" w:rsidR="00E3097C" w:rsidRPr="00141A2D" w:rsidRDefault="00E3097C" w:rsidP="00F0672F">
            <w:pPr>
              <w:jc w:val="both"/>
              <w:rPr>
                <w:rFonts w:ascii="Calibri Light" w:hAnsi="Calibri Light" w:cs="Calibri Light"/>
                <w:sz w:val="22"/>
                <w:szCs w:val="24"/>
                <w:lang w:val="en-GB"/>
              </w:rPr>
            </w:pPr>
            <w:r w:rsidRPr="00141A2D">
              <w:rPr>
                <w:rFonts w:ascii="Calibri Light" w:hAnsi="Calibri Light" w:cs="Calibri Light"/>
                <w:sz w:val="22"/>
                <w:szCs w:val="24"/>
                <w:lang w:val="en-GB"/>
              </w:rPr>
              <w:t>Does not adhere</w:t>
            </w:r>
          </w:p>
        </w:tc>
      </w:tr>
      <w:tr w:rsidR="00E3097C" w:rsidRPr="00141A2D" w14:paraId="1F8967A6" w14:textId="77777777" w:rsidTr="00F0672F">
        <w:tc>
          <w:tcPr>
            <w:tcW w:w="3685" w:type="dxa"/>
          </w:tcPr>
          <w:p w14:paraId="7568D218" w14:textId="77777777" w:rsidR="00E3097C" w:rsidRPr="00141A2D" w:rsidRDefault="00E3097C" w:rsidP="00F0672F">
            <w:pPr>
              <w:jc w:val="both"/>
              <w:rPr>
                <w:rFonts w:ascii="Calibri Light" w:hAnsi="Calibri Light" w:cs="Calibri Light"/>
                <w:sz w:val="22"/>
                <w:szCs w:val="24"/>
                <w:lang w:val="en-GB"/>
              </w:rPr>
            </w:pPr>
            <w:r w:rsidRPr="00141A2D">
              <w:rPr>
                <w:rFonts w:ascii="Calibri Light" w:hAnsi="Calibri Light" w:cs="Calibri Light"/>
                <w:sz w:val="22"/>
                <w:szCs w:val="24"/>
                <w:lang w:val="en-GB"/>
              </w:rPr>
              <w:t>Transformation of the existing legal framework after 2022 (beginning of full-scale Russian invasion of Ukraine)</w:t>
            </w:r>
          </w:p>
        </w:tc>
        <w:tc>
          <w:tcPr>
            <w:tcW w:w="1134" w:type="dxa"/>
          </w:tcPr>
          <w:p w14:paraId="5150DEE0" w14:textId="77777777" w:rsidR="00E3097C" w:rsidRPr="00141A2D" w:rsidRDefault="00E3097C" w:rsidP="00F0672F">
            <w:pPr>
              <w:jc w:val="both"/>
              <w:rPr>
                <w:rFonts w:ascii="Calibri Light" w:hAnsi="Calibri Light" w:cs="Calibri Light"/>
                <w:sz w:val="22"/>
                <w:szCs w:val="24"/>
                <w:lang w:val="en-GB"/>
              </w:rPr>
            </w:pPr>
            <w:r w:rsidRPr="00141A2D">
              <w:rPr>
                <w:rFonts w:ascii="Calibri Light" w:hAnsi="Calibri Light" w:cs="Calibri Light"/>
                <w:sz w:val="22"/>
                <w:szCs w:val="24"/>
                <w:lang w:val="en-GB"/>
              </w:rPr>
              <w:t>Partially adheres</w:t>
            </w:r>
          </w:p>
        </w:tc>
        <w:tc>
          <w:tcPr>
            <w:tcW w:w="1442" w:type="dxa"/>
          </w:tcPr>
          <w:p w14:paraId="26831077" w14:textId="77777777" w:rsidR="00E3097C" w:rsidRPr="00141A2D" w:rsidRDefault="00E3097C" w:rsidP="00F0672F">
            <w:pPr>
              <w:jc w:val="both"/>
              <w:rPr>
                <w:rFonts w:ascii="Calibri Light" w:hAnsi="Calibri Light" w:cs="Calibri Light"/>
                <w:sz w:val="22"/>
                <w:szCs w:val="24"/>
                <w:lang w:val="en-GB"/>
              </w:rPr>
            </w:pPr>
            <w:r w:rsidRPr="00141A2D">
              <w:rPr>
                <w:rFonts w:ascii="Calibri Light" w:hAnsi="Calibri Light" w:cs="Calibri Light"/>
                <w:sz w:val="22"/>
                <w:szCs w:val="24"/>
                <w:lang w:val="en-GB"/>
              </w:rPr>
              <w:t>Adheres</w:t>
            </w:r>
          </w:p>
        </w:tc>
        <w:tc>
          <w:tcPr>
            <w:tcW w:w="1252" w:type="dxa"/>
          </w:tcPr>
          <w:p w14:paraId="0D1B7DF3" w14:textId="77777777" w:rsidR="00E3097C" w:rsidRPr="00141A2D" w:rsidRDefault="00E3097C" w:rsidP="00F0672F">
            <w:pPr>
              <w:jc w:val="both"/>
              <w:rPr>
                <w:rFonts w:ascii="Calibri Light" w:hAnsi="Calibri Light" w:cs="Calibri Light"/>
                <w:sz w:val="22"/>
                <w:szCs w:val="24"/>
                <w:lang w:val="en-GB"/>
              </w:rPr>
            </w:pPr>
            <w:r w:rsidRPr="00141A2D">
              <w:rPr>
                <w:rFonts w:ascii="Calibri Light" w:hAnsi="Calibri Light" w:cs="Calibri Light"/>
                <w:sz w:val="22"/>
                <w:szCs w:val="24"/>
                <w:lang w:val="en-GB"/>
              </w:rPr>
              <w:t>Adheres</w:t>
            </w:r>
          </w:p>
        </w:tc>
        <w:tc>
          <w:tcPr>
            <w:tcW w:w="1134" w:type="dxa"/>
          </w:tcPr>
          <w:p w14:paraId="72BB8926" w14:textId="77777777" w:rsidR="00E3097C" w:rsidRPr="00141A2D" w:rsidRDefault="00E3097C" w:rsidP="00F0672F">
            <w:pPr>
              <w:jc w:val="both"/>
              <w:rPr>
                <w:rFonts w:ascii="Calibri Light" w:hAnsi="Calibri Light" w:cs="Calibri Light"/>
                <w:sz w:val="22"/>
                <w:szCs w:val="24"/>
                <w:lang w:val="en-GB"/>
              </w:rPr>
            </w:pPr>
            <w:r w:rsidRPr="00141A2D">
              <w:rPr>
                <w:rFonts w:ascii="Calibri Light" w:hAnsi="Calibri Light" w:cs="Calibri Light"/>
                <w:sz w:val="22"/>
                <w:szCs w:val="24"/>
                <w:lang w:val="en-GB"/>
              </w:rPr>
              <w:t>Adheres</w:t>
            </w:r>
          </w:p>
        </w:tc>
      </w:tr>
      <w:tr w:rsidR="00E3097C" w:rsidRPr="00141A2D" w14:paraId="4D5D67DA" w14:textId="77777777" w:rsidTr="00F0672F">
        <w:tc>
          <w:tcPr>
            <w:tcW w:w="3685" w:type="dxa"/>
            <w:tcBorders>
              <w:bottom w:val="single" w:sz="4" w:space="0" w:color="auto"/>
            </w:tcBorders>
          </w:tcPr>
          <w:p w14:paraId="755A13E8" w14:textId="77777777" w:rsidR="00E3097C" w:rsidRPr="00141A2D" w:rsidRDefault="00E3097C" w:rsidP="00F0672F">
            <w:pPr>
              <w:jc w:val="both"/>
              <w:rPr>
                <w:rFonts w:ascii="Calibri Light" w:hAnsi="Calibri Light" w:cs="Calibri Light"/>
                <w:sz w:val="22"/>
                <w:szCs w:val="24"/>
                <w:lang w:val="en-GB"/>
              </w:rPr>
            </w:pPr>
            <w:r w:rsidRPr="00141A2D">
              <w:rPr>
                <w:rFonts w:ascii="Calibri Light" w:hAnsi="Calibri Light" w:cs="Calibri Light"/>
                <w:sz w:val="22"/>
                <w:szCs w:val="24"/>
                <w:lang w:val="en-GB"/>
              </w:rPr>
              <w:t>Return to compulsory military service (conscription)</w:t>
            </w:r>
          </w:p>
        </w:tc>
        <w:tc>
          <w:tcPr>
            <w:tcW w:w="1134" w:type="dxa"/>
            <w:tcBorders>
              <w:bottom w:val="single" w:sz="4" w:space="0" w:color="auto"/>
            </w:tcBorders>
          </w:tcPr>
          <w:p w14:paraId="1BBAABDC" w14:textId="77777777" w:rsidR="00E3097C" w:rsidRPr="00141A2D" w:rsidRDefault="00E3097C" w:rsidP="00F0672F">
            <w:pPr>
              <w:jc w:val="both"/>
              <w:rPr>
                <w:rFonts w:ascii="Calibri Light" w:hAnsi="Calibri Light" w:cs="Calibri Light"/>
                <w:sz w:val="22"/>
                <w:szCs w:val="24"/>
                <w:lang w:val="en-GB"/>
              </w:rPr>
            </w:pPr>
            <w:r w:rsidRPr="00141A2D">
              <w:rPr>
                <w:rFonts w:ascii="Calibri Light" w:hAnsi="Calibri Light" w:cs="Calibri Light"/>
                <w:sz w:val="22"/>
                <w:szCs w:val="24"/>
                <w:lang w:val="en-GB"/>
              </w:rPr>
              <w:t>Does not adhere</w:t>
            </w:r>
          </w:p>
        </w:tc>
        <w:tc>
          <w:tcPr>
            <w:tcW w:w="1442" w:type="dxa"/>
            <w:tcBorders>
              <w:bottom w:val="single" w:sz="4" w:space="0" w:color="auto"/>
            </w:tcBorders>
          </w:tcPr>
          <w:p w14:paraId="635FE512" w14:textId="77777777" w:rsidR="00E3097C" w:rsidRPr="00141A2D" w:rsidRDefault="00E3097C" w:rsidP="00F0672F">
            <w:pPr>
              <w:jc w:val="both"/>
              <w:rPr>
                <w:rFonts w:ascii="Calibri Light" w:hAnsi="Calibri Light" w:cs="Calibri Light"/>
                <w:sz w:val="22"/>
                <w:szCs w:val="24"/>
                <w:lang w:val="en-GB"/>
              </w:rPr>
            </w:pPr>
            <w:r w:rsidRPr="00141A2D">
              <w:rPr>
                <w:rFonts w:ascii="Calibri Light" w:hAnsi="Calibri Light" w:cs="Calibri Light"/>
                <w:sz w:val="22"/>
                <w:szCs w:val="24"/>
                <w:lang w:val="en-GB"/>
              </w:rPr>
              <w:t>Does not adhere</w:t>
            </w:r>
          </w:p>
        </w:tc>
        <w:tc>
          <w:tcPr>
            <w:tcW w:w="1252" w:type="dxa"/>
            <w:tcBorders>
              <w:bottom w:val="single" w:sz="4" w:space="0" w:color="auto"/>
            </w:tcBorders>
          </w:tcPr>
          <w:p w14:paraId="70E3CEAF" w14:textId="77777777" w:rsidR="00E3097C" w:rsidRPr="00141A2D" w:rsidRDefault="00E3097C" w:rsidP="00F0672F">
            <w:pPr>
              <w:jc w:val="both"/>
              <w:rPr>
                <w:rFonts w:ascii="Calibri Light" w:hAnsi="Calibri Light" w:cs="Calibri Light"/>
                <w:sz w:val="22"/>
                <w:szCs w:val="24"/>
                <w:lang w:val="en-GB"/>
              </w:rPr>
            </w:pPr>
            <w:r w:rsidRPr="00141A2D">
              <w:rPr>
                <w:rFonts w:ascii="Calibri Light" w:hAnsi="Calibri Light" w:cs="Calibri Light"/>
                <w:sz w:val="22"/>
                <w:szCs w:val="24"/>
                <w:lang w:val="en-GB"/>
              </w:rPr>
              <w:t>Partially adheres</w:t>
            </w:r>
          </w:p>
        </w:tc>
        <w:tc>
          <w:tcPr>
            <w:tcW w:w="1134" w:type="dxa"/>
            <w:tcBorders>
              <w:bottom w:val="single" w:sz="4" w:space="0" w:color="auto"/>
            </w:tcBorders>
          </w:tcPr>
          <w:p w14:paraId="6E7D0609" w14:textId="77777777" w:rsidR="00E3097C" w:rsidRPr="00141A2D" w:rsidRDefault="00E3097C" w:rsidP="00F0672F">
            <w:pPr>
              <w:jc w:val="both"/>
              <w:rPr>
                <w:rFonts w:ascii="Calibri Light" w:hAnsi="Calibri Light" w:cs="Calibri Light"/>
                <w:sz w:val="22"/>
                <w:szCs w:val="24"/>
                <w:lang w:val="en-GB"/>
              </w:rPr>
            </w:pPr>
            <w:r w:rsidRPr="00141A2D">
              <w:rPr>
                <w:rFonts w:ascii="Calibri Light" w:hAnsi="Calibri Light" w:cs="Calibri Light"/>
                <w:sz w:val="22"/>
                <w:szCs w:val="24"/>
                <w:lang w:val="en-GB"/>
              </w:rPr>
              <w:t>Adheres</w:t>
            </w:r>
          </w:p>
        </w:tc>
      </w:tr>
    </w:tbl>
    <w:p w14:paraId="1365F548" w14:textId="77777777" w:rsidR="00E3097C" w:rsidRPr="00141A2D" w:rsidRDefault="00E3097C" w:rsidP="00E3097C">
      <w:pPr>
        <w:spacing w:before="120" w:after="120"/>
        <w:ind w:left="440" w:right="-1" w:hanging="14"/>
        <w:jc w:val="center"/>
        <w:rPr>
          <w:rFonts w:ascii="Calibri Light" w:hAnsi="Calibri Light" w:cs="Calibri Light"/>
          <w:i/>
          <w:sz w:val="24"/>
          <w:szCs w:val="24"/>
        </w:rPr>
      </w:pPr>
      <w:r w:rsidRPr="00141A2D">
        <w:rPr>
          <w:rFonts w:ascii="Calibri Light" w:hAnsi="Calibri Light" w:cs="Calibri Light"/>
          <w:i/>
          <w:sz w:val="24"/>
          <w:szCs w:val="24"/>
        </w:rPr>
        <w:t>Source: Authors’ development.</w:t>
      </w:r>
    </w:p>
    <w:p w14:paraId="497F91E3" w14:textId="77777777" w:rsidR="00E3097C" w:rsidRPr="0090631F" w:rsidRDefault="00E3097C" w:rsidP="00E3097C">
      <w:pPr>
        <w:spacing w:before="120" w:after="120"/>
        <w:ind w:left="440" w:right="-1" w:hanging="14"/>
        <w:jc w:val="both"/>
        <w:rPr>
          <w:rFonts w:ascii="Calibri Light" w:hAnsi="Calibri Light" w:cs="Calibri Light"/>
          <w:sz w:val="24"/>
          <w:szCs w:val="24"/>
          <w:lang w:val="en-GB"/>
        </w:rPr>
      </w:pPr>
      <w:r w:rsidRPr="0090631F">
        <w:rPr>
          <w:rFonts w:ascii="Calibri Light" w:hAnsi="Calibri Light" w:cs="Calibri Light"/>
          <w:sz w:val="24"/>
          <w:szCs w:val="24"/>
          <w:lang w:val="en-GB"/>
        </w:rPr>
        <w:t xml:space="preserve">The proposed review indicates that the security systems of the analysed countries hold a significant advantage over those of Ukraine—namely, their integration into NATO. Accordingly, the legal frameworks governing their operations can be subject to a degree of standardisation, thereby facilitating the harmonisation of legislation in this area. </w:t>
      </w:r>
      <w:r w:rsidRPr="0090631F">
        <w:rPr>
          <w:rFonts w:ascii="Calibri Light" w:hAnsi="Calibri Light" w:cs="Calibri Light"/>
          <w:sz w:val="24"/>
          <w:szCs w:val="24"/>
          <w:lang w:val="en-GB"/>
        </w:rPr>
        <w:lastRenderedPageBreak/>
        <w:t>Although Ukraine’s political course towards NATO integration is enshrined in its Constitution, implementing specific provisions will require more radical amendments to the legislative framework.</w:t>
      </w:r>
    </w:p>
    <w:p w14:paraId="3E0C9D49" w14:textId="77777777" w:rsidR="00E3097C" w:rsidRPr="0090631F" w:rsidRDefault="00E3097C" w:rsidP="00E3097C">
      <w:pPr>
        <w:spacing w:before="120" w:after="120"/>
        <w:ind w:left="440" w:right="-1" w:hanging="14"/>
        <w:jc w:val="both"/>
        <w:rPr>
          <w:rFonts w:ascii="Calibri Light" w:hAnsi="Calibri Light" w:cs="Calibri Light"/>
          <w:sz w:val="24"/>
          <w:szCs w:val="24"/>
          <w:lang w:val="en-GB"/>
        </w:rPr>
      </w:pPr>
      <w:r w:rsidRPr="0090631F">
        <w:rPr>
          <w:rFonts w:ascii="Calibri Light" w:hAnsi="Calibri Light" w:cs="Calibri Light"/>
          <w:sz w:val="24"/>
          <w:szCs w:val="24"/>
          <w:lang w:val="en-GB"/>
        </w:rPr>
        <w:t>An analysis of the legal frameworks of various countries reveals that Russian aggression poses a direct challenge to the security systems of European nations. In particular, the Kremlin regime's aggression has triggered changes to the defence doctrines of the United Kingdom and EU member states. While the UK’s legislative system focuses on countering espionage activities and hybrid threats, the Baltic and Eastern European countries prioritise military interoperability, accompanied by partial amendments to existing legislation regarding the reinstatement of conscription.</w:t>
      </w:r>
    </w:p>
    <w:p w14:paraId="04FAE1F9" w14:textId="77777777" w:rsidR="00E3097C" w:rsidRDefault="00E3097C" w:rsidP="00E3097C">
      <w:pPr>
        <w:spacing w:before="120" w:after="120"/>
        <w:ind w:left="440" w:right="-1" w:hanging="14"/>
        <w:jc w:val="both"/>
        <w:rPr>
          <w:rFonts w:ascii="Calibri Light" w:hAnsi="Calibri Light" w:cs="Calibri Light"/>
          <w:sz w:val="24"/>
          <w:szCs w:val="24"/>
          <w:lang w:val="en-GB"/>
        </w:rPr>
      </w:pPr>
      <w:r w:rsidRPr="0090631F">
        <w:rPr>
          <w:rFonts w:ascii="Calibri Light" w:hAnsi="Calibri Light" w:cs="Calibri Light"/>
          <w:sz w:val="24"/>
          <w:szCs w:val="24"/>
          <w:lang w:val="en-GB"/>
        </w:rPr>
        <w:t>For the United States, beyond the challenge posed by Russia, countering Chinese influence, managing the migration crisis in the southern states, and combating drug trafficking remain more pressing issues. Notable innovations in addressing hybrid threats and cybercrimes include gradually simplifying information-sharing mechanisms among NATO allied states.</w:t>
      </w:r>
    </w:p>
    <w:p w14:paraId="27BBC8E1" w14:textId="77777777" w:rsidR="00E3097C" w:rsidRDefault="00E3097C" w:rsidP="00E3097C">
      <w:pPr>
        <w:spacing w:before="120" w:after="120"/>
        <w:ind w:left="440" w:right="-1" w:hanging="14"/>
        <w:jc w:val="both"/>
        <w:rPr>
          <w:rFonts w:ascii="Calibri Light" w:hAnsi="Calibri Light" w:cs="Calibri Light"/>
          <w:sz w:val="24"/>
          <w:szCs w:val="24"/>
        </w:rPr>
      </w:pPr>
      <w:r w:rsidRPr="00A825DC">
        <w:rPr>
          <w:rFonts w:ascii="Calibri Light" w:hAnsi="Calibri Light" w:cs="Calibri Light"/>
          <w:b/>
          <w:sz w:val="24"/>
          <w:szCs w:val="24"/>
          <w:highlight w:val="yellow"/>
        </w:rPr>
        <w:t xml:space="preserve">IV. </w:t>
      </w:r>
      <w:r w:rsidRPr="00A825DC">
        <w:rPr>
          <w:rFonts w:ascii="Calibri Light" w:hAnsi="Calibri Light" w:cs="Calibri Light"/>
          <w:b/>
          <w:sz w:val="24"/>
          <w:szCs w:val="24"/>
          <w:highlight w:val="yellow"/>
          <w:lang w:val="id-ID"/>
        </w:rPr>
        <w:t>DISCUSSION</w:t>
      </w:r>
    </w:p>
    <w:p w14:paraId="6A1614C9" w14:textId="77777777" w:rsidR="00E3097C" w:rsidRDefault="00E3097C" w:rsidP="00E3097C">
      <w:pPr>
        <w:spacing w:before="120" w:after="120"/>
        <w:ind w:left="440" w:right="-1" w:hanging="14"/>
        <w:jc w:val="both"/>
        <w:rPr>
          <w:rFonts w:ascii="Calibri Light" w:hAnsi="Calibri Light" w:cs="Calibri Light"/>
          <w:sz w:val="24"/>
          <w:szCs w:val="24"/>
          <w:lang w:val="en-GB"/>
        </w:rPr>
      </w:pPr>
      <w:r w:rsidRPr="00876CBE">
        <w:rPr>
          <w:rFonts w:ascii="Calibri Light" w:hAnsi="Calibri Light" w:cs="Calibri Light"/>
          <w:sz w:val="24"/>
          <w:szCs w:val="24"/>
          <w:lang w:val="en-GB"/>
        </w:rPr>
        <w:t>Given the primary research problem—namely, the analysis of key strategies and challenges in the legal regulation of Ukraine’s national security through the lens of ongoing legislative changes and broader European trends—it has been established that modern national security systems face several significant challenges. The advancement of new technologies and globalisation processes typically influences these challenges.</w:t>
      </w:r>
    </w:p>
    <w:p w14:paraId="6C2853EF" w14:textId="77777777" w:rsidR="00E3097C" w:rsidRPr="00876CBE" w:rsidRDefault="00E3097C" w:rsidP="00E3097C">
      <w:pPr>
        <w:spacing w:before="120" w:after="120"/>
        <w:ind w:left="440" w:right="-1" w:hanging="14"/>
        <w:jc w:val="both"/>
        <w:rPr>
          <w:rFonts w:ascii="Calibri Light" w:hAnsi="Calibri Light" w:cs="Calibri Light"/>
          <w:sz w:val="24"/>
          <w:szCs w:val="24"/>
          <w:lang w:val="en-GB"/>
        </w:rPr>
      </w:pPr>
      <w:r w:rsidRPr="00A37381">
        <w:rPr>
          <w:rFonts w:ascii="Calibri Light" w:hAnsi="Calibri Light" w:cs="Calibri Light"/>
          <w:sz w:val="24"/>
          <w:szCs w:val="24"/>
          <w:highlight w:val="yellow"/>
          <w:lang w:val="en-GB"/>
        </w:rPr>
        <w:t>The results of the study showed that the main threats to the harmonization of the legal system in the field of national security of Ukraine can be classified into three interrelated categories. In particular, the first category includes cybersecurity threats, which include cyberattacks on critical infrastructure, data leaks and disinformation campaigns in the digital environment. The second category includes geopolitical and humanitarian challenges, in particular the migration crisis, cross-border instability and pressure on state borders caused by war. The last group includes hybrid threats, which include propaganda, the activities of foreign intelligence networks, the use of proxy groups</w:t>
      </w:r>
      <w:r>
        <w:rPr>
          <w:rFonts w:ascii="Calibri Light" w:hAnsi="Calibri Light" w:cs="Calibri Light"/>
          <w:sz w:val="24"/>
          <w:szCs w:val="24"/>
          <w:lang w:val="uk-UA"/>
        </w:rPr>
        <w:t xml:space="preserve">. </w:t>
      </w:r>
      <w:r w:rsidRPr="00876CBE">
        <w:rPr>
          <w:rFonts w:ascii="Calibri Light" w:hAnsi="Calibri Light" w:cs="Calibri Light"/>
          <w:sz w:val="24"/>
          <w:szCs w:val="24"/>
          <w:lang w:val="en-GB"/>
        </w:rPr>
        <w:t xml:space="preserve">These findings align with other studies, identifying cyber threats, global pandemics, and economic wars as the primary dangers to national security. Research by </w:t>
      </w:r>
      <w:proofErr w:type="spellStart"/>
      <w:r w:rsidRPr="00876CBE">
        <w:rPr>
          <w:rFonts w:ascii="Calibri Light" w:hAnsi="Calibri Light" w:cs="Calibri Light"/>
          <w:sz w:val="24"/>
          <w:szCs w:val="24"/>
          <w:lang w:val="en-GB"/>
        </w:rPr>
        <w:t>Lekunze</w:t>
      </w:r>
      <w:proofErr w:type="spellEnd"/>
      <w:r w:rsidRPr="00876CBE">
        <w:rPr>
          <w:rFonts w:ascii="Calibri Light" w:hAnsi="Calibri Light" w:cs="Calibri Light"/>
          <w:sz w:val="24"/>
          <w:szCs w:val="24"/>
          <w:lang w:val="en-GB"/>
        </w:rPr>
        <w:t xml:space="preserve"> [3</w:t>
      </w:r>
      <w:r>
        <w:rPr>
          <w:rFonts w:ascii="Calibri Light" w:hAnsi="Calibri Light" w:cs="Calibri Light"/>
          <w:sz w:val="24"/>
          <w:szCs w:val="24"/>
          <w:lang w:val="en-GB"/>
        </w:rPr>
        <w:t>4</w:t>
      </w:r>
      <w:r w:rsidRPr="00876CBE">
        <w:rPr>
          <w:rFonts w:ascii="Calibri Light" w:hAnsi="Calibri Light" w:cs="Calibri Light"/>
          <w:sz w:val="24"/>
          <w:szCs w:val="24"/>
          <w:lang w:val="en-GB"/>
        </w:rPr>
        <w:t>] and Rottweiler and Gill [3</w:t>
      </w:r>
      <w:r>
        <w:rPr>
          <w:rFonts w:ascii="Calibri Light" w:hAnsi="Calibri Light" w:cs="Calibri Light"/>
          <w:sz w:val="24"/>
          <w:szCs w:val="24"/>
          <w:lang w:val="en-GB"/>
        </w:rPr>
        <w:t>5</w:t>
      </w:r>
      <w:r w:rsidRPr="00876CBE">
        <w:rPr>
          <w:rFonts w:ascii="Calibri Light" w:hAnsi="Calibri Light" w:cs="Calibri Light"/>
          <w:sz w:val="24"/>
          <w:szCs w:val="24"/>
          <w:lang w:val="en-GB"/>
        </w:rPr>
        <w:t>] highlights that terrorism and emerging conflicts drive reforms in the legal framework of the national security sector. These authors suggest that current national security strategies must account for these multifactorial threats, as they may interact and compound one another [3</w:t>
      </w:r>
      <w:r>
        <w:rPr>
          <w:rFonts w:ascii="Calibri Light" w:hAnsi="Calibri Light" w:cs="Calibri Light"/>
          <w:sz w:val="24"/>
          <w:szCs w:val="24"/>
          <w:lang w:val="en-GB"/>
        </w:rPr>
        <w:t>5</w:t>
      </w:r>
      <w:r w:rsidRPr="00876CBE">
        <w:rPr>
          <w:rFonts w:ascii="Calibri Light" w:hAnsi="Calibri Light" w:cs="Calibri Light"/>
          <w:sz w:val="24"/>
          <w:szCs w:val="24"/>
          <w:lang w:val="en-GB"/>
        </w:rPr>
        <w:t>]. The statements above are entirely consistent with the results of this study. Similar perspectives are presented in the works of other scholars, who emphasise the importance of countering hybrid warfare, which combines traditional military conflicts with disinformation and economic sanctions [3</w:t>
      </w:r>
      <w:r>
        <w:rPr>
          <w:rFonts w:ascii="Calibri Light" w:hAnsi="Calibri Light" w:cs="Calibri Light"/>
          <w:sz w:val="24"/>
          <w:szCs w:val="24"/>
          <w:lang w:val="en-GB"/>
        </w:rPr>
        <w:t>6</w:t>
      </w:r>
      <w:r w:rsidRPr="00876CBE">
        <w:rPr>
          <w:rFonts w:ascii="Calibri Light" w:hAnsi="Calibri Light" w:cs="Calibri Light"/>
          <w:sz w:val="24"/>
          <w:szCs w:val="24"/>
          <w:lang w:val="en-GB"/>
        </w:rPr>
        <w:t>; 3</w:t>
      </w:r>
      <w:r>
        <w:rPr>
          <w:rFonts w:ascii="Calibri Light" w:hAnsi="Calibri Light" w:cs="Calibri Light"/>
          <w:sz w:val="24"/>
          <w:szCs w:val="24"/>
          <w:lang w:val="en-GB"/>
        </w:rPr>
        <w:t>7</w:t>
      </w:r>
      <w:r w:rsidRPr="00876CBE">
        <w:rPr>
          <w:rFonts w:ascii="Calibri Light" w:hAnsi="Calibri Light" w:cs="Calibri Light"/>
          <w:sz w:val="24"/>
          <w:szCs w:val="24"/>
          <w:lang w:val="en-GB"/>
        </w:rPr>
        <w:t>].</w:t>
      </w:r>
    </w:p>
    <w:p w14:paraId="6228EDC2" w14:textId="77777777" w:rsidR="00E3097C" w:rsidRPr="00876CBE" w:rsidRDefault="00E3097C" w:rsidP="00E3097C">
      <w:pPr>
        <w:spacing w:before="120" w:after="120"/>
        <w:ind w:left="440" w:right="-1" w:hanging="14"/>
        <w:jc w:val="both"/>
        <w:rPr>
          <w:rFonts w:ascii="Calibri Light" w:hAnsi="Calibri Light" w:cs="Calibri Light"/>
          <w:sz w:val="24"/>
          <w:szCs w:val="24"/>
          <w:lang w:val="en-GB"/>
        </w:rPr>
      </w:pPr>
      <w:r w:rsidRPr="00876CBE">
        <w:rPr>
          <w:rFonts w:ascii="Calibri Light" w:hAnsi="Calibri Light" w:cs="Calibri Light"/>
          <w:sz w:val="24"/>
          <w:szCs w:val="24"/>
          <w:lang w:val="en-GB"/>
        </w:rPr>
        <w:t xml:space="preserve">However, the findings also demonstrate that new challenges are less predictable, significantly complicating the development of effective legal mechanisms. These results confirm the first hypothesis of this research, specifically identifying that the effectiveness of regulatory frameworks in the national security sector directly depends on the </w:t>
      </w:r>
      <w:r w:rsidRPr="00876CBE">
        <w:rPr>
          <w:rFonts w:ascii="Calibri Light" w:hAnsi="Calibri Light" w:cs="Calibri Light"/>
          <w:sz w:val="24"/>
          <w:szCs w:val="24"/>
          <w:lang w:val="en-GB"/>
        </w:rPr>
        <w:lastRenderedPageBreak/>
        <w:t>adaptation of current legislation to challenges such as cybercrimes, hybrid threats, and terrorism.</w:t>
      </w:r>
    </w:p>
    <w:p w14:paraId="573627EE" w14:textId="77777777" w:rsidR="00E3097C" w:rsidRPr="00876CBE" w:rsidRDefault="00E3097C" w:rsidP="00E3097C">
      <w:pPr>
        <w:spacing w:before="120" w:after="120"/>
        <w:ind w:left="440" w:right="-1" w:hanging="14"/>
        <w:jc w:val="both"/>
        <w:rPr>
          <w:rFonts w:ascii="Calibri Light" w:hAnsi="Calibri Light" w:cs="Calibri Light"/>
          <w:sz w:val="24"/>
          <w:szCs w:val="24"/>
          <w:lang w:val="en-GB"/>
        </w:rPr>
      </w:pPr>
      <w:r w:rsidRPr="00876CBE">
        <w:rPr>
          <w:rFonts w:ascii="Calibri Light" w:hAnsi="Calibri Light" w:cs="Calibri Light"/>
          <w:sz w:val="24"/>
          <w:szCs w:val="24"/>
          <w:lang w:val="en-GB"/>
        </w:rPr>
        <w:t>An analysis of the effectiveness of Ukraine’s national security legal framework revealed certain positive developments following the adoption of new legislative acts, including the Law on National Security and the National Security Regulation Strategy, which have been implemented since the onset of the full-scale invasion. These reforms envisage enhanced cooperation with international partners, introducing innovative approaches and focusing on cybersecurity capabilities, counterintelligence, and anti-terrorism measures.</w:t>
      </w:r>
    </w:p>
    <w:p w14:paraId="53A6CA59" w14:textId="77777777" w:rsidR="00E3097C" w:rsidRPr="00876CBE" w:rsidRDefault="00E3097C" w:rsidP="00E3097C">
      <w:pPr>
        <w:spacing w:before="120" w:after="120"/>
        <w:ind w:left="440" w:right="-1" w:hanging="14"/>
        <w:jc w:val="both"/>
        <w:rPr>
          <w:rFonts w:ascii="Calibri Light" w:hAnsi="Calibri Light" w:cs="Calibri Light"/>
          <w:sz w:val="24"/>
          <w:szCs w:val="24"/>
          <w:lang w:val="en-GB"/>
        </w:rPr>
      </w:pPr>
      <w:r w:rsidRPr="00876CBE">
        <w:rPr>
          <w:rFonts w:ascii="Calibri Light" w:hAnsi="Calibri Light" w:cs="Calibri Light"/>
          <w:sz w:val="24"/>
          <w:szCs w:val="24"/>
          <w:lang w:val="en-GB"/>
        </w:rPr>
        <w:t xml:space="preserve">Despite these steps towards harmonisation with EU criteria, there remain opportunities for optimisation. </w:t>
      </w:r>
      <w:r w:rsidRPr="00A825DC">
        <w:rPr>
          <w:rFonts w:ascii="Calibri Light" w:hAnsi="Calibri Light" w:cs="Calibri Light"/>
          <w:sz w:val="24"/>
          <w:szCs w:val="24"/>
          <w:highlight w:val="yellow"/>
          <w:lang w:val="en-GB"/>
        </w:rPr>
        <w:t xml:space="preserve">Other researchers have acknowledged existing gaps, for instance technical regulations, in Ukraine’s legislation concerning the establishment of a stable cybersecurity environment and the management of resources to combat emerging threats [38; 39]. Current studies point </w:t>
      </w:r>
      <w:r w:rsidRPr="00CB09F3">
        <w:rPr>
          <w:rFonts w:ascii="Calibri Light" w:hAnsi="Calibri Light" w:cs="Calibri Light"/>
          <w:sz w:val="24"/>
          <w:szCs w:val="24"/>
          <w:highlight w:val="yellow"/>
          <w:lang w:val="en-GB"/>
        </w:rPr>
        <w:t>to the need for improved legislative mechanisms in alignment with internationally accepted standards, which corresponds with these findings [39; 40] Moreover, Ukraine views the EU and NATO membership as emancipatory and decolonising measures that enable the country to break free from Russian domination and obtain reliable security guarantees — not only in terms of hard security, but also retaining the freedom to develop as a separate nation [41].</w:t>
      </w:r>
    </w:p>
    <w:p w14:paraId="40AD9FF5" w14:textId="77777777" w:rsidR="00E3097C" w:rsidRPr="00876CBE" w:rsidRDefault="00E3097C" w:rsidP="00E3097C">
      <w:pPr>
        <w:spacing w:before="120" w:after="120"/>
        <w:ind w:left="436" w:hanging="11"/>
        <w:jc w:val="both"/>
        <w:rPr>
          <w:rFonts w:ascii="Calibri Light" w:hAnsi="Calibri Light" w:cs="Calibri Light"/>
          <w:sz w:val="24"/>
          <w:szCs w:val="24"/>
          <w:lang w:val="en-GB"/>
        </w:rPr>
      </w:pPr>
      <w:r w:rsidRPr="00876CBE">
        <w:rPr>
          <w:rFonts w:ascii="Calibri Light" w:hAnsi="Calibri Light" w:cs="Calibri Light"/>
          <w:sz w:val="24"/>
          <w:szCs w:val="24"/>
          <w:lang w:val="en-GB"/>
        </w:rPr>
        <w:t>As research from EU countries noted, the United Kingdom has developed new measures to address innovative threats. For instance, the UK adopted an updated National Security Act in 2023, introducing new measures for monitoring and controlling harmful activities in restricted areas [2</w:t>
      </w:r>
      <w:r>
        <w:rPr>
          <w:rFonts w:ascii="Calibri Light" w:hAnsi="Calibri Light" w:cs="Calibri Light"/>
          <w:sz w:val="24"/>
          <w:szCs w:val="24"/>
          <w:lang w:val="en-GB"/>
        </w:rPr>
        <w:t>6</w:t>
      </w:r>
      <w:r w:rsidRPr="00876CBE">
        <w:rPr>
          <w:rFonts w:ascii="Calibri Light" w:hAnsi="Calibri Light" w:cs="Calibri Light"/>
          <w:sz w:val="24"/>
          <w:szCs w:val="24"/>
          <w:lang w:val="en-GB"/>
        </w:rPr>
        <w:t xml:space="preserve">]. These legislative decisions have strengthened the UK’s political and economic security while implementing new mechanisms to combat espionage and external threats. </w:t>
      </w:r>
    </w:p>
    <w:p w14:paraId="5FDE5BDC" w14:textId="77777777" w:rsidR="00E3097C" w:rsidRPr="00876CBE" w:rsidRDefault="00E3097C" w:rsidP="00E3097C">
      <w:pPr>
        <w:spacing w:before="120" w:after="120"/>
        <w:ind w:left="440" w:right="-1" w:hanging="14"/>
        <w:jc w:val="both"/>
        <w:rPr>
          <w:rFonts w:ascii="Calibri Light" w:hAnsi="Calibri Light" w:cs="Calibri Light"/>
          <w:sz w:val="24"/>
          <w:szCs w:val="24"/>
          <w:lang w:val="en-GB"/>
        </w:rPr>
      </w:pPr>
      <w:r w:rsidRPr="00876CBE">
        <w:rPr>
          <w:rFonts w:ascii="Calibri Light" w:hAnsi="Calibri Light" w:cs="Calibri Light"/>
          <w:sz w:val="24"/>
          <w:szCs w:val="24"/>
          <w:lang w:val="en-GB"/>
        </w:rPr>
        <w:t>The subsequent task focused on comparing Ukraine's national security models with the experiences of other countries. The findings revealed a key difference in approaches to integrating legal mechanisms for addressing emerging threats. Notably, since 2023, the United Kingdom has emphasised enhanced cybersecurity regulation within its legal framework. The country introduced legislation that outlined new measures for monitoring and controlling malicious activities in restricted zones. In the United States, significant reforms in the intelligence system and the development of security programmes followed the adoption of the National Security Act [</w:t>
      </w:r>
      <w:r>
        <w:rPr>
          <w:rFonts w:ascii="Calibri Light" w:hAnsi="Calibri Light" w:cs="Calibri Light"/>
          <w:sz w:val="24"/>
          <w:szCs w:val="24"/>
          <w:lang w:val="en-GB"/>
        </w:rPr>
        <w:t>7</w:t>
      </w:r>
      <w:r w:rsidRPr="00876CBE">
        <w:rPr>
          <w:rFonts w:ascii="Calibri Light" w:hAnsi="Calibri Light" w:cs="Calibri Light"/>
          <w:sz w:val="24"/>
          <w:szCs w:val="24"/>
          <w:lang w:val="en-GB"/>
        </w:rPr>
        <w:t>]. These measures have significantly improved coordination among various agencies and government bodies, as Biden’s report noted [4</w:t>
      </w:r>
      <w:r>
        <w:rPr>
          <w:rFonts w:ascii="Calibri Light" w:hAnsi="Calibri Light" w:cs="Calibri Light"/>
          <w:sz w:val="24"/>
          <w:szCs w:val="24"/>
          <w:lang w:val="en-GB"/>
        </w:rPr>
        <w:t>1</w:t>
      </w:r>
      <w:r w:rsidRPr="00876CBE">
        <w:rPr>
          <w:rFonts w:ascii="Calibri Light" w:hAnsi="Calibri Light" w:cs="Calibri Light"/>
          <w:sz w:val="24"/>
          <w:szCs w:val="24"/>
          <w:lang w:val="en-GB"/>
        </w:rPr>
        <w:t>].</w:t>
      </w:r>
    </w:p>
    <w:p w14:paraId="7076E94D" w14:textId="77777777" w:rsidR="00E3097C" w:rsidRPr="00876CBE" w:rsidRDefault="00E3097C" w:rsidP="00E3097C">
      <w:pPr>
        <w:spacing w:before="120" w:after="120"/>
        <w:ind w:left="440" w:right="-1" w:hanging="14"/>
        <w:jc w:val="both"/>
        <w:rPr>
          <w:rFonts w:ascii="Calibri Light" w:hAnsi="Calibri Light" w:cs="Calibri Light"/>
          <w:sz w:val="24"/>
          <w:szCs w:val="24"/>
          <w:lang w:val="en-GB"/>
        </w:rPr>
      </w:pPr>
      <w:r w:rsidRPr="00876CBE">
        <w:rPr>
          <w:rFonts w:ascii="Calibri Light" w:hAnsi="Calibri Light" w:cs="Calibri Light"/>
          <w:sz w:val="24"/>
          <w:szCs w:val="24"/>
          <w:lang w:val="en-GB"/>
        </w:rPr>
        <w:t>A prolonged reform process is also evident in EU countries, particularly Poland and the Baltic States. This process began with Poland's shift from one collective security agreement (membership in the Warsaw Pact) to integration into another security system (NATO). The findings highlighted that this step is an essential political benchmark for contemporary Ukraine.</w:t>
      </w:r>
    </w:p>
    <w:p w14:paraId="1CE11BC5" w14:textId="77777777" w:rsidR="00E3097C" w:rsidRPr="00876CBE" w:rsidRDefault="00E3097C" w:rsidP="00E3097C">
      <w:pPr>
        <w:spacing w:before="120" w:after="120"/>
        <w:ind w:left="440" w:right="-1" w:hanging="14"/>
        <w:jc w:val="both"/>
        <w:rPr>
          <w:rFonts w:ascii="Calibri Light" w:hAnsi="Calibri Light" w:cs="Calibri Light"/>
          <w:sz w:val="24"/>
          <w:szCs w:val="24"/>
          <w:lang w:val="en-GB"/>
        </w:rPr>
      </w:pPr>
      <w:r w:rsidRPr="00876CBE">
        <w:rPr>
          <w:rFonts w:ascii="Calibri Light" w:hAnsi="Calibri Light" w:cs="Calibri Light"/>
          <w:sz w:val="24"/>
          <w:szCs w:val="24"/>
          <w:lang w:val="en-GB"/>
        </w:rPr>
        <w:t xml:space="preserve">Meanwhile, the EU and the United States increasingly leverage innovative technologies, particularly artificial intelligence (AI). However, not all researchers agree on its application </w:t>
      </w:r>
      <w:r w:rsidRPr="00876CBE">
        <w:rPr>
          <w:rFonts w:ascii="Calibri Light" w:hAnsi="Calibri Light" w:cs="Calibri Light"/>
          <w:sz w:val="24"/>
          <w:szCs w:val="24"/>
          <w:lang w:val="en-GB"/>
        </w:rPr>
        <w:lastRenderedPageBreak/>
        <w:t>within the legal sector. Certain scholars have emphasised ethical concerns related to its use [4</w:t>
      </w:r>
      <w:r>
        <w:rPr>
          <w:rFonts w:ascii="Calibri Light" w:hAnsi="Calibri Light" w:cs="Calibri Light"/>
          <w:sz w:val="24"/>
          <w:szCs w:val="24"/>
          <w:lang w:val="en-GB"/>
        </w:rPr>
        <w:t>2</w:t>
      </w:r>
      <w:r w:rsidRPr="00876CBE">
        <w:rPr>
          <w:rFonts w:ascii="Calibri Light" w:hAnsi="Calibri Light" w:cs="Calibri Light"/>
          <w:sz w:val="24"/>
          <w:szCs w:val="24"/>
          <w:lang w:val="en-GB"/>
        </w:rPr>
        <w:t>; 4</w:t>
      </w:r>
      <w:r>
        <w:rPr>
          <w:rFonts w:ascii="Calibri Light" w:hAnsi="Calibri Light" w:cs="Calibri Light"/>
          <w:sz w:val="24"/>
          <w:szCs w:val="24"/>
          <w:lang w:val="en-GB"/>
        </w:rPr>
        <w:t>3</w:t>
      </w:r>
      <w:r w:rsidRPr="00876CBE">
        <w:rPr>
          <w:rFonts w:ascii="Calibri Light" w:hAnsi="Calibri Light" w:cs="Calibri Light"/>
          <w:sz w:val="24"/>
          <w:szCs w:val="24"/>
          <w:lang w:val="en-GB"/>
        </w:rPr>
        <w:t>].</w:t>
      </w:r>
    </w:p>
    <w:p w14:paraId="02F32485" w14:textId="5D1FF2AF" w:rsidR="00E3097C" w:rsidRPr="00876CBE" w:rsidRDefault="00E3097C" w:rsidP="00E3097C">
      <w:pPr>
        <w:spacing w:before="120" w:after="120"/>
        <w:ind w:left="440" w:right="-1" w:hanging="14"/>
        <w:jc w:val="both"/>
        <w:rPr>
          <w:rFonts w:ascii="Calibri Light" w:hAnsi="Calibri Light" w:cs="Calibri Light"/>
          <w:sz w:val="24"/>
          <w:szCs w:val="24"/>
          <w:lang w:val="en-GB"/>
        </w:rPr>
      </w:pPr>
      <w:r w:rsidRPr="00876CBE">
        <w:rPr>
          <w:rFonts w:ascii="Calibri Light" w:hAnsi="Calibri Light" w:cs="Calibri Light"/>
          <w:sz w:val="24"/>
          <w:szCs w:val="24"/>
          <w:lang w:val="en-GB"/>
        </w:rPr>
        <w:t xml:space="preserve">The findings of this study also underscored the need to enhance specific legal mechanisms for ensuring national security in Ukraine. </w:t>
      </w:r>
      <w:r w:rsidR="00C10BD5" w:rsidRPr="00876CBE">
        <w:rPr>
          <w:rFonts w:ascii="Calibri Light" w:hAnsi="Calibri Light" w:cs="Calibri Light"/>
          <w:sz w:val="24"/>
          <w:szCs w:val="24"/>
          <w:lang w:val="en-GB"/>
        </w:rPr>
        <w:t>It</w:t>
      </w:r>
      <w:r w:rsidRPr="00876CBE">
        <w:rPr>
          <w:rFonts w:ascii="Calibri Light" w:hAnsi="Calibri Light" w:cs="Calibri Light"/>
          <w:sz w:val="24"/>
          <w:szCs w:val="24"/>
          <w:lang w:val="en-GB"/>
        </w:rPr>
        <w:t xml:space="preserve"> was established that a more systematic adaptation of legislation to address new technological threats is a critical step. Given the rapid evolution of cyber threats, additional legislative initiatives should be introduced to regulate cybersecurity issues effectively. Furthermore, strengthening international cooperation should be a priority</w:t>
      </w:r>
      <w:r>
        <w:rPr>
          <w:rFonts w:ascii="Calibri Light" w:hAnsi="Calibri Light" w:cs="Calibri Light"/>
          <w:sz w:val="24"/>
          <w:szCs w:val="24"/>
          <w:lang w:val="en-GB"/>
        </w:rPr>
        <w:t xml:space="preserve"> [44]</w:t>
      </w:r>
      <w:r w:rsidRPr="00876CBE">
        <w:rPr>
          <w:rFonts w:ascii="Calibri Light" w:hAnsi="Calibri Light" w:cs="Calibri Light"/>
          <w:sz w:val="24"/>
          <w:szCs w:val="24"/>
          <w:lang w:val="en-GB"/>
        </w:rPr>
        <w:t>. This aligns with the views of other scholars, who have highlighted the importance of bolstering collaboration with global organisations to harmonise standards and combat terrorism and organised crime [4</w:t>
      </w:r>
      <w:r>
        <w:rPr>
          <w:rFonts w:ascii="Calibri Light" w:hAnsi="Calibri Light" w:cs="Calibri Light"/>
          <w:sz w:val="24"/>
          <w:szCs w:val="24"/>
          <w:lang w:val="en-GB"/>
        </w:rPr>
        <w:t>5</w:t>
      </w:r>
      <w:r w:rsidRPr="00876CBE">
        <w:rPr>
          <w:rFonts w:ascii="Calibri Light" w:hAnsi="Calibri Light" w:cs="Calibri Light"/>
          <w:sz w:val="24"/>
          <w:szCs w:val="24"/>
          <w:lang w:val="en-GB"/>
        </w:rPr>
        <w:t>-4</w:t>
      </w:r>
      <w:r>
        <w:rPr>
          <w:rFonts w:ascii="Calibri Light" w:hAnsi="Calibri Light" w:cs="Calibri Light"/>
          <w:sz w:val="24"/>
          <w:szCs w:val="24"/>
          <w:lang w:val="en-GB"/>
        </w:rPr>
        <w:t>8</w:t>
      </w:r>
      <w:r w:rsidRPr="00876CBE">
        <w:rPr>
          <w:rFonts w:ascii="Calibri Light" w:hAnsi="Calibri Light" w:cs="Calibri Light"/>
          <w:sz w:val="24"/>
          <w:szCs w:val="24"/>
          <w:lang w:val="en-GB"/>
        </w:rPr>
        <w:t>].</w:t>
      </w:r>
    </w:p>
    <w:p w14:paraId="44CCAE86" w14:textId="77777777" w:rsidR="00E3097C" w:rsidRPr="0023607E" w:rsidRDefault="00E3097C" w:rsidP="00E3097C">
      <w:pPr>
        <w:spacing w:before="120" w:after="120"/>
        <w:ind w:left="440" w:right="-1" w:hanging="14"/>
        <w:jc w:val="both"/>
        <w:rPr>
          <w:rFonts w:ascii="Calibri Light" w:hAnsi="Calibri Light" w:cs="Calibri Light"/>
          <w:sz w:val="24"/>
          <w:szCs w:val="24"/>
          <w:highlight w:val="yellow"/>
          <w:lang w:val="en-GB"/>
        </w:rPr>
      </w:pPr>
      <w:r w:rsidRPr="00876CBE">
        <w:rPr>
          <w:rFonts w:ascii="Calibri Light" w:hAnsi="Calibri Light" w:cs="Calibri Light"/>
          <w:sz w:val="24"/>
          <w:szCs w:val="24"/>
          <w:lang w:val="en-GB"/>
        </w:rPr>
        <w:t>These assertions also supported this research's final hypothesis, positing that employing a systematic approach combining preventive, reactive, and adaptive measures in legal regulation would enhance the state's security. Therefore, the process of legal regulation in the security sector should systematically adapt to evolving threats and emerging challenges while incorporating the experiences of other nations</w:t>
      </w:r>
      <w:r>
        <w:rPr>
          <w:rFonts w:ascii="Calibri Light" w:hAnsi="Calibri Light" w:cs="Calibri Light"/>
          <w:sz w:val="24"/>
          <w:szCs w:val="24"/>
          <w:lang w:val="en-GB"/>
        </w:rPr>
        <w:t xml:space="preserve"> [49]</w:t>
      </w:r>
      <w:r w:rsidRPr="00876CBE">
        <w:rPr>
          <w:rFonts w:ascii="Calibri Light" w:hAnsi="Calibri Light" w:cs="Calibri Light"/>
          <w:sz w:val="24"/>
          <w:szCs w:val="24"/>
          <w:lang w:val="en-GB"/>
        </w:rPr>
        <w:t xml:space="preserve">. This will contribute to </w:t>
      </w:r>
      <w:r w:rsidRPr="0023607E">
        <w:rPr>
          <w:rFonts w:ascii="Calibri Light" w:hAnsi="Calibri Light" w:cs="Calibri Light"/>
          <w:sz w:val="24"/>
          <w:szCs w:val="24"/>
          <w:highlight w:val="yellow"/>
          <w:lang w:val="en-GB"/>
        </w:rPr>
        <w:t>creating an effective and flexible system for ensuring security at both domestic and international levels</w:t>
      </w:r>
      <w:r w:rsidRPr="0023607E">
        <w:rPr>
          <w:rFonts w:ascii="Calibri Light" w:hAnsi="Calibri Light" w:cs="Calibri Light"/>
          <w:sz w:val="24"/>
          <w:szCs w:val="24"/>
          <w:highlight w:val="yellow"/>
          <w:lang w:val="uk-UA"/>
        </w:rPr>
        <w:t xml:space="preserve"> (</w:t>
      </w:r>
      <w:r w:rsidRPr="0023607E">
        <w:rPr>
          <w:rFonts w:ascii="Calibri Light" w:hAnsi="Calibri Light" w:cs="Calibri Light"/>
          <w:sz w:val="24"/>
          <w:szCs w:val="24"/>
          <w:highlight w:val="yellow"/>
        </w:rPr>
        <w:t>See Figure 2)</w:t>
      </w:r>
      <w:r w:rsidRPr="0023607E">
        <w:rPr>
          <w:rFonts w:ascii="Calibri Light" w:hAnsi="Calibri Light" w:cs="Calibri Light"/>
          <w:sz w:val="24"/>
          <w:szCs w:val="24"/>
          <w:highlight w:val="yellow"/>
          <w:lang w:val="en-GB"/>
        </w:rPr>
        <w:t>.</w:t>
      </w:r>
    </w:p>
    <w:p w14:paraId="7B502AF6" w14:textId="77777777" w:rsidR="00E3097C" w:rsidRPr="0023607E" w:rsidRDefault="00E3097C" w:rsidP="00E3097C">
      <w:pPr>
        <w:spacing w:before="120" w:after="120"/>
        <w:ind w:left="440" w:right="-1" w:hanging="14"/>
        <w:jc w:val="both"/>
        <w:rPr>
          <w:rFonts w:ascii="Calibri Light" w:hAnsi="Calibri Light" w:cs="Calibri Light"/>
          <w:sz w:val="24"/>
          <w:szCs w:val="24"/>
          <w:highlight w:val="yellow"/>
          <w:lang w:val="en-GB"/>
        </w:rPr>
      </w:pPr>
    </w:p>
    <w:p w14:paraId="4D8D1FDE" w14:textId="77777777" w:rsidR="00E3097C" w:rsidRPr="0023607E" w:rsidRDefault="00E3097C" w:rsidP="00E3097C">
      <w:pPr>
        <w:spacing w:before="120" w:after="120"/>
        <w:ind w:left="440" w:right="-1" w:hanging="14"/>
        <w:jc w:val="center"/>
        <w:rPr>
          <w:rFonts w:ascii="Calibri Light" w:hAnsi="Calibri Light" w:cs="Calibri Light"/>
          <w:sz w:val="24"/>
          <w:szCs w:val="24"/>
          <w:highlight w:val="yellow"/>
          <w:lang w:val="en-GB"/>
        </w:rPr>
      </w:pPr>
      <w:r w:rsidRPr="0023607E">
        <w:rPr>
          <w:rFonts w:ascii="Calibri Light" w:hAnsi="Calibri Light" w:cs="Calibri Light"/>
          <w:noProof/>
          <w:sz w:val="24"/>
          <w:szCs w:val="24"/>
          <w:highlight w:val="yellow"/>
          <w:lang w:val="ru-RU" w:eastAsia="ru-RU"/>
        </w:rPr>
        <w:lastRenderedPageBreak/>
        <w:drawing>
          <wp:inline distT="0" distB="0" distL="0" distR="0" wp14:anchorId="236A8D9B" wp14:editId="49C73B64">
            <wp:extent cx="5289550" cy="4977300"/>
            <wp:effectExtent l="0" t="0" r="0" b="1270"/>
            <wp:docPr id="154562899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5628999" name=""/>
                    <pic:cNvPicPr/>
                  </pic:nvPicPr>
                  <pic:blipFill>
                    <a:blip r:embed="rId17"/>
                    <a:stretch>
                      <a:fillRect/>
                    </a:stretch>
                  </pic:blipFill>
                  <pic:spPr>
                    <a:xfrm>
                      <a:off x="0" y="0"/>
                      <a:ext cx="5352872" cy="5036884"/>
                    </a:xfrm>
                    <a:prstGeom prst="rect">
                      <a:avLst/>
                    </a:prstGeom>
                  </pic:spPr>
                </pic:pic>
              </a:graphicData>
            </a:graphic>
          </wp:inline>
        </w:drawing>
      </w:r>
    </w:p>
    <w:p w14:paraId="3A0C7545" w14:textId="77777777" w:rsidR="00E3097C" w:rsidRPr="0023607E" w:rsidRDefault="00E3097C" w:rsidP="00E3097C">
      <w:pPr>
        <w:spacing w:before="120" w:after="120"/>
        <w:ind w:left="440" w:right="-1" w:hanging="14"/>
        <w:jc w:val="center"/>
        <w:rPr>
          <w:rFonts w:ascii="Calibri Light" w:hAnsi="Calibri Light" w:cs="Calibri Light"/>
          <w:i/>
          <w:iCs/>
          <w:sz w:val="24"/>
          <w:szCs w:val="24"/>
          <w:highlight w:val="yellow"/>
          <w:lang w:val="en-GB"/>
        </w:rPr>
      </w:pPr>
      <w:r w:rsidRPr="0023607E">
        <w:rPr>
          <w:rFonts w:ascii="Calibri Light" w:hAnsi="Calibri Light" w:cs="Calibri Light"/>
          <w:b/>
          <w:bCs/>
          <w:i/>
          <w:iCs/>
          <w:sz w:val="24"/>
          <w:szCs w:val="24"/>
          <w:highlight w:val="yellow"/>
          <w:lang w:val="en-GB"/>
        </w:rPr>
        <w:t>Figure 2.</w:t>
      </w:r>
      <w:r w:rsidRPr="0023607E">
        <w:rPr>
          <w:rFonts w:ascii="Calibri Light" w:hAnsi="Calibri Light" w:cs="Calibri Light"/>
          <w:i/>
          <w:iCs/>
          <w:sz w:val="24"/>
          <w:szCs w:val="24"/>
          <w:highlight w:val="yellow"/>
          <w:lang w:val="en-GB"/>
        </w:rPr>
        <w:t xml:space="preserve"> Summary threats and strategies to Ukraine's national security</w:t>
      </w:r>
    </w:p>
    <w:p w14:paraId="0AFBA7F2" w14:textId="77777777" w:rsidR="00E3097C" w:rsidRPr="00141A2D" w:rsidRDefault="00E3097C" w:rsidP="00E3097C">
      <w:pPr>
        <w:spacing w:before="120" w:after="120"/>
        <w:ind w:left="440" w:right="-1" w:hanging="14"/>
        <w:jc w:val="center"/>
        <w:rPr>
          <w:rFonts w:ascii="Calibri Light" w:hAnsi="Calibri Light" w:cs="Calibri Light"/>
          <w:i/>
          <w:sz w:val="24"/>
          <w:szCs w:val="24"/>
        </w:rPr>
      </w:pPr>
      <w:r w:rsidRPr="0023607E">
        <w:rPr>
          <w:rFonts w:ascii="Calibri Light" w:hAnsi="Calibri Light" w:cs="Calibri Light"/>
          <w:i/>
          <w:sz w:val="24"/>
          <w:szCs w:val="24"/>
          <w:highlight w:val="yellow"/>
        </w:rPr>
        <w:t>Source: Authors’ development.</w:t>
      </w:r>
    </w:p>
    <w:p w14:paraId="73669427" w14:textId="77777777" w:rsidR="00E3097C" w:rsidRPr="0023607E" w:rsidRDefault="00E3097C" w:rsidP="00E3097C">
      <w:pPr>
        <w:spacing w:before="120" w:after="120"/>
        <w:ind w:left="440" w:right="-1" w:hanging="14"/>
        <w:jc w:val="center"/>
        <w:rPr>
          <w:rFonts w:ascii="Calibri Light" w:hAnsi="Calibri Light" w:cs="Calibri Light"/>
          <w:i/>
          <w:iCs/>
          <w:sz w:val="24"/>
          <w:szCs w:val="24"/>
          <w:lang w:val="en-GB"/>
        </w:rPr>
      </w:pPr>
    </w:p>
    <w:p w14:paraId="414E8092" w14:textId="77777777" w:rsidR="00E3097C" w:rsidRPr="00A825DC" w:rsidRDefault="00E3097C" w:rsidP="00E3097C">
      <w:pPr>
        <w:spacing w:before="120" w:after="120"/>
        <w:ind w:left="440" w:right="-1" w:hanging="14"/>
        <w:jc w:val="both"/>
        <w:rPr>
          <w:rFonts w:ascii="Calibri Light" w:hAnsi="Calibri Light" w:cs="Calibri Light"/>
          <w:b/>
          <w:bCs/>
          <w:sz w:val="24"/>
          <w:szCs w:val="24"/>
          <w:lang w:val="en-GB"/>
        </w:rPr>
      </w:pPr>
      <w:r w:rsidRPr="00A825DC">
        <w:rPr>
          <w:rFonts w:ascii="Calibri Light" w:hAnsi="Calibri Light" w:cs="Calibri Light"/>
          <w:b/>
          <w:bCs/>
          <w:sz w:val="24"/>
          <w:szCs w:val="24"/>
          <w:highlight w:val="yellow"/>
          <w:lang w:val="en-GB"/>
        </w:rPr>
        <w:t>Limitations</w:t>
      </w:r>
      <w:r w:rsidRPr="00A825DC">
        <w:rPr>
          <w:rFonts w:ascii="Calibri Light" w:hAnsi="Calibri Light" w:cs="Calibri Light"/>
          <w:b/>
          <w:bCs/>
          <w:sz w:val="24"/>
          <w:szCs w:val="24"/>
          <w:lang w:val="en-GB"/>
        </w:rPr>
        <w:t xml:space="preserve"> </w:t>
      </w:r>
    </w:p>
    <w:p w14:paraId="7BA74A29" w14:textId="77777777" w:rsidR="00E3097C" w:rsidRPr="00876CBE" w:rsidRDefault="00E3097C" w:rsidP="00E3097C">
      <w:pPr>
        <w:spacing w:before="120" w:after="120"/>
        <w:ind w:left="440" w:right="-1" w:hanging="14"/>
        <w:jc w:val="both"/>
        <w:rPr>
          <w:rFonts w:ascii="Calibri Light" w:hAnsi="Calibri Light" w:cs="Calibri Light"/>
          <w:sz w:val="24"/>
          <w:szCs w:val="24"/>
          <w:lang w:val="en-GB"/>
        </w:rPr>
      </w:pPr>
      <w:r w:rsidRPr="00876CBE">
        <w:rPr>
          <w:rFonts w:ascii="Calibri Light" w:hAnsi="Calibri Light" w:cs="Calibri Light"/>
          <w:sz w:val="24"/>
          <w:szCs w:val="24"/>
          <w:lang w:val="en-GB"/>
        </w:rPr>
        <w:t xml:space="preserve">However, like any explanatory research, this study has certain limitations. For instance, publications written in non-English languages were excluded during the screening process. Consequently, the research did not account for specific non-English academic articles that might describe local nuances in ensuring national security within particular regions. Additionally, confidentiality concerns must be considered. Since national security issues may involve state or military secrets, some critical information may not be publicly available or suitable for discussion. Accordingly, this study relied solely on publicly accessible </w:t>
      </w:r>
      <w:commentRangeStart w:id="7"/>
      <w:r w:rsidRPr="00876CBE">
        <w:rPr>
          <w:rFonts w:ascii="Calibri Light" w:hAnsi="Calibri Light" w:cs="Calibri Light"/>
          <w:sz w:val="24"/>
          <w:szCs w:val="24"/>
          <w:lang w:val="en-GB"/>
        </w:rPr>
        <w:t>information and did not include materials from other restricted sources.</w:t>
      </w:r>
    </w:p>
    <w:p w14:paraId="5BD50107" w14:textId="77777777" w:rsidR="00E3097C" w:rsidRDefault="00E3097C" w:rsidP="00E3097C">
      <w:pPr>
        <w:spacing w:before="120" w:after="120"/>
        <w:ind w:left="440" w:right="-1" w:hanging="14"/>
        <w:jc w:val="both"/>
        <w:rPr>
          <w:rFonts w:ascii="Calibri Light" w:hAnsi="Calibri Light" w:cs="Calibri Light"/>
          <w:sz w:val="24"/>
          <w:szCs w:val="24"/>
        </w:rPr>
      </w:pPr>
      <w:r w:rsidRPr="00876CBE">
        <w:rPr>
          <w:rFonts w:ascii="Calibri Light" w:hAnsi="Calibri Light" w:cs="Calibri Light"/>
          <w:sz w:val="24"/>
          <w:szCs w:val="24"/>
          <w:lang w:val="en-GB"/>
        </w:rPr>
        <w:t>Despite these limitations, the research addresses a gap by providing a comprehensive analysis of legal regulation in the national security system, examining Ukraine's unique experience and the practices of other leading nations.</w:t>
      </w:r>
      <w:commentRangeEnd w:id="7"/>
      <w:r>
        <w:rPr>
          <w:rStyle w:val="ad"/>
        </w:rPr>
        <w:commentReference w:id="7"/>
      </w:r>
    </w:p>
    <w:p w14:paraId="1595463B" w14:textId="77777777" w:rsidR="00E3097C" w:rsidRPr="00876CBE" w:rsidRDefault="00E3097C" w:rsidP="00E3097C">
      <w:pPr>
        <w:autoSpaceDE/>
        <w:autoSpaceDN/>
        <w:spacing w:line="240" w:lineRule="atLeast"/>
        <w:ind w:left="426"/>
        <w:rPr>
          <w:rFonts w:ascii="Calibri Light" w:hAnsi="Calibri Light" w:cs="Calibri Light"/>
          <w:b/>
          <w:sz w:val="24"/>
          <w:szCs w:val="24"/>
        </w:rPr>
      </w:pPr>
      <w:r>
        <w:rPr>
          <w:rFonts w:ascii="Calibri Light" w:hAnsi="Calibri Light" w:cs="Calibri Light"/>
          <w:b/>
          <w:sz w:val="24"/>
          <w:szCs w:val="24"/>
        </w:rPr>
        <w:lastRenderedPageBreak/>
        <w:t xml:space="preserve">V. </w:t>
      </w:r>
      <w:r w:rsidRPr="00122F5F">
        <w:rPr>
          <w:rFonts w:ascii="Calibri Light" w:hAnsi="Calibri Light" w:cs="Calibri Light"/>
          <w:b/>
          <w:sz w:val="24"/>
          <w:szCs w:val="24"/>
        </w:rPr>
        <w:t>CONCLUSION</w:t>
      </w:r>
    </w:p>
    <w:p w14:paraId="1AB4135D" w14:textId="77777777" w:rsidR="00E3097C" w:rsidRPr="00876CBE" w:rsidRDefault="00E3097C" w:rsidP="00E3097C">
      <w:pPr>
        <w:pStyle w:val="ab"/>
        <w:spacing w:before="120" w:after="120" w:line="240" w:lineRule="auto"/>
        <w:ind w:left="440" w:right="-1" w:hanging="14"/>
        <w:jc w:val="both"/>
        <w:rPr>
          <w:rFonts w:ascii="Calibri Light" w:hAnsi="Calibri Light" w:cs="Calibri Light"/>
          <w:sz w:val="24"/>
          <w:szCs w:val="24"/>
          <w:lang w:val="en-GB"/>
        </w:rPr>
      </w:pPr>
      <w:r w:rsidRPr="00876CBE">
        <w:rPr>
          <w:rFonts w:ascii="Calibri Light" w:hAnsi="Calibri Light" w:cs="Calibri Light"/>
          <w:sz w:val="24"/>
          <w:szCs w:val="24"/>
          <w:lang w:val="en-GB"/>
        </w:rPr>
        <w:t>Russian aggression against Ukraine has become a significant factor in revising existing legal systems for ensuring national security. In addition to the direct challenge of armed aggression, hybrid threats (such as propaganda, terrorism, and espionage), digital challenges (including the protection of information and management systems), and legal frameworks for responding to emergencies (including issues of resource mobilisation) remain highly relevant within the legal field.</w:t>
      </w:r>
    </w:p>
    <w:p w14:paraId="095786AB" w14:textId="77777777" w:rsidR="00E3097C" w:rsidRPr="00876CBE" w:rsidRDefault="00E3097C" w:rsidP="00E3097C">
      <w:pPr>
        <w:pStyle w:val="ab"/>
        <w:spacing w:before="120" w:after="120" w:line="240" w:lineRule="auto"/>
        <w:ind w:left="440" w:right="-1" w:hanging="14"/>
        <w:jc w:val="both"/>
        <w:rPr>
          <w:rFonts w:ascii="Calibri Light" w:hAnsi="Calibri Light" w:cs="Calibri Light"/>
          <w:sz w:val="24"/>
          <w:szCs w:val="24"/>
          <w:lang w:val="en-GB"/>
        </w:rPr>
      </w:pPr>
      <w:r w:rsidRPr="00876CBE">
        <w:rPr>
          <w:rFonts w:ascii="Calibri Light" w:hAnsi="Calibri Light" w:cs="Calibri Light"/>
          <w:sz w:val="24"/>
          <w:szCs w:val="24"/>
          <w:lang w:val="en-GB"/>
        </w:rPr>
        <w:t>Ukraine has been established to have a sufficient legal framework to ensure the fundamental aspects of national security protection. This includes provisions from the Constitution of Ukraine, Ukrainian laws, subordinate legal acts, and international agreements and treaties that have been concluded and ratified. However, as national security challenges continue to evolve, there is a need for further improvement of the existing legal framework with the inclusion of international practices. The public-legal mechanism for ensuring national security norms operates according to the constitution of Ukraine, which also outlines the primary direction for Ukraine's integration into the EU and NATO. The legal implementation of Ukraine's national security is reinforced through enforcing Ukrainian laws and is further specified within a system of subordinate legal acts. At the same time, certain normative and subordinate acts lack specificity, opening the door for potential misuse and threatening Ukraine's national security. This is particularly relevant to the current hybrid challenges (such as cybercrime and the migrant crisis). Another critical challenge is the alignment of existing legal norms with international standards for defence sector reforms, which is essential for further integration into NATO.</w:t>
      </w:r>
    </w:p>
    <w:p w14:paraId="7DD60437" w14:textId="77777777" w:rsidR="00E3097C" w:rsidRDefault="00E3097C" w:rsidP="00E3097C">
      <w:pPr>
        <w:pStyle w:val="ab"/>
        <w:spacing w:before="120" w:after="120" w:line="240" w:lineRule="auto"/>
        <w:ind w:left="440" w:right="-1" w:hanging="14"/>
        <w:contextualSpacing w:val="0"/>
        <w:jc w:val="both"/>
        <w:rPr>
          <w:rFonts w:ascii="Calibri Light" w:hAnsi="Calibri Light" w:cs="Calibri Light"/>
          <w:sz w:val="24"/>
          <w:szCs w:val="24"/>
          <w:lang w:val="en-GB"/>
        </w:rPr>
      </w:pPr>
      <w:r w:rsidRPr="00876CBE">
        <w:rPr>
          <w:rFonts w:ascii="Calibri Light" w:hAnsi="Calibri Light" w:cs="Calibri Light"/>
          <w:sz w:val="24"/>
          <w:szCs w:val="24"/>
          <w:lang w:val="en-GB"/>
        </w:rPr>
        <w:t>As a result of the conducted research, it has been determined that the security systems of European states have a significant advantage over Ukraine, namely their integration into NATO. Therefore, legal norms can be harmonised or even unified. The Ukrainian legal system is still in the early stages of integration with NATO and the European legal environment. Thus, the implementation of specific provisions will require more substantial changes to the legislative framework. At the same time, the United States and the United Kingdom operate with a focus on global threats – countering espionage, the migrant crisis, digital attacks, and other hybrid threats. Eastern European and Baltic states, recognising the Russian danger, have directed their legal reforms in the national security system towards strengthening the armed forces, signing additional agreements with NATO countries, etc. Notable innovations in addressing hybrid threats and cybercrime include gradually simplifying information exchange between NATO member states, which has been formalised through relevant agreements and legislative acts.</w:t>
      </w:r>
    </w:p>
    <w:p w14:paraId="166CB7BB" w14:textId="77777777" w:rsidR="00E3097C" w:rsidRDefault="00E3097C" w:rsidP="00E3097C">
      <w:pPr>
        <w:pStyle w:val="ab"/>
        <w:spacing w:before="120" w:after="120" w:line="240" w:lineRule="auto"/>
        <w:ind w:left="440" w:right="-1" w:hanging="14"/>
        <w:contextualSpacing w:val="0"/>
        <w:jc w:val="both"/>
        <w:rPr>
          <w:rFonts w:ascii="Calibri Light" w:hAnsi="Calibri Light" w:cs="Calibri Light"/>
          <w:sz w:val="24"/>
          <w:szCs w:val="24"/>
        </w:rPr>
      </w:pPr>
    </w:p>
    <w:p w14:paraId="63D13D40" w14:textId="77777777" w:rsidR="00E3097C" w:rsidRPr="00876CBE" w:rsidRDefault="00E3097C" w:rsidP="00E3097C">
      <w:pPr>
        <w:spacing w:line="240" w:lineRule="atLeast"/>
        <w:jc w:val="both"/>
        <w:rPr>
          <w:rFonts w:ascii="Calibri Light" w:hAnsi="Calibri Light" w:cs="Calibri Light"/>
          <w:b/>
          <w:sz w:val="24"/>
          <w:szCs w:val="24"/>
          <w:lang w:val="id-ID"/>
        </w:rPr>
      </w:pPr>
      <w:r w:rsidRPr="00122F5F">
        <w:rPr>
          <w:rFonts w:ascii="Calibri Light" w:hAnsi="Calibri Light" w:cs="Calibri Light"/>
          <w:b/>
          <w:sz w:val="24"/>
          <w:szCs w:val="24"/>
          <w:lang w:val="id-ID"/>
        </w:rPr>
        <w:t xml:space="preserve">V. </w:t>
      </w:r>
      <w:r w:rsidRPr="00122F5F">
        <w:rPr>
          <w:rFonts w:ascii="Calibri Light" w:hAnsi="Calibri Light" w:cs="Calibri Light"/>
          <w:b/>
          <w:sz w:val="24"/>
          <w:szCs w:val="24"/>
        </w:rPr>
        <w:t>REFERENCES</w:t>
      </w:r>
    </w:p>
    <w:p w14:paraId="6D27A28E" w14:textId="77777777" w:rsidR="00E3097C" w:rsidRPr="00C10BD5" w:rsidRDefault="00E3097C" w:rsidP="00E3097C">
      <w:pPr>
        <w:numPr>
          <w:ilvl w:val="0"/>
          <w:numId w:val="4"/>
        </w:numPr>
        <w:tabs>
          <w:tab w:val="left" w:pos="709"/>
        </w:tabs>
        <w:spacing w:before="120" w:after="120"/>
        <w:ind w:left="709" w:hanging="425"/>
        <w:jc w:val="both"/>
        <w:rPr>
          <w:rStyle w:val="a9"/>
          <w:rFonts w:asciiTheme="majorHAnsi" w:hAnsiTheme="majorHAnsi" w:cstheme="majorHAnsi"/>
          <w:noProof/>
          <w:color w:val="auto"/>
          <w:sz w:val="24"/>
          <w:szCs w:val="24"/>
          <w:u w:val="none"/>
          <w:lang w:eastAsia="id-ID"/>
        </w:rPr>
      </w:pPr>
      <w:r w:rsidRPr="00C10BD5">
        <w:rPr>
          <w:rFonts w:asciiTheme="majorHAnsi" w:hAnsiTheme="majorHAnsi" w:cstheme="majorHAnsi"/>
          <w:noProof/>
          <w:sz w:val="24"/>
          <w:szCs w:val="24"/>
          <w:lang w:eastAsia="id-ID"/>
        </w:rPr>
        <w:t xml:space="preserve">Hruzevskyi, O. (2023). A Systematic Analysis of the Impact of the Military Conflict on the Distance Education System in Ukraine. </w:t>
      </w:r>
      <w:r w:rsidRPr="00C10BD5">
        <w:rPr>
          <w:rFonts w:asciiTheme="majorHAnsi" w:hAnsiTheme="majorHAnsi" w:cstheme="majorHAnsi"/>
          <w:i/>
          <w:noProof/>
          <w:sz w:val="24"/>
          <w:szCs w:val="24"/>
          <w:lang w:eastAsia="id-ID"/>
        </w:rPr>
        <w:t>E-Learning Innovations Journal, 1</w:t>
      </w:r>
      <w:r w:rsidRPr="00C10BD5">
        <w:rPr>
          <w:rFonts w:asciiTheme="majorHAnsi" w:hAnsiTheme="majorHAnsi" w:cstheme="majorHAnsi"/>
          <w:noProof/>
          <w:sz w:val="24"/>
          <w:szCs w:val="24"/>
          <w:lang w:eastAsia="id-ID"/>
        </w:rPr>
        <w:t xml:space="preserve">(1), 71–87. </w:t>
      </w:r>
      <w:hyperlink r:id="rId18" w:history="1">
        <w:r w:rsidRPr="00C10BD5">
          <w:rPr>
            <w:rStyle w:val="a9"/>
            <w:rFonts w:asciiTheme="majorHAnsi" w:hAnsiTheme="majorHAnsi" w:cstheme="majorHAnsi"/>
            <w:noProof/>
            <w:sz w:val="24"/>
            <w:szCs w:val="24"/>
            <w:lang w:eastAsia="id-ID"/>
          </w:rPr>
          <w:t>https://doi.org/10.57125/E</w:t>
        </w:r>
        <w:bookmarkStart w:id="8" w:name="_GoBack"/>
        <w:bookmarkEnd w:id="8"/>
        <w:r w:rsidRPr="00C10BD5">
          <w:rPr>
            <w:rStyle w:val="a9"/>
            <w:rFonts w:asciiTheme="majorHAnsi" w:hAnsiTheme="majorHAnsi" w:cstheme="majorHAnsi"/>
            <w:noProof/>
            <w:sz w:val="24"/>
            <w:szCs w:val="24"/>
            <w:lang w:eastAsia="id-ID"/>
          </w:rPr>
          <w:t>LIJ.2023.03.25.04</w:t>
        </w:r>
      </w:hyperlink>
    </w:p>
    <w:p w14:paraId="2494076A" w14:textId="77777777" w:rsidR="00E3097C" w:rsidRPr="00FA1BC1" w:rsidRDefault="00E3097C" w:rsidP="00E3097C">
      <w:pPr>
        <w:numPr>
          <w:ilvl w:val="0"/>
          <w:numId w:val="4"/>
        </w:numPr>
        <w:tabs>
          <w:tab w:val="left" w:pos="709"/>
        </w:tabs>
        <w:spacing w:before="120" w:after="120"/>
        <w:ind w:left="709" w:hanging="425"/>
        <w:jc w:val="both"/>
        <w:rPr>
          <w:rFonts w:asciiTheme="majorHAnsi" w:hAnsiTheme="majorHAnsi" w:cstheme="majorHAnsi"/>
          <w:noProof/>
          <w:sz w:val="24"/>
          <w:szCs w:val="24"/>
          <w:u w:val="single"/>
          <w:lang w:val="uk-UA" w:eastAsia="id-ID"/>
        </w:rPr>
      </w:pPr>
      <w:r w:rsidRPr="00FA1BC1">
        <w:rPr>
          <w:rFonts w:asciiTheme="majorHAnsi" w:hAnsiTheme="majorHAnsi" w:cstheme="majorHAnsi"/>
          <w:i/>
          <w:iCs/>
          <w:color w:val="000000"/>
          <w:sz w:val="24"/>
          <w:szCs w:val="24"/>
        </w:rPr>
        <w:t>Kyiv School of Economics</w:t>
      </w:r>
      <w:r w:rsidRPr="00FA1BC1">
        <w:rPr>
          <w:rFonts w:asciiTheme="majorHAnsi" w:hAnsiTheme="majorHAnsi" w:cstheme="majorHAnsi"/>
          <w:color w:val="000000"/>
          <w:sz w:val="24"/>
          <w:szCs w:val="24"/>
        </w:rPr>
        <w:t>. (2024).</w:t>
      </w:r>
      <w:r w:rsidRPr="00FA1BC1">
        <w:rPr>
          <w:rStyle w:val="apple-converted-space"/>
          <w:rFonts w:asciiTheme="majorHAnsi" w:hAnsiTheme="majorHAnsi" w:cstheme="majorHAnsi"/>
          <w:color w:val="000000"/>
          <w:sz w:val="24"/>
          <w:szCs w:val="24"/>
        </w:rPr>
        <w:t> </w:t>
      </w:r>
      <w:hyperlink r:id="rId19" w:tgtFrame="_blank" w:history="1">
        <w:r w:rsidRPr="00FA1BC1">
          <w:rPr>
            <w:rStyle w:val="a9"/>
            <w:rFonts w:asciiTheme="majorHAnsi" w:hAnsiTheme="majorHAnsi" w:cstheme="majorHAnsi"/>
            <w:color w:val="000000"/>
            <w:sz w:val="24"/>
            <w:szCs w:val="24"/>
          </w:rPr>
          <w:t>https://kse.ua/about-the-school/news/155-billion-the-total-amount-of-damages-caused-to-ukraine-s-infrastructure-due-to-the-war-as-of-january-2024/</w:t>
        </w:r>
      </w:hyperlink>
    </w:p>
    <w:p w14:paraId="5DED41A7" w14:textId="77777777" w:rsidR="00E3097C" w:rsidRPr="00C10BD5" w:rsidRDefault="00E3097C" w:rsidP="00E3097C">
      <w:pPr>
        <w:numPr>
          <w:ilvl w:val="0"/>
          <w:numId w:val="4"/>
        </w:numPr>
        <w:tabs>
          <w:tab w:val="left" w:pos="709"/>
        </w:tabs>
        <w:spacing w:before="120" w:after="120"/>
        <w:ind w:left="709" w:hanging="425"/>
        <w:jc w:val="both"/>
        <w:rPr>
          <w:rFonts w:asciiTheme="majorHAnsi" w:hAnsiTheme="majorHAnsi" w:cstheme="majorHAnsi"/>
          <w:noProof/>
          <w:sz w:val="24"/>
          <w:szCs w:val="24"/>
          <w:u w:val="single"/>
          <w:lang w:val="uk-UA" w:eastAsia="id-ID"/>
        </w:rPr>
      </w:pPr>
      <w:r w:rsidRPr="00C10BD5">
        <w:rPr>
          <w:rFonts w:asciiTheme="majorHAnsi" w:hAnsiTheme="majorHAnsi" w:cstheme="majorHAnsi"/>
          <w:noProof/>
          <w:sz w:val="24"/>
          <w:szCs w:val="24"/>
          <w:lang w:eastAsia="id-ID"/>
        </w:rPr>
        <w:lastRenderedPageBreak/>
        <w:t xml:space="preserve">Kobko, Y. V. (2022). Legal regulation of national security in Ukraine: Today’s challenges. </w:t>
      </w:r>
      <w:r w:rsidRPr="00C10BD5">
        <w:rPr>
          <w:rFonts w:asciiTheme="majorHAnsi" w:hAnsiTheme="majorHAnsi" w:cstheme="majorHAnsi"/>
          <w:i/>
          <w:noProof/>
          <w:sz w:val="24"/>
          <w:szCs w:val="24"/>
          <w:lang w:eastAsia="id-ID"/>
        </w:rPr>
        <w:t>Law and Safety</w:t>
      </w:r>
      <w:r w:rsidRPr="00C10BD5">
        <w:rPr>
          <w:rFonts w:asciiTheme="majorHAnsi" w:hAnsiTheme="majorHAnsi" w:cstheme="majorHAnsi"/>
          <w:noProof/>
          <w:sz w:val="24"/>
          <w:szCs w:val="24"/>
          <w:lang w:eastAsia="id-ID"/>
        </w:rPr>
        <w:t xml:space="preserve">, </w:t>
      </w:r>
      <w:r w:rsidRPr="00C10BD5">
        <w:rPr>
          <w:rFonts w:asciiTheme="majorHAnsi" w:hAnsiTheme="majorHAnsi" w:cstheme="majorHAnsi"/>
          <w:i/>
          <w:noProof/>
          <w:sz w:val="24"/>
          <w:szCs w:val="24"/>
          <w:lang w:eastAsia="id-ID"/>
        </w:rPr>
        <w:t>85</w:t>
      </w:r>
      <w:r w:rsidRPr="00C10BD5">
        <w:rPr>
          <w:rFonts w:asciiTheme="majorHAnsi" w:hAnsiTheme="majorHAnsi" w:cstheme="majorHAnsi"/>
          <w:noProof/>
          <w:sz w:val="24"/>
          <w:szCs w:val="24"/>
          <w:lang w:eastAsia="id-ID"/>
        </w:rPr>
        <w:t xml:space="preserve">(2), 179–188. </w:t>
      </w:r>
      <w:hyperlink r:id="rId20" w:history="1">
        <w:r w:rsidRPr="00C10BD5">
          <w:rPr>
            <w:rStyle w:val="a9"/>
            <w:rFonts w:asciiTheme="majorHAnsi" w:hAnsiTheme="majorHAnsi" w:cstheme="majorHAnsi"/>
            <w:noProof/>
            <w:sz w:val="24"/>
            <w:szCs w:val="24"/>
            <w:lang w:eastAsia="id-ID"/>
          </w:rPr>
          <w:t>https://doi.org/10.32631/pb.2022.2.17</w:t>
        </w:r>
      </w:hyperlink>
    </w:p>
    <w:p w14:paraId="71FC7CD4" w14:textId="77777777" w:rsidR="00E3097C" w:rsidRPr="00C10BD5" w:rsidRDefault="00E3097C" w:rsidP="00E3097C">
      <w:pPr>
        <w:numPr>
          <w:ilvl w:val="0"/>
          <w:numId w:val="4"/>
        </w:numPr>
        <w:tabs>
          <w:tab w:val="left" w:pos="709"/>
        </w:tabs>
        <w:spacing w:before="120" w:after="120"/>
        <w:ind w:left="709" w:hanging="425"/>
        <w:jc w:val="both"/>
        <w:rPr>
          <w:rFonts w:asciiTheme="majorHAnsi" w:hAnsiTheme="majorHAnsi" w:cstheme="majorHAnsi"/>
          <w:noProof/>
          <w:sz w:val="24"/>
          <w:szCs w:val="24"/>
          <w:lang w:eastAsia="id-ID"/>
        </w:rPr>
      </w:pPr>
      <w:r w:rsidRPr="00C10BD5">
        <w:rPr>
          <w:rFonts w:asciiTheme="majorHAnsi" w:hAnsiTheme="majorHAnsi" w:cstheme="majorHAnsi"/>
          <w:noProof/>
          <w:sz w:val="24"/>
          <w:szCs w:val="24"/>
          <w:lang w:eastAsia="id-ID"/>
        </w:rPr>
        <w:t xml:space="preserve">Yurko, I., &amp; Riabtsev, D. (2024). The Role of Investment, Innovation and Efficient Use of Resources in Ensuring Long-Term Economic Sustainability. </w:t>
      </w:r>
      <w:r w:rsidRPr="00C10BD5">
        <w:rPr>
          <w:rFonts w:asciiTheme="majorHAnsi" w:hAnsiTheme="majorHAnsi" w:cstheme="majorHAnsi"/>
          <w:i/>
          <w:noProof/>
          <w:sz w:val="24"/>
          <w:szCs w:val="24"/>
          <w:lang w:eastAsia="id-ID"/>
        </w:rPr>
        <w:t>Law, Business and Sustainability Herald, 4</w:t>
      </w:r>
      <w:r w:rsidRPr="00C10BD5">
        <w:rPr>
          <w:rFonts w:asciiTheme="majorHAnsi" w:hAnsiTheme="majorHAnsi" w:cstheme="majorHAnsi"/>
          <w:noProof/>
          <w:sz w:val="24"/>
          <w:szCs w:val="24"/>
          <w:lang w:eastAsia="id-ID"/>
        </w:rPr>
        <w:t xml:space="preserve">(1), 4–20. Retrieved from </w:t>
      </w:r>
      <w:hyperlink r:id="rId21" w:history="1">
        <w:r w:rsidRPr="00C10BD5">
          <w:rPr>
            <w:rStyle w:val="a9"/>
            <w:rFonts w:asciiTheme="majorHAnsi" w:hAnsiTheme="majorHAnsi" w:cstheme="majorHAnsi"/>
            <w:noProof/>
            <w:sz w:val="24"/>
            <w:szCs w:val="24"/>
            <w:lang w:eastAsia="id-ID"/>
          </w:rPr>
          <w:t>https://lbsherald.org/index.php/journal/article/view/62</w:t>
        </w:r>
      </w:hyperlink>
    </w:p>
    <w:p w14:paraId="7E4DD70F" w14:textId="77777777" w:rsidR="00E3097C" w:rsidRPr="00C10BD5" w:rsidRDefault="00E3097C" w:rsidP="00E3097C">
      <w:pPr>
        <w:numPr>
          <w:ilvl w:val="0"/>
          <w:numId w:val="4"/>
        </w:numPr>
        <w:tabs>
          <w:tab w:val="left" w:pos="709"/>
        </w:tabs>
        <w:spacing w:before="120" w:after="120"/>
        <w:ind w:left="709" w:hanging="425"/>
        <w:jc w:val="both"/>
        <w:rPr>
          <w:rFonts w:asciiTheme="majorHAnsi" w:hAnsiTheme="majorHAnsi" w:cstheme="majorHAnsi"/>
          <w:noProof/>
          <w:sz w:val="24"/>
          <w:szCs w:val="24"/>
          <w:lang w:val="uk-UA" w:eastAsia="id-ID"/>
        </w:rPr>
      </w:pPr>
      <w:r w:rsidRPr="00C10BD5">
        <w:rPr>
          <w:rFonts w:asciiTheme="majorHAnsi" w:hAnsiTheme="majorHAnsi" w:cstheme="majorHAnsi"/>
          <w:noProof/>
          <w:sz w:val="24"/>
          <w:szCs w:val="24"/>
          <w:lang w:eastAsia="id-ID"/>
        </w:rPr>
        <w:t xml:space="preserve">Kwilinski, A., Dielini, M., Mazuryk, O., Filippov, V., &amp; Kitseliuk, V. (2020). System constructs for the investment security of a country. </w:t>
      </w:r>
      <w:r w:rsidRPr="00C10BD5">
        <w:rPr>
          <w:rFonts w:asciiTheme="majorHAnsi" w:hAnsiTheme="majorHAnsi" w:cstheme="majorHAnsi"/>
          <w:i/>
          <w:noProof/>
          <w:sz w:val="24"/>
          <w:szCs w:val="24"/>
          <w:lang w:eastAsia="id-ID"/>
        </w:rPr>
        <w:t>Journal of Security and Sustainability Issues</w:t>
      </w:r>
      <w:r w:rsidRPr="00C10BD5">
        <w:rPr>
          <w:rFonts w:asciiTheme="majorHAnsi" w:hAnsiTheme="majorHAnsi" w:cstheme="majorHAnsi"/>
          <w:noProof/>
          <w:sz w:val="24"/>
          <w:szCs w:val="24"/>
          <w:lang w:eastAsia="id-ID"/>
        </w:rPr>
        <w:t xml:space="preserve">, </w:t>
      </w:r>
      <w:r w:rsidRPr="00C10BD5">
        <w:rPr>
          <w:rFonts w:asciiTheme="majorHAnsi" w:hAnsiTheme="majorHAnsi" w:cstheme="majorHAnsi"/>
          <w:i/>
          <w:noProof/>
          <w:sz w:val="24"/>
          <w:szCs w:val="24"/>
          <w:lang w:eastAsia="id-ID"/>
        </w:rPr>
        <w:t>10</w:t>
      </w:r>
      <w:r w:rsidRPr="00C10BD5">
        <w:rPr>
          <w:rFonts w:asciiTheme="majorHAnsi" w:hAnsiTheme="majorHAnsi" w:cstheme="majorHAnsi"/>
          <w:noProof/>
          <w:sz w:val="24"/>
          <w:szCs w:val="24"/>
          <w:lang w:eastAsia="id-ID"/>
        </w:rPr>
        <w:t xml:space="preserve">(1), 345–358. </w:t>
      </w:r>
      <w:hyperlink r:id="rId22" w:history="1">
        <w:r w:rsidRPr="00C10BD5">
          <w:rPr>
            <w:rStyle w:val="a9"/>
            <w:rFonts w:asciiTheme="majorHAnsi" w:hAnsiTheme="majorHAnsi" w:cstheme="majorHAnsi"/>
            <w:noProof/>
            <w:sz w:val="24"/>
            <w:szCs w:val="24"/>
            <w:lang w:eastAsia="id-ID"/>
          </w:rPr>
          <w:t>https</w:t>
        </w:r>
        <w:r w:rsidRPr="00C10BD5">
          <w:rPr>
            <w:rStyle w:val="a9"/>
            <w:rFonts w:asciiTheme="majorHAnsi" w:hAnsiTheme="majorHAnsi" w:cstheme="majorHAnsi"/>
            <w:noProof/>
            <w:sz w:val="24"/>
            <w:szCs w:val="24"/>
            <w:lang w:val="uk-UA" w:eastAsia="id-ID"/>
          </w:rPr>
          <w:t>://</w:t>
        </w:r>
        <w:r w:rsidRPr="00C10BD5">
          <w:rPr>
            <w:rStyle w:val="a9"/>
            <w:rFonts w:asciiTheme="majorHAnsi" w:hAnsiTheme="majorHAnsi" w:cstheme="majorHAnsi"/>
            <w:noProof/>
            <w:sz w:val="24"/>
            <w:szCs w:val="24"/>
            <w:lang w:eastAsia="id-ID"/>
          </w:rPr>
          <w:t>doi</w:t>
        </w:r>
        <w:r w:rsidRPr="00C10BD5">
          <w:rPr>
            <w:rStyle w:val="a9"/>
            <w:rFonts w:asciiTheme="majorHAnsi" w:hAnsiTheme="majorHAnsi" w:cstheme="majorHAnsi"/>
            <w:noProof/>
            <w:sz w:val="24"/>
            <w:szCs w:val="24"/>
            <w:lang w:val="uk-UA" w:eastAsia="id-ID"/>
          </w:rPr>
          <w:t>.</w:t>
        </w:r>
        <w:r w:rsidRPr="00C10BD5">
          <w:rPr>
            <w:rStyle w:val="a9"/>
            <w:rFonts w:asciiTheme="majorHAnsi" w:hAnsiTheme="majorHAnsi" w:cstheme="majorHAnsi"/>
            <w:noProof/>
            <w:sz w:val="24"/>
            <w:szCs w:val="24"/>
            <w:lang w:eastAsia="id-ID"/>
          </w:rPr>
          <w:t>org</w:t>
        </w:r>
        <w:r w:rsidRPr="00C10BD5">
          <w:rPr>
            <w:rStyle w:val="a9"/>
            <w:rFonts w:asciiTheme="majorHAnsi" w:hAnsiTheme="majorHAnsi" w:cstheme="majorHAnsi"/>
            <w:noProof/>
            <w:sz w:val="24"/>
            <w:szCs w:val="24"/>
            <w:lang w:val="uk-UA" w:eastAsia="id-ID"/>
          </w:rPr>
          <w:t>/10.9770/</w:t>
        </w:r>
        <w:r w:rsidRPr="00C10BD5">
          <w:rPr>
            <w:rStyle w:val="a9"/>
            <w:rFonts w:asciiTheme="majorHAnsi" w:hAnsiTheme="majorHAnsi" w:cstheme="majorHAnsi"/>
            <w:noProof/>
            <w:sz w:val="24"/>
            <w:szCs w:val="24"/>
            <w:lang w:eastAsia="id-ID"/>
          </w:rPr>
          <w:t>jssi</w:t>
        </w:r>
        <w:r w:rsidRPr="00C10BD5">
          <w:rPr>
            <w:rStyle w:val="a9"/>
            <w:rFonts w:asciiTheme="majorHAnsi" w:hAnsiTheme="majorHAnsi" w:cstheme="majorHAnsi"/>
            <w:noProof/>
            <w:sz w:val="24"/>
            <w:szCs w:val="24"/>
            <w:lang w:val="uk-UA" w:eastAsia="id-ID"/>
          </w:rPr>
          <w:t>.2020.10.1(25)</w:t>
        </w:r>
      </w:hyperlink>
    </w:p>
    <w:p w14:paraId="0B405902" w14:textId="77777777" w:rsidR="00E3097C" w:rsidRPr="00C10BD5" w:rsidRDefault="00E3097C" w:rsidP="00E3097C">
      <w:pPr>
        <w:numPr>
          <w:ilvl w:val="0"/>
          <w:numId w:val="4"/>
        </w:numPr>
        <w:tabs>
          <w:tab w:val="left" w:pos="709"/>
        </w:tabs>
        <w:spacing w:before="120" w:after="120"/>
        <w:ind w:left="709" w:hanging="425"/>
        <w:jc w:val="both"/>
        <w:rPr>
          <w:rFonts w:asciiTheme="majorHAnsi" w:hAnsiTheme="majorHAnsi" w:cstheme="majorHAnsi"/>
          <w:noProof/>
          <w:sz w:val="24"/>
          <w:szCs w:val="24"/>
          <w:lang w:val="es-VE" w:eastAsia="id-ID"/>
        </w:rPr>
      </w:pPr>
      <w:r w:rsidRPr="00C10BD5">
        <w:rPr>
          <w:rFonts w:asciiTheme="majorHAnsi" w:hAnsiTheme="majorHAnsi" w:cstheme="majorHAnsi"/>
          <w:noProof/>
          <w:sz w:val="24"/>
          <w:szCs w:val="24"/>
          <w:lang w:eastAsia="id-ID"/>
        </w:rPr>
        <w:t xml:space="preserve">Tovpyha, L. M., Pastukh, I. D., Tarasevych, T. Y., Bondar, S. V., &amp; Ilina, O. V. (2021). Legal regulation of practices of the police as an entity in charge of preventing and combating corruption in Ukraine. </w:t>
      </w:r>
      <w:r w:rsidRPr="00C10BD5">
        <w:rPr>
          <w:rFonts w:asciiTheme="majorHAnsi" w:hAnsiTheme="majorHAnsi" w:cstheme="majorHAnsi"/>
          <w:i/>
          <w:noProof/>
          <w:sz w:val="24"/>
          <w:szCs w:val="24"/>
          <w:lang w:val="es-VE" w:eastAsia="id-ID"/>
        </w:rPr>
        <w:t>Cuestiones Políticas</w:t>
      </w:r>
      <w:r w:rsidRPr="00C10BD5">
        <w:rPr>
          <w:rFonts w:asciiTheme="majorHAnsi" w:hAnsiTheme="majorHAnsi" w:cstheme="majorHAnsi"/>
          <w:noProof/>
          <w:sz w:val="24"/>
          <w:szCs w:val="24"/>
          <w:lang w:val="es-VE" w:eastAsia="id-ID"/>
        </w:rPr>
        <w:t xml:space="preserve">, </w:t>
      </w:r>
      <w:r w:rsidRPr="00C10BD5">
        <w:rPr>
          <w:rFonts w:asciiTheme="majorHAnsi" w:hAnsiTheme="majorHAnsi" w:cstheme="majorHAnsi"/>
          <w:i/>
          <w:noProof/>
          <w:sz w:val="24"/>
          <w:szCs w:val="24"/>
          <w:lang w:val="es-VE" w:eastAsia="id-ID"/>
        </w:rPr>
        <w:t>39</w:t>
      </w:r>
      <w:r w:rsidRPr="00C10BD5">
        <w:rPr>
          <w:rFonts w:asciiTheme="majorHAnsi" w:hAnsiTheme="majorHAnsi" w:cstheme="majorHAnsi"/>
          <w:noProof/>
          <w:sz w:val="24"/>
          <w:szCs w:val="24"/>
          <w:lang w:val="es-VE" w:eastAsia="id-ID"/>
        </w:rPr>
        <w:t xml:space="preserve">(69), 735–755. </w:t>
      </w:r>
      <w:hyperlink r:id="rId23" w:history="1">
        <w:r w:rsidRPr="00C10BD5">
          <w:rPr>
            <w:rStyle w:val="a9"/>
            <w:rFonts w:asciiTheme="majorHAnsi" w:hAnsiTheme="majorHAnsi" w:cstheme="majorHAnsi"/>
            <w:noProof/>
            <w:sz w:val="24"/>
            <w:szCs w:val="24"/>
            <w:lang w:val="es-VE" w:eastAsia="id-ID"/>
          </w:rPr>
          <w:t>https://doi.org/10.46398/cuestpol.3969.46</w:t>
        </w:r>
      </w:hyperlink>
    </w:p>
    <w:p w14:paraId="3EA34D43" w14:textId="77777777" w:rsidR="00E3097C" w:rsidRPr="00C10BD5" w:rsidRDefault="00E3097C" w:rsidP="00E3097C">
      <w:pPr>
        <w:numPr>
          <w:ilvl w:val="0"/>
          <w:numId w:val="4"/>
        </w:numPr>
        <w:tabs>
          <w:tab w:val="left" w:pos="709"/>
        </w:tabs>
        <w:spacing w:before="120" w:after="120"/>
        <w:ind w:left="709" w:hanging="425"/>
        <w:jc w:val="both"/>
        <w:rPr>
          <w:rFonts w:asciiTheme="majorHAnsi" w:hAnsiTheme="majorHAnsi" w:cstheme="majorHAnsi"/>
          <w:noProof/>
          <w:sz w:val="24"/>
          <w:szCs w:val="24"/>
          <w:lang w:eastAsia="id-ID"/>
        </w:rPr>
      </w:pPr>
      <w:r w:rsidRPr="00C10BD5">
        <w:rPr>
          <w:rFonts w:asciiTheme="majorHAnsi" w:hAnsiTheme="majorHAnsi" w:cstheme="majorHAnsi"/>
          <w:noProof/>
          <w:sz w:val="24"/>
          <w:szCs w:val="24"/>
          <w:lang w:val="de-DE" w:eastAsia="id-ID"/>
        </w:rPr>
        <w:t xml:space="preserve">Kostka, G., Steinacker, L., &amp; Meckel, M. (2021). </w:t>
      </w:r>
      <w:r w:rsidRPr="00C10BD5">
        <w:rPr>
          <w:rFonts w:asciiTheme="majorHAnsi" w:hAnsiTheme="majorHAnsi" w:cstheme="majorHAnsi"/>
          <w:noProof/>
          <w:sz w:val="24"/>
          <w:szCs w:val="24"/>
          <w:lang w:eastAsia="id-ID"/>
        </w:rPr>
        <w:t xml:space="preserve">Between security and convenience: Facial recognition technology in the eyes of citizens in China, Germany, the United Kingdom, and the United States. </w:t>
      </w:r>
      <w:r w:rsidRPr="00C10BD5">
        <w:rPr>
          <w:rFonts w:asciiTheme="majorHAnsi" w:hAnsiTheme="majorHAnsi" w:cstheme="majorHAnsi"/>
          <w:i/>
          <w:noProof/>
          <w:sz w:val="24"/>
          <w:szCs w:val="24"/>
          <w:lang w:eastAsia="id-ID"/>
        </w:rPr>
        <w:t>Public Understanding of Science</w:t>
      </w:r>
      <w:r w:rsidRPr="00C10BD5">
        <w:rPr>
          <w:rFonts w:asciiTheme="majorHAnsi" w:hAnsiTheme="majorHAnsi" w:cstheme="majorHAnsi"/>
          <w:noProof/>
          <w:sz w:val="24"/>
          <w:szCs w:val="24"/>
          <w:lang w:eastAsia="id-ID"/>
        </w:rPr>
        <w:t xml:space="preserve">, </w:t>
      </w:r>
      <w:r w:rsidRPr="00C10BD5">
        <w:rPr>
          <w:rFonts w:asciiTheme="majorHAnsi" w:hAnsiTheme="majorHAnsi" w:cstheme="majorHAnsi"/>
          <w:i/>
          <w:noProof/>
          <w:sz w:val="24"/>
          <w:szCs w:val="24"/>
          <w:lang w:eastAsia="id-ID"/>
        </w:rPr>
        <w:t>30</w:t>
      </w:r>
      <w:r w:rsidRPr="00C10BD5">
        <w:rPr>
          <w:rFonts w:asciiTheme="majorHAnsi" w:hAnsiTheme="majorHAnsi" w:cstheme="majorHAnsi"/>
          <w:noProof/>
          <w:sz w:val="24"/>
          <w:szCs w:val="24"/>
          <w:lang w:eastAsia="id-ID"/>
        </w:rPr>
        <w:t xml:space="preserve">(6), 671–690. </w:t>
      </w:r>
      <w:hyperlink r:id="rId24" w:history="1">
        <w:r w:rsidRPr="00C10BD5">
          <w:rPr>
            <w:rStyle w:val="a9"/>
            <w:rFonts w:asciiTheme="majorHAnsi" w:hAnsiTheme="majorHAnsi" w:cstheme="majorHAnsi"/>
            <w:noProof/>
            <w:sz w:val="24"/>
            <w:szCs w:val="24"/>
            <w:lang w:eastAsia="id-ID"/>
          </w:rPr>
          <w:t>https://doi.org/10.1177/09636625211001555</w:t>
        </w:r>
      </w:hyperlink>
    </w:p>
    <w:p w14:paraId="19D7CB46" w14:textId="77777777" w:rsidR="00E3097C" w:rsidRPr="00C10BD5" w:rsidRDefault="00E3097C" w:rsidP="00E3097C">
      <w:pPr>
        <w:numPr>
          <w:ilvl w:val="0"/>
          <w:numId w:val="4"/>
        </w:numPr>
        <w:tabs>
          <w:tab w:val="left" w:pos="709"/>
        </w:tabs>
        <w:spacing w:before="120" w:after="120"/>
        <w:ind w:left="709" w:hanging="425"/>
        <w:jc w:val="both"/>
        <w:rPr>
          <w:rFonts w:asciiTheme="majorHAnsi" w:hAnsiTheme="majorHAnsi" w:cstheme="majorHAnsi"/>
          <w:noProof/>
          <w:sz w:val="24"/>
          <w:szCs w:val="24"/>
          <w:lang w:val="uk-UA" w:eastAsia="id-ID"/>
        </w:rPr>
      </w:pPr>
      <w:r w:rsidRPr="00C10BD5">
        <w:rPr>
          <w:rFonts w:asciiTheme="majorHAnsi" w:hAnsiTheme="majorHAnsi" w:cstheme="majorHAnsi"/>
          <w:noProof/>
          <w:sz w:val="24"/>
          <w:szCs w:val="24"/>
          <w:lang w:eastAsia="id-ID"/>
        </w:rPr>
        <w:t xml:space="preserve">Pylypchuk, V. G., Bohutskyi, P. P., &amp; Doronin, I. M. (2021). Theoretical foundations and development priorities of national security rights. </w:t>
      </w:r>
      <w:r w:rsidRPr="00C10BD5">
        <w:rPr>
          <w:rFonts w:asciiTheme="majorHAnsi" w:hAnsiTheme="majorHAnsi" w:cstheme="majorHAnsi"/>
          <w:i/>
          <w:noProof/>
          <w:sz w:val="24"/>
          <w:szCs w:val="24"/>
          <w:lang w:eastAsia="id-ID"/>
        </w:rPr>
        <w:t>Journal of the National Academy of Legal Sciences of Ukraine</w:t>
      </w:r>
      <w:r w:rsidRPr="00C10BD5">
        <w:rPr>
          <w:rFonts w:asciiTheme="majorHAnsi" w:hAnsiTheme="majorHAnsi" w:cstheme="majorHAnsi"/>
          <w:noProof/>
          <w:sz w:val="24"/>
          <w:szCs w:val="24"/>
          <w:lang w:eastAsia="id-ID"/>
        </w:rPr>
        <w:t xml:space="preserve">, </w:t>
      </w:r>
      <w:r w:rsidRPr="00C10BD5">
        <w:rPr>
          <w:rFonts w:asciiTheme="majorHAnsi" w:hAnsiTheme="majorHAnsi" w:cstheme="majorHAnsi"/>
          <w:i/>
          <w:noProof/>
          <w:sz w:val="24"/>
          <w:szCs w:val="24"/>
          <w:lang w:eastAsia="id-ID"/>
        </w:rPr>
        <w:t>28</w:t>
      </w:r>
      <w:r w:rsidRPr="00C10BD5">
        <w:rPr>
          <w:rFonts w:asciiTheme="majorHAnsi" w:hAnsiTheme="majorHAnsi" w:cstheme="majorHAnsi"/>
          <w:noProof/>
          <w:sz w:val="24"/>
          <w:szCs w:val="24"/>
          <w:lang w:eastAsia="id-ID"/>
        </w:rPr>
        <w:t xml:space="preserve">(2), 66–75. </w:t>
      </w:r>
      <w:hyperlink r:id="rId25" w:history="1">
        <w:r w:rsidRPr="00C10BD5">
          <w:rPr>
            <w:rStyle w:val="a9"/>
            <w:rFonts w:asciiTheme="majorHAnsi" w:hAnsiTheme="majorHAnsi" w:cstheme="majorHAnsi"/>
            <w:noProof/>
            <w:sz w:val="24"/>
            <w:szCs w:val="24"/>
            <w:lang w:eastAsia="id-ID"/>
          </w:rPr>
          <w:t>https</w:t>
        </w:r>
        <w:r w:rsidRPr="00C10BD5">
          <w:rPr>
            <w:rStyle w:val="a9"/>
            <w:rFonts w:asciiTheme="majorHAnsi" w:hAnsiTheme="majorHAnsi" w:cstheme="majorHAnsi"/>
            <w:noProof/>
            <w:sz w:val="24"/>
            <w:szCs w:val="24"/>
            <w:lang w:val="uk-UA" w:eastAsia="id-ID"/>
          </w:rPr>
          <w:t>://</w:t>
        </w:r>
        <w:r w:rsidRPr="00C10BD5">
          <w:rPr>
            <w:rStyle w:val="a9"/>
            <w:rFonts w:asciiTheme="majorHAnsi" w:hAnsiTheme="majorHAnsi" w:cstheme="majorHAnsi"/>
            <w:noProof/>
            <w:sz w:val="24"/>
            <w:szCs w:val="24"/>
            <w:lang w:eastAsia="id-ID"/>
          </w:rPr>
          <w:t>visnyk</w:t>
        </w:r>
        <w:r w:rsidRPr="00C10BD5">
          <w:rPr>
            <w:rStyle w:val="a9"/>
            <w:rFonts w:asciiTheme="majorHAnsi" w:hAnsiTheme="majorHAnsi" w:cstheme="majorHAnsi"/>
            <w:noProof/>
            <w:sz w:val="24"/>
            <w:szCs w:val="24"/>
            <w:lang w:val="uk-UA" w:eastAsia="id-ID"/>
          </w:rPr>
          <w:t>.</w:t>
        </w:r>
        <w:r w:rsidRPr="00C10BD5">
          <w:rPr>
            <w:rStyle w:val="a9"/>
            <w:rFonts w:asciiTheme="majorHAnsi" w:hAnsiTheme="majorHAnsi" w:cstheme="majorHAnsi"/>
            <w:noProof/>
            <w:sz w:val="24"/>
            <w:szCs w:val="24"/>
            <w:lang w:eastAsia="id-ID"/>
          </w:rPr>
          <w:t>kh</w:t>
        </w:r>
        <w:r w:rsidRPr="00C10BD5">
          <w:rPr>
            <w:rStyle w:val="a9"/>
            <w:rFonts w:asciiTheme="majorHAnsi" w:hAnsiTheme="majorHAnsi" w:cstheme="majorHAnsi"/>
            <w:noProof/>
            <w:sz w:val="24"/>
            <w:szCs w:val="24"/>
            <w:lang w:val="uk-UA" w:eastAsia="id-ID"/>
          </w:rPr>
          <w:t>.</w:t>
        </w:r>
        <w:r w:rsidRPr="00C10BD5">
          <w:rPr>
            <w:rStyle w:val="a9"/>
            <w:rFonts w:asciiTheme="majorHAnsi" w:hAnsiTheme="majorHAnsi" w:cstheme="majorHAnsi"/>
            <w:noProof/>
            <w:sz w:val="24"/>
            <w:szCs w:val="24"/>
            <w:lang w:eastAsia="id-ID"/>
          </w:rPr>
          <w:t>ua</w:t>
        </w:r>
        <w:r w:rsidRPr="00C10BD5">
          <w:rPr>
            <w:rStyle w:val="a9"/>
            <w:rFonts w:asciiTheme="majorHAnsi" w:hAnsiTheme="majorHAnsi" w:cstheme="majorHAnsi"/>
            <w:noProof/>
            <w:sz w:val="24"/>
            <w:szCs w:val="24"/>
            <w:lang w:val="uk-UA" w:eastAsia="id-ID"/>
          </w:rPr>
          <w:t>/</w:t>
        </w:r>
        <w:r w:rsidRPr="00C10BD5">
          <w:rPr>
            <w:rStyle w:val="a9"/>
            <w:rFonts w:asciiTheme="majorHAnsi" w:hAnsiTheme="majorHAnsi" w:cstheme="majorHAnsi"/>
            <w:noProof/>
            <w:sz w:val="24"/>
            <w:szCs w:val="24"/>
            <w:lang w:eastAsia="id-ID"/>
          </w:rPr>
          <w:t>en</w:t>
        </w:r>
        <w:r w:rsidRPr="00C10BD5">
          <w:rPr>
            <w:rStyle w:val="a9"/>
            <w:rFonts w:asciiTheme="majorHAnsi" w:hAnsiTheme="majorHAnsi" w:cstheme="majorHAnsi"/>
            <w:noProof/>
            <w:sz w:val="24"/>
            <w:szCs w:val="24"/>
            <w:lang w:val="uk-UA" w:eastAsia="id-ID"/>
          </w:rPr>
          <w:t>/</w:t>
        </w:r>
        <w:r w:rsidRPr="00C10BD5">
          <w:rPr>
            <w:rStyle w:val="a9"/>
            <w:rFonts w:asciiTheme="majorHAnsi" w:hAnsiTheme="majorHAnsi" w:cstheme="majorHAnsi"/>
            <w:noProof/>
            <w:sz w:val="24"/>
            <w:szCs w:val="24"/>
            <w:lang w:eastAsia="id-ID"/>
          </w:rPr>
          <w:t>journals</w:t>
        </w:r>
        <w:r w:rsidRPr="00C10BD5">
          <w:rPr>
            <w:rStyle w:val="a9"/>
            <w:rFonts w:asciiTheme="majorHAnsi" w:hAnsiTheme="majorHAnsi" w:cstheme="majorHAnsi"/>
            <w:noProof/>
            <w:sz w:val="24"/>
            <w:szCs w:val="24"/>
            <w:lang w:val="uk-UA" w:eastAsia="id-ID"/>
          </w:rPr>
          <w:t>/</w:t>
        </w:r>
        <w:r w:rsidRPr="00C10BD5">
          <w:rPr>
            <w:rStyle w:val="a9"/>
            <w:rFonts w:asciiTheme="majorHAnsi" w:hAnsiTheme="majorHAnsi" w:cstheme="majorHAnsi"/>
            <w:noProof/>
            <w:sz w:val="24"/>
            <w:szCs w:val="24"/>
            <w:lang w:eastAsia="id-ID"/>
          </w:rPr>
          <w:t>visnik</w:t>
        </w:r>
        <w:r w:rsidRPr="00C10BD5">
          <w:rPr>
            <w:rStyle w:val="a9"/>
            <w:rFonts w:asciiTheme="majorHAnsi" w:hAnsiTheme="majorHAnsi" w:cstheme="majorHAnsi"/>
            <w:noProof/>
            <w:sz w:val="24"/>
            <w:szCs w:val="24"/>
            <w:lang w:val="uk-UA" w:eastAsia="id-ID"/>
          </w:rPr>
          <w:t>-</w:t>
        </w:r>
        <w:r w:rsidRPr="00C10BD5">
          <w:rPr>
            <w:rStyle w:val="a9"/>
            <w:rFonts w:asciiTheme="majorHAnsi" w:hAnsiTheme="majorHAnsi" w:cstheme="majorHAnsi"/>
            <w:noProof/>
            <w:sz w:val="24"/>
            <w:szCs w:val="24"/>
            <w:lang w:eastAsia="id-ID"/>
          </w:rPr>
          <w:t>naprnu</w:t>
        </w:r>
        <w:r w:rsidRPr="00C10BD5">
          <w:rPr>
            <w:rStyle w:val="a9"/>
            <w:rFonts w:asciiTheme="majorHAnsi" w:hAnsiTheme="majorHAnsi" w:cstheme="majorHAnsi"/>
            <w:noProof/>
            <w:sz w:val="24"/>
            <w:szCs w:val="24"/>
            <w:lang w:val="uk-UA" w:eastAsia="id-ID"/>
          </w:rPr>
          <w:t>-2-2021-</w:t>
        </w:r>
        <w:r w:rsidRPr="00C10BD5">
          <w:rPr>
            <w:rStyle w:val="a9"/>
            <w:rFonts w:asciiTheme="majorHAnsi" w:hAnsiTheme="majorHAnsi" w:cstheme="majorHAnsi"/>
            <w:noProof/>
            <w:sz w:val="24"/>
            <w:szCs w:val="24"/>
            <w:lang w:eastAsia="id-ID"/>
          </w:rPr>
          <w:t>r</w:t>
        </w:r>
        <w:r w:rsidRPr="00C10BD5">
          <w:rPr>
            <w:rStyle w:val="a9"/>
            <w:rFonts w:asciiTheme="majorHAnsi" w:hAnsiTheme="majorHAnsi" w:cstheme="majorHAnsi"/>
            <w:noProof/>
            <w:sz w:val="24"/>
            <w:szCs w:val="24"/>
            <w:lang w:val="uk-UA" w:eastAsia="id-ID"/>
          </w:rPr>
          <w:t>/</w:t>
        </w:r>
        <w:r w:rsidRPr="00C10BD5">
          <w:rPr>
            <w:rStyle w:val="a9"/>
            <w:rFonts w:asciiTheme="majorHAnsi" w:hAnsiTheme="majorHAnsi" w:cstheme="majorHAnsi"/>
            <w:noProof/>
            <w:sz w:val="24"/>
            <w:szCs w:val="24"/>
            <w:lang w:eastAsia="id-ID"/>
          </w:rPr>
          <w:t>teoretichni</w:t>
        </w:r>
        <w:r w:rsidRPr="00C10BD5">
          <w:rPr>
            <w:rStyle w:val="a9"/>
            <w:rFonts w:asciiTheme="majorHAnsi" w:hAnsiTheme="majorHAnsi" w:cstheme="majorHAnsi"/>
            <w:noProof/>
            <w:sz w:val="24"/>
            <w:szCs w:val="24"/>
            <w:lang w:val="uk-UA" w:eastAsia="id-ID"/>
          </w:rPr>
          <w:t>-</w:t>
        </w:r>
        <w:r w:rsidRPr="00C10BD5">
          <w:rPr>
            <w:rStyle w:val="a9"/>
            <w:rFonts w:asciiTheme="majorHAnsi" w:hAnsiTheme="majorHAnsi" w:cstheme="majorHAnsi"/>
            <w:noProof/>
            <w:sz w:val="24"/>
            <w:szCs w:val="24"/>
            <w:lang w:eastAsia="id-ID"/>
          </w:rPr>
          <w:t>osnovi</w:t>
        </w:r>
        <w:r w:rsidRPr="00C10BD5">
          <w:rPr>
            <w:rStyle w:val="a9"/>
            <w:rFonts w:asciiTheme="majorHAnsi" w:hAnsiTheme="majorHAnsi" w:cstheme="majorHAnsi"/>
            <w:noProof/>
            <w:sz w:val="24"/>
            <w:szCs w:val="24"/>
            <w:lang w:val="uk-UA" w:eastAsia="id-ID"/>
          </w:rPr>
          <w:t>-</w:t>
        </w:r>
        <w:r w:rsidRPr="00C10BD5">
          <w:rPr>
            <w:rStyle w:val="a9"/>
            <w:rFonts w:asciiTheme="majorHAnsi" w:hAnsiTheme="majorHAnsi" w:cstheme="majorHAnsi"/>
            <w:noProof/>
            <w:sz w:val="24"/>
            <w:szCs w:val="24"/>
            <w:lang w:eastAsia="id-ID"/>
          </w:rPr>
          <w:t>ta</w:t>
        </w:r>
        <w:r w:rsidRPr="00C10BD5">
          <w:rPr>
            <w:rStyle w:val="a9"/>
            <w:rFonts w:asciiTheme="majorHAnsi" w:hAnsiTheme="majorHAnsi" w:cstheme="majorHAnsi"/>
            <w:noProof/>
            <w:sz w:val="24"/>
            <w:szCs w:val="24"/>
            <w:lang w:val="uk-UA" w:eastAsia="id-ID"/>
          </w:rPr>
          <w:t>-</w:t>
        </w:r>
        <w:r w:rsidRPr="00C10BD5">
          <w:rPr>
            <w:rStyle w:val="a9"/>
            <w:rFonts w:asciiTheme="majorHAnsi" w:hAnsiTheme="majorHAnsi" w:cstheme="majorHAnsi"/>
            <w:noProof/>
            <w:sz w:val="24"/>
            <w:szCs w:val="24"/>
            <w:lang w:eastAsia="id-ID"/>
          </w:rPr>
          <w:t>prioriteti</w:t>
        </w:r>
        <w:r w:rsidRPr="00C10BD5">
          <w:rPr>
            <w:rStyle w:val="a9"/>
            <w:rFonts w:asciiTheme="majorHAnsi" w:hAnsiTheme="majorHAnsi" w:cstheme="majorHAnsi"/>
            <w:noProof/>
            <w:sz w:val="24"/>
            <w:szCs w:val="24"/>
            <w:lang w:val="uk-UA" w:eastAsia="id-ID"/>
          </w:rPr>
          <w:t>-</w:t>
        </w:r>
        <w:r w:rsidRPr="00C10BD5">
          <w:rPr>
            <w:rStyle w:val="a9"/>
            <w:rFonts w:asciiTheme="majorHAnsi" w:hAnsiTheme="majorHAnsi" w:cstheme="majorHAnsi"/>
            <w:noProof/>
            <w:sz w:val="24"/>
            <w:szCs w:val="24"/>
            <w:lang w:eastAsia="id-ID"/>
          </w:rPr>
          <w:t>rozvitku</w:t>
        </w:r>
        <w:r w:rsidRPr="00C10BD5">
          <w:rPr>
            <w:rStyle w:val="a9"/>
            <w:rFonts w:asciiTheme="majorHAnsi" w:hAnsiTheme="majorHAnsi" w:cstheme="majorHAnsi"/>
            <w:noProof/>
            <w:sz w:val="24"/>
            <w:szCs w:val="24"/>
            <w:lang w:val="uk-UA" w:eastAsia="id-ID"/>
          </w:rPr>
          <w:t>-</w:t>
        </w:r>
        <w:r w:rsidRPr="00C10BD5">
          <w:rPr>
            <w:rStyle w:val="a9"/>
            <w:rFonts w:asciiTheme="majorHAnsi" w:hAnsiTheme="majorHAnsi" w:cstheme="majorHAnsi"/>
            <w:noProof/>
            <w:sz w:val="24"/>
            <w:szCs w:val="24"/>
            <w:lang w:eastAsia="id-ID"/>
          </w:rPr>
          <w:t>prava</w:t>
        </w:r>
        <w:r w:rsidRPr="00C10BD5">
          <w:rPr>
            <w:rStyle w:val="a9"/>
            <w:rFonts w:asciiTheme="majorHAnsi" w:hAnsiTheme="majorHAnsi" w:cstheme="majorHAnsi"/>
            <w:noProof/>
            <w:sz w:val="24"/>
            <w:szCs w:val="24"/>
            <w:lang w:val="uk-UA" w:eastAsia="id-ID"/>
          </w:rPr>
          <w:t>-</w:t>
        </w:r>
        <w:r w:rsidRPr="00C10BD5">
          <w:rPr>
            <w:rStyle w:val="a9"/>
            <w:rFonts w:asciiTheme="majorHAnsi" w:hAnsiTheme="majorHAnsi" w:cstheme="majorHAnsi"/>
            <w:noProof/>
            <w:sz w:val="24"/>
            <w:szCs w:val="24"/>
            <w:lang w:eastAsia="id-ID"/>
          </w:rPr>
          <w:t>natsionalnoyi</w:t>
        </w:r>
        <w:r w:rsidRPr="00C10BD5">
          <w:rPr>
            <w:rStyle w:val="a9"/>
            <w:rFonts w:asciiTheme="majorHAnsi" w:hAnsiTheme="majorHAnsi" w:cstheme="majorHAnsi"/>
            <w:noProof/>
            <w:sz w:val="24"/>
            <w:szCs w:val="24"/>
            <w:lang w:val="uk-UA" w:eastAsia="id-ID"/>
          </w:rPr>
          <w:t>-</w:t>
        </w:r>
        <w:r w:rsidRPr="00C10BD5">
          <w:rPr>
            <w:rStyle w:val="a9"/>
            <w:rFonts w:asciiTheme="majorHAnsi" w:hAnsiTheme="majorHAnsi" w:cstheme="majorHAnsi"/>
            <w:noProof/>
            <w:sz w:val="24"/>
            <w:szCs w:val="24"/>
            <w:lang w:eastAsia="id-ID"/>
          </w:rPr>
          <w:t>bezpeki</w:t>
        </w:r>
      </w:hyperlink>
    </w:p>
    <w:p w14:paraId="069DFE4C" w14:textId="77777777" w:rsidR="00E3097C" w:rsidRPr="00C10BD5" w:rsidRDefault="00E3097C" w:rsidP="00E3097C">
      <w:pPr>
        <w:numPr>
          <w:ilvl w:val="0"/>
          <w:numId w:val="4"/>
        </w:numPr>
        <w:tabs>
          <w:tab w:val="left" w:pos="709"/>
        </w:tabs>
        <w:spacing w:before="120" w:after="120"/>
        <w:ind w:left="709" w:hanging="425"/>
        <w:jc w:val="both"/>
        <w:rPr>
          <w:rFonts w:asciiTheme="majorHAnsi" w:hAnsiTheme="majorHAnsi" w:cstheme="majorHAnsi"/>
          <w:noProof/>
          <w:sz w:val="24"/>
          <w:szCs w:val="24"/>
          <w:lang w:eastAsia="id-ID"/>
        </w:rPr>
      </w:pPr>
      <w:r w:rsidRPr="00C10BD5">
        <w:rPr>
          <w:rFonts w:asciiTheme="majorHAnsi" w:hAnsiTheme="majorHAnsi" w:cstheme="majorHAnsi"/>
          <w:noProof/>
          <w:sz w:val="24"/>
          <w:szCs w:val="24"/>
          <w:lang w:val="pt-PT" w:eastAsia="id-ID"/>
        </w:rPr>
        <w:t xml:space="preserve">Fatima, S., Desouza, K. C., &amp; Dawson, G. S. (2020). </w:t>
      </w:r>
      <w:r w:rsidRPr="00C10BD5">
        <w:rPr>
          <w:rFonts w:asciiTheme="majorHAnsi" w:hAnsiTheme="majorHAnsi" w:cstheme="majorHAnsi"/>
          <w:noProof/>
          <w:sz w:val="24"/>
          <w:szCs w:val="24"/>
          <w:lang w:eastAsia="id-ID"/>
        </w:rPr>
        <w:t xml:space="preserve">National strategic artificial intelligence plans: A multi-dimensional analysis. </w:t>
      </w:r>
      <w:r w:rsidRPr="00C10BD5">
        <w:rPr>
          <w:rFonts w:asciiTheme="majorHAnsi" w:hAnsiTheme="majorHAnsi" w:cstheme="majorHAnsi"/>
          <w:i/>
          <w:noProof/>
          <w:sz w:val="24"/>
          <w:szCs w:val="24"/>
          <w:lang w:eastAsia="id-ID"/>
        </w:rPr>
        <w:t>Economic Analysis and Policy</w:t>
      </w:r>
      <w:r w:rsidRPr="00C10BD5">
        <w:rPr>
          <w:rFonts w:asciiTheme="majorHAnsi" w:hAnsiTheme="majorHAnsi" w:cstheme="majorHAnsi"/>
          <w:noProof/>
          <w:sz w:val="24"/>
          <w:szCs w:val="24"/>
          <w:lang w:eastAsia="id-ID"/>
        </w:rPr>
        <w:t xml:space="preserve">, </w:t>
      </w:r>
      <w:r w:rsidRPr="00C10BD5">
        <w:rPr>
          <w:rFonts w:asciiTheme="majorHAnsi" w:hAnsiTheme="majorHAnsi" w:cstheme="majorHAnsi"/>
          <w:i/>
          <w:noProof/>
          <w:sz w:val="24"/>
          <w:szCs w:val="24"/>
          <w:lang w:eastAsia="id-ID"/>
        </w:rPr>
        <w:t>67</w:t>
      </w:r>
      <w:r w:rsidRPr="00C10BD5">
        <w:rPr>
          <w:rFonts w:asciiTheme="majorHAnsi" w:hAnsiTheme="majorHAnsi" w:cstheme="majorHAnsi"/>
          <w:noProof/>
          <w:sz w:val="24"/>
          <w:szCs w:val="24"/>
          <w:lang w:eastAsia="id-ID"/>
        </w:rPr>
        <w:t xml:space="preserve">, 178–194. </w:t>
      </w:r>
      <w:hyperlink r:id="rId26" w:history="1">
        <w:r w:rsidRPr="00C10BD5">
          <w:rPr>
            <w:rStyle w:val="a9"/>
            <w:rFonts w:asciiTheme="majorHAnsi" w:hAnsiTheme="majorHAnsi" w:cstheme="majorHAnsi"/>
            <w:noProof/>
            <w:sz w:val="24"/>
            <w:szCs w:val="24"/>
            <w:lang w:eastAsia="id-ID"/>
          </w:rPr>
          <w:t>https://doi.org/10.1016/j.eap.2020.07.008</w:t>
        </w:r>
      </w:hyperlink>
    </w:p>
    <w:p w14:paraId="7631501F" w14:textId="77777777" w:rsidR="00E3097C" w:rsidRPr="00C10BD5" w:rsidRDefault="00E3097C" w:rsidP="00E3097C">
      <w:pPr>
        <w:numPr>
          <w:ilvl w:val="0"/>
          <w:numId w:val="4"/>
        </w:numPr>
        <w:tabs>
          <w:tab w:val="left" w:pos="709"/>
        </w:tabs>
        <w:spacing w:before="120" w:after="120"/>
        <w:ind w:left="709" w:hanging="425"/>
        <w:jc w:val="both"/>
        <w:rPr>
          <w:rFonts w:asciiTheme="majorHAnsi" w:hAnsiTheme="majorHAnsi" w:cstheme="majorHAnsi"/>
          <w:noProof/>
          <w:sz w:val="24"/>
          <w:szCs w:val="24"/>
          <w:lang w:eastAsia="id-ID"/>
        </w:rPr>
      </w:pPr>
      <w:r w:rsidRPr="00C10BD5">
        <w:rPr>
          <w:rFonts w:asciiTheme="majorHAnsi" w:hAnsiTheme="majorHAnsi" w:cstheme="majorHAnsi"/>
          <w:noProof/>
          <w:sz w:val="24"/>
          <w:szCs w:val="24"/>
          <w:lang w:val="de-DE" w:eastAsia="id-ID"/>
        </w:rPr>
        <w:t xml:space="preserve">Gerke, S., Minssen, T., &amp; Cohen, G. (2020). </w:t>
      </w:r>
      <w:r w:rsidRPr="00C10BD5">
        <w:rPr>
          <w:rFonts w:asciiTheme="majorHAnsi" w:hAnsiTheme="majorHAnsi" w:cstheme="majorHAnsi"/>
          <w:noProof/>
          <w:sz w:val="24"/>
          <w:szCs w:val="24"/>
          <w:lang w:eastAsia="id-ID"/>
        </w:rPr>
        <w:t xml:space="preserve">Ethical and legal challenges of artificial intelligence-driven healthcare. In </w:t>
      </w:r>
      <w:r w:rsidRPr="00C10BD5">
        <w:rPr>
          <w:rFonts w:asciiTheme="majorHAnsi" w:hAnsiTheme="majorHAnsi" w:cstheme="majorHAnsi"/>
          <w:i/>
          <w:noProof/>
          <w:sz w:val="24"/>
          <w:szCs w:val="24"/>
          <w:lang w:eastAsia="id-ID"/>
        </w:rPr>
        <w:t>Artificial Intelligence in Healthcare</w:t>
      </w:r>
      <w:r w:rsidRPr="00C10BD5">
        <w:rPr>
          <w:rFonts w:asciiTheme="majorHAnsi" w:hAnsiTheme="majorHAnsi" w:cstheme="majorHAnsi"/>
          <w:noProof/>
          <w:sz w:val="24"/>
          <w:szCs w:val="24"/>
          <w:lang w:eastAsia="id-ID"/>
        </w:rPr>
        <w:t xml:space="preserve">(pp. 295–336). Elsevier. </w:t>
      </w:r>
      <w:hyperlink r:id="rId27" w:history="1">
        <w:r w:rsidRPr="00C10BD5">
          <w:rPr>
            <w:rStyle w:val="a9"/>
            <w:rFonts w:asciiTheme="majorHAnsi" w:hAnsiTheme="majorHAnsi" w:cstheme="majorHAnsi"/>
            <w:noProof/>
            <w:sz w:val="24"/>
            <w:szCs w:val="24"/>
            <w:lang w:eastAsia="id-ID"/>
          </w:rPr>
          <w:t>https://doi.org/10.1016/b978-0-12-818438-7.00012-5</w:t>
        </w:r>
      </w:hyperlink>
    </w:p>
    <w:p w14:paraId="5CDB9D09" w14:textId="77777777" w:rsidR="00E3097C" w:rsidRPr="00C10BD5" w:rsidRDefault="00E3097C" w:rsidP="00E3097C">
      <w:pPr>
        <w:numPr>
          <w:ilvl w:val="0"/>
          <w:numId w:val="4"/>
        </w:numPr>
        <w:tabs>
          <w:tab w:val="left" w:pos="709"/>
        </w:tabs>
        <w:spacing w:before="120" w:after="120"/>
        <w:ind w:left="709" w:hanging="425"/>
        <w:jc w:val="both"/>
        <w:rPr>
          <w:rFonts w:asciiTheme="majorHAnsi" w:hAnsiTheme="majorHAnsi" w:cstheme="majorHAnsi"/>
          <w:noProof/>
          <w:sz w:val="24"/>
          <w:szCs w:val="24"/>
          <w:lang w:eastAsia="id-ID"/>
        </w:rPr>
      </w:pPr>
      <w:r w:rsidRPr="00C10BD5">
        <w:rPr>
          <w:rFonts w:asciiTheme="majorHAnsi" w:hAnsiTheme="majorHAnsi" w:cstheme="majorHAnsi"/>
          <w:noProof/>
          <w:sz w:val="24"/>
          <w:szCs w:val="24"/>
          <w:lang w:eastAsia="id-ID"/>
        </w:rPr>
        <w:t xml:space="preserve">Hubanova, T., Shchokin, R., Hubanov, O., Antonov, V., Slobodianiuk, P., Podolyaka, S. (2021). Information technologies in improving crime prevention mechanisms in the border regions of southern Ukraine. </w:t>
      </w:r>
      <w:r w:rsidRPr="00C10BD5">
        <w:rPr>
          <w:rFonts w:asciiTheme="majorHAnsi" w:hAnsiTheme="majorHAnsi" w:cstheme="majorHAnsi"/>
          <w:i/>
          <w:noProof/>
          <w:sz w:val="24"/>
          <w:szCs w:val="24"/>
          <w:lang w:eastAsia="id-ID"/>
        </w:rPr>
        <w:t>Journal of Information Technology Management, 13,</w:t>
      </w:r>
      <w:r w:rsidRPr="00C10BD5">
        <w:rPr>
          <w:rFonts w:asciiTheme="majorHAnsi" w:hAnsiTheme="majorHAnsi" w:cstheme="majorHAnsi"/>
          <w:noProof/>
          <w:sz w:val="24"/>
          <w:szCs w:val="24"/>
          <w:lang w:eastAsia="id-ID"/>
        </w:rPr>
        <w:t xml:space="preserve"> 75–90. </w:t>
      </w:r>
      <w:hyperlink r:id="rId28" w:history="1">
        <w:r w:rsidRPr="00C10BD5">
          <w:rPr>
            <w:rStyle w:val="a9"/>
            <w:rFonts w:asciiTheme="majorHAnsi" w:hAnsiTheme="majorHAnsi" w:cstheme="majorHAnsi"/>
            <w:noProof/>
            <w:sz w:val="24"/>
            <w:szCs w:val="24"/>
            <w:lang w:eastAsia="id-ID"/>
          </w:rPr>
          <w:t>https://doi.org/10.22059/JITM.2021.80738</w:t>
        </w:r>
      </w:hyperlink>
    </w:p>
    <w:p w14:paraId="70245223" w14:textId="77777777" w:rsidR="00E3097C" w:rsidRPr="00C10BD5" w:rsidRDefault="00E3097C" w:rsidP="00E3097C">
      <w:pPr>
        <w:numPr>
          <w:ilvl w:val="0"/>
          <w:numId w:val="4"/>
        </w:numPr>
        <w:tabs>
          <w:tab w:val="left" w:pos="709"/>
        </w:tabs>
        <w:spacing w:before="120" w:after="120"/>
        <w:ind w:left="709" w:hanging="425"/>
        <w:jc w:val="both"/>
        <w:rPr>
          <w:rFonts w:asciiTheme="majorHAnsi" w:hAnsiTheme="majorHAnsi" w:cstheme="majorHAnsi"/>
          <w:noProof/>
          <w:sz w:val="24"/>
          <w:szCs w:val="24"/>
          <w:lang w:eastAsia="id-ID"/>
        </w:rPr>
      </w:pPr>
      <w:r w:rsidRPr="00C10BD5">
        <w:rPr>
          <w:rFonts w:asciiTheme="majorHAnsi" w:hAnsiTheme="majorHAnsi" w:cstheme="majorHAnsi"/>
          <w:noProof/>
          <w:sz w:val="24"/>
          <w:szCs w:val="24"/>
          <w:lang w:eastAsia="id-ID"/>
        </w:rPr>
        <w:t xml:space="preserve">Li, Y., &amp; Liu, Q. (2021). A comprehensive review study of cyber-attacks and cyber security; Emerging trends and recent developments. </w:t>
      </w:r>
      <w:r w:rsidRPr="00C10BD5">
        <w:rPr>
          <w:rFonts w:asciiTheme="majorHAnsi" w:hAnsiTheme="majorHAnsi" w:cstheme="majorHAnsi"/>
          <w:i/>
          <w:iCs/>
          <w:noProof/>
          <w:sz w:val="24"/>
          <w:szCs w:val="24"/>
          <w:lang w:eastAsia="id-ID"/>
        </w:rPr>
        <w:t>Energy Reports</w:t>
      </w:r>
      <w:r w:rsidRPr="00C10BD5">
        <w:rPr>
          <w:rFonts w:asciiTheme="majorHAnsi" w:hAnsiTheme="majorHAnsi" w:cstheme="majorHAnsi"/>
          <w:noProof/>
          <w:sz w:val="24"/>
          <w:szCs w:val="24"/>
          <w:lang w:eastAsia="id-ID"/>
        </w:rPr>
        <w:t xml:space="preserve">, </w:t>
      </w:r>
      <w:r w:rsidRPr="00C10BD5">
        <w:rPr>
          <w:rFonts w:asciiTheme="majorHAnsi" w:hAnsiTheme="majorHAnsi" w:cstheme="majorHAnsi"/>
          <w:i/>
          <w:iCs/>
          <w:noProof/>
          <w:sz w:val="24"/>
          <w:szCs w:val="24"/>
          <w:lang w:eastAsia="id-ID"/>
        </w:rPr>
        <w:t>7</w:t>
      </w:r>
      <w:r w:rsidRPr="00C10BD5">
        <w:rPr>
          <w:rFonts w:asciiTheme="majorHAnsi" w:hAnsiTheme="majorHAnsi" w:cstheme="majorHAnsi"/>
          <w:noProof/>
          <w:sz w:val="24"/>
          <w:szCs w:val="24"/>
          <w:lang w:eastAsia="id-ID"/>
        </w:rPr>
        <w:t xml:space="preserve">, 8176–8186. </w:t>
      </w:r>
      <w:hyperlink r:id="rId29" w:history="1">
        <w:r w:rsidRPr="00C10BD5">
          <w:rPr>
            <w:rStyle w:val="a9"/>
            <w:rFonts w:asciiTheme="majorHAnsi" w:hAnsiTheme="majorHAnsi" w:cstheme="majorHAnsi"/>
            <w:noProof/>
            <w:sz w:val="24"/>
            <w:szCs w:val="24"/>
            <w:lang w:eastAsia="id-ID"/>
          </w:rPr>
          <w:t>https://doi.org/10.1016/j.egyr.2021.08.126</w:t>
        </w:r>
      </w:hyperlink>
    </w:p>
    <w:p w14:paraId="3C6FE9D3" w14:textId="77777777" w:rsidR="00E3097C" w:rsidRPr="00C10BD5" w:rsidRDefault="00E3097C" w:rsidP="00E3097C">
      <w:pPr>
        <w:numPr>
          <w:ilvl w:val="0"/>
          <w:numId w:val="4"/>
        </w:numPr>
        <w:tabs>
          <w:tab w:val="left" w:pos="709"/>
        </w:tabs>
        <w:spacing w:before="120" w:after="120"/>
        <w:ind w:left="709" w:hanging="425"/>
        <w:jc w:val="both"/>
        <w:rPr>
          <w:rFonts w:asciiTheme="majorHAnsi" w:hAnsiTheme="majorHAnsi" w:cstheme="majorHAnsi"/>
          <w:noProof/>
          <w:sz w:val="24"/>
          <w:szCs w:val="24"/>
          <w:lang w:eastAsia="id-ID"/>
        </w:rPr>
      </w:pPr>
      <w:r w:rsidRPr="00C10BD5">
        <w:rPr>
          <w:rFonts w:asciiTheme="majorHAnsi" w:hAnsiTheme="majorHAnsi" w:cstheme="majorHAnsi"/>
          <w:noProof/>
          <w:sz w:val="24"/>
          <w:szCs w:val="24"/>
          <w:lang w:eastAsia="id-ID"/>
        </w:rPr>
        <w:t>Alguliyev</w:t>
      </w:r>
      <w:r w:rsidRPr="00C10BD5">
        <w:rPr>
          <w:rFonts w:asciiTheme="majorHAnsi" w:hAnsiTheme="majorHAnsi" w:cstheme="majorHAnsi"/>
          <w:noProof/>
          <w:sz w:val="24"/>
          <w:szCs w:val="24"/>
          <w:lang w:val="uk-UA" w:eastAsia="id-ID"/>
        </w:rPr>
        <w:t xml:space="preserve">, </w:t>
      </w:r>
      <w:r w:rsidRPr="00C10BD5">
        <w:rPr>
          <w:rFonts w:asciiTheme="majorHAnsi" w:hAnsiTheme="majorHAnsi" w:cstheme="majorHAnsi"/>
          <w:noProof/>
          <w:sz w:val="24"/>
          <w:szCs w:val="24"/>
          <w:lang w:eastAsia="id-ID"/>
        </w:rPr>
        <w:t>R</w:t>
      </w:r>
      <w:r w:rsidRPr="00C10BD5">
        <w:rPr>
          <w:rFonts w:asciiTheme="majorHAnsi" w:hAnsiTheme="majorHAnsi" w:cstheme="majorHAnsi"/>
          <w:noProof/>
          <w:sz w:val="24"/>
          <w:szCs w:val="24"/>
          <w:lang w:val="uk-UA" w:eastAsia="id-ID"/>
        </w:rPr>
        <w:t xml:space="preserve">. </w:t>
      </w:r>
      <w:r w:rsidRPr="00C10BD5">
        <w:rPr>
          <w:rFonts w:asciiTheme="majorHAnsi" w:hAnsiTheme="majorHAnsi" w:cstheme="majorHAnsi"/>
          <w:noProof/>
          <w:sz w:val="24"/>
          <w:szCs w:val="24"/>
          <w:lang w:eastAsia="id-ID"/>
        </w:rPr>
        <w:t>M</w:t>
      </w:r>
      <w:r w:rsidRPr="00C10BD5">
        <w:rPr>
          <w:rFonts w:asciiTheme="majorHAnsi" w:hAnsiTheme="majorHAnsi" w:cstheme="majorHAnsi"/>
          <w:noProof/>
          <w:sz w:val="24"/>
          <w:szCs w:val="24"/>
          <w:lang w:val="uk-UA" w:eastAsia="id-ID"/>
        </w:rPr>
        <w:t xml:space="preserve">., </w:t>
      </w:r>
      <w:r w:rsidRPr="00C10BD5">
        <w:rPr>
          <w:rFonts w:asciiTheme="majorHAnsi" w:hAnsiTheme="majorHAnsi" w:cstheme="majorHAnsi"/>
          <w:noProof/>
          <w:sz w:val="24"/>
          <w:szCs w:val="24"/>
          <w:lang w:eastAsia="id-ID"/>
        </w:rPr>
        <w:t>Imamverdiyev</w:t>
      </w:r>
      <w:r w:rsidRPr="00C10BD5">
        <w:rPr>
          <w:rFonts w:asciiTheme="majorHAnsi" w:hAnsiTheme="majorHAnsi" w:cstheme="majorHAnsi"/>
          <w:noProof/>
          <w:sz w:val="24"/>
          <w:szCs w:val="24"/>
          <w:lang w:val="uk-UA" w:eastAsia="id-ID"/>
        </w:rPr>
        <w:t xml:space="preserve">, </w:t>
      </w:r>
      <w:r w:rsidRPr="00C10BD5">
        <w:rPr>
          <w:rFonts w:asciiTheme="majorHAnsi" w:hAnsiTheme="majorHAnsi" w:cstheme="majorHAnsi"/>
          <w:noProof/>
          <w:sz w:val="24"/>
          <w:szCs w:val="24"/>
          <w:lang w:eastAsia="id-ID"/>
        </w:rPr>
        <w:t>Y</w:t>
      </w:r>
      <w:r w:rsidRPr="00C10BD5">
        <w:rPr>
          <w:rFonts w:asciiTheme="majorHAnsi" w:hAnsiTheme="majorHAnsi" w:cstheme="majorHAnsi"/>
          <w:noProof/>
          <w:sz w:val="24"/>
          <w:szCs w:val="24"/>
          <w:lang w:val="uk-UA" w:eastAsia="id-ID"/>
        </w:rPr>
        <w:t xml:space="preserve">., </w:t>
      </w:r>
      <w:r w:rsidRPr="00C10BD5">
        <w:rPr>
          <w:rFonts w:asciiTheme="majorHAnsi" w:hAnsiTheme="majorHAnsi" w:cstheme="majorHAnsi"/>
          <w:noProof/>
          <w:sz w:val="24"/>
          <w:szCs w:val="24"/>
          <w:lang w:eastAsia="id-ID"/>
        </w:rPr>
        <w:t>Mahmudov</w:t>
      </w:r>
      <w:r w:rsidRPr="00C10BD5">
        <w:rPr>
          <w:rFonts w:asciiTheme="majorHAnsi" w:hAnsiTheme="majorHAnsi" w:cstheme="majorHAnsi"/>
          <w:noProof/>
          <w:sz w:val="24"/>
          <w:szCs w:val="24"/>
          <w:lang w:val="uk-UA" w:eastAsia="id-ID"/>
        </w:rPr>
        <w:t xml:space="preserve">, </w:t>
      </w:r>
      <w:r w:rsidRPr="00C10BD5">
        <w:rPr>
          <w:rFonts w:asciiTheme="majorHAnsi" w:hAnsiTheme="majorHAnsi" w:cstheme="majorHAnsi"/>
          <w:noProof/>
          <w:sz w:val="24"/>
          <w:szCs w:val="24"/>
          <w:lang w:eastAsia="id-ID"/>
        </w:rPr>
        <w:t>R</w:t>
      </w:r>
      <w:r w:rsidRPr="00C10BD5">
        <w:rPr>
          <w:rFonts w:asciiTheme="majorHAnsi" w:hAnsiTheme="majorHAnsi" w:cstheme="majorHAnsi"/>
          <w:noProof/>
          <w:sz w:val="24"/>
          <w:szCs w:val="24"/>
          <w:lang w:val="uk-UA" w:eastAsia="id-ID"/>
        </w:rPr>
        <w:t xml:space="preserve">., &amp; </w:t>
      </w:r>
      <w:r w:rsidRPr="00C10BD5">
        <w:rPr>
          <w:rFonts w:asciiTheme="majorHAnsi" w:hAnsiTheme="majorHAnsi" w:cstheme="majorHAnsi"/>
          <w:noProof/>
          <w:sz w:val="24"/>
          <w:szCs w:val="24"/>
          <w:lang w:eastAsia="id-ID"/>
        </w:rPr>
        <w:t>Alguliyev</w:t>
      </w:r>
      <w:r w:rsidRPr="00C10BD5">
        <w:rPr>
          <w:rFonts w:asciiTheme="majorHAnsi" w:hAnsiTheme="majorHAnsi" w:cstheme="majorHAnsi"/>
          <w:noProof/>
          <w:sz w:val="24"/>
          <w:szCs w:val="24"/>
          <w:lang w:val="uk-UA" w:eastAsia="id-ID"/>
        </w:rPr>
        <w:t xml:space="preserve">, </w:t>
      </w:r>
      <w:r w:rsidRPr="00C10BD5">
        <w:rPr>
          <w:rFonts w:asciiTheme="majorHAnsi" w:hAnsiTheme="majorHAnsi" w:cstheme="majorHAnsi"/>
          <w:noProof/>
          <w:sz w:val="24"/>
          <w:szCs w:val="24"/>
          <w:lang w:eastAsia="id-ID"/>
        </w:rPr>
        <w:t>R</w:t>
      </w:r>
      <w:r w:rsidRPr="00C10BD5">
        <w:rPr>
          <w:rFonts w:asciiTheme="majorHAnsi" w:hAnsiTheme="majorHAnsi" w:cstheme="majorHAnsi"/>
          <w:noProof/>
          <w:sz w:val="24"/>
          <w:szCs w:val="24"/>
          <w:lang w:val="uk-UA" w:eastAsia="id-ID"/>
        </w:rPr>
        <w:t xml:space="preserve">. </w:t>
      </w:r>
      <w:r w:rsidRPr="00C10BD5">
        <w:rPr>
          <w:rFonts w:asciiTheme="majorHAnsi" w:hAnsiTheme="majorHAnsi" w:cstheme="majorHAnsi"/>
          <w:noProof/>
          <w:sz w:val="24"/>
          <w:szCs w:val="24"/>
          <w:lang w:eastAsia="id-ID"/>
        </w:rPr>
        <w:t>M</w:t>
      </w:r>
      <w:r w:rsidRPr="00C10BD5">
        <w:rPr>
          <w:rFonts w:asciiTheme="majorHAnsi" w:hAnsiTheme="majorHAnsi" w:cstheme="majorHAnsi"/>
          <w:noProof/>
          <w:sz w:val="24"/>
          <w:szCs w:val="24"/>
          <w:lang w:val="uk-UA" w:eastAsia="id-ID"/>
        </w:rPr>
        <w:t xml:space="preserve">. (2021). </w:t>
      </w:r>
      <w:r w:rsidRPr="00C10BD5">
        <w:rPr>
          <w:rFonts w:asciiTheme="majorHAnsi" w:hAnsiTheme="majorHAnsi" w:cstheme="majorHAnsi"/>
          <w:noProof/>
          <w:sz w:val="24"/>
          <w:szCs w:val="24"/>
          <w:lang w:eastAsia="id-ID"/>
        </w:rPr>
        <w:t xml:space="preserve">Information security as a national security component. </w:t>
      </w:r>
      <w:r w:rsidRPr="00C10BD5">
        <w:rPr>
          <w:rFonts w:asciiTheme="majorHAnsi" w:hAnsiTheme="majorHAnsi" w:cstheme="majorHAnsi"/>
          <w:i/>
          <w:noProof/>
          <w:sz w:val="24"/>
          <w:szCs w:val="24"/>
          <w:lang w:eastAsia="id-ID"/>
        </w:rPr>
        <w:t>Information Security Journal: A Global Perspective</w:t>
      </w:r>
      <w:r w:rsidRPr="00C10BD5">
        <w:rPr>
          <w:rFonts w:asciiTheme="majorHAnsi" w:hAnsiTheme="majorHAnsi" w:cstheme="majorHAnsi"/>
          <w:noProof/>
          <w:sz w:val="24"/>
          <w:szCs w:val="24"/>
          <w:lang w:eastAsia="id-ID"/>
        </w:rPr>
        <w:t xml:space="preserve">, </w:t>
      </w:r>
      <w:r w:rsidRPr="00C10BD5">
        <w:rPr>
          <w:rFonts w:asciiTheme="majorHAnsi" w:hAnsiTheme="majorHAnsi" w:cstheme="majorHAnsi"/>
          <w:i/>
          <w:noProof/>
          <w:sz w:val="24"/>
          <w:szCs w:val="24"/>
          <w:lang w:eastAsia="id-ID"/>
        </w:rPr>
        <w:t>30</w:t>
      </w:r>
      <w:r w:rsidRPr="00C10BD5">
        <w:rPr>
          <w:rFonts w:asciiTheme="majorHAnsi" w:hAnsiTheme="majorHAnsi" w:cstheme="majorHAnsi"/>
          <w:noProof/>
          <w:sz w:val="24"/>
          <w:szCs w:val="24"/>
          <w:lang w:eastAsia="id-ID"/>
        </w:rPr>
        <w:t xml:space="preserve">(1), 1–18. </w:t>
      </w:r>
      <w:hyperlink r:id="rId30" w:history="1">
        <w:r w:rsidRPr="00C10BD5">
          <w:rPr>
            <w:rStyle w:val="a9"/>
            <w:rFonts w:asciiTheme="majorHAnsi" w:hAnsiTheme="majorHAnsi" w:cstheme="majorHAnsi"/>
            <w:noProof/>
            <w:sz w:val="24"/>
            <w:szCs w:val="24"/>
            <w:lang w:eastAsia="id-ID"/>
          </w:rPr>
          <w:t>https://doi.org/10.1080/19393555.2020.1795323</w:t>
        </w:r>
      </w:hyperlink>
    </w:p>
    <w:p w14:paraId="2C6A06B7" w14:textId="77777777" w:rsidR="00E3097C" w:rsidRPr="00C10BD5" w:rsidRDefault="00E3097C" w:rsidP="00E3097C">
      <w:pPr>
        <w:numPr>
          <w:ilvl w:val="0"/>
          <w:numId w:val="4"/>
        </w:numPr>
        <w:tabs>
          <w:tab w:val="left" w:pos="709"/>
        </w:tabs>
        <w:spacing w:before="120" w:after="120"/>
        <w:ind w:left="709" w:hanging="425"/>
        <w:jc w:val="both"/>
        <w:rPr>
          <w:rFonts w:asciiTheme="majorHAnsi" w:hAnsiTheme="majorHAnsi" w:cstheme="majorHAnsi"/>
          <w:noProof/>
          <w:sz w:val="24"/>
          <w:szCs w:val="24"/>
          <w:lang w:eastAsia="id-ID"/>
        </w:rPr>
      </w:pPr>
      <w:r w:rsidRPr="00C10BD5">
        <w:rPr>
          <w:rFonts w:asciiTheme="majorHAnsi" w:hAnsiTheme="majorHAnsi" w:cstheme="majorHAnsi"/>
          <w:noProof/>
          <w:sz w:val="24"/>
          <w:szCs w:val="24"/>
          <w:lang w:eastAsia="id-ID"/>
        </w:rPr>
        <w:t xml:space="preserve">Belkin, L., Iurynets, J., Sopilko, I., &amp; Belkin, M. (2022). Culture and the use of information understanding in the field of national security (a case study of Ukraine). </w:t>
      </w:r>
      <w:r w:rsidRPr="00C10BD5">
        <w:rPr>
          <w:rFonts w:asciiTheme="majorHAnsi" w:hAnsiTheme="majorHAnsi" w:cstheme="majorHAnsi"/>
          <w:i/>
          <w:noProof/>
          <w:sz w:val="24"/>
          <w:szCs w:val="24"/>
          <w:lang w:eastAsia="id-ID"/>
        </w:rPr>
        <w:t xml:space="preserve">Journal of </w:t>
      </w:r>
      <w:r w:rsidRPr="00C10BD5">
        <w:rPr>
          <w:rFonts w:asciiTheme="majorHAnsi" w:hAnsiTheme="majorHAnsi" w:cstheme="majorHAnsi"/>
          <w:i/>
          <w:noProof/>
          <w:sz w:val="24"/>
          <w:szCs w:val="24"/>
          <w:lang w:eastAsia="id-ID"/>
        </w:rPr>
        <w:lastRenderedPageBreak/>
        <w:t>International Legal Communication</w:t>
      </w:r>
      <w:r w:rsidRPr="00C10BD5">
        <w:rPr>
          <w:rFonts w:asciiTheme="majorHAnsi" w:hAnsiTheme="majorHAnsi" w:cstheme="majorHAnsi"/>
          <w:noProof/>
          <w:sz w:val="24"/>
          <w:szCs w:val="24"/>
          <w:lang w:eastAsia="id-ID"/>
        </w:rPr>
        <w:t xml:space="preserve">, </w:t>
      </w:r>
      <w:r w:rsidRPr="00C10BD5">
        <w:rPr>
          <w:rFonts w:asciiTheme="majorHAnsi" w:hAnsiTheme="majorHAnsi" w:cstheme="majorHAnsi"/>
          <w:i/>
          <w:noProof/>
          <w:sz w:val="24"/>
          <w:szCs w:val="24"/>
          <w:lang w:eastAsia="id-ID"/>
        </w:rPr>
        <w:t>5</w:t>
      </w:r>
      <w:r w:rsidRPr="00C10BD5">
        <w:rPr>
          <w:rFonts w:asciiTheme="majorHAnsi" w:hAnsiTheme="majorHAnsi" w:cstheme="majorHAnsi"/>
          <w:noProof/>
          <w:sz w:val="24"/>
          <w:szCs w:val="24"/>
          <w:lang w:eastAsia="id-ID"/>
        </w:rPr>
        <w:t xml:space="preserve">, 36–58. </w:t>
      </w:r>
      <w:hyperlink r:id="rId31" w:history="1">
        <w:r w:rsidRPr="00C10BD5">
          <w:rPr>
            <w:rStyle w:val="a9"/>
            <w:rFonts w:asciiTheme="majorHAnsi" w:hAnsiTheme="majorHAnsi" w:cstheme="majorHAnsi"/>
            <w:noProof/>
            <w:sz w:val="24"/>
            <w:szCs w:val="24"/>
            <w:lang w:eastAsia="id-ID"/>
          </w:rPr>
          <w:t>https://doi.org/10.32612/uw.27201643.2022.5.pp.36-58</w:t>
        </w:r>
      </w:hyperlink>
    </w:p>
    <w:p w14:paraId="7A9063C2" w14:textId="77777777" w:rsidR="00E3097C" w:rsidRPr="00C10BD5" w:rsidRDefault="00E3097C" w:rsidP="00E3097C">
      <w:pPr>
        <w:numPr>
          <w:ilvl w:val="0"/>
          <w:numId w:val="4"/>
        </w:numPr>
        <w:tabs>
          <w:tab w:val="left" w:pos="709"/>
        </w:tabs>
        <w:spacing w:before="120" w:after="120"/>
        <w:ind w:left="709" w:hanging="425"/>
        <w:jc w:val="both"/>
        <w:rPr>
          <w:rFonts w:asciiTheme="majorHAnsi" w:hAnsiTheme="majorHAnsi" w:cstheme="majorHAnsi"/>
          <w:noProof/>
          <w:sz w:val="24"/>
          <w:szCs w:val="24"/>
          <w:lang w:eastAsia="id-ID"/>
        </w:rPr>
      </w:pPr>
      <w:r w:rsidRPr="00C10BD5">
        <w:rPr>
          <w:rFonts w:asciiTheme="majorHAnsi" w:hAnsiTheme="majorHAnsi" w:cstheme="majorHAnsi"/>
          <w:noProof/>
          <w:sz w:val="24"/>
          <w:szCs w:val="24"/>
          <w:lang w:eastAsia="id-ID"/>
        </w:rPr>
        <w:t xml:space="preserve">Kubiv, S. I., Bobro, N. S., Lopushnyak, G. S., Lenher, Y. I., &amp; Kozhyna, A. (2020). Innovative Potential in European Countries: Analytical and Legal Aspects. </w:t>
      </w:r>
      <w:r w:rsidRPr="00C10BD5">
        <w:rPr>
          <w:rFonts w:asciiTheme="majorHAnsi" w:hAnsiTheme="majorHAnsi" w:cstheme="majorHAnsi"/>
          <w:i/>
          <w:noProof/>
          <w:sz w:val="24"/>
          <w:szCs w:val="24"/>
          <w:lang w:eastAsia="id-ID"/>
        </w:rPr>
        <w:t>International Journal of Economics and Business Administration</w:t>
      </w:r>
      <w:r w:rsidRPr="00C10BD5">
        <w:rPr>
          <w:rFonts w:asciiTheme="majorHAnsi" w:hAnsiTheme="majorHAnsi" w:cstheme="majorHAnsi"/>
          <w:noProof/>
          <w:sz w:val="24"/>
          <w:szCs w:val="24"/>
          <w:lang w:eastAsia="id-ID"/>
        </w:rPr>
        <w:t xml:space="preserve">, </w:t>
      </w:r>
      <w:r w:rsidRPr="00C10BD5">
        <w:rPr>
          <w:rFonts w:asciiTheme="majorHAnsi" w:hAnsiTheme="majorHAnsi" w:cstheme="majorHAnsi"/>
          <w:i/>
          <w:noProof/>
          <w:sz w:val="24"/>
          <w:szCs w:val="24"/>
          <w:lang w:eastAsia="id-ID"/>
        </w:rPr>
        <w:t>8</w:t>
      </w:r>
      <w:r w:rsidRPr="00C10BD5">
        <w:rPr>
          <w:rFonts w:asciiTheme="majorHAnsi" w:hAnsiTheme="majorHAnsi" w:cstheme="majorHAnsi"/>
          <w:noProof/>
          <w:sz w:val="24"/>
          <w:szCs w:val="24"/>
          <w:lang w:eastAsia="id-ID"/>
        </w:rPr>
        <w:t xml:space="preserve">(2), 250–264. </w:t>
      </w:r>
      <w:hyperlink r:id="rId32" w:history="1">
        <w:r w:rsidRPr="00C10BD5">
          <w:rPr>
            <w:rStyle w:val="a9"/>
            <w:rFonts w:asciiTheme="majorHAnsi" w:hAnsiTheme="majorHAnsi" w:cstheme="majorHAnsi"/>
            <w:noProof/>
            <w:sz w:val="24"/>
            <w:szCs w:val="24"/>
            <w:lang w:eastAsia="id-ID"/>
          </w:rPr>
          <w:t>https://doi.org/10.35808/ijeba/457</w:t>
        </w:r>
      </w:hyperlink>
    </w:p>
    <w:p w14:paraId="104FFC0C" w14:textId="77777777" w:rsidR="00E3097C" w:rsidRPr="00C10BD5" w:rsidRDefault="00E3097C" w:rsidP="00E3097C">
      <w:pPr>
        <w:numPr>
          <w:ilvl w:val="0"/>
          <w:numId w:val="4"/>
        </w:numPr>
        <w:tabs>
          <w:tab w:val="left" w:pos="709"/>
        </w:tabs>
        <w:spacing w:before="120" w:after="120"/>
        <w:ind w:left="709" w:hanging="425"/>
        <w:jc w:val="both"/>
        <w:rPr>
          <w:rStyle w:val="a9"/>
          <w:rFonts w:asciiTheme="majorHAnsi" w:hAnsiTheme="majorHAnsi" w:cstheme="majorHAnsi"/>
          <w:noProof/>
          <w:color w:val="auto"/>
          <w:sz w:val="24"/>
          <w:szCs w:val="24"/>
          <w:u w:val="none"/>
          <w:lang w:eastAsia="id-ID"/>
        </w:rPr>
      </w:pPr>
      <w:r w:rsidRPr="00C10BD5">
        <w:rPr>
          <w:rFonts w:asciiTheme="majorHAnsi" w:hAnsiTheme="majorHAnsi" w:cstheme="majorHAnsi"/>
          <w:noProof/>
          <w:sz w:val="24"/>
          <w:szCs w:val="24"/>
          <w:lang w:eastAsia="id-ID"/>
        </w:rPr>
        <w:t xml:space="preserve">Kliuchnyk, A., &amp; Husenko, A. (2024). Legal regulation of corruption prevention in public authorities. </w:t>
      </w:r>
      <w:r w:rsidRPr="00C10BD5">
        <w:rPr>
          <w:rFonts w:asciiTheme="majorHAnsi" w:hAnsiTheme="majorHAnsi" w:cstheme="majorHAnsi"/>
          <w:i/>
          <w:noProof/>
          <w:sz w:val="24"/>
          <w:szCs w:val="24"/>
          <w:lang w:eastAsia="id-ID"/>
        </w:rPr>
        <w:t>Law and Public Administration</w:t>
      </w:r>
      <w:r w:rsidRPr="00C10BD5">
        <w:rPr>
          <w:rFonts w:asciiTheme="majorHAnsi" w:hAnsiTheme="majorHAnsi" w:cstheme="majorHAnsi"/>
          <w:noProof/>
          <w:sz w:val="24"/>
          <w:szCs w:val="24"/>
          <w:lang w:eastAsia="id-ID"/>
        </w:rPr>
        <w:t xml:space="preserve">, (1), 182–189. </w:t>
      </w:r>
      <w:hyperlink r:id="rId33" w:history="1">
        <w:r w:rsidRPr="00C10BD5">
          <w:rPr>
            <w:rStyle w:val="a9"/>
            <w:rFonts w:asciiTheme="majorHAnsi" w:hAnsiTheme="majorHAnsi" w:cstheme="majorHAnsi"/>
            <w:noProof/>
            <w:sz w:val="24"/>
            <w:szCs w:val="24"/>
            <w:lang w:eastAsia="id-ID"/>
          </w:rPr>
          <w:t>https://doi.org/10.32782/pdu.2024.1.25</w:t>
        </w:r>
      </w:hyperlink>
    </w:p>
    <w:p w14:paraId="6785017E" w14:textId="77777777" w:rsidR="00E3097C" w:rsidRPr="00C10BD5" w:rsidRDefault="00E3097C" w:rsidP="00E3097C">
      <w:pPr>
        <w:numPr>
          <w:ilvl w:val="0"/>
          <w:numId w:val="4"/>
        </w:numPr>
        <w:tabs>
          <w:tab w:val="left" w:pos="709"/>
        </w:tabs>
        <w:spacing w:before="120" w:after="120"/>
        <w:ind w:left="709" w:hanging="425"/>
        <w:jc w:val="both"/>
        <w:rPr>
          <w:rFonts w:asciiTheme="majorHAnsi" w:hAnsiTheme="majorHAnsi" w:cstheme="majorHAnsi"/>
          <w:noProof/>
          <w:sz w:val="24"/>
          <w:szCs w:val="24"/>
          <w:lang w:eastAsia="id-ID"/>
        </w:rPr>
      </w:pPr>
      <w:proofErr w:type="spellStart"/>
      <w:r w:rsidRPr="00C10BD5">
        <w:rPr>
          <w:rFonts w:asciiTheme="majorHAnsi" w:hAnsiTheme="majorHAnsi" w:cstheme="majorHAnsi"/>
          <w:color w:val="000000"/>
          <w:sz w:val="24"/>
          <w:szCs w:val="24"/>
        </w:rPr>
        <w:t>Kozlovskyi</w:t>
      </w:r>
      <w:proofErr w:type="spellEnd"/>
      <w:r w:rsidRPr="00C10BD5">
        <w:rPr>
          <w:rFonts w:asciiTheme="majorHAnsi" w:hAnsiTheme="majorHAnsi" w:cstheme="majorHAnsi"/>
          <w:color w:val="000000"/>
          <w:sz w:val="24"/>
          <w:szCs w:val="24"/>
        </w:rPr>
        <w:t xml:space="preserve">, S., Kulinich, T., </w:t>
      </w:r>
      <w:proofErr w:type="spellStart"/>
      <w:r w:rsidRPr="00C10BD5">
        <w:rPr>
          <w:rFonts w:asciiTheme="majorHAnsi" w:hAnsiTheme="majorHAnsi" w:cstheme="majorHAnsi"/>
          <w:color w:val="000000"/>
          <w:sz w:val="24"/>
          <w:szCs w:val="24"/>
        </w:rPr>
        <w:t>Varshavska</w:t>
      </w:r>
      <w:proofErr w:type="spellEnd"/>
      <w:r w:rsidRPr="00C10BD5">
        <w:rPr>
          <w:rFonts w:asciiTheme="majorHAnsi" w:hAnsiTheme="majorHAnsi" w:cstheme="majorHAnsi"/>
          <w:color w:val="000000"/>
          <w:sz w:val="24"/>
          <w:szCs w:val="24"/>
        </w:rPr>
        <w:t xml:space="preserve">, N., </w:t>
      </w:r>
      <w:proofErr w:type="spellStart"/>
      <w:r w:rsidRPr="00C10BD5">
        <w:rPr>
          <w:rFonts w:asciiTheme="majorHAnsi" w:hAnsiTheme="majorHAnsi" w:cstheme="majorHAnsi"/>
          <w:color w:val="000000"/>
          <w:sz w:val="24"/>
          <w:szCs w:val="24"/>
        </w:rPr>
        <w:t>Khadzhynov</w:t>
      </w:r>
      <w:proofErr w:type="spellEnd"/>
      <w:r w:rsidRPr="00C10BD5">
        <w:rPr>
          <w:rFonts w:asciiTheme="majorHAnsi" w:hAnsiTheme="majorHAnsi" w:cstheme="majorHAnsi"/>
          <w:color w:val="000000"/>
          <w:sz w:val="24"/>
          <w:szCs w:val="24"/>
        </w:rPr>
        <w:t xml:space="preserve">, I., </w:t>
      </w:r>
      <w:proofErr w:type="spellStart"/>
      <w:r w:rsidRPr="00C10BD5">
        <w:rPr>
          <w:rFonts w:asciiTheme="majorHAnsi" w:hAnsiTheme="majorHAnsi" w:cstheme="majorHAnsi"/>
          <w:color w:val="000000"/>
          <w:sz w:val="24"/>
          <w:szCs w:val="24"/>
        </w:rPr>
        <w:t>Kozlovskyi</w:t>
      </w:r>
      <w:proofErr w:type="spellEnd"/>
      <w:r w:rsidRPr="00C10BD5">
        <w:rPr>
          <w:rFonts w:asciiTheme="majorHAnsi" w:hAnsiTheme="majorHAnsi" w:cstheme="majorHAnsi"/>
          <w:color w:val="000000"/>
          <w:sz w:val="24"/>
          <w:szCs w:val="24"/>
        </w:rPr>
        <w:t>, S., &amp; Mazur, H. (2023). Forecasting the competitiveness of the agrarian sector of Ukraine in the conditions of War and European integration.</w:t>
      </w:r>
      <w:r w:rsidRPr="00C10BD5">
        <w:rPr>
          <w:rStyle w:val="apple-converted-space"/>
          <w:rFonts w:asciiTheme="majorHAnsi" w:hAnsiTheme="majorHAnsi" w:cstheme="majorHAnsi"/>
          <w:color w:val="000000"/>
          <w:sz w:val="24"/>
          <w:szCs w:val="24"/>
        </w:rPr>
        <w:t> </w:t>
      </w:r>
      <w:r w:rsidRPr="00C10BD5">
        <w:rPr>
          <w:rFonts w:asciiTheme="majorHAnsi" w:hAnsiTheme="majorHAnsi" w:cstheme="majorHAnsi"/>
          <w:i/>
          <w:iCs/>
          <w:color w:val="000000"/>
          <w:sz w:val="24"/>
          <w:szCs w:val="24"/>
        </w:rPr>
        <w:t>Bulgarian Journal of Agricultural Science</w:t>
      </w:r>
      <w:r w:rsidRPr="00C10BD5">
        <w:rPr>
          <w:rFonts w:asciiTheme="majorHAnsi" w:hAnsiTheme="majorHAnsi" w:cstheme="majorHAnsi"/>
          <w:color w:val="000000"/>
          <w:sz w:val="24"/>
          <w:szCs w:val="24"/>
        </w:rPr>
        <w:t>,</w:t>
      </w:r>
      <w:r w:rsidRPr="00C10BD5">
        <w:rPr>
          <w:rStyle w:val="apple-converted-space"/>
          <w:rFonts w:asciiTheme="majorHAnsi" w:hAnsiTheme="majorHAnsi" w:cstheme="majorHAnsi"/>
          <w:color w:val="000000"/>
          <w:sz w:val="24"/>
          <w:szCs w:val="24"/>
        </w:rPr>
        <w:t> </w:t>
      </w:r>
      <w:r w:rsidRPr="00C10BD5">
        <w:rPr>
          <w:rFonts w:asciiTheme="majorHAnsi" w:hAnsiTheme="majorHAnsi" w:cstheme="majorHAnsi"/>
          <w:i/>
          <w:iCs/>
          <w:color w:val="000000"/>
          <w:sz w:val="24"/>
          <w:szCs w:val="24"/>
        </w:rPr>
        <w:t>29</w:t>
      </w:r>
      <w:r w:rsidRPr="00C10BD5">
        <w:rPr>
          <w:rFonts w:asciiTheme="majorHAnsi" w:hAnsiTheme="majorHAnsi" w:cstheme="majorHAnsi"/>
          <w:color w:val="000000"/>
          <w:sz w:val="24"/>
          <w:szCs w:val="24"/>
        </w:rPr>
        <w:t>(5), 774–783.</w:t>
      </w:r>
    </w:p>
    <w:p w14:paraId="74973442" w14:textId="77777777" w:rsidR="00E3097C" w:rsidRPr="00C10BD5" w:rsidRDefault="00E3097C" w:rsidP="00E3097C">
      <w:pPr>
        <w:numPr>
          <w:ilvl w:val="0"/>
          <w:numId w:val="4"/>
        </w:numPr>
        <w:tabs>
          <w:tab w:val="left" w:pos="709"/>
        </w:tabs>
        <w:spacing w:before="120" w:after="120"/>
        <w:ind w:left="709" w:hanging="425"/>
        <w:jc w:val="both"/>
        <w:rPr>
          <w:rFonts w:asciiTheme="majorHAnsi" w:hAnsiTheme="majorHAnsi" w:cstheme="majorHAnsi"/>
          <w:noProof/>
          <w:sz w:val="24"/>
          <w:szCs w:val="24"/>
          <w:lang w:eastAsia="id-ID"/>
        </w:rPr>
      </w:pPr>
      <w:r w:rsidRPr="00C10BD5">
        <w:rPr>
          <w:rFonts w:asciiTheme="majorHAnsi" w:hAnsiTheme="majorHAnsi" w:cstheme="majorHAnsi"/>
          <w:noProof/>
          <w:sz w:val="24"/>
          <w:szCs w:val="24"/>
          <w:lang w:eastAsia="id-ID"/>
        </w:rPr>
        <w:t xml:space="preserve">Yagunov, D., Kuryliuk, Y., Chernousov, A., &amp; Haverkamp, R. (2023). Human trafficking in Ukraine and satellite crimes: Transformation of criminological indicators (January 2006 – April 2023). </w:t>
      </w:r>
      <w:r w:rsidRPr="00C10BD5">
        <w:rPr>
          <w:rFonts w:asciiTheme="majorHAnsi" w:hAnsiTheme="majorHAnsi" w:cstheme="majorHAnsi"/>
          <w:i/>
          <w:noProof/>
          <w:sz w:val="24"/>
          <w:szCs w:val="24"/>
          <w:lang w:eastAsia="id-ID"/>
        </w:rPr>
        <w:t>European Political and Law Discourse</w:t>
      </w:r>
      <w:r w:rsidRPr="00C10BD5">
        <w:rPr>
          <w:rFonts w:asciiTheme="majorHAnsi" w:hAnsiTheme="majorHAnsi" w:cstheme="majorHAnsi"/>
          <w:noProof/>
          <w:sz w:val="24"/>
          <w:szCs w:val="24"/>
          <w:lang w:eastAsia="id-ID"/>
        </w:rPr>
        <w:t xml:space="preserve">, </w:t>
      </w:r>
      <w:r w:rsidRPr="00C10BD5">
        <w:rPr>
          <w:rFonts w:asciiTheme="majorHAnsi" w:hAnsiTheme="majorHAnsi" w:cstheme="majorHAnsi"/>
          <w:i/>
          <w:noProof/>
          <w:sz w:val="24"/>
          <w:szCs w:val="24"/>
          <w:lang w:eastAsia="id-ID"/>
        </w:rPr>
        <w:t>10</w:t>
      </w:r>
      <w:r w:rsidRPr="00C10BD5">
        <w:rPr>
          <w:rFonts w:asciiTheme="majorHAnsi" w:hAnsiTheme="majorHAnsi" w:cstheme="majorHAnsi"/>
          <w:noProof/>
          <w:sz w:val="24"/>
          <w:szCs w:val="24"/>
          <w:lang w:eastAsia="id-ID"/>
        </w:rPr>
        <w:t xml:space="preserve">(2), 5–38. </w:t>
      </w:r>
      <w:hyperlink r:id="rId34" w:history="1">
        <w:r w:rsidRPr="00C10BD5">
          <w:rPr>
            <w:rStyle w:val="a9"/>
            <w:rFonts w:asciiTheme="majorHAnsi" w:hAnsiTheme="majorHAnsi" w:cstheme="majorHAnsi"/>
            <w:noProof/>
            <w:sz w:val="24"/>
            <w:szCs w:val="24"/>
            <w:lang w:eastAsia="id-ID"/>
          </w:rPr>
          <w:t>https://doi.org/10.46340/eppd.2023.10.3.1</w:t>
        </w:r>
      </w:hyperlink>
    </w:p>
    <w:p w14:paraId="67BCC0FC" w14:textId="77777777" w:rsidR="00E3097C" w:rsidRPr="00C10BD5" w:rsidRDefault="00E3097C" w:rsidP="00E3097C">
      <w:pPr>
        <w:numPr>
          <w:ilvl w:val="0"/>
          <w:numId w:val="4"/>
        </w:numPr>
        <w:tabs>
          <w:tab w:val="left" w:pos="709"/>
        </w:tabs>
        <w:spacing w:before="120" w:after="120"/>
        <w:ind w:left="709" w:hanging="425"/>
        <w:jc w:val="both"/>
        <w:rPr>
          <w:rFonts w:asciiTheme="majorHAnsi" w:hAnsiTheme="majorHAnsi" w:cstheme="majorHAnsi"/>
          <w:noProof/>
          <w:sz w:val="24"/>
          <w:szCs w:val="24"/>
          <w:lang w:eastAsia="id-ID"/>
        </w:rPr>
      </w:pPr>
      <w:r w:rsidRPr="00C10BD5">
        <w:rPr>
          <w:rFonts w:asciiTheme="majorHAnsi" w:hAnsiTheme="majorHAnsi" w:cstheme="majorHAnsi"/>
          <w:noProof/>
          <w:sz w:val="24"/>
          <w:szCs w:val="24"/>
          <w:lang w:eastAsia="id-ID"/>
        </w:rPr>
        <w:t xml:space="preserve">Krap, A., Bataiev, S., Bobro, N., Kozub, V., &amp; Hlevatska, N. (2024). Examination of digital advancements: Their influence on contemporary corporate management methods and approaches. </w:t>
      </w:r>
      <w:r w:rsidRPr="00C10BD5">
        <w:rPr>
          <w:rFonts w:asciiTheme="majorHAnsi" w:hAnsiTheme="majorHAnsi" w:cstheme="majorHAnsi"/>
          <w:i/>
          <w:noProof/>
          <w:sz w:val="24"/>
          <w:szCs w:val="24"/>
          <w:lang w:eastAsia="id-ID"/>
        </w:rPr>
        <w:t>Multidisciplinary Reviews</w:t>
      </w:r>
      <w:r w:rsidRPr="00C10BD5">
        <w:rPr>
          <w:rFonts w:asciiTheme="majorHAnsi" w:hAnsiTheme="majorHAnsi" w:cstheme="majorHAnsi"/>
          <w:noProof/>
          <w:sz w:val="24"/>
          <w:szCs w:val="24"/>
          <w:lang w:eastAsia="id-ID"/>
        </w:rPr>
        <w:t xml:space="preserve">, </w:t>
      </w:r>
      <w:r w:rsidRPr="00C10BD5">
        <w:rPr>
          <w:rFonts w:asciiTheme="majorHAnsi" w:hAnsiTheme="majorHAnsi" w:cstheme="majorHAnsi"/>
          <w:i/>
          <w:noProof/>
          <w:sz w:val="24"/>
          <w:szCs w:val="24"/>
          <w:lang w:eastAsia="id-ID"/>
        </w:rPr>
        <w:t>7</w:t>
      </w:r>
      <w:r w:rsidRPr="00C10BD5">
        <w:rPr>
          <w:rFonts w:asciiTheme="majorHAnsi" w:hAnsiTheme="majorHAnsi" w:cstheme="majorHAnsi"/>
          <w:noProof/>
          <w:sz w:val="24"/>
          <w:szCs w:val="24"/>
          <w:lang w:eastAsia="id-ID"/>
        </w:rPr>
        <w:t xml:space="preserve">, Article 2024spe026. </w:t>
      </w:r>
      <w:hyperlink r:id="rId35" w:history="1">
        <w:r w:rsidRPr="00C10BD5">
          <w:rPr>
            <w:rStyle w:val="a9"/>
            <w:rFonts w:asciiTheme="majorHAnsi" w:hAnsiTheme="majorHAnsi" w:cstheme="majorHAnsi"/>
            <w:noProof/>
            <w:sz w:val="24"/>
            <w:szCs w:val="24"/>
            <w:lang w:eastAsia="id-ID"/>
          </w:rPr>
          <w:t>https://doi.org/10.31893/multirev.2024spe026</w:t>
        </w:r>
      </w:hyperlink>
    </w:p>
    <w:p w14:paraId="4F446ADF" w14:textId="77777777" w:rsidR="00E3097C" w:rsidRPr="00C10BD5" w:rsidRDefault="00E3097C" w:rsidP="00E3097C">
      <w:pPr>
        <w:numPr>
          <w:ilvl w:val="0"/>
          <w:numId w:val="4"/>
        </w:numPr>
        <w:tabs>
          <w:tab w:val="left" w:pos="709"/>
        </w:tabs>
        <w:spacing w:before="120" w:after="120"/>
        <w:ind w:left="709" w:hanging="425"/>
        <w:jc w:val="both"/>
        <w:rPr>
          <w:rFonts w:asciiTheme="majorHAnsi" w:hAnsiTheme="majorHAnsi" w:cstheme="majorHAnsi"/>
          <w:noProof/>
          <w:sz w:val="24"/>
          <w:szCs w:val="24"/>
          <w:lang w:val="uk-UA" w:eastAsia="id-ID"/>
        </w:rPr>
      </w:pPr>
      <w:r w:rsidRPr="00C10BD5">
        <w:rPr>
          <w:rFonts w:asciiTheme="majorHAnsi" w:hAnsiTheme="majorHAnsi" w:cstheme="majorHAnsi"/>
          <w:noProof/>
          <w:sz w:val="24"/>
          <w:szCs w:val="24"/>
          <w:lang w:val="uk-UA" w:eastAsia="id-ID"/>
        </w:rPr>
        <w:t>Kormych, A., Zavalniuk, V., Todoshchak, O., &amp; Ulianov, O. (2024). Ukraine’s Europeanization of Public Administration and Harmonizing Customs Legislation – Exploring a Pluralistic Approach.</w:t>
      </w:r>
      <w:r w:rsidRPr="00C10BD5">
        <w:rPr>
          <w:rFonts w:asciiTheme="majorHAnsi" w:hAnsiTheme="majorHAnsi" w:cstheme="majorHAnsi"/>
          <w:noProof/>
          <w:sz w:val="24"/>
          <w:szCs w:val="24"/>
          <w:lang w:eastAsia="id-ID"/>
        </w:rPr>
        <w:t xml:space="preserve"> </w:t>
      </w:r>
      <w:r w:rsidRPr="00C10BD5">
        <w:rPr>
          <w:rFonts w:asciiTheme="majorHAnsi" w:hAnsiTheme="majorHAnsi" w:cstheme="majorHAnsi"/>
          <w:i/>
          <w:iCs/>
          <w:noProof/>
          <w:sz w:val="24"/>
          <w:szCs w:val="24"/>
          <w:lang w:val="uk-UA" w:eastAsia="id-ID"/>
        </w:rPr>
        <w:t>Lex Portus</w:t>
      </w:r>
      <w:r w:rsidRPr="00C10BD5">
        <w:rPr>
          <w:rFonts w:asciiTheme="majorHAnsi" w:hAnsiTheme="majorHAnsi" w:cstheme="majorHAnsi"/>
          <w:noProof/>
          <w:sz w:val="24"/>
          <w:szCs w:val="24"/>
          <w:lang w:val="uk-UA" w:eastAsia="id-ID"/>
        </w:rPr>
        <w:t>,</w:t>
      </w:r>
      <w:r w:rsidRPr="00C10BD5">
        <w:rPr>
          <w:rFonts w:asciiTheme="majorHAnsi" w:hAnsiTheme="majorHAnsi" w:cstheme="majorHAnsi"/>
          <w:noProof/>
          <w:sz w:val="24"/>
          <w:szCs w:val="24"/>
          <w:lang w:eastAsia="id-ID"/>
        </w:rPr>
        <w:t xml:space="preserve"> </w:t>
      </w:r>
      <w:r w:rsidRPr="00C10BD5">
        <w:rPr>
          <w:rFonts w:asciiTheme="majorHAnsi" w:hAnsiTheme="majorHAnsi" w:cstheme="majorHAnsi"/>
          <w:i/>
          <w:iCs/>
          <w:noProof/>
          <w:sz w:val="24"/>
          <w:szCs w:val="24"/>
          <w:lang w:val="uk-UA" w:eastAsia="id-ID"/>
        </w:rPr>
        <w:t>10</w:t>
      </w:r>
      <w:r w:rsidRPr="00C10BD5">
        <w:rPr>
          <w:rFonts w:asciiTheme="majorHAnsi" w:hAnsiTheme="majorHAnsi" w:cstheme="majorHAnsi"/>
          <w:noProof/>
          <w:sz w:val="24"/>
          <w:szCs w:val="24"/>
          <w:lang w:val="uk-UA" w:eastAsia="id-ID"/>
        </w:rPr>
        <w:t>(4), 20–30.</w:t>
      </w:r>
      <w:r w:rsidRPr="00C10BD5">
        <w:rPr>
          <w:rFonts w:asciiTheme="majorHAnsi" w:hAnsiTheme="majorHAnsi" w:cstheme="majorHAnsi"/>
          <w:noProof/>
          <w:sz w:val="24"/>
          <w:szCs w:val="24"/>
          <w:lang w:eastAsia="id-ID"/>
        </w:rPr>
        <w:t xml:space="preserve"> </w:t>
      </w:r>
      <w:hyperlink r:id="rId36" w:history="1">
        <w:r w:rsidRPr="00C10BD5">
          <w:rPr>
            <w:rStyle w:val="a9"/>
            <w:rFonts w:asciiTheme="majorHAnsi" w:hAnsiTheme="majorHAnsi" w:cstheme="majorHAnsi"/>
            <w:noProof/>
            <w:sz w:val="24"/>
            <w:szCs w:val="24"/>
            <w:lang w:val="uk-UA" w:eastAsia="id-ID"/>
          </w:rPr>
          <w:t>https://doi.org/10.62821/lp10402</w:t>
        </w:r>
      </w:hyperlink>
    </w:p>
    <w:p w14:paraId="0EC4D95D" w14:textId="77777777" w:rsidR="00E3097C" w:rsidRPr="00C10BD5" w:rsidRDefault="00E3097C" w:rsidP="00E3097C">
      <w:pPr>
        <w:numPr>
          <w:ilvl w:val="0"/>
          <w:numId w:val="4"/>
        </w:numPr>
        <w:tabs>
          <w:tab w:val="left" w:pos="709"/>
        </w:tabs>
        <w:spacing w:before="120" w:after="120"/>
        <w:ind w:left="709" w:hanging="425"/>
        <w:jc w:val="both"/>
        <w:rPr>
          <w:rFonts w:asciiTheme="majorHAnsi" w:hAnsiTheme="majorHAnsi" w:cstheme="majorHAnsi"/>
          <w:noProof/>
          <w:sz w:val="24"/>
          <w:szCs w:val="24"/>
          <w:lang w:eastAsia="id-ID"/>
        </w:rPr>
      </w:pPr>
      <w:r w:rsidRPr="00C10BD5">
        <w:rPr>
          <w:rFonts w:asciiTheme="majorHAnsi" w:hAnsiTheme="majorHAnsi" w:cstheme="majorHAnsi"/>
          <w:noProof/>
          <w:sz w:val="24"/>
          <w:szCs w:val="24"/>
          <w:lang w:val="uk-UA" w:eastAsia="id-ID"/>
        </w:rPr>
        <w:t xml:space="preserve">Mia, M. M., Rizwan, S., Zayed, N. M., Nitsenko, V., Miroshnyk, O., Kryshtal, H., &amp; Ostapenko, R. (2022). The Impact of Green Entrepreneurship on Social Change and Factors Influencing AMO Theory. </w:t>
      </w:r>
      <w:r w:rsidRPr="00C10BD5">
        <w:rPr>
          <w:rFonts w:asciiTheme="majorHAnsi" w:hAnsiTheme="majorHAnsi" w:cstheme="majorHAnsi"/>
          <w:i/>
          <w:iCs/>
          <w:noProof/>
          <w:sz w:val="24"/>
          <w:szCs w:val="24"/>
          <w:lang w:val="uk-UA" w:eastAsia="id-ID"/>
        </w:rPr>
        <w:t>Systems</w:t>
      </w:r>
      <w:r w:rsidRPr="00C10BD5">
        <w:rPr>
          <w:rFonts w:asciiTheme="majorHAnsi" w:hAnsiTheme="majorHAnsi" w:cstheme="majorHAnsi"/>
          <w:noProof/>
          <w:sz w:val="24"/>
          <w:szCs w:val="24"/>
          <w:lang w:val="uk-UA" w:eastAsia="id-ID"/>
        </w:rPr>
        <w:t xml:space="preserve">, </w:t>
      </w:r>
      <w:r w:rsidRPr="00C10BD5">
        <w:rPr>
          <w:rFonts w:asciiTheme="majorHAnsi" w:hAnsiTheme="majorHAnsi" w:cstheme="majorHAnsi"/>
          <w:i/>
          <w:iCs/>
          <w:noProof/>
          <w:sz w:val="24"/>
          <w:szCs w:val="24"/>
          <w:lang w:val="uk-UA" w:eastAsia="id-ID"/>
        </w:rPr>
        <w:t>10</w:t>
      </w:r>
      <w:r w:rsidRPr="00C10BD5">
        <w:rPr>
          <w:rFonts w:asciiTheme="majorHAnsi" w:hAnsiTheme="majorHAnsi" w:cstheme="majorHAnsi"/>
          <w:noProof/>
          <w:sz w:val="24"/>
          <w:szCs w:val="24"/>
          <w:lang w:val="uk-UA" w:eastAsia="id-ID"/>
        </w:rPr>
        <w:t xml:space="preserve">(5), </w:t>
      </w:r>
      <w:r w:rsidRPr="00C10BD5">
        <w:rPr>
          <w:rFonts w:asciiTheme="majorHAnsi" w:hAnsiTheme="majorHAnsi" w:cstheme="majorHAnsi"/>
          <w:noProof/>
          <w:sz w:val="24"/>
          <w:szCs w:val="24"/>
          <w:lang w:eastAsia="id-ID"/>
        </w:rPr>
        <w:t>Article</w:t>
      </w:r>
      <w:r w:rsidRPr="00C10BD5">
        <w:rPr>
          <w:rFonts w:asciiTheme="majorHAnsi" w:hAnsiTheme="majorHAnsi" w:cstheme="majorHAnsi"/>
          <w:noProof/>
          <w:sz w:val="24"/>
          <w:szCs w:val="24"/>
          <w:lang w:val="uk-UA" w:eastAsia="id-ID"/>
        </w:rPr>
        <w:t xml:space="preserve"> 132. </w:t>
      </w:r>
      <w:hyperlink r:id="rId37" w:tgtFrame="_blank" w:history="1">
        <w:r w:rsidRPr="00C10BD5">
          <w:rPr>
            <w:rStyle w:val="a9"/>
            <w:rFonts w:asciiTheme="majorHAnsi" w:hAnsiTheme="majorHAnsi" w:cstheme="majorHAnsi"/>
            <w:noProof/>
            <w:sz w:val="24"/>
            <w:szCs w:val="24"/>
            <w:lang w:val="uk-UA" w:eastAsia="id-ID"/>
          </w:rPr>
          <w:t>https://doi.org/10.3390/systems10050132</w:t>
        </w:r>
      </w:hyperlink>
    </w:p>
    <w:p w14:paraId="30D36AED" w14:textId="77777777" w:rsidR="00E3097C" w:rsidRPr="00C10BD5" w:rsidRDefault="00E3097C" w:rsidP="00E3097C">
      <w:pPr>
        <w:numPr>
          <w:ilvl w:val="0"/>
          <w:numId w:val="4"/>
        </w:numPr>
        <w:tabs>
          <w:tab w:val="left" w:pos="709"/>
        </w:tabs>
        <w:spacing w:before="120" w:after="120"/>
        <w:ind w:left="709" w:hanging="425"/>
        <w:jc w:val="both"/>
        <w:rPr>
          <w:rFonts w:asciiTheme="majorHAnsi" w:hAnsiTheme="majorHAnsi" w:cstheme="majorHAnsi"/>
          <w:noProof/>
          <w:sz w:val="24"/>
          <w:szCs w:val="24"/>
          <w:lang w:eastAsia="id-ID"/>
        </w:rPr>
      </w:pPr>
      <w:r w:rsidRPr="00C10BD5">
        <w:rPr>
          <w:rFonts w:asciiTheme="majorHAnsi" w:hAnsiTheme="majorHAnsi" w:cstheme="majorHAnsi"/>
          <w:noProof/>
          <w:sz w:val="24"/>
          <w:szCs w:val="24"/>
          <w:lang w:eastAsia="id-ID"/>
        </w:rPr>
        <w:t xml:space="preserve">Bureau of Justice Assistance. (n.d.). </w:t>
      </w:r>
      <w:r w:rsidRPr="00C10BD5">
        <w:rPr>
          <w:rFonts w:asciiTheme="majorHAnsi" w:hAnsiTheme="majorHAnsi" w:cstheme="majorHAnsi"/>
          <w:i/>
          <w:noProof/>
          <w:sz w:val="24"/>
          <w:szCs w:val="24"/>
          <w:lang w:eastAsia="id-ID"/>
        </w:rPr>
        <w:t>National Security Act</w:t>
      </w:r>
      <w:r w:rsidRPr="00C10BD5">
        <w:rPr>
          <w:rFonts w:asciiTheme="majorHAnsi" w:hAnsiTheme="majorHAnsi" w:cstheme="majorHAnsi"/>
          <w:noProof/>
          <w:sz w:val="24"/>
          <w:szCs w:val="24"/>
          <w:lang w:eastAsia="id-ID"/>
        </w:rPr>
        <w:t xml:space="preserve"> </w:t>
      </w:r>
      <w:hyperlink r:id="rId38" w:history="1">
        <w:r w:rsidRPr="00C10BD5">
          <w:rPr>
            <w:rStyle w:val="a9"/>
            <w:rFonts w:asciiTheme="majorHAnsi" w:hAnsiTheme="majorHAnsi" w:cstheme="majorHAnsi"/>
            <w:noProof/>
            <w:sz w:val="24"/>
            <w:szCs w:val="24"/>
            <w:lang w:eastAsia="id-ID"/>
          </w:rPr>
          <w:t>https://bja.ojp.gov/program/it/privacy-civil-liberties/authorities/statutes/1280</w:t>
        </w:r>
      </w:hyperlink>
    </w:p>
    <w:p w14:paraId="39B9CB08" w14:textId="77777777" w:rsidR="00E3097C" w:rsidRPr="00C10BD5" w:rsidRDefault="00E3097C" w:rsidP="00E3097C">
      <w:pPr>
        <w:numPr>
          <w:ilvl w:val="0"/>
          <w:numId w:val="4"/>
        </w:numPr>
        <w:tabs>
          <w:tab w:val="left" w:pos="709"/>
        </w:tabs>
        <w:spacing w:before="120" w:after="120"/>
        <w:ind w:left="709" w:hanging="425"/>
        <w:jc w:val="both"/>
        <w:rPr>
          <w:rFonts w:asciiTheme="majorHAnsi" w:hAnsiTheme="majorHAnsi" w:cstheme="majorHAnsi"/>
          <w:noProof/>
          <w:sz w:val="24"/>
          <w:szCs w:val="24"/>
          <w:lang w:eastAsia="id-ID"/>
        </w:rPr>
      </w:pPr>
      <w:r w:rsidRPr="00C10BD5">
        <w:rPr>
          <w:rFonts w:asciiTheme="majorHAnsi" w:hAnsiTheme="majorHAnsi" w:cstheme="majorHAnsi"/>
          <w:noProof/>
          <w:sz w:val="24"/>
          <w:szCs w:val="24"/>
          <w:lang w:val="de-DE" w:eastAsia="id-ID"/>
        </w:rPr>
        <w:t xml:space="preserve">Oerlemans, J.-J., &amp; Langenhuijzen, S. (2024). </w:t>
      </w:r>
      <w:r w:rsidRPr="00C10BD5">
        <w:rPr>
          <w:rFonts w:asciiTheme="majorHAnsi" w:hAnsiTheme="majorHAnsi" w:cstheme="majorHAnsi"/>
          <w:noProof/>
          <w:sz w:val="24"/>
          <w:szCs w:val="24"/>
          <w:lang w:eastAsia="id-ID"/>
        </w:rPr>
        <w:t xml:space="preserve">Balancing National Security and Privacy: Examining the Use of Commercially Available Information in OSINT Practices. </w:t>
      </w:r>
      <w:r w:rsidRPr="00C10BD5">
        <w:rPr>
          <w:rFonts w:asciiTheme="majorHAnsi" w:hAnsiTheme="majorHAnsi" w:cstheme="majorHAnsi"/>
          <w:i/>
          <w:iCs/>
          <w:noProof/>
          <w:sz w:val="24"/>
          <w:szCs w:val="24"/>
          <w:lang w:eastAsia="id-ID"/>
        </w:rPr>
        <w:t>International Journal of Intelligence and CounterIntelligence</w:t>
      </w:r>
      <w:r w:rsidRPr="00C10BD5">
        <w:rPr>
          <w:rFonts w:asciiTheme="majorHAnsi" w:hAnsiTheme="majorHAnsi" w:cstheme="majorHAnsi"/>
          <w:noProof/>
          <w:sz w:val="24"/>
          <w:szCs w:val="24"/>
          <w:lang w:eastAsia="id-ID"/>
        </w:rPr>
        <w:t xml:space="preserve">, 1–19. </w:t>
      </w:r>
      <w:hyperlink r:id="rId39" w:history="1">
        <w:r w:rsidRPr="00C10BD5">
          <w:rPr>
            <w:rStyle w:val="a9"/>
            <w:rFonts w:asciiTheme="majorHAnsi" w:hAnsiTheme="majorHAnsi" w:cstheme="majorHAnsi"/>
            <w:noProof/>
            <w:sz w:val="24"/>
            <w:szCs w:val="24"/>
            <w:lang w:eastAsia="id-ID"/>
          </w:rPr>
          <w:t>https://doi.org/10.1080/08850607.2024.2387850</w:t>
        </w:r>
      </w:hyperlink>
    </w:p>
    <w:p w14:paraId="27AECFF1" w14:textId="77777777" w:rsidR="00E3097C" w:rsidRPr="00C10BD5" w:rsidRDefault="00E3097C" w:rsidP="00E3097C">
      <w:pPr>
        <w:numPr>
          <w:ilvl w:val="0"/>
          <w:numId w:val="4"/>
        </w:numPr>
        <w:tabs>
          <w:tab w:val="left" w:pos="709"/>
        </w:tabs>
        <w:spacing w:before="120" w:after="120"/>
        <w:ind w:left="709" w:hanging="425"/>
        <w:jc w:val="both"/>
        <w:rPr>
          <w:rFonts w:asciiTheme="majorHAnsi" w:hAnsiTheme="majorHAnsi" w:cstheme="majorHAnsi"/>
          <w:noProof/>
          <w:sz w:val="24"/>
          <w:szCs w:val="24"/>
          <w:lang w:val="uk-UA" w:eastAsia="id-ID"/>
        </w:rPr>
      </w:pPr>
      <w:r w:rsidRPr="00C10BD5">
        <w:rPr>
          <w:rFonts w:asciiTheme="majorHAnsi" w:hAnsiTheme="majorHAnsi" w:cstheme="majorHAnsi"/>
          <w:noProof/>
          <w:sz w:val="24"/>
          <w:szCs w:val="24"/>
          <w:lang w:val="de-DE" w:eastAsia="id-ID"/>
        </w:rPr>
        <w:t xml:space="preserve">Saumantri, T., Muslim, F. P., &amp; Zulkifli. </w:t>
      </w:r>
      <w:r w:rsidRPr="00C10BD5">
        <w:rPr>
          <w:rFonts w:asciiTheme="majorHAnsi" w:hAnsiTheme="majorHAnsi" w:cstheme="majorHAnsi"/>
          <w:noProof/>
          <w:sz w:val="24"/>
          <w:szCs w:val="24"/>
          <w:lang w:eastAsia="id-ID"/>
        </w:rPr>
        <w:t xml:space="preserve">(2024). Interpretative Analysis of Religious Tolerance Practices in Urban Communities an Existentialist Philosophy’s Perspective. </w:t>
      </w:r>
      <w:r w:rsidRPr="00C10BD5">
        <w:rPr>
          <w:rFonts w:asciiTheme="majorHAnsi" w:hAnsiTheme="majorHAnsi" w:cstheme="majorHAnsi"/>
          <w:i/>
          <w:noProof/>
          <w:sz w:val="24"/>
          <w:szCs w:val="24"/>
          <w:lang w:eastAsia="id-ID"/>
        </w:rPr>
        <w:t>Futurity Philosophy, 3</w:t>
      </w:r>
      <w:r w:rsidRPr="00C10BD5">
        <w:rPr>
          <w:rFonts w:asciiTheme="majorHAnsi" w:hAnsiTheme="majorHAnsi" w:cstheme="majorHAnsi"/>
          <w:noProof/>
          <w:sz w:val="24"/>
          <w:szCs w:val="24"/>
          <w:lang w:eastAsia="id-ID"/>
        </w:rPr>
        <w:t xml:space="preserve">(4), 78–97. </w:t>
      </w:r>
      <w:hyperlink r:id="rId40" w:history="1">
        <w:r w:rsidRPr="00C10BD5">
          <w:rPr>
            <w:rStyle w:val="a9"/>
            <w:rFonts w:asciiTheme="majorHAnsi" w:hAnsiTheme="majorHAnsi" w:cstheme="majorHAnsi"/>
            <w:noProof/>
            <w:sz w:val="24"/>
            <w:szCs w:val="24"/>
            <w:lang w:eastAsia="id-ID"/>
          </w:rPr>
          <w:t>https://doi.org/10.57125/FP.2024.12.30.06</w:t>
        </w:r>
      </w:hyperlink>
    </w:p>
    <w:p w14:paraId="786C28D0" w14:textId="77777777" w:rsidR="00E3097C" w:rsidRPr="00C10BD5" w:rsidRDefault="00E3097C" w:rsidP="00E3097C">
      <w:pPr>
        <w:numPr>
          <w:ilvl w:val="0"/>
          <w:numId w:val="4"/>
        </w:numPr>
        <w:tabs>
          <w:tab w:val="left" w:pos="709"/>
        </w:tabs>
        <w:spacing w:before="120" w:after="120"/>
        <w:ind w:left="709" w:hanging="425"/>
        <w:jc w:val="both"/>
        <w:rPr>
          <w:rFonts w:asciiTheme="majorHAnsi" w:hAnsiTheme="majorHAnsi" w:cstheme="majorHAnsi"/>
          <w:noProof/>
          <w:sz w:val="24"/>
          <w:szCs w:val="24"/>
          <w:lang w:eastAsia="id-ID"/>
        </w:rPr>
      </w:pPr>
      <w:r w:rsidRPr="00C10BD5">
        <w:rPr>
          <w:rFonts w:asciiTheme="majorHAnsi" w:hAnsiTheme="majorHAnsi" w:cstheme="majorHAnsi"/>
          <w:noProof/>
          <w:sz w:val="24"/>
          <w:szCs w:val="24"/>
          <w:lang w:eastAsia="id-ID"/>
        </w:rPr>
        <w:lastRenderedPageBreak/>
        <w:t xml:space="preserve">Yusifov, A. (2024). Practices in the Field of Disciplinary Liability of Convicts While Serving a Sentence of Imprisonment: Analysis of International Experience. </w:t>
      </w:r>
      <w:r w:rsidRPr="00C10BD5">
        <w:rPr>
          <w:rFonts w:asciiTheme="majorHAnsi" w:hAnsiTheme="majorHAnsi" w:cstheme="majorHAnsi"/>
          <w:i/>
          <w:noProof/>
          <w:sz w:val="24"/>
          <w:szCs w:val="24"/>
          <w:lang w:eastAsia="id-ID"/>
        </w:rPr>
        <w:t>Futurity Economics &amp; Law, 4</w:t>
      </w:r>
      <w:r w:rsidRPr="00C10BD5">
        <w:rPr>
          <w:rFonts w:asciiTheme="majorHAnsi" w:hAnsiTheme="majorHAnsi" w:cstheme="majorHAnsi"/>
          <w:noProof/>
          <w:sz w:val="24"/>
          <w:szCs w:val="24"/>
          <w:lang w:eastAsia="id-ID"/>
        </w:rPr>
        <w:t xml:space="preserve">(3), 47–61. </w:t>
      </w:r>
      <w:hyperlink r:id="rId41">
        <w:r w:rsidRPr="00C10BD5">
          <w:rPr>
            <w:rStyle w:val="a9"/>
            <w:rFonts w:asciiTheme="majorHAnsi" w:hAnsiTheme="majorHAnsi" w:cstheme="majorHAnsi"/>
            <w:noProof/>
            <w:sz w:val="24"/>
            <w:szCs w:val="24"/>
            <w:lang w:eastAsia="id-ID"/>
          </w:rPr>
          <w:t>https://doi.org/10.57125/FEL.2024.09.25.04</w:t>
        </w:r>
      </w:hyperlink>
    </w:p>
    <w:p w14:paraId="6866B2B7" w14:textId="77777777" w:rsidR="00E3097C" w:rsidRPr="00C10BD5" w:rsidRDefault="00E3097C" w:rsidP="00E3097C">
      <w:pPr>
        <w:numPr>
          <w:ilvl w:val="0"/>
          <w:numId w:val="4"/>
        </w:numPr>
        <w:tabs>
          <w:tab w:val="left" w:pos="709"/>
        </w:tabs>
        <w:spacing w:before="120" w:after="120"/>
        <w:ind w:left="709" w:hanging="425"/>
        <w:jc w:val="both"/>
        <w:rPr>
          <w:rFonts w:asciiTheme="majorHAnsi" w:hAnsiTheme="majorHAnsi" w:cstheme="majorHAnsi"/>
          <w:noProof/>
          <w:sz w:val="24"/>
          <w:szCs w:val="24"/>
          <w:lang w:val="uk-UA" w:eastAsia="id-ID"/>
        </w:rPr>
      </w:pPr>
      <w:r w:rsidRPr="00C10BD5">
        <w:rPr>
          <w:rFonts w:asciiTheme="majorHAnsi" w:hAnsiTheme="majorHAnsi" w:cstheme="majorHAnsi"/>
          <w:noProof/>
          <w:sz w:val="24"/>
          <w:szCs w:val="24"/>
          <w:lang w:eastAsia="id-ID"/>
        </w:rPr>
        <w:t xml:space="preserve">National Protective Security Authority. (2024, December 3). </w:t>
      </w:r>
      <w:r w:rsidRPr="00C10BD5">
        <w:rPr>
          <w:rFonts w:asciiTheme="majorHAnsi" w:hAnsiTheme="majorHAnsi" w:cstheme="majorHAnsi"/>
          <w:i/>
          <w:noProof/>
          <w:sz w:val="24"/>
          <w:szCs w:val="24"/>
          <w:lang w:eastAsia="id-ID"/>
        </w:rPr>
        <w:t>National Security Act 2023 and Prohibited Places.</w:t>
      </w:r>
      <w:r w:rsidRPr="00C10BD5">
        <w:rPr>
          <w:rFonts w:asciiTheme="majorHAnsi" w:hAnsiTheme="majorHAnsi" w:cstheme="majorHAnsi"/>
          <w:noProof/>
          <w:sz w:val="24"/>
          <w:szCs w:val="24"/>
          <w:lang w:eastAsia="id-ID"/>
        </w:rPr>
        <w:t xml:space="preserve"> </w:t>
      </w:r>
      <w:hyperlink r:id="rId42" w:history="1">
        <w:r w:rsidRPr="00C10BD5">
          <w:rPr>
            <w:rStyle w:val="a9"/>
            <w:rFonts w:asciiTheme="majorHAnsi" w:hAnsiTheme="majorHAnsi" w:cstheme="majorHAnsi"/>
            <w:noProof/>
            <w:sz w:val="24"/>
            <w:szCs w:val="24"/>
            <w:lang w:eastAsia="id-ID"/>
          </w:rPr>
          <w:t>https</w:t>
        </w:r>
        <w:r w:rsidRPr="00C10BD5">
          <w:rPr>
            <w:rStyle w:val="a9"/>
            <w:rFonts w:asciiTheme="majorHAnsi" w:hAnsiTheme="majorHAnsi" w:cstheme="majorHAnsi"/>
            <w:noProof/>
            <w:sz w:val="24"/>
            <w:szCs w:val="24"/>
            <w:lang w:val="uk-UA" w:eastAsia="id-ID"/>
          </w:rPr>
          <w:t>://</w:t>
        </w:r>
        <w:r w:rsidRPr="00C10BD5">
          <w:rPr>
            <w:rStyle w:val="a9"/>
            <w:rFonts w:asciiTheme="majorHAnsi" w:hAnsiTheme="majorHAnsi" w:cstheme="majorHAnsi"/>
            <w:noProof/>
            <w:sz w:val="24"/>
            <w:szCs w:val="24"/>
            <w:lang w:eastAsia="id-ID"/>
          </w:rPr>
          <w:t>www</w:t>
        </w:r>
        <w:r w:rsidRPr="00C10BD5">
          <w:rPr>
            <w:rStyle w:val="a9"/>
            <w:rFonts w:asciiTheme="majorHAnsi" w:hAnsiTheme="majorHAnsi" w:cstheme="majorHAnsi"/>
            <w:noProof/>
            <w:sz w:val="24"/>
            <w:szCs w:val="24"/>
            <w:lang w:val="uk-UA" w:eastAsia="id-ID"/>
          </w:rPr>
          <w:t>.</w:t>
        </w:r>
        <w:r w:rsidRPr="00C10BD5">
          <w:rPr>
            <w:rStyle w:val="a9"/>
            <w:rFonts w:asciiTheme="majorHAnsi" w:hAnsiTheme="majorHAnsi" w:cstheme="majorHAnsi"/>
            <w:noProof/>
            <w:sz w:val="24"/>
            <w:szCs w:val="24"/>
            <w:lang w:eastAsia="id-ID"/>
          </w:rPr>
          <w:t>npsa</w:t>
        </w:r>
        <w:r w:rsidRPr="00C10BD5">
          <w:rPr>
            <w:rStyle w:val="a9"/>
            <w:rFonts w:asciiTheme="majorHAnsi" w:hAnsiTheme="majorHAnsi" w:cstheme="majorHAnsi"/>
            <w:noProof/>
            <w:sz w:val="24"/>
            <w:szCs w:val="24"/>
            <w:lang w:val="uk-UA" w:eastAsia="id-ID"/>
          </w:rPr>
          <w:t>.</w:t>
        </w:r>
        <w:r w:rsidRPr="00C10BD5">
          <w:rPr>
            <w:rStyle w:val="a9"/>
            <w:rFonts w:asciiTheme="majorHAnsi" w:hAnsiTheme="majorHAnsi" w:cstheme="majorHAnsi"/>
            <w:noProof/>
            <w:sz w:val="24"/>
            <w:szCs w:val="24"/>
            <w:lang w:eastAsia="id-ID"/>
          </w:rPr>
          <w:t>gov</w:t>
        </w:r>
        <w:r w:rsidRPr="00C10BD5">
          <w:rPr>
            <w:rStyle w:val="a9"/>
            <w:rFonts w:asciiTheme="majorHAnsi" w:hAnsiTheme="majorHAnsi" w:cstheme="majorHAnsi"/>
            <w:noProof/>
            <w:sz w:val="24"/>
            <w:szCs w:val="24"/>
            <w:lang w:val="uk-UA" w:eastAsia="id-ID"/>
          </w:rPr>
          <w:t>.</w:t>
        </w:r>
        <w:r w:rsidRPr="00C10BD5">
          <w:rPr>
            <w:rStyle w:val="a9"/>
            <w:rFonts w:asciiTheme="majorHAnsi" w:hAnsiTheme="majorHAnsi" w:cstheme="majorHAnsi"/>
            <w:noProof/>
            <w:sz w:val="24"/>
            <w:szCs w:val="24"/>
            <w:lang w:eastAsia="id-ID"/>
          </w:rPr>
          <w:t>uk</w:t>
        </w:r>
        <w:r w:rsidRPr="00C10BD5">
          <w:rPr>
            <w:rStyle w:val="a9"/>
            <w:rFonts w:asciiTheme="majorHAnsi" w:hAnsiTheme="majorHAnsi" w:cstheme="majorHAnsi"/>
            <w:noProof/>
            <w:sz w:val="24"/>
            <w:szCs w:val="24"/>
            <w:lang w:val="uk-UA" w:eastAsia="id-ID"/>
          </w:rPr>
          <w:t>/</w:t>
        </w:r>
        <w:r w:rsidRPr="00C10BD5">
          <w:rPr>
            <w:rStyle w:val="a9"/>
            <w:rFonts w:asciiTheme="majorHAnsi" w:hAnsiTheme="majorHAnsi" w:cstheme="majorHAnsi"/>
            <w:noProof/>
            <w:sz w:val="24"/>
            <w:szCs w:val="24"/>
            <w:lang w:eastAsia="id-ID"/>
          </w:rPr>
          <w:t>national</w:t>
        </w:r>
        <w:r w:rsidRPr="00C10BD5">
          <w:rPr>
            <w:rStyle w:val="a9"/>
            <w:rFonts w:asciiTheme="majorHAnsi" w:hAnsiTheme="majorHAnsi" w:cstheme="majorHAnsi"/>
            <w:noProof/>
            <w:sz w:val="24"/>
            <w:szCs w:val="24"/>
            <w:lang w:val="uk-UA" w:eastAsia="id-ID"/>
          </w:rPr>
          <w:t>-</w:t>
        </w:r>
        <w:r w:rsidRPr="00C10BD5">
          <w:rPr>
            <w:rStyle w:val="a9"/>
            <w:rFonts w:asciiTheme="majorHAnsi" w:hAnsiTheme="majorHAnsi" w:cstheme="majorHAnsi"/>
            <w:noProof/>
            <w:sz w:val="24"/>
            <w:szCs w:val="24"/>
            <w:lang w:eastAsia="id-ID"/>
          </w:rPr>
          <w:t>security</w:t>
        </w:r>
        <w:r w:rsidRPr="00C10BD5">
          <w:rPr>
            <w:rStyle w:val="a9"/>
            <w:rFonts w:asciiTheme="majorHAnsi" w:hAnsiTheme="majorHAnsi" w:cstheme="majorHAnsi"/>
            <w:noProof/>
            <w:sz w:val="24"/>
            <w:szCs w:val="24"/>
            <w:lang w:val="uk-UA" w:eastAsia="id-ID"/>
          </w:rPr>
          <w:t>-</w:t>
        </w:r>
        <w:r w:rsidRPr="00C10BD5">
          <w:rPr>
            <w:rStyle w:val="a9"/>
            <w:rFonts w:asciiTheme="majorHAnsi" w:hAnsiTheme="majorHAnsi" w:cstheme="majorHAnsi"/>
            <w:noProof/>
            <w:sz w:val="24"/>
            <w:szCs w:val="24"/>
            <w:lang w:eastAsia="id-ID"/>
          </w:rPr>
          <w:t>act</w:t>
        </w:r>
        <w:r w:rsidRPr="00C10BD5">
          <w:rPr>
            <w:rStyle w:val="a9"/>
            <w:rFonts w:asciiTheme="majorHAnsi" w:hAnsiTheme="majorHAnsi" w:cstheme="majorHAnsi"/>
            <w:noProof/>
            <w:sz w:val="24"/>
            <w:szCs w:val="24"/>
            <w:lang w:val="uk-UA" w:eastAsia="id-ID"/>
          </w:rPr>
          <w:t>-2023-</w:t>
        </w:r>
        <w:r w:rsidRPr="00C10BD5">
          <w:rPr>
            <w:rStyle w:val="a9"/>
            <w:rFonts w:asciiTheme="majorHAnsi" w:hAnsiTheme="majorHAnsi" w:cstheme="majorHAnsi"/>
            <w:noProof/>
            <w:sz w:val="24"/>
            <w:szCs w:val="24"/>
            <w:lang w:eastAsia="id-ID"/>
          </w:rPr>
          <w:t>and</w:t>
        </w:r>
        <w:r w:rsidRPr="00C10BD5">
          <w:rPr>
            <w:rStyle w:val="a9"/>
            <w:rFonts w:asciiTheme="majorHAnsi" w:hAnsiTheme="majorHAnsi" w:cstheme="majorHAnsi"/>
            <w:noProof/>
            <w:sz w:val="24"/>
            <w:szCs w:val="24"/>
            <w:lang w:val="uk-UA" w:eastAsia="id-ID"/>
          </w:rPr>
          <w:t>-</w:t>
        </w:r>
        <w:r w:rsidRPr="00C10BD5">
          <w:rPr>
            <w:rStyle w:val="a9"/>
            <w:rFonts w:asciiTheme="majorHAnsi" w:hAnsiTheme="majorHAnsi" w:cstheme="majorHAnsi"/>
            <w:noProof/>
            <w:sz w:val="24"/>
            <w:szCs w:val="24"/>
            <w:lang w:eastAsia="id-ID"/>
          </w:rPr>
          <w:t>prohibited</w:t>
        </w:r>
        <w:r w:rsidRPr="00C10BD5">
          <w:rPr>
            <w:rStyle w:val="a9"/>
            <w:rFonts w:asciiTheme="majorHAnsi" w:hAnsiTheme="majorHAnsi" w:cstheme="majorHAnsi"/>
            <w:noProof/>
            <w:sz w:val="24"/>
            <w:szCs w:val="24"/>
            <w:lang w:val="uk-UA" w:eastAsia="id-ID"/>
          </w:rPr>
          <w:t>-</w:t>
        </w:r>
        <w:r w:rsidRPr="00C10BD5">
          <w:rPr>
            <w:rStyle w:val="a9"/>
            <w:rFonts w:asciiTheme="majorHAnsi" w:hAnsiTheme="majorHAnsi" w:cstheme="majorHAnsi"/>
            <w:noProof/>
            <w:sz w:val="24"/>
            <w:szCs w:val="24"/>
            <w:lang w:eastAsia="id-ID"/>
          </w:rPr>
          <w:t>places</w:t>
        </w:r>
      </w:hyperlink>
    </w:p>
    <w:p w14:paraId="46E2F9C3" w14:textId="77777777" w:rsidR="00E3097C" w:rsidRPr="00C10BD5" w:rsidRDefault="00E3097C" w:rsidP="00E3097C">
      <w:pPr>
        <w:numPr>
          <w:ilvl w:val="0"/>
          <w:numId w:val="4"/>
        </w:numPr>
        <w:tabs>
          <w:tab w:val="left" w:pos="709"/>
        </w:tabs>
        <w:spacing w:before="120" w:after="120"/>
        <w:ind w:left="709" w:hanging="425"/>
        <w:jc w:val="both"/>
        <w:rPr>
          <w:rFonts w:asciiTheme="majorHAnsi" w:hAnsiTheme="majorHAnsi" w:cstheme="majorHAnsi"/>
          <w:noProof/>
          <w:sz w:val="24"/>
          <w:szCs w:val="24"/>
          <w:lang w:eastAsia="id-ID"/>
        </w:rPr>
      </w:pPr>
      <w:r w:rsidRPr="00C10BD5">
        <w:rPr>
          <w:rFonts w:asciiTheme="majorHAnsi" w:hAnsiTheme="majorHAnsi" w:cstheme="majorHAnsi"/>
          <w:noProof/>
          <w:sz w:val="24"/>
          <w:szCs w:val="24"/>
          <w:lang w:eastAsia="id-ID"/>
        </w:rPr>
        <w:t>Bulavko</w:t>
      </w:r>
      <w:r w:rsidRPr="00C10BD5">
        <w:rPr>
          <w:rFonts w:asciiTheme="majorHAnsi" w:hAnsiTheme="majorHAnsi" w:cstheme="majorHAnsi"/>
          <w:noProof/>
          <w:sz w:val="24"/>
          <w:szCs w:val="24"/>
          <w:lang w:val="uk-UA" w:eastAsia="id-ID"/>
        </w:rPr>
        <w:t xml:space="preserve">, </w:t>
      </w:r>
      <w:r w:rsidRPr="00C10BD5">
        <w:rPr>
          <w:rFonts w:asciiTheme="majorHAnsi" w:hAnsiTheme="majorHAnsi" w:cstheme="majorHAnsi"/>
          <w:noProof/>
          <w:sz w:val="24"/>
          <w:szCs w:val="24"/>
          <w:lang w:eastAsia="id-ID"/>
        </w:rPr>
        <w:t>G</w:t>
      </w:r>
      <w:r w:rsidRPr="00C10BD5">
        <w:rPr>
          <w:rFonts w:asciiTheme="majorHAnsi" w:hAnsiTheme="majorHAnsi" w:cstheme="majorHAnsi"/>
          <w:noProof/>
          <w:sz w:val="24"/>
          <w:szCs w:val="24"/>
          <w:lang w:val="uk-UA" w:eastAsia="id-ID"/>
        </w:rPr>
        <w:t xml:space="preserve">. </w:t>
      </w:r>
      <w:r w:rsidRPr="00C10BD5">
        <w:rPr>
          <w:rFonts w:asciiTheme="majorHAnsi" w:hAnsiTheme="majorHAnsi" w:cstheme="majorHAnsi"/>
          <w:noProof/>
          <w:sz w:val="24"/>
          <w:szCs w:val="24"/>
          <w:lang w:eastAsia="id-ID"/>
        </w:rPr>
        <w:t>V</w:t>
      </w:r>
      <w:r w:rsidRPr="00C10BD5">
        <w:rPr>
          <w:rFonts w:asciiTheme="majorHAnsi" w:hAnsiTheme="majorHAnsi" w:cstheme="majorHAnsi"/>
          <w:noProof/>
          <w:sz w:val="24"/>
          <w:szCs w:val="24"/>
          <w:lang w:val="uk-UA" w:eastAsia="id-ID"/>
        </w:rPr>
        <w:t xml:space="preserve">., </w:t>
      </w:r>
      <w:r w:rsidRPr="00C10BD5">
        <w:rPr>
          <w:rFonts w:asciiTheme="majorHAnsi" w:hAnsiTheme="majorHAnsi" w:cstheme="majorHAnsi"/>
          <w:noProof/>
          <w:sz w:val="24"/>
          <w:szCs w:val="24"/>
          <w:lang w:eastAsia="id-ID"/>
        </w:rPr>
        <w:t>Davidenko</w:t>
      </w:r>
      <w:r w:rsidRPr="00C10BD5">
        <w:rPr>
          <w:rFonts w:asciiTheme="majorHAnsi" w:hAnsiTheme="majorHAnsi" w:cstheme="majorHAnsi"/>
          <w:noProof/>
          <w:sz w:val="24"/>
          <w:szCs w:val="24"/>
          <w:lang w:val="uk-UA" w:eastAsia="id-ID"/>
        </w:rPr>
        <w:t xml:space="preserve">, </w:t>
      </w:r>
      <w:r w:rsidRPr="00C10BD5">
        <w:rPr>
          <w:rFonts w:asciiTheme="majorHAnsi" w:hAnsiTheme="majorHAnsi" w:cstheme="majorHAnsi"/>
          <w:noProof/>
          <w:sz w:val="24"/>
          <w:szCs w:val="24"/>
          <w:lang w:eastAsia="id-ID"/>
        </w:rPr>
        <w:t>N</w:t>
      </w:r>
      <w:r w:rsidRPr="00C10BD5">
        <w:rPr>
          <w:rFonts w:asciiTheme="majorHAnsi" w:hAnsiTheme="majorHAnsi" w:cstheme="majorHAnsi"/>
          <w:noProof/>
          <w:sz w:val="24"/>
          <w:szCs w:val="24"/>
          <w:lang w:val="uk-UA" w:eastAsia="id-ID"/>
        </w:rPr>
        <w:t xml:space="preserve">. </w:t>
      </w:r>
      <w:r w:rsidRPr="00C10BD5">
        <w:rPr>
          <w:rFonts w:asciiTheme="majorHAnsi" w:hAnsiTheme="majorHAnsi" w:cstheme="majorHAnsi"/>
          <w:noProof/>
          <w:sz w:val="24"/>
          <w:szCs w:val="24"/>
          <w:lang w:eastAsia="id-ID"/>
        </w:rPr>
        <w:t>A</w:t>
      </w:r>
      <w:r w:rsidRPr="00C10BD5">
        <w:rPr>
          <w:rFonts w:asciiTheme="majorHAnsi" w:hAnsiTheme="majorHAnsi" w:cstheme="majorHAnsi"/>
          <w:noProof/>
          <w:sz w:val="24"/>
          <w:szCs w:val="24"/>
          <w:lang w:val="uk-UA" w:eastAsia="id-ID"/>
        </w:rPr>
        <w:t xml:space="preserve">., </w:t>
      </w:r>
      <w:r w:rsidRPr="00C10BD5">
        <w:rPr>
          <w:rFonts w:asciiTheme="majorHAnsi" w:hAnsiTheme="majorHAnsi" w:cstheme="majorHAnsi"/>
          <w:noProof/>
          <w:sz w:val="24"/>
          <w:szCs w:val="24"/>
          <w:lang w:eastAsia="id-ID"/>
        </w:rPr>
        <w:t>Ishchenko</w:t>
      </w:r>
      <w:r w:rsidRPr="00C10BD5">
        <w:rPr>
          <w:rFonts w:asciiTheme="majorHAnsi" w:hAnsiTheme="majorHAnsi" w:cstheme="majorHAnsi"/>
          <w:noProof/>
          <w:sz w:val="24"/>
          <w:szCs w:val="24"/>
          <w:lang w:val="uk-UA" w:eastAsia="id-ID"/>
        </w:rPr>
        <w:t xml:space="preserve">, </w:t>
      </w:r>
      <w:r w:rsidRPr="00C10BD5">
        <w:rPr>
          <w:rFonts w:asciiTheme="majorHAnsi" w:hAnsiTheme="majorHAnsi" w:cstheme="majorHAnsi"/>
          <w:noProof/>
          <w:sz w:val="24"/>
          <w:szCs w:val="24"/>
          <w:lang w:eastAsia="id-ID"/>
        </w:rPr>
        <w:t>A</w:t>
      </w:r>
      <w:r w:rsidRPr="00C10BD5">
        <w:rPr>
          <w:rFonts w:asciiTheme="majorHAnsi" w:hAnsiTheme="majorHAnsi" w:cstheme="majorHAnsi"/>
          <w:noProof/>
          <w:sz w:val="24"/>
          <w:szCs w:val="24"/>
          <w:lang w:val="uk-UA" w:eastAsia="id-ID"/>
        </w:rPr>
        <w:t xml:space="preserve">. </w:t>
      </w:r>
      <w:r w:rsidRPr="00C10BD5">
        <w:rPr>
          <w:rFonts w:asciiTheme="majorHAnsi" w:hAnsiTheme="majorHAnsi" w:cstheme="majorHAnsi"/>
          <w:noProof/>
          <w:sz w:val="24"/>
          <w:szCs w:val="24"/>
          <w:lang w:eastAsia="id-ID"/>
        </w:rPr>
        <w:t>A</w:t>
      </w:r>
      <w:r w:rsidRPr="00C10BD5">
        <w:rPr>
          <w:rFonts w:asciiTheme="majorHAnsi" w:hAnsiTheme="majorHAnsi" w:cstheme="majorHAnsi"/>
          <w:noProof/>
          <w:sz w:val="24"/>
          <w:szCs w:val="24"/>
          <w:lang w:val="uk-UA" w:eastAsia="id-ID"/>
        </w:rPr>
        <w:t xml:space="preserve">., </w:t>
      </w:r>
      <w:r w:rsidRPr="00C10BD5">
        <w:rPr>
          <w:rFonts w:asciiTheme="majorHAnsi" w:hAnsiTheme="majorHAnsi" w:cstheme="majorHAnsi"/>
          <w:noProof/>
          <w:sz w:val="24"/>
          <w:szCs w:val="24"/>
          <w:lang w:eastAsia="id-ID"/>
        </w:rPr>
        <w:t>Studzinsky</w:t>
      </w:r>
      <w:r w:rsidRPr="00C10BD5">
        <w:rPr>
          <w:rFonts w:asciiTheme="majorHAnsi" w:hAnsiTheme="majorHAnsi" w:cstheme="majorHAnsi"/>
          <w:noProof/>
          <w:sz w:val="24"/>
          <w:szCs w:val="24"/>
          <w:lang w:val="uk-UA" w:eastAsia="id-ID"/>
        </w:rPr>
        <w:t xml:space="preserve">, </w:t>
      </w:r>
      <w:r w:rsidRPr="00C10BD5">
        <w:rPr>
          <w:rFonts w:asciiTheme="majorHAnsi" w:hAnsiTheme="majorHAnsi" w:cstheme="majorHAnsi"/>
          <w:noProof/>
          <w:sz w:val="24"/>
          <w:szCs w:val="24"/>
          <w:lang w:eastAsia="id-ID"/>
        </w:rPr>
        <w:t>S</w:t>
      </w:r>
      <w:r w:rsidRPr="00C10BD5">
        <w:rPr>
          <w:rFonts w:asciiTheme="majorHAnsi" w:hAnsiTheme="majorHAnsi" w:cstheme="majorHAnsi"/>
          <w:noProof/>
          <w:sz w:val="24"/>
          <w:szCs w:val="24"/>
          <w:lang w:val="uk-UA" w:eastAsia="id-ID"/>
        </w:rPr>
        <w:t xml:space="preserve">. </w:t>
      </w:r>
      <w:r w:rsidRPr="00C10BD5">
        <w:rPr>
          <w:rFonts w:asciiTheme="majorHAnsi" w:hAnsiTheme="majorHAnsi" w:cstheme="majorHAnsi"/>
          <w:noProof/>
          <w:sz w:val="24"/>
          <w:szCs w:val="24"/>
          <w:lang w:eastAsia="id-ID"/>
        </w:rPr>
        <w:t>L</w:t>
      </w:r>
      <w:r w:rsidRPr="00C10BD5">
        <w:rPr>
          <w:rFonts w:asciiTheme="majorHAnsi" w:hAnsiTheme="majorHAnsi" w:cstheme="majorHAnsi"/>
          <w:noProof/>
          <w:sz w:val="24"/>
          <w:szCs w:val="24"/>
          <w:lang w:val="uk-UA" w:eastAsia="id-ID"/>
        </w:rPr>
        <w:t xml:space="preserve">., &amp; </w:t>
      </w:r>
      <w:r w:rsidRPr="00C10BD5">
        <w:rPr>
          <w:rFonts w:asciiTheme="majorHAnsi" w:hAnsiTheme="majorHAnsi" w:cstheme="majorHAnsi"/>
          <w:noProof/>
          <w:sz w:val="24"/>
          <w:szCs w:val="24"/>
          <w:lang w:eastAsia="id-ID"/>
        </w:rPr>
        <w:t>Shkavro</w:t>
      </w:r>
      <w:r w:rsidRPr="00C10BD5">
        <w:rPr>
          <w:rFonts w:asciiTheme="majorHAnsi" w:hAnsiTheme="majorHAnsi" w:cstheme="majorHAnsi"/>
          <w:noProof/>
          <w:sz w:val="24"/>
          <w:szCs w:val="24"/>
          <w:lang w:val="uk-UA" w:eastAsia="id-ID"/>
        </w:rPr>
        <w:t xml:space="preserve">, </w:t>
      </w:r>
      <w:r w:rsidRPr="00C10BD5">
        <w:rPr>
          <w:rFonts w:asciiTheme="majorHAnsi" w:hAnsiTheme="majorHAnsi" w:cstheme="majorHAnsi"/>
          <w:noProof/>
          <w:sz w:val="24"/>
          <w:szCs w:val="24"/>
          <w:lang w:eastAsia="id-ID"/>
        </w:rPr>
        <w:t>A</w:t>
      </w:r>
      <w:r w:rsidRPr="00C10BD5">
        <w:rPr>
          <w:rFonts w:asciiTheme="majorHAnsi" w:hAnsiTheme="majorHAnsi" w:cstheme="majorHAnsi"/>
          <w:noProof/>
          <w:sz w:val="24"/>
          <w:szCs w:val="24"/>
          <w:lang w:val="uk-UA" w:eastAsia="id-ID"/>
        </w:rPr>
        <w:t xml:space="preserve">. </w:t>
      </w:r>
      <w:r w:rsidRPr="00C10BD5">
        <w:rPr>
          <w:rFonts w:asciiTheme="majorHAnsi" w:hAnsiTheme="majorHAnsi" w:cstheme="majorHAnsi"/>
          <w:noProof/>
          <w:sz w:val="24"/>
          <w:szCs w:val="24"/>
          <w:lang w:eastAsia="id-ID"/>
        </w:rPr>
        <w:t>G</w:t>
      </w:r>
      <w:r w:rsidRPr="00C10BD5">
        <w:rPr>
          <w:rFonts w:asciiTheme="majorHAnsi" w:hAnsiTheme="majorHAnsi" w:cstheme="majorHAnsi"/>
          <w:noProof/>
          <w:sz w:val="24"/>
          <w:szCs w:val="24"/>
          <w:lang w:val="uk-UA" w:eastAsia="id-ID"/>
        </w:rPr>
        <w:t xml:space="preserve">. (2015). </w:t>
      </w:r>
      <w:r w:rsidRPr="00C10BD5">
        <w:rPr>
          <w:rFonts w:asciiTheme="majorHAnsi" w:hAnsiTheme="majorHAnsi" w:cstheme="majorHAnsi"/>
          <w:noProof/>
          <w:sz w:val="24"/>
          <w:szCs w:val="24"/>
          <w:lang w:eastAsia="id-ID"/>
        </w:rPr>
        <w:t xml:space="preserve">Peculiarities of the photovoltaic properties of films based on photoconducting polymer and organic dye in samples with free surfaces and between electric contacts. </w:t>
      </w:r>
      <w:r w:rsidRPr="00C10BD5">
        <w:rPr>
          <w:rFonts w:asciiTheme="majorHAnsi" w:hAnsiTheme="majorHAnsi" w:cstheme="majorHAnsi"/>
          <w:i/>
          <w:noProof/>
          <w:sz w:val="24"/>
          <w:szCs w:val="24"/>
          <w:lang w:eastAsia="id-ID"/>
        </w:rPr>
        <w:t>Technical Physics Letters</w:t>
      </w:r>
      <w:r w:rsidRPr="00C10BD5">
        <w:rPr>
          <w:rFonts w:asciiTheme="majorHAnsi" w:hAnsiTheme="majorHAnsi" w:cstheme="majorHAnsi"/>
          <w:noProof/>
          <w:sz w:val="24"/>
          <w:szCs w:val="24"/>
          <w:lang w:eastAsia="id-ID"/>
        </w:rPr>
        <w:t xml:space="preserve">, </w:t>
      </w:r>
      <w:r w:rsidRPr="00C10BD5">
        <w:rPr>
          <w:rFonts w:asciiTheme="majorHAnsi" w:hAnsiTheme="majorHAnsi" w:cstheme="majorHAnsi"/>
          <w:i/>
          <w:noProof/>
          <w:sz w:val="24"/>
          <w:szCs w:val="24"/>
          <w:lang w:eastAsia="id-ID"/>
        </w:rPr>
        <w:t>41</w:t>
      </w:r>
      <w:r w:rsidRPr="00C10BD5">
        <w:rPr>
          <w:rFonts w:asciiTheme="majorHAnsi" w:hAnsiTheme="majorHAnsi" w:cstheme="majorHAnsi"/>
          <w:noProof/>
          <w:sz w:val="24"/>
          <w:szCs w:val="24"/>
          <w:lang w:eastAsia="id-ID"/>
        </w:rPr>
        <w:t xml:space="preserve">(2), 191–194. </w:t>
      </w:r>
      <w:hyperlink r:id="rId43">
        <w:r w:rsidRPr="00C10BD5">
          <w:rPr>
            <w:rStyle w:val="a9"/>
            <w:rFonts w:asciiTheme="majorHAnsi" w:hAnsiTheme="majorHAnsi" w:cstheme="majorHAnsi"/>
            <w:noProof/>
            <w:sz w:val="24"/>
            <w:szCs w:val="24"/>
            <w:lang w:eastAsia="id-ID"/>
          </w:rPr>
          <w:t>https://doi.org/10.1134/s1063785015020182</w:t>
        </w:r>
      </w:hyperlink>
    </w:p>
    <w:p w14:paraId="0C947B2B" w14:textId="77777777" w:rsidR="00E3097C" w:rsidRPr="00C10BD5" w:rsidRDefault="00E3097C" w:rsidP="00E3097C">
      <w:pPr>
        <w:numPr>
          <w:ilvl w:val="0"/>
          <w:numId w:val="4"/>
        </w:numPr>
        <w:tabs>
          <w:tab w:val="left" w:pos="709"/>
        </w:tabs>
        <w:spacing w:before="120" w:after="120"/>
        <w:ind w:left="709" w:hanging="425"/>
        <w:jc w:val="both"/>
        <w:rPr>
          <w:rFonts w:asciiTheme="majorHAnsi" w:hAnsiTheme="majorHAnsi" w:cstheme="majorHAnsi"/>
          <w:noProof/>
          <w:sz w:val="24"/>
          <w:szCs w:val="24"/>
          <w:lang w:eastAsia="id-ID"/>
        </w:rPr>
      </w:pPr>
      <w:r w:rsidRPr="00C10BD5">
        <w:rPr>
          <w:rFonts w:asciiTheme="majorHAnsi" w:hAnsiTheme="majorHAnsi" w:cstheme="majorHAnsi"/>
          <w:noProof/>
          <w:sz w:val="24"/>
          <w:szCs w:val="24"/>
          <w:lang w:eastAsia="id-ID"/>
        </w:rPr>
        <w:t xml:space="preserve">Saleh, A. J., Alazzam, F. A. F., Khalaf, K., Aldrou, A. R., &amp; Zavalna, Z. (2020). Legal aspects of the management of cryptocurrency assets in the national security system. </w:t>
      </w:r>
      <w:r w:rsidRPr="00C10BD5">
        <w:rPr>
          <w:rFonts w:asciiTheme="majorHAnsi" w:hAnsiTheme="majorHAnsi" w:cstheme="majorHAnsi"/>
          <w:i/>
          <w:noProof/>
          <w:sz w:val="24"/>
          <w:szCs w:val="24"/>
          <w:lang w:eastAsia="id-ID"/>
        </w:rPr>
        <w:t>Journal of Security and Sustainability Issues</w:t>
      </w:r>
      <w:r w:rsidRPr="00C10BD5">
        <w:rPr>
          <w:rFonts w:asciiTheme="majorHAnsi" w:hAnsiTheme="majorHAnsi" w:cstheme="majorHAnsi"/>
          <w:noProof/>
          <w:sz w:val="24"/>
          <w:szCs w:val="24"/>
          <w:lang w:eastAsia="id-ID"/>
        </w:rPr>
        <w:t xml:space="preserve">, </w:t>
      </w:r>
      <w:r w:rsidRPr="00C10BD5">
        <w:rPr>
          <w:rFonts w:asciiTheme="majorHAnsi" w:hAnsiTheme="majorHAnsi" w:cstheme="majorHAnsi"/>
          <w:i/>
          <w:noProof/>
          <w:sz w:val="24"/>
          <w:szCs w:val="24"/>
          <w:lang w:eastAsia="id-ID"/>
        </w:rPr>
        <w:t>10</w:t>
      </w:r>
      <w:r w:rsidRPr="00C10BD5">
        <w:rPr>
          <w:rFonts w:asciiTheme="majorHAnsi" w:hAnsiTheme="majorHAnsi" w:cstheme="majorHAnsi"/>
          <w:noProof/>
          <w:sz w:val="24"/>
          <w:szCs w:val="24"/>
          <w:lang w:eastAsia="id-ID"/>
        </w:rPr>
        <w:t xml:space="preserve">(1), 235–247. </w:t>
      </w:r>
      <w:hyperlink r:id="rId44" w:history="1">
        <w:r w:rsidRPr="00C10BD5">
          <w:rPr>
            <w:rStyle w:val="a9"/>
            <w:rFonts w:asciiTheme="majorHAnsi" w:hAnsiTheme="majorHAnsi" w:cstheme="majorHAnsi"/>
            <w:noProof/>
            <w:sz w:val="24"/>
            <w:szCs w:val="24"/>
            <w:lang w:eastAsia="id-ID"/>
          </w:rPr>
          <w:t>https://doi.org/10.9770/jssi.2020.10.1(17)</w:t>
        </w:r>
      </w:hyperlink>
    </w:p>
    <w:p w14:paraId="3745E57B" w14:textId="77777777" w:rsidR="00E3097C" w:rsidRPr="00C10BD5" w:rsidRDefault="00E3097C" w:rsidP="00E3097C">
      <w:pPr>
        <w:numPr>
          <w:ilvl w:val="0"/>
          <w:numId w:val="4"/>
        </w:numPr>
        <w:tabs>
          <w:tab w:val="left" w:pos="709"/>
        </w:tabs>
        <w:spacing w:before="120" w:after="120"/>
        <w:ind w:left="709" w:hanging="425"/>
        <w:jc w:val="both"/>
        <w:rPr>
          <w:rFonts w:asciiTheme="majorHAnsi" w:hAnsiTheme="majorHAnsi" w:cstheme="majorHAnsi"/>
          <w:noProof/>
          <w:sz w:val="24"/>
          <w:szCs w:val="24"/>
          <w:lang w:eastAsia="id-ID"/>
        </w:rPr>
      </w:pPr>
      <w:r w:rsidRPr="00C10BD5">
        <w:rPr>
          <w:rFonts w:asciiTheme="majorHAnsi" w:hAnsiTheme="majorHAnsi" w:cstheme="majorHAnsi"/>
          <w:noProof/>
          <w:sz w:val="24"/>
          <w:szCs w:val="24"/>
          <w:lang w:val="de-DE" w:eastAsia="id-ID"/>
        </w:rPr>
        <w:t xml:space="preserve">Pech, L., Wachowiec, P., &amp; Mazur, D. (2021). </w:t>
      </w:r>
      <w:r w:rsidRPr="00C10BD5">
        <w:rPr>
          <w:rFonts w:asciiTheme="majorHAnsi" w:hAnsiTheme="majorHAnsi" w:cstheme="majorHAnsi"/>
          <w:noProof/>
          <w:sz w:val="24"/>
          <w:szCs w:val="24"/>
          <w:lang w:eastAsia="id-ID"/>
        </w:rPr>
        <w:t xml:space="preserve">Poland’s Rule of Law Breakdown: A Five-Year Assessment of EU’s (In)Action. </w:t>
      </w:r>
      <w:r w:rsidRPr="00C10BD5">
        <w:rPr>
          <w:rFonts w:asciiTheme="majorHAnsi" w:hAnsiTheme="majorHAnsi" w:cstheme="majorHAnsi"/>
          <w:i/>
          <w:noProof/>
          <w:sz w:val="24"/>
          <w:szCs w:val="24"/>
          <w:lang w:eastAsia="id-ID"/>
        </w:rPr>
        <w:t>Hague Journal on the Rule of Law</w:t>
      </w:r>
      <w:r w:rsidRPr="00C10BD5">
        <w:rPr>
          <w:rFonts w:asciiTheme="majorHAnsi" w:hAnsiTheme="majorHAnsi" w:cstheme="majorHAnsi"/>
          <w:noProof/>
          <w:sz w:val="24"/>
          <w:szCs w:val="24"/>
          <w:lang w:eastAsia="id-ID"/>
        </w:rPr>
        <w:t xml:space="preserve">, </w:t>
      </w:r>
      <w:r w:rsidRPr="00C10BD5">
        <w:rPr>
          <w:rFonts w:asciiTheme="majorHAnsi" w:hAnsiTheme="majorHAnsi" w:cstheme="majorHAnsi"/>
          <w:i/>
          <w:noProof/>
          <w:sz w:val="24"/>
          <w:szCs w:val="24"/>
          <w:lang w:eastAsia="id-ID"/>
        </w:rPr>
        <w:t>13</w:t>
      </w:r>
      <w:r w:rsidRPr="00C10BD5">
        <w:rPr>
          <w:rFonts w:asciiTheme="majorHAnsi" w:hAnsiTheme="majorHAnsi" w:cstheme="majorHAnsi"/>
          <w:noProof/>
          <w:sz w:val="24"/>
          <w:szCs w:val="24"/>
          <w:lang w:eastAsia="id-ID"/>
        </w:rPr>
        <w:t xml:space="preserve">(1), 1–43. </w:t>
      </w:r>
      <w:hyperlink r:id="rId45" w:history="1">
        <w:r w:rsidRPr="00C10BD5">
          <w:rPr>
            <w:rStyle w:val="a9"/>
            <w:rFonts w:asciiTheme="majorHAnsi" w:hAnsiTheme="majorHAnsi" w:cstheme="majorHAnsi"/>
            <w:noProof/>
            <w:sz w:val="24"/>
            <w:szCs w:val="24"/>
            <w:lang w:eastAsia="id-ID"/>
          </w:rPr>
          <w:t>https://doi.org/10.1007/s40803-021-00151-9</w:t>
        </w:r>
      </w:hyperlink>
    </w:p>
    <w:p w14:paraId="0F8176C1" w14:textId="77777777" w:rsidR="00E3097C" w:rsidRPr="00C10BD5" w:rsidRDefault="00E3097C" w:rsidP="00E3097C">
      <w:pPr>
        <w:numPr>
          <w:ilvl w:val="0"/>
          <w:numId w:val="4"/>
        </w:numPr>
        <w:tabs>
          <w:tab w:val="left" w:pos="709"/>
        </w:tabs>
        <w:spacing w:before="120" w:after="120"/>
        <w:ind w:left="709" w:hanging="425"/>
        <w:jc w:val="both"/>
        <w:rPr>
          <w:rFonts w:asciiTheme="majorHAnsi" w:hAnsiTheme="majorHAnsi" w:cstheme="majorHAnsi"/>
          <w:noProof/>
          <w:sz w:val="24"/>
          <w:szCs w:val="24"/>
          <w:lang w:val="uk-UA" w:eastAsia="id-ID"/>
        </w:rPr>
      </w:pPr>
      <w:r w:rsidRPr="00C10BD5">
        <w:rPr>
          <w:rFonts w:asciiTheme="majorHAnsi" w:hAnsiTheme="majorHAnsi" w:cstheme="majorHAnsi"/>
          <w:noProof/>
          <w:sz w:val="24"/>
          <w:szCs w:val="24"/>
          <w:lang w:eastAsia="id-ID"/>
        </w:rPr>
        <w:t xml:space="preserve">Zahariev, M. (2024). The applicability of the EU data protection rules in the area of national security in the republic of Bulgaria. </w:t>
      </w:r>
      <w:r w:rsidRPr="00C10BD5">
        <w:rPr>
          <w:rFonts w:asciiTheme="majorHAnsi" w:hAnsiTheme="majorHAnsi" w:cstheme="majorHAnsi"/>
          <w:i/>
          <w:noProof/>
          <w:sz w:val="24"/>
          <w:szCs w:val="24"/>
          <w:lang w:eastAsia="id-ID"/>
        </w:rPr>
        <w:t>Environment. Technologies. Resources. Proceedings Of The International Scientific And Practical Conference</w:t>
      </w:r>
      <w:r w:rsidRPr="00C10BD5">
        <w:rPr>
          <w:rFonts w:asciiTheme="majorHAnsi" w:hAnsiTheme="majorHAnsi" w:cstheme="majorHAnsi"/>
          <w:noProof/>
          <w:sz w:val="24"/>
          <w:szCs w:val="24"/>
          <w:lang w:eastAsia="id-ID"/>
        </w:rPr>
        <w:t xml:space="preserve">, </w:t>
      </w:r>
      <w:r w:rsidRPr="00C10BD5">
        <w:rPr>
          <w:rFonts w:asciiTheme="majorHAnsi" w:hAnsiTheme="majorHAnsi" w:cstheme="majorHAnsi"/>
          <w:i/>
          <w:noProof/>
          <w:sz w:val="24"/>
          <w:szCs w:val="24"/>
          <w:lang w:eastAsia="id-ID"/>
        </w:rPr>
        <w:t>4</w:t>
      </w:r>
      <w:r w:rsidRPr="00C10BD5">
        <w:rPr>
          <w:rFonts w:asciiTheme="majorHAnsi" w:hAnsiTheme="majorHAnsi" w:cstheme="majorHAnsi"/>
          <w:noProof/>
          <w:sz w:val="24"/>
          <w:szCs w:val="24"/>
          <w:lang w:eastAsia="id-ID"/>
        </w:rPr>
        <w:t xml:space="preserve">, 317–321. </w:t>
      </w:r>
      <w:hyperlink r:id="rId46" w:history="1">
        <w:r w:rsidRPr="00C10BD5">
          <w:rPr>
            <w:rStyle w:val="a9"/>
            <w:rFonts w:asciiTheme="majorHAnsi" w:hAnsiTheme="majorHAnsi" w:cstheme="majorHAnsi"/>
            <w:noProof/>
            <w:sz w:val="24"/>
            <w:szCs w:val="24"/>
            <w:lang w:eastAsia="id-ID"/>
          </w:rPr>
          <w:t>https://doi.org/10.17770/etr2024vol4.8234</w:t>
        </w:r>
      </w:hyperlink>
    </w:p>
    <w:p w14:paraId="74B58022" w14:textId="77777777" w:rsidR="00E3097C" w:rsidRPr="00C10BD5" w:rsidRDefault="00E3097C" w:rsidP="00E3097C">
      <w:pPr>
        <w:numPr>
          <w:ilvl w:val="0"/>
          <w:numId w:val="4"/>
        </w:numPr>
        <w:tabs>
          <w:tab w:val="left" w:pos="709"/>
        </w:tabs>
        <w:spacing w:before="120" w:after="120"/>
        <w:ind w:left="709" w:hanging="425"/>
        <w:jc w:val="both"/>
        <w:rPr>
          <w:rFonts w:asciiTheme="majorHAnsi" w:hAnsiTheme="majorHAnsi" w:cstheme="majorHAnsi"/>
          <w:noProof/>
          <w:sz w:val="24"/>
          <w:szCs w:val="24"/>
          <w:lang w:eastAsia="id-ID"/>
        </w:rPr>
      </w:pPr>
      <w:r w:rsidRPr="00C10BD5">
        <w:rPr>
          <w:rFonts w:asciiTheme="majorHAnsi" w:hAnsiTheme="majorHAnsi" w:cstheme="majorHAnsi"/>
          <w:noProof/>
          <w:sz w:val="24"/>
          <w:szCs w:val="24"/>
          <w:lang w:eastAsia="id-ID"/>
        </w:rPr>
        <w:t xml:space="preserve">Łubiński, P. (2021). Hybrid Warfare or Hybrid Threat – The Weaponization of Migration as an Example of the Use of Lawfare – Case Study of Poland. </w:t>
      </w:r>
      <w:r w:rsidRPr="00C10BD5">
        <w:rPr>
          <w:rFonts w:asciiTheme="majorHAnsi" w:hAnsiTheme="majorHAnsi" w:cstheme="majorHAnsi"/>
          <w:i/>
          <w:noProof/>
          <w:sz w:val="24"/>
          <w:szCs w:val="24"/>
          <w:lang w:eastAsia="id-ID"/>
        </w:rPr>
        <w:t>Polish Political Science Yearbook</w:t>
      </w:r>
      <w:r w:rsidRPr="00C10BD5">
        <w:rPr>
          <w:rFonts w:asciiTheme="majorHAnsi" w:hAnsiTheme="majorHAnsi" w:cstheme="majorHAnsi"/>
          <w:noProof/>
          <w:sz w:val="24"/>
          <w:szCs w:val="24"/>
          <w:lang w:eastAsia="id-ID"/>
        </w:rPr>
        <w:t xml:space="preserve">, </w:t>
      </w:r>
      <w:r w:rsidRPr="00C10BD5">
        <w:rPr>
          <w:rFonts w:asciiTheme="majorHAnsi" w:hAnsiTheme="majorHAnsi" w:cstheme="majorHAnsi"/>
          <w:i/>
          <w:noProof/>
          <w:sz w:val="24"/>
          <w:szCs w:val="24"/>
          <w:lang w:eastAsia="id-ID"/>
        </w:rPr>
        <w:t>51</w:t>
      </w:r>
      <w:r w:rsidRPr="00C10BD5">
        <w:rPr>
          <w:rFonts w:asciiTheme="majorHAnsi" w:hAnsiTheme="majorHAnsi" w:cstheme="majorHAnsi"/>
          <w:noProof/>
          <w:sz w:val="24"/>
          <w:szCs w:val="24"/>
          <w:lang w:eastAsia="id-ID"/>
        </w:rPr>
        <w:t xml:space="preserve">, 1–13. </w:t>
      </w:r>
      <w:hyperlink r:id="rId47" w:history="1">
        <w:r w:rsidRPr="00C10BD5">
          <w:rPr>
            <w:rStyle w:val="a9"/>
            <w:rFonts w:asciiTheme="majorHAnsi" w:hAnsiTheme="majorHAnsi" w:cstheme="majorHAnsi"/>
            <w:noProof/>
            <w:sz w:val="24"/>
            <w:szCs w:val="24"/>
            <w:lang w:eastAsia="id-ID"/>
          </w:rPr>
          <w:t>https://doi.org/10.15804/ppsy202209</w:t>
        </w:r>
      </w:hyperlink>
    </w:p>
    <w:p w14:paraId="72019721" w14:textId="77777777" w:rsidR="00E3097C" w:rsidRPr="00C10BD5" w:rsidRDefault="00E3097C" w:rsidP="00E3097C">
      <w:pPr>
        <w:numPr>
          <w:ilvl w:val="0"/>
          <w:numId w:val="4"/>
        </w:numPr>
        <w:tabs>
          <w:tab w:val="left" w:pos="709"/>
        </w:tabs>
        <w:spacing w:before="120" w:after="120"/>
        <w:ind w:left="709" w:hanging="425"/>
        <w:jc w:val="both"/>
        <w:rPr>
          <w:rFonts w:asciiTheme="majorHAnsi" w:hAnsiTheme="majorHAnsi" w:cstheme="majorHAnsi"/>
          <w:noProof/>
          <w:sz w:val="24"/>
          <w:szCs w:val="24"/>
          <w:lang w:eastAsia="id-ID"/>
        </w:rPr>
      </w:pPr>
      <w:r w:rsidRPr="00C10BD5">
        <w:rPr>
          <w:rFonts w:asciiTheme="majorHAnsi" w:hAnsiTheme="majorHAnsi" w:cstheme="majorHAnsi"/>
          <w:noProof/>
          <w:sz w:val="24"/>
          <w:szCs w:val="24"/>
          <w:lang w:eastAsia="id-ID"/>
        </w:rPr>
        <w:t xml:space="preserve">Drinóczi, T., &amp; Bień-Kacała, A. (2020). COVID-19 in Hungary and Poland: Extraordinary situation and illiberal constitutionalism. </w:t>
      </w:r>
      <w:r w:rsidRPr="00C10BD5">
        <w:rPr>
          <w:rFonts w:asciiTheme="majorHAnsi" w:hAnsiTheme="majorHAnsi" w:cstheme="majorHAnsi"/>
          <w:i/>
          <w:noProof/>
          <w:sz w:val="24"/>
          <w:szCs w:val="24"/>
          <w:lang w:eastAsia="id-ID"/>
        </w:rPr>
        <w:t>The Theory and Practice of Legislation</w:t>
      </w:r>
      <w:r w:rsidRPr="00C10BD5">
        <w:rPr>
          <w:rFonts w:asciiTheme="majorHAnsi" w:hAnsiTheme="majorHAnsi" w:cstheme="majorHAnsi"/>
          <w:noProof/>
          <w:sz w:val="24"/>
          <w:szCs w:val="24"/>
          <w:lang w:eastAsia="id-ID"/>
        </w:rPr>
        <w:t xml:space="preserve">, </w:t>
      </w:r>
      <w:r w:rsidRPr="00C10BD5">
        <w:rPr>
          <w:rFonts w:asciiTheme="majorHAnsi" w:hAnsiTheme="majorHAnsi" w:cstheme="majorHAnsi"/>
          <w:i/>
          <w:noProof/>
          <w:sz w:val="24"/>
          <w:szCs w:val="24"/>
          <w:lang w:eastAsia="id-ID"/>
        </w:rPr>
        <w:t>8</w:t>
      </w:r>
      <w:r w:rsidRPr="00C10BD5">
        <w:rPr>
          <w:rFonts w:asciiTheme="majorHAnsi" w:hAnsiTheme="majorHAnsi" w:cstheme="majorHAnsi"/>
          <w:noProof/>
          <w:sz w:val="24"/>
          <w:szCs w:val="24"/>
          <w:lang w:eastAsia="id-ID"/>
        </w:rPr>
        <w:t xml:space="preserve">(1-2), 171–192. </w:t>
      </w:r>
      <w:hyperlink r:id="rId48" w:history="1">
        <w:r w:rsidRPr="00C10BD5">
          <w:rPr>
            <w:rStyle w:val="a9"/>
            <w:rFonts w:asciiTheme="majorHAnsi" w:hAnsiTheme="majorHAnsi" w:cstheme="majorHAnsi"/>
            <w:noProof/>
            <w:sz w:val="24"/>
            <w:szCs w:val="24"/>
            <w:lang w:eastAsia="id-ID"/>
          </w:rPr>
          <w:t>https://doi.org/10.1080/20508840.2020.1782109</w:t>
        </w:r>
      </w:hyperlink>
    </w:p>
    <w:p w14:paraId="420FB3B7" w14:textId="77777777" w:rsidR="00E3097C" w:rsidRPr="00C10BD5" w:rsidRDefault="00E3097C" w:rsidP="00E3097C">
      <w:pPr>
        <w:numPr>
          <w:ilvl w:val="0"/>
          <w:numId w:val="4"/>
        </w:numPr>
        <w:tabs>
          <w:tab w:val="left" w:pos="709"/>
        </w:tabs>
        <w:spacing w:before="120" w:after="120"/>
        <w:ind w:left="709" w:hanging="425"/>
        <w:jc w:val="both"/>
        <w:rPr>
          <w:rFonts w:asciiTheme="majorHAnsi" w:hAnsiTheme="majorHAnsi" w:cstheme="majorHAnsi"/>
          <w:noProof/>
          <w:sz w:val="24"/>
          <w:szCs w:val="24"/>
          <w:lang w:eastAsia="id-ID"/>
        </w:rPr>
      </w:pPr>
      <w:r w:rsidRPr="00C10BD5">
        <w:rPr>
          <w:rFonts w:asciiTheme="majorHAnsi" w:hAnsiTheme="majorHAnsi" w:cstheme="majorHAnsi"/>
          <w:noProof/>
          <w:sz w:val="24"/>
          <w:szCs w:val="24"/>
          <w:lang w:eastAsia="id-ID"/>
        </w:rPr>
        <w:t xml:space="preserve">Safarli, C., Kolach, S., Zhyvko, M., Volskyi, O., &amp; Bobro, N. (2024). Considering Globalisation Risks in the Formation and Implementation of International Investment Strategies. </w:t>
      </w:r>
      <w:r w:rsidRPr="00C10BD5">
        <w:rPr>
          <w:rFonts w:asciiTheme="majorHAnsi" w:hAnsiTheme="majorHAnsi" w:cstheme="majorHAnsi"/>
          <w:i/>
          <w:noProof/>
          <w:sz w:val="24"/>
          <w:szCs w:val="24"/>
          <w:lang w:eastAsia="id-ID"/>
        </w:rPr>
        <w:t>Pakistan Journal of Life and Social Sciences (PJLSS)</w:t>
      </w:r>
      <w:r w:rsidRPr="00C10BD5">
        <w:rPr>
          <w:rFonts w:asciiTheme="majorHAnsi" w:hAnsiTheme="majorHAnsi" w:cstheme="majorHAnsi"/>
          <w:noProof/>
          <w:sz w:val="24"/>
          <w:szCs w:val="24"/>
          <w:lang w:eastAsia="id-ID"/>
        </w:rPr>
        <w:t xml:space="preserve">, </w:t>
      </w:r>
      <w:r w:rsidRPr="00C10BD5">
        <w:rPr>
          <w:rFonts w:asciiTheme="majorHAnsi" w:hAnsiTheme="majorHAnsi" w:cstheme="majorHAnsi"/>
          <w:i/>
          <w:noProof/>
          <w:sz w:val="24"/>
          <w:szCs w:val="24"/>
          <w:lang w:eastAsia="id-ID"/>
        </w:rPr>
        <w:t>22</w:t>
      </w:r>
      <w:r w:rsidRPr="00C10BD5">
        <w:rPr>
          <w:rFonts w:asciiTheme="majorHAnsi" w:hAnsiTheme="majorHAnsi" w:cstheme="majorHAnsi"/>
          <w:noProof/>
          <w:sz w:val="24"/>
          <w:szCs w:val="24"/>
          <w:lang w:eastAsia="id-ID"/>
        </w:rPr>
        <w:t xml:space="preserve">(2). </w:t>
      </w:r>
      <w:hyperlink r:id="rId49" w:history="1">
        <w:r w:rsidRPr="00C10BD5">
          <w:rPr>
            <w:rStyle w:val="a9"/>
            <w:rFonts w:asciiTheme="majorHAnsi" w:hAnsiTheme="majorHAnsi" w:cstheme="majorHAnsi"/>
            <w:noProof/>
            <w:sz w:val="24"/>
            <w:szCs w:val="24"/>
            <w:lang w:eastAsia="id-ID"/>
          </w:rPr>
          <w:t>https://doi.org/10.57239/pjlss-2024-22.2.00776</w:t>
        </w:r>
      </w:hyperlink>
    </w:p>
    <w:p w14:paraId="6F6E4E84" w14:textId="77777777" w:rsidR="00E3097C" w:rsidRPr="00C10BD5" w:rsidRDefault="00E3097C" w:rsidP="00E3097C">
      <w:pPr>
        <w:numPr>
          <w:ilvl w:val="0"/>
          <w:numId w:val="4"/>
        </w:numPr>
        <w:tabs>
          <w:tab w:val="left" w:pos="709"/>
        </w:tabs>
        <w:spacing w:before="120" w:after="120"/>
        <w:ind w:left="709" w:hanging="425"/>
        <w:jc w:val="both"/>
        <w:rPr>
          <w:rFonts w:asciiTheme="majorHAnsi" w:hAnsiTheme="majorHAnsi" w:cstheme="majorHAnsi"/>
          <w:noProof/>
          <w:sz w:val="24"/>
          <w:szCs w:val="24"/>
          <w:lang w:eastAsia="id-ID"/>
        </w:rPr>
      </w:pPr>
      <w:r w:rsidRPr="00C10BD5">
        <w:rPr>
          <w:rFonts w:asciiTheme="majorHAnsi" w:hAnsiTheme="majorHAnsi" w:cstheme="majorHAnsi"/>
          <w:noProof/>
          <w:sz w:val="24"/>
          <w:szCs w:val="24"/>
          <w:lang w:eastAsia="id-ID"/>
        </w:rPr>
        <w:t xml:space="preserve">Lekunze, M. (2023). Insurgency and national security: a perspective from Cameroon’s separatist conflict. </w:t>
      </w:r>
      <w:r w:rsidRPr="00C10BD5">
        <w:rPr>
          <w:rFonts w:asciiTheme="majorHAnsi" w:hAnsiTheme="majorHAnsi" w:cstheme="majorHAnsi"/>
          <w:i/>
          <w:noProof/>
          <w:sz w:val="24"/>
          <w:szCs w:val="24"/>
          <w:lang w:eastAsia="id-ID"/>
        </w:rPr>
        <w:t>Third World Quarterly, 44</w:t>
      </w:r>
      <w:r w:rsidRPr="00C10BD5">
        <w:rPr>
          <w:rFonts w:asciiTheme="majorHAnsi" w:hAnsiTheme="majorHAnsi" w:cstheme="majorHAnsi"/>
          <w:noProof/>
          <w:sz w:val="24"/>
          <w:szCs w:val="24"/>
          <w:lang w:eastAsia="id-ID"/>
        </w:rPr>
        <w:t xml:space="preserve">(6), 1155–1173. </w:t>
      </w:r>
      <w:hyperlink r:id="rId50" w:history="1">
        <w:r w:rsidRPr="00C10BD5">
          <w:rPr>
            <w:rStyle w:val="a9"/>
            <w:rFonts w:asciiTheme="majorHAnsi" w:hAnsiTheme="majorHAnsi" w:cstheme="majorHAnsi"/>
            <w:noProof/>
            <w:sz w:val="24"/>
            <w:szCs w:val="24"/>
            <w:lang w:eastAsia="id-ID"/>
          </w:rPr>
          <w:t>https://doi.org/10.1080/01436597.2023.2177149</w:t>
        </w:r>
      </w:hyperlink>
    </w:p>
    <w:p w14:paraId="75C71264" w14:textId="77777777" w:rsidR="00E3097C" w:rsidRPr="00C10BD5" w:rsidRDefault="00E3097C" w:rsidP="00E3097C">
      <w:pPr>
        <w:numPr>
          <w:ilvl w:val="0"/>
          <w:numId w:val="4"/>
        </w:numPr>
        <w:tabs>
          <w:tab w:val="left" w:pos="709"/>
        </w:tabs>
        <w:spacing w:before="120" w:after="120"/>
        <w:ind w:left="709" w:hanging="425"/>
        <w:jc w:val="both"/>
        <w:rPr>
          <w:rFonts w:asciiTheme="majorHAnsi" w:hAnsiTheme="majorHAnsi" w:cstheme="majorHAnsi"/>
          <w:noProof/>
          <w:sz w:val="24"/>
          <w:szCs w:val="24"/>
          <w:lang w:eastAsia="id-ID"/>
        </w:rPr>
      </w:pPr>
      <w:r w:rsidRPr="00C10BD5">
        <w:rPr>
          <w:rFonts w:asciiTheme="majorHAnsi" w:hAnsiTheme="majorHAnsi" w:cstheme="majorHAnsi"/>
          <w:noProof/>
          <w:sz w:val="24"/>
          <w:szCs w:val="24"/>
          <w:lang w:eastAsia="id-ID"/>
        </w:rPr>
        <w:t xml:space="preserve">Rottweiler, B., &amp; Gill, P. (2020). Conspiracy Beliefs and Violent Extremist Intentions: The Contingent Effects of Self-efficacy, Self-control and Law-related Morality. </w:t>
      </w:r>
      <w:r w:rsidRPr="00C10BD5">
        <w:rPr>
          <w:rFonts w:asciiTheme="majorHAnsi" w:hAnsiTheme="majorHAnsi" w:cstheme="majorHAnsi"/>
          <w:i/>
          <w:noProof/>
          <w:sz w:val="24"/>
          <w:szCs w:val="24"/>
          <w:lang w:eastAsia="id-ID"/>
        </w:rPr>
        <w:t>Terrorism and Political Violence</w:t>
      </w:r>
      <w:r w:rsidRPr="00C10BD5">
        <w:rPr>
          <w:rFonts w:asciiTheme="majorHAnsi" w:hAnsiTheme="majorHAnsi" w:cstheme="majorHAnsi"/>
          <w:noProof/>
          <w:sz w:val="24"/>
          <w:szCs w:val="24"/>
          <w:lang w:eastAsia="id-ID"/>
        </w:rPr>
        <w:t xml:space="preserve">, </w:t>
      </w:r>
      <w:r w:rsidRPr="00C10BD5">
        <w:rPr>
          <w:rFonts w:asciiTheme="majorHAnsi" w:hAnsiTheme="majorHAnsi" w:cstheme="majorHAnsi"/>
          <w:i/>
          <w:noProof/>
          <w:sz w:val="24"/>
          <w:szCs w:val="24"/>
          <w:lang w:eastAsia="id-ID"/>
        </w:rPr>
        <w:t>34</w:t>
      </w:r>
      <w:r w:rsidRPr="00C10BD5">
        <w:rPr>
          <w:rFonts w:asciiTheme="majorHAnsi" w:hAnsiTheme="majorHAnsi" w:cstheme="majorHAnsi"/>
          <w:noProof/>
          <w:sz w:val="24"/>
          <w:szCs w:val="24"/>
          <w:lang w:eastAsia="id-ID"/>
        </w:rPr>
        <w:t xml:space="preserve">(7), 1485–1504. </w:t>
      </w:r>
      <w:hyperlink r:id="rId51" w:history="1">
        <w:r w:rsidRPr="00C10BD5">
          <w:rPr>
            <w:rStyle w:val="a9"/>
            <w:rFonts w:asciiTheme="majorHAnsi" w:hAnsiTheme="majorHAnsi" w:cstheme="majorHAnsi"/>
            <w:noProof/>
            <w:sz w:val="24"/>
            <w:szCs w:val="24"/>
            <w:lang w:eastAsia="id-ID"/>
          </w:rPr>
          <w:t>https://doi.org/10.1080/09546553.2020.1803288</w:t>
        </w:r>
      </w:hyperlink>
    </w:p>
    <w:p w14:paraId="71196A81" w14:textId="77777777" w:rsidR="00E3097C" w:rsidRPr="00C10BD5" w:rsidRDefault="00E3097C" w:rsidP="00E3097C">
      <w:pPr>
        <w:numPr>
          <w:ilvl w:val="0"/>
          <w:numId w:val="4"/>
        </w:numPr>
        <w:tabs>
          <w:tab w:val="left" w:pos="709"/>
        </w:tabs>
        <w:spacing w:before="120" w:after="120"/>
        <w:ind w:left="709" w:hanging="425"/>
        <w:jc w:val="both"/>
        <w:rPr>
          <w:rFonts w:asciiTheme="majorHAnsi" w:hAnsiTheme="majorHAnsi" w:cstheme="majorHAnsi"/>
          <w:noProof/>
          <w:sz w:val="24"/>
          <w:szCs w:val="24"/>
          <w:lang w:eastAsia="id-ID"/>
        </w:rPr>
      </w:pPr>
      <w:r w:rsidRPr="00C10BD5">
        <w:rPr>
          <w:rFonts w:asciiTheme="majorHAnsi" w:hAnsiTheme="majorHAnsi" w:cstheme="majorHAnsi"/>
          <w:noProof/>
          <w:sz w:val="24"/>
          <w:szCs w:val="24"/>
          <w:lang w:eastAsia="id-ID"/>
        </w:rPr>
        <w:t xml:space="preserve">Kostrubiec, J. (2021). The Role of Public Order Regulations as Acts of Local Law in the Performance of Tasks in the Field of Public Security by Local Self-government in Poland. </w:t>
      </w:r>
      <w:r w:rsidRPr="00C10BD5">
        <w:rPr>
          <w:rFonts w:asciiTheme="majorHAnsi" w:hAnsiTheme="majorHAnsi" w:cstheme="majorHAnsi"/>
          <w:i/>
          <w:noProof/>
          <w:sz w:val="24"/>
          <w:szCs w:val="24"/>
          <w:lang w:eastAsia="id-ID"/>
        </w:rPr>
        <w:lastRenderedPageBreak/>
        <w:t>Lex Localis – Journal of Local Self-Government</w:t>
      </w:r>
      <w:r w:rsidRPr="00C10BD5">
        <w:rPr>
          <w:rFonts w:asciiTheme="majorHAnsi" w:hAnsiTheme="majorHAnsi" w:cstheme="majorHAnsi"/>
          <w:noProof/>
          <w:sz w:val="24"/>
          <w:szCs w:val="24"/>
          <w:lang w:eastAsia="id-ID"/>
        </w:rPr>
        <w:t xml:space="preserve">, </w:t>
      </w:r>
      <w:r w:rsidRPr="00C10BD5">
        <w:rPr>
          <w:rFonts w:asciiTheme="majorHAnsi" w:hAnsiTheme="majorHAnsi" w:cstheme="majorHAnsi"/>
          <w:i/>
          <w:noProof/>
          <w:sz w:val="24"/>
          <w:szCs w:val="24"/>
          <w:lang w:eastAsia="id-ID"/>
        </w:rPr>
        <w:t>19</w:t>
      </w:r>
      <w:r w:rsidRPr="00C10BD5">
        <w:rPr>
          <w:rFonts w:asciiTheme="majorHAnsi" w:hAnsiTheme="majorHAnsi" w:cstheme="majorHAnsi"/>
          <w:noProof/>
          <w:sz w:val="24"/>
          <w:szCs w:val="24"/>
          <w:lang w:eastAsia="id-ID"/>
        </w:rPr>
        <w:t xml:space="preserve">(1), 111–129. </w:t>
      </w:r>
      <w:hyperlink r:id="rId52" w:history="1">
        <w:r w:rsidRPr="00C10BD5">
          <w:rPr>
            <w:rStyle w:val="a9"/>
            <w:rFonts w:asciiTheme="majorHAnsi" w:hAnsiTheme="majorHAnsi" w:cstheme="majorHAnsi"/>
            <w:noProof/>
            <w:sz w:val="24"/>
            <w:szCs w:val="24"/>
            <w:lang w:eastAsia="id-ID"/>
          </w:rPr>
          <w:t>https://doi.org/10.4335/19.1.111-129(2021)</w:t>
        </w:r>
      </w:hyperlink>
    </w:p>
    <w:p w14:paraId="7717D185" w14:textId="77777777" w:rsidR="00E3097C" w:rsidRPr="00C10BD5" w:rsidRDefault="00E3097C" w:rsidP="00E3097C">
      <w:pPr>
        <w:numPr>
          <w:ilvl w:val="0"/>
          <w:numId w:val="4"/>
        </w:numPr>
        <w:tabs>
          <w:tab w:val="left" w:pos="709"/>
        </w:tabs>
        <w:spacing w:before="120" w:after="120"/>
        <w:ind w:left="709" w:hanging="425"/>
        <w:jc w:val="both"/>
        <w:rPr>
          <w:rFonts w:asciiTheme="majorHAnsi" w:hAnsiTheme="majorHAnsi" w:cstheme="majorHAnsi"/>
          <w:noProof/>
          <w:sz w:val="24"/>
          <w:szCs w:val="24"/>
          <w:lang w:eastAsia="id-ID"/>
        </w:rPr>
      </w:pPr>
      <w:r w:rsidRPr="00C10BD5">
        <w:rPr>
          <w:rFonts w:asciiTheme="majorHAnsi" w:hAnsiTheme="majorHAnsi" w:cstheme="majorHAnsi"/>
          <w:noProof/>
          <w:sz w:val="24"/>
          <w:szCs w:val="24"/>
          <w:lang w:val="de-DE" w:eastAsia="id-ID"/>
        </w:rPr>
        <w:t xml:space="preserve">Kuhlmann, S., Hellström, M., Ramberg, U., &amp; Reiter, R. (2021). </w:t>
      </w:r>
      <w:r w:rsidRPr="00C10BD5">
        <w:rPr>
          <w:rFonts w:asciiTheme="majorHAnsi" w:hAnsiTheme="majorHAnsi" w:cstheme="majorHAnsi"/>
          <w:noProof/>
          <w:sz w:val="24"/>
          <w:szCs w:val="24"/>
          <w:lang w:eastAsia="id-ID"/>
        </w:rPr>
        <w:t xml:space="preserve">Tracing divergence in crisis governance: responses to the COVID-19 pandemic in France, Germany and Sweden compared. </w:t>
      </w:r>
      <w:r w:rsidRPr="00C10BD5">
        <w:rPr>
          <w:rFonts w:asciiTheme="majorHAnsi" w:hAnsiTheme="majorHAnsi" w:cstheme="majorHAnsi"/>
          <w:i/>
          <w:noProof/>
          <w:sz w:val="24"/>
          <w:szCs w:val="24"/>
          <w:lang w:eastAsia="id-ID"/>
        </w:rPr>
        <w:t>International Review of Administrative Sciences</w:t>
      </w:r>
      <w:r w:rsidRPr="00C10BD5">
        <w:rPr>
          <w:rFonts w:asciiTheme="majorHAnsi" w:hAnsiTheme="majorHAnsi" w:cstheme="majorHAnsi"/>
          <w:noProof/>
          <w:sz w:val="24"/>
          <w:szCs w:val="24"/>
          <w:lang w:eastAsia="id-ID"/>
        </w:rPr>
        <w:t xml:space="preserve">, </w:t>
      </w:r>
      <w:r w:rsidRPr="00C10BD5">
        <w:rPr>
          <w:rFonts w:asciiTheme="majorHAnsi" w:hAnsiTheme="majorHAnsi" w:cstheme="majorHAnsi"/>
          <w:i/>
          <w:noProof/>
          <w:sz w:val="24"/>
          <w:szCs w:val="24"/>
          <w:lang w:eastAsia="id-ID"/>
        </w:rPr>
        <w:t>87</w:t>
      </w:r>
      <w:r w:rsidRPr="00C10BD5">
        <w:rPr>
          <w:rFonts w:asciiTheme="majorHAnsi" w:hAnsiTheme="majorHAnsi" w:cstheme="majorHAnsi"/>
          <w:noProof/>
          <w:sz w:val="24"/>
          <w:szCs w:val="24"/>
          <w:lang w:eastAsia="id-ID"/>
        </w:rPr>
        <w:t xml:space="preserve">(3), 556–575. </w:t>
      </w:r>
      <w:hyperlink r:id="rId53" w:history="1">
        <w:r w:rsidRPr="00C10BD5">
          <w:rPr>
            <w:rStyle w:val="a9"/>
            <w:rFonts w:asciiTheme="majorHAnsi" w:hAnsiTheme="majorHAnsi" w:cstheme="majorHAnsi"/>
            <w:noProof/>
            <w:sz w:val="24"/>
            <w:szCs w:val="24"/>
            <w:lang w:eastAsia="id-ID"/>
          </w:rPr>
          <w:t>https://doi.org/10.1177/0020852320979359</w:t>
        </w:r>
      </w:hyperlink>
    </w:p>
    <w:p w14:paraId="67CDC27E" w14:textId="77777777" w:rsidR="00E3097C" w:rsidRPr="00A94035" w:rsidRDefault="00E3097C" w:rsidP="00E3097C">
      <w:pPr>
        <w:numPr>
          <w:ilvl w:val="0"/>
          <w:numId w:val="4"/>
        </w:numPr>
        <w:tabs>
          <w:tab w:val="left" w:pos="709"/>
        </w:tabs>
        <w:spacing w:before="120" w:after="120"/>
        <w:ind w:left="709" w:hanging="425"/>
        <w:jc w:val="both"/>
        <w:rPr>
          <w:rStyle w:val="a9"/>
          <w:rFonts w:asciiTheme="majorHAnsi" w:hAnsiTheme="majorHAnsi" w:cstheme="majorHAnsi"/>
          <w:noProof/>
          <w:color w:val="auto"/>
          <w:sz w:val="24"/>
          <w:szCs w:val="24"/>
          <w:u w:val="none"/>
          <w:lang w:val="uk-UA" w:eastAsia="id-ID"/>
        </w:rPr>
      </w:pPr>
      <w:r w:rsidRPr="00C10BD5">
        <w:rPr>
          <w:rFonts w:asciiTheme="majorHAnsi" w:hAnsiTheme="majorHAnsi" w:cstheme="majorHAnsi"/>
          <w:noProof/>
          <w:sz w:val="24"/>
          <w:szCs w:val="24"/>
          <w:lang w:eastAsia="id-ID"/>
        </w:rPr>
        <w:t xml:space="preserve">Demianchuk, Y., &amp; Semeniuk, O. (2023). Regulatory and legal aspects of corruption prevention in Ukraine in accordance with the requirements of the European Union. In </w:t>
      </w:r>
      <w:r w:rsidRPr="00C10BD5">
        <w:rPr>
          <w:rFonts w:asciiTheme="majorHAnsi" w:hAnsiTheme="majorHAnsi" w:cstheme="majorHAnsi"/>
          <w:i/>
          <w:noProof/>
          <w:sz w:val="24"/>
          <w:szCs w:val="24"/>
          <w:lang w:eastAsia="id-ID"/>
        </w:rPr>
        <w:t xml:space="preserve">Adaptation of Ukrainian legislation to EU requirements </w:t>
      </w:r>
      <w:r w:rsidRPr="00C10BD5">
        <w:rPr>
          <w:rFonts w:asciiTheme="majorHAnsi" w:hAnsiTheme="majorHAnsi" w:cstheme="majorHAnsi"/>
          <w:noProof/>
          <w:sz w:val="24"/>
          <w:szCs w:val="24"/>
          <w:lang w:eastAsia="id-ID"/>
        </w:rPr>
        <w:t xml:space="preserve">(pp. 85–108). International </w:t>
      </w:r>
      <w:r w:rsidRPr="00A94035">
        <w:rPr>
          <w:rFonts w:asciiTheme="majorHAnsi" w:hAnsiTheme="majorHAnsi" w:cstheme="majorHAnsi"/>
          <w:noProof/>
          <w:sz w:val="24"/>
          <w:szCs w:val="24"/>
          <w:lang w:eastAsia="id-ID"/>
        </w:rPr>
        <w:t xml:space="preserve">Science Group. </w:t>
      </w:r>
      <w:hyperlink r:id="rId54" w:history="1">
        <w:r w:rsidRPr="00A94035">
          <w:rPr>
            <w:rStyle w:val="a9"/>
            <w:rFonts w:asciiTheme="majorHAnsi" w:hAnsiTheme="majorHAnsi" w:cstheme="majorHAnsi"/>
            <w:noProof/>
            <w:sz w:val="24"/>
            <w:szCs w:val="24"/>
            <w:lang w:eastAsia="id-ID"/>
          </w:rPr>
          <w:t>https</w:t>
        </w:r>
        <w:r w:rsidRPr="00A94035">
          <w:rPr>
            <w:rStyle w:val="a9"/>
            <w:rFonts w:asciiTheme="majorHAnsi" w:hAnsiTheme="majorHAnsi" w:cstheme="majorHAnsi"/>
            <w:noProof/>
            <w:sz w:val="24"/>
            <w:szCs w:val="24"/>
            <w:lang w:val="uk-UA" w:eastAsia="id-ID"/>
          </w:rPr>
          <w:t>://</w:t>
        </w:r>
        <w:r w:rsidRPr="00A94035">
          <w:rPr>
            <w:rStyle w:val="a9"/>
            <w:rFonts w:asciiTheme="majorHAnsi" w:hAnsiTheme="majorHAnsi" w:cstheme="majorHAnsi"/>
            <w:noProof/>
            <w:sz w:val="24"/>
            <w:szCs w:val="24"/>
            <w:lang w:eastAsia="id-ID"/>
          </w:rPr>
          <w:t>doi</w:t>
        </w:r>
        <w:r w:rsidRPr="00A94035">
          <w:rPr>
            <w:rStyle w:val="a9"/>
            <w:rFonts w:asciiTheme="majorHAnsi" w:hAnsiTheme="majorHAnsi" w:cstheme="majorHAnsi"/>
            <w:noProof/>
            <w:sz w:val="24"/>
            <w:szCs w:val="24"/>
            <w:lang w:val="uk-UA" w:eastAsia="id-ID"/>
          </w:rPr>
          <w:t>.</w:t>
        </w:r>
        <w:r w:rsidRPr="00A94035">
          <w:rPr>
            <w:rStyle w:val="a9"/>
            <w:rFonts w:asciiTheme="majorHAnsi" w:hAnsiTheme="majorHAnsi" w:cstheme="majorHAnsi"/>
            <w:noProof/>
            <w:sz w:val="24"/>
            <w:szCs w:val="24"/>
            <w:lang w:eastAsia="id-ID"/>
          </w:rPr>
          <w:t>org</w:t>
        </w:r>
        <w:r w:rsidRPr="00A94035">
          <w:rPr>
            <w:rStyle w:val="a9"/>
            <w:rFonts w:asciiTheme="majorHAnsi" w:hAnsiTheme="majorHAnsi" w:cstheme="majorHAnsi"/>
            <w:noProof/>
            <w:sz w:val="24"/>
            <w:szCs w:val="24"/>
            <w:lang w:val="uk-UA" w:eastAsia="id-ID"/>
          </w:rPr>
          <w:t>/10.46299/979-8-88992-698-6.4</w:t>
        </w:r>
      </w:hyperlink>
    </w:p>
    <w:p w14:paraId="5BAB3A42" w14:textId="77777777" w:rsidR="00E3097C" w:rsidRPr="00A94035" w:rsidRDefault="00E3097C" w:rsidP="00E3097C">
      <w:pPr>
        <w:numPr>
          <w:ilvl w:val="0"/>
          <w:numId w:val="4"/>
        </w:numPr>
        <w:tabs>
          <w:tab w:val="left" w:pos="709"/>
        </w:tabs>
        <w:spacing w:before="120" w:after="120"/>
        <w:ind w:left="709" w:hanging="425"/>
        <w:jc w:val="both"/>
        <w:rPr>
          <w:rFonts w:asciiTheme="majorHAnsi" w:hAnsiTheme="majorHAnsi" w:cstheme="majorHAnsi"/>
          <w:noProof/>
          <w:sz w:val="24"/>
          <w:szCs w:val="24"/>
          <w:lang w:val="uk-UA" w:eastAsia="id-ID"/>
        </w:rPr>
      </w:pPr>
      <w:r w:rsidRPr="00A94035">
        <w:rPr>
          <w:rFonts w:asciiTheme="majorHAnsi" w:hAnsiTheme="majorHAnsi" w:cstheme="majorHAnsi"/>
          <w:color w:val="000000"/>
          <w:sz w:val="24"/>
          <w:szCs w:val="24"/>
        </w:rPr>
        <w:t>Kozak</w:t>
      </w:r>
      <w:r w:rsidRPr="00A94035">
        <w:rPr>
          <w:rFonts w:asciiTheme="majorHAnsi" w:hAnsiTheme="majorHAnsi" w:cstheme="majorHAnsi"/>
          <w:color w:val="000000"/>
          <w:sz w:val="24"/>
          <w:szCs w:val="24"/>
          <w:lang w:val="uk-UA"/>
        </w:rPr>
        <w:t>,</w:t>
      </w:r>
      <w:r w:rsidRPr="00A94035">
        <w:rPr>
          <w:rFonts w:asciiTheme="majorHAnsi" w:hAnsiTheme="majorHAnsi" w:cstheme="majorHAnsi"/>
          <w:color w:val="000000"/>
          <w:sz w:val="24"/>
          <w:szCs w:val="24"/>
        </w:rPr>
        <w:t> N</w:t>
      </w:r>
      <w:r w:rsidRPr="00A94035">
        <w:rPr>
          <w:rFonts w:asciiTheme="majorHAnsi" w:hAnsiTheme="majorHAnsi" w:cstheme="majorHAnsi"/>
          <w:color w:val="000000"/>
          <w:sz w:val="24"/>
          <w:szCs w:val="24"/>
          <w:lang w:val="uk-UA"/>
        </w:rPr>
        <w:t>.</w:t>
      </w:r>
      <w:r w:rsidRPr="00A94035">
        <w:rPr>
          <w:rFonts w:asciiTheme="majorHAnsi" w:hAnsiTheme="majorHAnsi" w:cstheme="majorHAnsi"/>
          <w:color w:val="000000"/>
          <w:sz w:val="24"/>
          <w:szCs w:val="24"/>
        </w:rPr>
        <w:t> D</w:t>
      </w:r>
      <w:r w:rsidRPr="00A94035">
        <w:rPr>
          <w:rFonts w:asciiTheme="majorHAnsi" w:hAnsiTheme="majorHAnsi" w:cstheme="majorHAnsi"/>
          <w:color w:val="000000"/>
          <w:sz w:val="24"/>
          <w:szCs w:val="24"/>
          <w:lang w:val="uk-UA"/>
        </w:rPr>
        <w:t xml:space="preserve">., </w:t>
      </w:r>
      <w:proofErr w:type="spellStart"/>
      <w:r w:rsidRPr="00A94035">
        <w:rPr>
          <w:rFonts w:asciiTheme="majorHAnsi" w:hAnsiTheme="majorHAnsi" w:cstheme="majorHAnsi"/>
          <w:color w:val="000000"/>
          <w:sz w:val="24"/>
          <w:szCs w:val="24"/>
        </w:rPr>
        <w:t>Rudynskyi</w:t>
      </w:r>
      <w:proofErr w:type="spellEnd"/>
      <w:r w:rsidRPr="00A94035">
        <w:rPr>
          <w:rFonts w:asciiTheme="majorHAnsi" w:hAnsiTheme="majorHAnsi" w:cstheme="majorHAnsi"/>
          <w:color w:val="000000"/>
          <w:sz w:val="24"/>
          <w:szCs w:val="24"/>
          <w:lang w:val="uk-UA"/>
        </w:rPr>
        <w:t>,</w:t>
      </w:r>
      <w:r w:rsidRPr="00A94035">
        <w:rPr>
          <w:rFonts w:asciiTheme="majorHAnsi" w:hAnsiTheme="majorHAnsi" w:cstheme="majorHAnsi"/>
          <w:color w:val="000000"/>
          <w:sz w:val="24"/>
          <w:szCs w:val="24"/>
        </w:rPr>
        <w:t> O</w:t>
      </w:r>
      <w:r w:rsidRPr="00A94035">
        <w:rPr>
          <w:rFonts w:asciiTheme="majorHAnsi" w:hAnsiTheme="majorHAnsi" w:cstheme="majorHAnsi"/>
          <w:color w:val="000000"/>
          <w:sz w:val="24"/>
          <w:szCs w:val="24"/>
          <w:lang w:val="uk-UA"/>
        </w:rPr>
        <w:t>.</w:t>
      </w:r>
      <w:r w:rsidRPr="00A94035">
        <w:rPr>
          <w:rFonts w:asciiTheme="majorHAnsi" w:hAnsiTheme="majorHAnsi" w:cstheme="majorHAnsi"/>
          <w:color w:val="000000"/>
          <w:sz w:val="24"/>
          <w:szCs w:val="24"/>
        </w:rPr>
        <w:t> V</w:t>
      </w:r>
      <w:r w:rsidRPr="00A94035">
        <w:rPr>
          <w:rFonts w:asciiTheme="majorHAnsi" w:hAnsiTheme="majorHAnsi" w:cstheme="majorHAnsi"/>
          <w:color w:val="000000"/>
          <w:sz w:val="24"/>
          <w:szCs w:val="24"/>
          <w:lang w:val="uk-UA"/>
        </w:rPr>
        <w:t xml:space="preserve">., </w:t>
      </w:r>
      <w:r w:rsidRPr="00A94035">
        <w:rPr>
          <w:rFonts w:asciiTheme="majorHAnsi" w:hAnsiTheme="majorHAnsi" w:cstheme="majorHAnsi"/>
          <w:color w:val="000000"/>
          <w:sz w:val="24"/>
          <w:szCs w:val="24"/>
        </w:rPr>
        <w:t>Verba</w:t>
      </w:r>
      <w:r w:rsidRPr="00A94035">
        <w:rPr>
          <w:rFonts w:asciiTheme="majorHAnsi" w:hAnsiTheme="majorHAnsi" w:cstheme="majorHAnsi"/>
          <w:color w:val="000000"/>
          <w:sz w:val="24"/>
          <w:szCs w:val="24"/>
          <w:lang w:val="uk-UA"/>
        </w:rPr>
        <w:t>,</w:t>
      </w:r>
      <w:r w:rsidRPr="00A94035">
        <w:rPr>
          <w:rFonts w:asciiTheme="majorHAnsi" w:hAnsiTheme="majorHAnsi" w:cstheme="majorHAnsi"/>
          <w:color w:val="000000"/>
          <w:sz w:val="24"/>
          <w:szCs w:val="24"/>
        </w:rPr>
        <w:t> A</w:t>
      </w:r>
      <w:r w:rsidRPr="00A94035">
        <w:rPr>
          <w:rFonts w:asciiTheme="majorHAnsi" w:hAnsiTheme="majorHAnsi" w:cstheme="majorHAnsi"/>
          <w:color w:val="000000"/>
          <w:sz w:val="24"/>
          <w:szCs w:val="24"/>
          <w:lang w:val="uk-UA"/>
        </w:rPr>
        <w:t>.</w:t>
      </w:r>
      <w:r w:rsidRPr="00A94035">
        <w:rPr>
          <w:rFonts w:asciiTheme="majorHAnsi" w:hAnsiTheme="majorHAnsi" w:cstheme="majorHAnsi"/>
          <w:color w:val="000000"/>
          <w:sz w:val="24"/>
          <w:szCs w:val="24"/>
        </w:rPr>
        <w:t> V</w:t>
      </w:r>
      <w:r w:rsidRPr="00A94035">
        <w:rPr>
          <w:rFonts w:asciiTheme="majorHAnsi" w:hAnsiTheme="majorHAnsi" w:cstheme="majorHAnsi"/>
          <w:color w:val="000000"/>
          <w:sz w:val="24"/>
          <w:szCs w:val="24"/>
          <w:lang w:val="uk-UA"/>
        </w:rPr>
        <w:t xml:space="preserve">., </w:t>
      </w:r>
      <w:r w:rsidRPr="00A94035">
        <w:rPr>
          <w:rFonts w:asciiTheme="majorHAnsi" w:hAnsiTheme="majorHAnsi" w:cstheme="majorHAnsi"/>
          <w:color w:val="000000"/>
          <w:sz w:val="24"/>
          <w:szCs w:val="24"/>
        </w:rPr>
        <w:t>Asaulenko</w:t>
      </w:r>
      <w:r w:rsidRPr="00A94035">
        <w:rPr>
          <w:rFonts w:asciiTheme="majorHAnsi" w:hAnsiTheme="majorHAnsi" w:cstheme="majorHAnsi"/>
          <w:color w:val="000000"/>
          <w:sz w:val="24"/>
          <w:szCs w:val="24"/>
          <w:lang w:val="uk-UA"/>
        </w:rPr>
        <w:t>,</w:t>
      </w:r>
      <w:r w:rsidRPr="00A94035">
        <w:rPr>
          <w:rFonts w:asciiTheme="majorHAnsi" w:hAnsiTheme="majorHAnsi" w:cstheme="majorHAnsi"/>
          <w:color w:val="000000"/>
          <w:sz w:val="24"/>
          <w:szCs w:val="24"/>
        </w:rPr>
        <w:t> A</w:t>
      </w:r>
      <w:r w:rsidRPr="00A94035">
        <w:rPr>
          <w:rFonts w:asciiTheme="majorHAnsi" w:hAnsiTheme="majorHAnsi" w:cstheme="majorHAnsi"/>
          <w:color w:val="000000"/>
          <w:sz w:val="24"/>
          <w:szCs w:val="24"/>
          <w:lang w:val="uk-UA"/>
        </w:rPr>
        <w:t>.</w:t>
      </w:r>
      <w:r w:rsidRPr="00A94035">
        <w:rPr>
          <w:rFonts w:asciiTheme="majorHAnsi" w:hAnsiTheme="majorHAnsi" w:cstheme="majorHAnsi"/>
          <w:color w:val="000000"/>
          <w:sz w:val="24"/>
          <w:szCs w:val="24"/>
        </w:rPr>
        <w:t> A</w:t>
      </w:r>
      <w:r w:rsidRPr="00A94035">
        <w:rPr>
          <w:rFonts w:asciiTheme="majorHAnsi" w:hAnsiTheme="majorHAnsi" w:cstheme="majorHAnsi"/>
          <w:color w:val="000000"/>
          <w:sz w:val="24"/>
          <w:szCs w:val="24"/>
          <w:lang w:val="uk-UA"/>
        </w:rPr>
        <w:t xml:space="preserve">., &amp; </w:t>
      </w:r>
      <w:r w:rsidRPr="00A94035">
        <w:rPr>
          <w:rFonts w:asciiTheme="majorHAnsi" w:hAnsiTheme="majorHAnsi" w:cstheme="majorHAnsi"/>
          <w:color w:val="000000"/>
          <w:sz w:val="24"/>
          <w:szCs w:val="24"/>
        </w:rPr>
        <w:t>Kozak</w:t>
      </w:r>
      <w:r w:rsidRPr="00A94035">
        <w:rPr>
          <w:rFonts w:asciiTheme="majorHAnsi" w:hAnsiTheme="majorHAnsi" w:cstheme="majorHAnsi"/>
          <w:color w:val="000000"/>
          <w:sz w:val="24"/>
          <w:szCs w:val="24"/>
          <w:lang w:val="uk-UA"/>
        </w:rPr>
        <w:t>,</w:t>
      </w:r>
      <w:r w:rsidRPr="00A94035">
        <w:rPr>
          <w:rFonts w:asciiTheme="majorHAnsi" w:hAnsiTheme="majorHAnsi" w:cstheme="majorHAnsi"/>
          <w:color w:val="000000"/>
          <w:sz w:val="24"/>
          <w:szCs w:val="24"/>
        </w:rPr>
        <w:t> D</w:t>
      </w:r>
      <w:r w:rsidRPr="00A94035">
        <w:rPr>
          <w:rFonts w:asciiTheme="majorHAnsi" w:hAnsiTheme="majorHAnsi" w:cstheme="majorHAnsi"/>
          <w:color w:val="000000"/>
          <w:sz w:val="24"/>
          <w:szCs w:val="24"/>
          <w:lang w:val="uk-UA"/>
        </w:rPr>
        <w:t>.</w:t>
      </w:r>
      <w:r w:rsidRPr="00A94035">
        <w:rPr>
          <w:rFonts w:asciiTheme="majorHAnsi" w:hAnsiTheme="majorHAnsi" w:cstheme="majorHAnsi"/>
          <w:color w:val="000000"/>
          <w:sz w:val="24"/>
          <w:szCs w:val="24"/>
        </w:rPr>
        <w:t> O</w:t>
      </w:r>
      <w:r w:rsidRPr="00A94035">
        <w:rPr>
          <w:rFonts w:asciiTheme="majorHAnsi" w:hAnsiTheme="majorHAnsi" w:cstheme="majorHAnsi"/>
          <w:color w:val="000000"/>
          <w:sz w:val="24"/>
          <w:szCs w:val="24"/>
          <w:lang w:val="uk-UA"/>
        </w:rPr>
        <w:t xml:space="preserve">. (2024). </w:t>
      </w:r>
      <w:r w:rsidRPr="00A94035">
        <w:rPr>
          <w:rFonts w:asciiTheme="majorHAnsi" w:hAnsiTheme="majorHAnsi" w:cstheme="majorHAnsi"/>
          <w:color w:val="000000"/>
          <w:sz w:val="24"/>
          <w:szCs w:val="24"/>
        </w:rPr>
        <w:t>Potential and real dangers of the chemical warfare agents use during the full-scale invasion into Ukraine.</w:t>
      </w:r>
      <w:r w:rsidRPr="00A94035">
        <w:rPr>
          <w:rStyle w:val="apple-converted-space"/>
          <w:rFonts w:asciiTheme="majorHAnsi" w:hAnsiTheme="majorHAnsi" w:cstheme="majorHAnsi"/>
          <w:color w:val="000000"/>
          <w:sz w:val="24"/>
          <w:szCs w:val="24"/>
        </w:rPr>
        <w:t> </w:t>
      </w:r>
      <w:proofErr w:type="spellStart"/>
      <w:r w:rsidRPr="00A94035">
        <w:rPr>
          <w:rFonts w:asciiTheme="majorHAnsi" w:hAnsiTheme="majorHAnsi" w:cstheme="majorHAnsi"/>
          <w:i/>
          <w:iCs/>
          <w:color w:val="000000"/>
          <w:sz w:val="24"/>
          <w:szCs w:val="24"/>
        </w:rPr>
        <w:t>Wiadomości</w:t>
      </w:r>
      <w:proofErr w:type="spellEnd"/>
      <w:r w:rsidRPr="00A94035">
        <w:rPr>
          <w:rFonts w:asciiTheme="majorHAnsi" w:hAnsiTheme="majorHAnsi" w:cstheme="majorHAnsi"/>
          <w:i/>
          <w:iCs/>
          <w:color w:val="000000"/>
          <w:sz w:val="24"/>
          <w:szCs w:val="24"/>
        </w:rPr>
        <w:t xml:space="preserve"> </w:t>
      </w:r>
      <w:proofErr w:type="spellStart"/>
      <w:r w:rsidRPr="00A94035">
        <w:rPr>
          <w:rFonts w:asciiTheme="majorHAnsi" w:hAnsiTheme="majorHAnsi" w:cstheme="majorHAnsi"/>
          <w:i/>
          <w:iCs/>
          <w:color w:val="000000"/>
          <w:sz w:val="24"/>
          <w:szCs w:val="24"/>
        </w:rPr>
        <w:t>Lekarskie</w:t>
      </w:r>
      <w:proofErr w:type="spellEnd"/>
      <w:r w:rsidRPr="00A94035">
        <w:rPr>
          <w:rFonts w:asciiTheme="majorHAnsi" w:hAnsiTheme="majorHAnsi" w:cstheme="majorHAnsi"/>
          <w:color w:val="000000"/>
          <w:sz w:val="24"/>
          <w:szCs w:val="24"/>
        </w:rPr>
        <w:t>,</w:t>
      </w:r>
      <w:r w:rsidRPr="00A94035">
        <w:rPr>
          <w:rStyle w:val="apple-converted-space"/>
          <w:rFonts w:asciiTheme="majorHAnsi" w:hAnsiTheme="majorHAnsi" w:cstheme="majorHAnsi"/>
          <w:color w:val="000000"/>
          <w:sz w:val="24"/>
          <w:szCs w:val="24"/>
        </w:rPr>
        <w:t> </w:t>
      </w:r>
      <w:r w:rsidRPr="00A94035">
        <w:rPr>
          <w:rFonts w:asciiTheme="majorHAnsi" w:hAnsiTheme="majorHAnsi" w:cstheme="majorHAnsi"/>
          <w:i/>
          <w:iCs/>
          <w:color w:val="000000"/>
          <w:sz w:val="24"/>
          <w:szCs w:val="24"/>
        </w:rPr>
        <w:t>77</w:t>
      </w:r>
      <w:r w:rsidRPr="00A94035">
        <w:rPr>
          <w:rFonts w:asciiTheme="majorHAnsi" w:hAnsiTheme="majorHAnsi" w:cstheme="majorHAnsi"/>
          <w:color w:val="000000"/>
          <w:sz w:val="24"/>
          <w:szCs w:val="24"/>
        </w:rPr>
        <w:t>(11), 2186–2192.</w:t>
      </w:r>
      <w:r w:rsidRPr="00A94035">
        <w:rPr>
          <w:rStyle w:val="apple-converted-space"/>
          <w:rFonts w:asciiTheme="majorHAnsi" w:hAnsiTheme="majorHAnsi" w:cstheme="majorHAnsi"/>
          <w:color w:val="000000"/>
          <w:sz w:val="24"/>
          <w:szCs w:val="24"/>
        </w:rPr>
        <w:t> </w:t>
      </w:r>
      <w:hyperlink r:id="rId55" w:tgtFrame="_blank" w:history="1">
        <w:r w:rsidRPr="00A94035">
          <w:rPr>
            <w:rStyle w:val="a9"/>
            <w:rFonts w:asciiTheme="majorHAnsi" w:hAnsiTheme="majorHAnsi" w:cstheme="majorHAnsi"/>
            <w:color w:val="000000"/>
            <w:sz w:val="24"/>
            <w:szCs w:val="24"/>
          </w:rPr>
          <w:t>https://doi.org/10.36740/wlek/197094</w:t>
        </w:r>
      </w:hyperlink>
    </w:p>
    <w:p w14:paraId="52E6D1B0" w14:textId="77777777" w:rsidR="00E3097C" w:rsidRPr="00A94035" w:rsidRDefault="00E3097C" w:rsidP="00E3097C">
      <w:pPr>
        <w:numPr>
          <w:ilvl w:val="0"/>
          <w:numId w:val="4"/>
        </w:numPr>
        <w:tabs>
          <w:tab w:val="left" w:pos="709"/>
        </w:tabs>
        <w:spacing w:before="120" w:after="120"/>
        <w:ind w:left="709" w:hanging="425"/>
        <w:jc w:val="both"/>
        <w:rPr>
          <w:rStyle w:val="a9"/>
          <w:rFonts w:asciiTheme="majorHAnsi" w:hAnsiTheme="majorHAnsi" w:cstheme="majorHAnsi"/>
          <w:noProof/>
          <w:color w:val="auto"/>
          <w:sz w:val="24"/>
          <w:szCs w:val="24"/>
          <w:u w:val="none"/>
          <w:lang w:eastAsia="id-ID"/>
        </w:rPr>
      </w:pPr>
      <w:r w:rsidRPr="00A94035">
        <w:rPr>
          <w:rFonts w:asciiTheme="majorHAnsi" w:hAnsiTheme="majorHAnsi" w:cstheme="majorHAnsi"/>
          <w:noProof/>
          <w:sz w:val="24"/>
          <w:szCs w:val="24"/>
          <w:lang w:eastAsia="id-ID"/>
        </w:rPr>
        <w:t>Shevchuk</w:t>
      </w:r>
      <w:r w:rsidRPr="00A94035">
        <w:rPr>
          <w:rFonts w:asciiTheme="majorHAnsi" w:hAnsiTheme="majorHAnsi" w:cstheme="majorHAnsi"/>
          <w:noProof/>
          <w:sz w:val="24"/>
          <w:szCs w:val="24"/>
          <w:lang w:val="uk-UA" w:eastAsia="id-ID"/>
        </w:rPr>
        <w:t xml:space="preserve">, </w:t>
      </w:r>
      <w:r w:rsidRPr="00A94035">
        <w:rPr>
          <w:rFonts w:asciiTheme="majorHAnsi" w:hAnsiTheme="majorHAnsi" w:cstheme="majorHAnsi"/>
          <w:noProof/>
          <w:sz w:val="24"/>
          <w:szCs w:val="24"/>
          <w:lang w:eastAsia="id-ID"/>
        </w:rPr>
        <w:t>O</w:t>
      </w:r>
      <w:r w:rsidRPr="00A94035">
        <w:rPr>
          <w:rFonts w:asciiTheme="majorHAnsi" w:hAnsiTheme="majorHAnsi" w:cstheme="majorHAnsi"/>
          <w:noProof/>
          <w:sz w:val="24"/>
          <w:szCs w:val="24"/>
          <w:lang w:val="uk-UA" w:eastAsia="id-ID"/>
        </w:rPr>
        <w:t xml:space="preserve">., </w:t>
      </w:r>
      <w:r w:rsidRPr="00A94035">
        <w:rPr>
          <w:rFonts w:asciiTheme="majorHAnsi" w:hAnsiTheme="majorHAnsi" w:cstheme="majorHAnsi"/>
          <w:noProof/>
          <w:sz w:val="24"/>
          <w:szCs w:val="24"/>
          <w:lang w:eastAsia="id-ID"/>
        </w:rPr>
        <w:t>Samoshchenko</w:t>
      </w:r>
      <w:r w:rsidRPr="00A94035">
        <w:rPr>
          <w:rFonts w:asciiTheme="majorHAnsi" w:hAnsiTheme="majorHAnsi" w:cstheme="majorHAnsi"/>
          <w:noProof/>
          <w:sz w:val="24"/>
          <w:szCs w:val="24"/>
          <w:lang w:val="uk-UA" w:eastAsia="id-ID"/>
        </w:rPr>
        <w:t xml:space="preserve"> </w:t>
      </w:r>
      <w:r w:rsidRPr="00A94035">
        <w:rPr>
          <w:rFonts w:asciiTheme="majorHAnsi" w:hAnsiTheme="majorHAnsi" w:cstheme="majorHAnsi"/>
          <w:noProof/>
          <w:sz w:val="24"/>
          <w:szCs w:val="24"/>
          <w:lang w:eastAsia="id-ID"/>
        </w:rPr>
        <w:t>I</w:t>
      </w:r>
      <w:r w:rsidRPr="00A94035">
        <w:rPr>
          <w:rFonts w:asciiTheme="majorHAnsi" w:hAnsiTheme="majorHAnsi" w:cstheme="majorHAnsi"/>
          <w:noProof/>
          <w:sz w:val="24"/>
          <w:szCs w:val="24"/>
          <w:lang w:val="uk-UA" w:eastAsia="id-ID"/>
        </w:rPr>
        <w:t xml:space="preserve">., </w:t>
      </w:r>
      <w:r w:rsidRPr="00A94035">
        <w:rPr>
          <w:rFonts w:asciiTheme="majorHAnsi" w:hAnsiTheme="majorHAnsi" w:cstheme="majorHAnsi"/>
          <w:noProof/>
          <w:sz w:val="24"/>
          <w:szCs w:val="24"/>
          <w:lang w:eastAsia="id-ID"/>
        </w:rPr>
        <w:t>Davydenko</w:t>
      </w:r>
      <w:r w:rsidRPr="00A94035">
        <w:rPr>
          <w:rFonts w:asciiTheme="majorHAnsi" w:hAnsiTheme="majorHAnsi" w:cstheme="majorHAnsi"/>
          <w:noProof/>
          <w:sz w:val="24"/>
          <w:szCs w:val="24"/>
          <w:lang w:val="uk-UA" w:eastAsia="id-ID"/>
        </w:rPr>
        <w:t xml:space="preserve"> </w:t>
      </w:r>
      <w:r w:rsidRPr="00A94035">
        <w:rPr>
          <w:rFonts w:asciiTheme="majorHAnsi" w:hAnsiTheme="majorHAnsi" w:cstheme="majorHAnsi"/>
          <w:noProof/>
          <w:sz w:val="24"/>
          <w:szCs w:val="24"/>
          <w:lang w:eastAsia="id-ID"/>
        </w:rPr>
        <w:t>S</w:t>
      </w:r>
      <w:r w:rsidRPr="00A94035">
        <w:rPr>
          <w:rFonts w:asciiTheme="majorHAnsi" w:hAnsiTheme="majorHAnsi" w:cstheme="majorHAnsi"/>
          <w:noProof/>
          <w:sz w:val="24"/>
          <w:szCs w:val="24"/>
          <w:lang w:val="uk-UA" w:eastAsia="id-ID"/>
        </w:rPr>
        <w:t xml:space="preserve">., </w:t>
      </w:r>
      <w:r w:rsidRPr="00A94035">
        <w:rPr>
          <w:rFonts w:asciiTheme="majorHAnsi" w:hAnsiTheme="majorHAnsi" w:cstheme="majorHAnsi"/>
          <w:noProof/>
          <w:sz w:val="24"/>
          <w:szCs w:val="24"/>
          <w:lang w:eastAsia="id-ID"/>
        </w:rPr>
        <w:t>Babaieva</w:t>
      </w:r>
      <w:r w:rsidRPr="00A94035">
        <w:rPr>
          <w:rFonts w:asciiTheme="majorHAnsi" w:hAnsiTheme="majorHAnsi" w:cstheme="majorHAnsi"/>
          <w:noProof/>
          <w:sz w:val="24"/>
          <w:szCs w:val="24"/>
          <w:lang w:val="uk-UA" w:eastAsia="id-ID"/>
        </w:rPr>
        <w:t xml:space="preserve"> </w:t>
      </w:r>
      <w:r w:rsidRPr="00A94035">
        <w:rPr>
          <w:rFonts w:asciiTheme="majorHAnsi" w:hAnsiTheme="majorHAnsi" w:cstheme="majorHAnsi"/>
          <w:noProof/>
          <w:sz w:val="24"/>
          <w:szCs w:val="24"/>
          <w:lang w:eastAsia="id-ID"/>
        </w:rPr>
        <w:t>O</w:t>
      </w:r>
      <w:r w:rsidRPr="00A94035">
        <w:rPr>
          <w:rFonts w:asciiTheme="majorHAnsi" w:hAnsiTheme="majorHAnsi" w:cstheme="majorHAnsi"/>
          <w:noProof/>
          <w:sz w:val="24"/>
          <w:szCs w:val="24"/>
          <w:lang w:val="uk-UA" w:eastAsia="id-ID"/>
        </w:rPr>
        <w:t xml:space="preserve">., </w:t>
      </w:r>
      <w:r w:rsidRPr="00A94035">
        <w:rPr>
          <w:rFonts w:asciiTheme="majorHAnsi" w:hAnsiTheme="majorHAnsi" w:cstheme="majorHAnsi"/>
          <w:noProof/>
          <w:sz w:val="24"/>
          <w:szCs w:val="24"/>
          <w:lang w:eastAsia="id-ID"/>
        </w:rPr>
        <w:t>Verkhoglyad</w:t>
      </w:r>
      <w:r w:rsidRPr="00A94035">
        <w:rPr>
          <w:rFonts w:asciiTheme="majorHAnsi" w:hAnsiTheme="majorHAnsi" w:cstheme="majorHAnsi"/>
          <w:noProof/>
          <w:sz w:val="24"/>
          <w:szCs w:val="24"/>
          <w:lang w:val="uk-UA" w:eastAsia="id-ID"/>
        </w:rPr>
        <w:t>-</w:t>
      </w:r>
      <w:r w:rsidRPr="00A94035">
        <w:rPr>
          <w:rFonts w:asciiTheme="majorHAnsi" w:hAnsiTheme="majorHAnsi" w:cstheme="majorHAnsi"/>
          <w:noProof/>
          <w:sz w:val="24"/>
          <w:szCs w:val="24"/>
          <w:lang w:eastAsia="id-ID"/>
        </w:rPr>
        <w:t>Gerasymenko</w:t>
      </w:r>
      <w:r w:rsidRPr="00A94035">
        <w:rPr>
          <w:rFonts w:asciiTheme="majorHAnsi" w:hAnsiTheme="majorHAnsi" w:cstheme="majorHAnsi"/>
          <w:noProof/>
          <w:sz w:val="24"/>
          <w:szCs w:val="24"/>
          <w:lang w:val="uk-UA" w:eastAsia="id-ID"/>
        </w:rPr>
        <w:t xml:space="preserve"> </w:t>
      </w:r>
      <w:r w:rsidRPr="00A94035">
        <w:rPr>
          <w:rFonts w:asciiTheme="majorHAnsi" w:hAnsiTheme="majorHAnsi" w:cstheme="majorHAnsi"/>
          <w:noProof/>
          <w:sz w:val="24"/>
          <w:szCs w:val="24"/>
          <w:lang w:eastAsia="id-ID"/>
        </w:rPr>
        <w:t>O</w:t>
      </w:r>
      <w:r w:rsidRPr="00A94035">
        <w:rPr>
          <w:rFonts w:asciiTheme="majorHAnsi" w:hAnsiTheme="majorHAnsi" w:cstheme="majorHAnsi"/>
          <w:noProof/>
          <w:sz w:val="24"/>
          <w:szCs w:val="24"/>
          <w:lang w:val="uk-UA" w:eastAsia="id-ID"/>
        </w:rPr>
        <w:t xml:space="preserve">., </w:t>
      </w:r>
      <w:r w:rsidRPr="00A94035">
        <w:rPr>
          <w:rFonts w:asciiTheme="majorHAnsi" w:hAnsiTheme="majorHAnsi" w:cstheme="majorHAnsi"/>
          <w:noProof/>
          <w:sz w:val="24"/>
          <w:szCs w:val="24"/>
          <w:lang w:eastAsia="id-ID"/>
        </w:rPr>
        <w:t>Marochkin</w:t>
      </w:r>
      <w:r w:rsidRPr="00A94035">
        <w:rPr>
          <w:rFonts w:asciiTheme="majorHAnsi" w:hAnsiTheme="majorHAnsi" w:cstheme="majorHAnsi"/>
          <w:noProof/>
          <w:sz w:val="24"/>
          <w:szCs w:val="24"/>
          <w:lang w:val="uk-UA" w:eastAsia="id-ID"/>
        </w:rPr>
        <w:t xml:space="preserve"> </w:t>
      </w:r>
      <w:r w:rsidRPr="00A94035">
        <w:rPr>
          <w:rFonts w:asciiTheme="majorHAnsi" w:hAnsiTheme="majorHAnsi" w:cstheme="majorHAnsi"/>
          <w:noProof/>
          <w:sz w:val="24"/>
          <w:szCs w:val="24"/>
          <w:lang w:eastAsia="id-ID"/>
        </w:rPr>
        <w:t>O</w:t>
      </w:r>
      <w:r w:rsidRPr="00A94035">
        <w:rPr>
          <w:rFonts w:asciiTheme="majorHAnsi" w:hAnsiTheme="majorHAnsi" w:cstheme="majorHAnsi"/>
          <w:noProof/>
          <w:sz w:val="24"/>
          <w:szCs w:val="24"/>
          <w:lang w:val="uk-UA" w:eastAsia="id-ID"/>
        </w:rPr>
        <w:t xml:space="preserve">. (2024). </w:t>
      </w:r>
      <w:r w:rsidRPr="00A94035">
        <w:rPr>
          <w:rFonts w:asciiTheme="majorHAnsi" w:hAnsiTheme="majorHAnsi" w:cstheme="majorHAnsi"/>
          <w:noProof/>
          <w:sz w:val="24"/>
          <w:szCs w:val="24"/>
          <w:lang w:eastAsia="id-ID"/>
        </w:rPr>
        <w:t xml:space="preserve">European Arrest Warrant and Protection of Нuman Rights: Problem Questions of Application in Context Practice of the CJEU. </w:t>
      </w:r>
      <w:r w:rsidRPr="00A94035">
        <w:rPr>
          <w:rFonts w:asciiTheme="majorHAnsi" w:hAnsiTheme="majorHAnsi" w:cstheme="majorHAnsi"/>
          <w:i/>
          <w:noProof/>
          <w:sz w:val="24"/>
          <w:szCs w:val="24"/>
          <w:lang w:eastAsia="id-ID"/>
        </w:rPr>
        <w:t>Pakistan Journal of Life and Social Sciences (PJLSS)</w:t>
      </w:r>
      <w:r w:rsidRPr="00A94035">
        <w:rPr>
          <w:rFonts w:asciiTheme="majorHAnsi" w:hAnsiTheme="majorHAnsi" w:cstheme="majorHAnsi"/>
          <w:noProof/>
          <w:sz w:val="24"/>
          <w:szCs w:val="24"/>
          <w:lang w:eastAsia="id-ID"/>
        </w:rPr>
        <w:t xml:space="preserve">, </w:t>
      </w:r>
      <w:r w:rsidRPr="00A94035">
        <w:rPr>
          <w:rFonts w:asciiTheme="majorHAnsi" w:hAnsiTheme="majorHAnsi" w:cstheme="majorHAnsi"/>
          <w:i/>
          <w:noProof/>
          <w:sz w:val="24"/>
          <w:szCs w:val="24"/>
          <w:lang w:eastAsia="id-ID"/>
        </w:rPr>
        <w:t>22</w:t>
      </w:r>
      <w:r w:rsidRPr="00A94035">
        <w:rPr>
          <w:rFonts w:asciiTheme="majorHAnsi" w:hAnsiTheme="majorHAnsi" w:cstheme="majorHAnsi"/>
          <w:noProof/>
          <w:sz w:val="24"/>
          <w:szCs w:val="24"/>
          <w:lang w:eastAsia="id-ID"/>
        </w:rPr>
        <w:t xml:space="preserve">(2), 8895–8906. </w:t>
      </w:r>
      <w:hyperlink r:id="rId56" w:history="1">
        <w:r w:rsidRPr="00A94035">
          <w:rPr>
            <w:rStyle w:val="a9"/>
            <w:rFonts w:asciiTheme="majorHAnsi" w:hAnsiTheme="majorHAnsi" w:cstheme="majorHAnsi"/>
            <w:noProof/>
            <w:sz w:val="24"/>
            <w:szCs w:val="24"/>
            <w:lang w:eastAsia="id-ID"/>
          </w:rPr>
          <w:t>https://doi.org/10.57239/pjlss-2024-22.2.00672</w:t>
        </w:r>
      </w:hyperlink>
    </w:p>
    <w:p w14:paraId="7C07335C" w14:textId="77777777" w:rsidR="00E3097C" w:rsidRPr="00A94035" w:rsidRDefault="00E3097C" w:rsidP="00E3097C">
      <w:pPr>
        <w:numPr>
          <w:ilvl w:val="0"/>
          <w:numId w:val="4"/>
        </w:numPr>
        <w:tabs>
          <w:tab w:val="left" w:pos="709"/>
        </w:tabs>
        <w:spacing w:before="120" w:after="120"/>
        <w:ind w:left="709" w:hanging="425"/>
        <w:jc w:val="both"/>
        <w:rPr>
          <w:rFonts w:asciiTheme="majorHAnsi" w:hAnsiTheme="majorHAnsi" w:cstheme="majorHAnsi"/>
          <w:noProof/>
          <w:sz w:val="24"/>
          <w:szCs w:val="24"/>
          <w:lang w:eastAsia="id-ID"/>
        </w:rPr>
      </w:pPr>
      <w:proofErr w:type="spellStart"/>
      <w:r w:rsidRPr="00A94035">
        <w:rPr>
          <w:rFonts w:asciiTheme="majorHAnsi" w:hAnsiTheme="majorHAnsi" w:cstheme="majorHAnsi"/>
          <w:color w:val="000000"/>
          <w:sz w:val="24"/>
          <w:szCs w:val="24"/>
        </w:rPr>
        <w:t>Khylko</w:t>
      </w:r>
      <w:proofErr w:type="spellEnd"/>
      <w:r w:rsidRPr="00A94035">
        <w:rPr>
          <w:rFonts w:asciiTheme="majorHAnsi" w:hAnsiTheme="majorHAnsi" w:cstheme="majorHAnsi"/>
          <w:color w:val="000000"/>
          <w:sz w:val="24"/>
          <w:szCs w:val="24"/>
        </w:rPr>
        <w:t xml:space="preserve">, O., &amp; </w:t>
      </w:r>
      <w:proofErr w:type="spellStart"/>
      <w:r w:rsidRPr="00A94035">
        <w:rPr>
          <w:rFonts w:asciiTheme="majorHAnsi" w:hAnsiTheme="majorHAnsi" w:cstheme="majorHAnsi"/>
          <w:color w:val="000000"/>
          <w:sz w:val="24"/>
          <w:szCs w:val="24"/>
        </w:rPr>
        <w:t>Khylko</w:t>
      </w:r>
      <w:proofErr w:type="spellEnd"/>
      <w:r w:rsidRPr="00A94035">
        <w:rPr>
          <w:rFonts w:asciiTheme="majorHAnsi" w:hAnsiTheme="majorHAnsi" w:cstheme="majorHAnsi"/>
          <w:color w:val="000000"/>
          <w:sz w:val="24"/>
          <w:szCs w:val="24"/>
        </w:rPr>
        <w:t xml:space="preserve">, M. (2024). Explanatory potential of the postcolonial approach for understanding the </w:t>
      </w:r>
      <w:proofErr w:type="spellStart"/>
      <w:r w:rsidRPr="00A94035">
        <w:rPr>
          <w:rFonts w:asciiTheme="majorHAnsi" w:hAnsiTheme="majorHAnsi" w:cstheme="majorHAnsi"/>
          <w:color w:val="000000"/>
          <w:sz w:val="24"/>
          <w:szCs w:val="24"/>
        </w:rPr>
        <w:t>russia</w:t>
      </w:r>
      <w:proofErr w:type="spellEnd"/>
      <w:r w:rsidRPr="00A94035">
        <w:rPr>
          <w:rFonts w:asciiTheme="majorHAnsi" w:hAnsiTheme="majorHAnsi" w:cstheme="majorHAnsi"/>
          <w:color w:val="000000"/>
          <w:sz w:val="24"/>
          <w:szCs w:val="24"/>
        </w:rPr>
        <w:t>–</w:t>
      </w:r>
      <w:proofErr w:type="spellStart"/>
      <w:r w:rsidRPr="00A94035">
        <w:rPr>
          <w:rFonts w:asciiTheme="majorHAnsi" w:hAnsiTheme="majorHAnsi" w:cstheme="majorHAnsi"/>
          <w:color w:val="000000"/>
          <w:sz w:val="24"/>
          <w:szCs w:val="24"/>
        </w:rPr>
        <w:t>ukraine</w:t>
      </w:r>
      <w:proofErr w:type="spellEnd"/>
      <w:r w:rsidRPr="00A94035">
        <w:rPr>
          <w:rFonts w:asciiTheme="majorHAnsi" w:hAnsiTheme="majorHAnsi" w:cstheme="majorHAnsi"/>
          <w:color w:val="000000"/>
          <w:sz w:val="24"/>
          <w:szCs w:val="24"/>
        </w:rPr>
        <w:t xml:space="preserve"> war.</w:t>
      </w:r>
      <w:r w:rsidRPr="00A94035">
        <w:rPr>
          <w:rStyle w:val="apple-converted-space"/>
          <w:rFonts w:asciiTheme="majorHAnsi" w:hAnsiTheme="majorHAnsi" w:cstheme="majorHAnsi"/>
          <w:color w:val="000000"/>
          <w:sz w:val="24"/>
          <w:szCs w:val="24"/>
        </w:rPr>
        <w:t> </w:t>
      </w:r>
      <w:proofErr w:type="spellStart"/>
      <w:r w:rsidRPr="00A94035">
        <w:rPr>
          <w:rFonts w:asciiTheme="majorHAnsi" w:hAnsiTheme="majorHAnsi" w:cstheme="majorHAnsi"/>
          <w:i/>
          <w:iCs/>
          <w:color w:val="000000"/>
          <w:sz w:val="24"/>
          <w:szCs w:val="24"/>
        </w:rPr>
        <w:t>Topos</w:t>
      </w:r>
      <w:proofErr w:type="spellEnd"/>
      <w:r w:rsidRPr="00A94035">
        <w:rPr>
          <w:rFonts w:asciiTheme="majorHAnsi" w:hAnsiTheme="majorHAnsi" w:cstheme="majorHAnsi"/>
          <w:color w:val="000000"/>
          <w:sz w:val="24"/>
          <w:szCs w:val="24"/>
        </w:rPr>
        <w:t>, (2024-2), 18–41.</w:t>
      </w:r>
      <w:r w:rsidRPr="00A94035">
        <w:rPr>
          <w:rStyle w:val="apple-converted-space"/>
          <w:rFonts w:asciiTheme="majorHAnsi" w:hAnsiTheme="majorHAnsi" w:cstheme="majorHAnsi"/>
          <w:color w:val="000000"/>
          <w:sz w:val="24"/>
          <w:szCs w:val="24"/>
        </w:rPr>
        <w:t> </w:t>
      </w:r>
      <w:hyperlink r:id="rId57" w:tgtFrame="_blank" w:history="1">
        <w:r w:rsidRPr="00A94035">
          <w:rPr>
            <w:rStyle w:val="a9"/>
            <w:rFonts w:asciiTheme="majorHAnsi" w:hAnsiTheme="majorHAnsi" w:cstheme="majorHAnsi"/>
            <w:color w:val="000000"/>
            <w:sz w:val="24"/>
            <w:szCs w:val="24"/>
          </w:rPr>
          <w:t>https://doi.org/10.61095/815-0047-2024-2-18-41</w:t>
        </w:r>
      </w:hyperlink>
    </w:p>
    <w:p w14:paraId="3B4A5C3D" w14:textId="77777777" w:rsidR="00E3097C" w:rsidRPr="00A94035" w:rsidRDefault="00E3097C" w:rsidP="00E3097C">
      <w:pPr>
        <w:numPr>
          <w:ilvl w:val="0"/>
          <w:numId w:val="4"/>
        </w:numPr>
        <w:tabs>
          <w:tab w:val="left" w:pos="709"/>
        </w:tabs>
        <w:spacing w:before="120" w:after="120"/>
        <w:ind w:left="709" w:hanging="425"/>
        <w:jc w:val="both"/>
        <w:rPr>
          <w:rFonts w:asciiTheme="majorHAnsi" w:hAnsiTheme="majorHAnsi" w:cstheme="majorHAnsi"/>
          <w:noProof/>
          <w:sz w:val="24"/>
          <w:szCs w:val="24"/>
          <w:u w:val="single"/>
          <w:lang w:eastAsia="id-ID"/>
        </w:rPr>
      </w:pPr>
      <w:r w:rsidRPr="00A94035">
        <w:rPr>
          <w:rFonts w:asciiTheme="majorHAnsi" w:hAnsiTheme="majorHAnsi" w:cstheme="majorHAnsi"/>
          <w:noProof/>
          <w:sz w:val="24"/>
          <w:szCs w:val="24"/>
          <w:lang w:eastAsia="id-ID"/>
        </w:rPr>
        <w:t xml:space="preserve">Marchenko, V., &amp; Protsevsky, V. (2020). Constitutional and legal regulation of the status of the head of government in the mixed-type republics. </w:t>
      </w:r>
      <w:r w:rsidRPr="00A94035">
        <w:rPr>
          <w:rFonts w:asciiTheme="majorHAnsi" w:hAnsiTheme="majorHAnsi" w:cstheme="majorHAnsi"/>
          <w:i/>
          <w:noProof/>
          <w:sz w:val="24"/>
          <w:szCs w:val="24"/>
          <w:lang w:eastAsia="id-ID"/>
        </w:rPr>
        <w:t>Public Administration and Law Review</w:t>
      </w:r>
      <w:r w:rsidRPr="00A94035">
        <w:rPr>
          <w:rFonts w:asciiTheme="majorHAnsi" w:hAnsiTheme="majorHAnsi" w:cstheme="majorHAnsi"/>
          <w:noProof/>
          <w:sz w:val="24"/>
          <w:szCs w:val="24"/>
          <w:lang w:eastAsia="id-ID"/>
        </w:rPr>
        <w:t xml:space="preserve">, (2), 28–35. </w:t>
      </w:r>
      <w:hyperlink r:id="rId58" w:history="1">
        <w:r w:rsidRPr="00A94035">
          <w:rPr>
            <w:rStyle w:val="a9"/>
            <w:rFonts w:asciiTheme="majorHAnsi" w:hAnsiTheme="majorHAnsi" w:cstheme="majorHAnsi"/>
            <w:noProof/>
            <w:sz w:val="24"/>
            <w:szCs w:val="24"/>
            <w:lang w:eastAsia="id-ID"/>
          </w:rPr>
          <w:t>https://doi.org/10.36690/2674-5216-2020-2-28</w:t>
        </w:r>
      </w:hyperlink>
    </w:p>
    <w:p w14:paraId="2EC167C1" w14:textId="77777777" w:rsidR="00E3097C" w:rsidRPr="00C10BD5" w:rsidRDefault="00E3097C" w:rsidP="00E3097C">
      <w:pPr>
        <w:numPr>
          <w:ilvl w:val="0"/>
          <w:numId w:val="4"/>
        </w:numPr>
        <w:tabs>
          <w:tab w:val="left" w:pos="709"/>
        </w:tabs>
        <w:spacing w:before="120" w:after="120"/>
        <w:ind w:left="709" w:hanging="425"/>
        <w:jc w:val="both"/>
        <w:rPr>
          <w:rFonts w:asciiTheme="majorHAnsi" w:hAnsiTheme="majorHAnsi" w:cstheme="majorHAnsi"/>
          <w:noProof/>
          <w:sz w:val="24"/>
          <w:szCs w:val="24"/>
          <w:lang w:eastAsia="id-ID"/>
        </w:rPr>
      </w:pPr>
      <w:r w:rsidRPr="00A94035">
        <w:rPr>
          <w:rFonts w:asciiTheme="majorHAnsi" w:hAnsiTheme="majorHAnsi" w:cstheme="majorHAnsi"/>
          <w:noProof/>
          <w:sz w:val="24"/>
          <w:szCs w:val="24"/>
          <w:lang w:eastAsia="id-ID"/>
        </w:rPr>
        <w:t xml:space="preserve">Biden, P. J. R. (2021). </w:t>
      </w:r>
      <w:r w:rsidRPr="00A94035">
        <w:rPr>
          <w:rFonts w:asciiTheme="majorHAnsi" w:hAnsiTheme="majorHAnsi" w:cstheme="majorHAnsi"/>
          <w:i/>
          <w:noProof/>
          <w:sz w:val="24"/>
          <w:szCs w:val="24"/>
          <w:lang w:eastAsia="id-ID"/>
        </w:rPr>
        <w:t>Interim National Security Strategic Guidance: Renewing</w:t>
      </w:r>
      <w:r w:rsidRPr="00C10BD5">
        <w:rPr>
          <w:rFonts w:asciiTheme="majorHAnsi" w:hAnsiTheme="majorHAnsi" w:cstheme="majorHAnsi"/>
          <w:i/>
          <w:noProof/>
          <w:sz w:val="24"/>
          <w:szCs w:val="24"/>
          <w:lang w:eastAsia="id-ID"/>
        </w:rPr>
        <w:t xml:space="preserve"> America's Advantages</w:t>
      </w:r>
      <w:r w:rsidRPr="00C10BD5">
        <w:rPr>
          <w:rFonts w:asciiTheme="majorHAnsi" w:hAnsiTheme="majorHAnsi" w:cstheme="majorHAnsi"/>
          <w:noProof/>
          <w:sz w:val="24"/>
          <w:szCs w:val="24"/>
          <w:lang w:eastAsia="id-ID"/>
        </w:rPr>
        <w:t xml:space="preserve">. Cosimo, Inc. </w:t>
      </w:r>
      <w:hyperlink r:id="rId59" w:history="1">
        <w:r w:rsidRPr="00C10BD5">
          <w:rPr>
            <w:rStyle w:val="a9"/>
            <w:rFonts w:asciiTheme="majorHAnsi" w:hAnsiTheme="majorHAnsi" w:cstheme="majorHAnsi"/>
            <w:noProof/>
            <w:sz w:val="24"/>
            <w:szCs w:val="24"/>
            <w:lang w:eastAsia="id-ID"/>
          </w:rPr>
          <w:t>https://apps.dtic.mil/sti/citations/AD1157244</w:t>
        </w:r>
      </w:hyperlink>
    </w:p>
    <w:p w14:paraId="4CB6178D" w14:textId="77777777" w:rsidR="00E3097C" w:rsidRPr="00C10BD5" w:rsidRDefault="00E3097C" w:rsidP="00E3097C">
      <w:pPr>
        <w:numPr>
          <w:ilvl w:val="0"/>
          <w:numId w:val="4"/>
        </w:numPr>
        <w:tabs>
          <w:tab w:val="left" w:pos="709"/>
        </w:tabs>
        <w:spacing w:before="120" w:after="120"/>
        <w:ind w:left="709" w:hanging="425"/>
        <w:jc w:val="both"/>
        <w:rPr>
          <w:rFonts w:asciiTheme="majorHAnsi" w:hAnsiTheme="majorHAnsi" w:cstheme="majorHAnsi"/>
          <w:noProof/>
          <w:sz w:val="24"/>
          <w:szCs w:val="24"/>
          <w:lang w:eastAsia="id-ID"/>
        </w:rPr>
      </w:pPr>
      <w:r w:rsidRPr="00C10BD5">
        <w:rPr>
          <w:rFonts w:asciiTheme="majorHAnsi" w:hAnsiTheme="majorHAnsi" w:cstheme="majorHAnsi"/>
          <w:noProof/>
          <w:sz w:val="24"/>
          <w:szCs w:val="24"/>
          <w:lang w:eastAsia="id-ID"/>
        </w:rPr>
        <w:t xml:space="preserve">Rodrigues, R. (2020). Legal and human rights issues of AI: Gaps, challenges and vulnerabilities. </w:t>
      </w:r>
      <w:r w:rsidRPr="00C10BD5">
        <w:rPr>
          <w:rFonts w:asciiTheme="majorHAnsi" w:hAnsiTheme="majorHAnsi" w:cstheme="majorHAnsi"/>
          <w:i/>
          <w:noProof/>
          <w:sz w:val="24"/>
          <w:szCs w:val="24"/>
          <w:lang w:eastAsia="id-ID"/>
        </w:rPr>
        <w:t>Journal of Responsible Technology</w:t>
      </w:r>
      <w:r w:rsidRPr="00C10BD5">
        <w:rPr>
          <w:rFonts w:asciiTheme="majorHAnsi" w:hAnsiTheme="majorHAnsi" w:cstheme="majorHAnsi"/>
          <w:noProof/>
          <w:sz w:val="24"/>
          <w:szCs w:val="24"/>
          <w:lang w:eastAsia="id-ID"/>
        </w:rPr>
        <w:t xml:space="preserve">, </w:t>
      </w:r>
      <w:r w:rsidRPr="00C10BD5">
        <w:rPr>
          <w:rFonts w:asciiTheme="majorHAnsi" w:hAnsiTheme="majorHAnsi" w:cstheme="majorHAnsi"/>
          <w:i/>
          <w:noProof/>
          <w:sz w:val="24"/>
          <w:szCs w:val="24"/>
          <w:lang w:eastAsia="id-ID"/>
        </w:rPr>
        <w:t>4</w:t>
      </w:r>
      <w:r w:rsidRPr="00C10BD5">
        <w:rPr>
          <w:rFonts w:asciiTheme="majorHAnsi" w:hAnsiTheme="majorHAnsi" w:cstheme="majorHAnsi"/>
          <w:noProof/>
          <w:sz w:val="24"/>
          <w:szCs w:val="24"/>
          <w:lang w:eastAsia="id-ID"/>
        </w:rPr>
        <w:t xml:space="preserve">, Article 100005. </w:t>
      </w:r>
      <w:hyperlink r:id="rId60" w:history="1">
        <w:r w:rsidRPr="00C10BD5">
          <w:rPr>
            <w:rStyle w:val="a9"/>
            <w:rFonts w:asciiTheme="majorHAnsi" w:hAnsiTheme="majorHAnsi" w:cstheme="majorHAnsi"/>
            <w:noProof/>
            <w:sz w:val="24"/>
            <w:szCs w:val="24"/>
            <w:lang w:eastAsia="id-ID"/>
          </w:rPr>
          <w:t>https://doi.org/10.1016/j.jrt.2020.100005</w:t>
        </w:r>
      </w:hyperlink>
    </w:p>
    <w:p w14:paraId="00B25E28" w14:textId="77777777" w:rsidR="00E3097C" w:rsidRPr="00C10BD5" w:rsidRDefault="00E3097C" w:rsidP="00E3097C">
      <w:pPr>
        <w:numPr>
          <w:ilvl w:val="0"/>
          <w:numId w:val="4"/>
        </w:numPr>
        <w:tabs>
          <w:tab w:val="left" w:pos="709"/>
        </w:tabs>
        <w:spacing w:before="120" w:after="120"/>
        <w:ind w:left="709" w:hanging="425"/>
        <w:jc w:val="both"/>
        <w:rPr>
          <w:rFonts w:asciiTheme="majorHAnsi" w:hAnsiTheme="majorHAnsi" w:cstheme="majorHAnsi"/>
          <w:noProof/>
          <w:sz w:val="24"/>
          <w:szCs w:val="24"/>
          <w:lang w:eastAsia="id-ID"/>
        </w:rPr>
      </w:pPr>
      <w:r w:rsidRPr="00C10BD5">
        <w:rPr>
          <w:rFonts w:asciiTheme="majorHAnsi" w:hAnsiTheme="majorHAnsi" w:cstheme="majorHAnsi"/>
          <w:noProof/>
          <w:sz w:val="24"/>
          <w:szCs w:val="24"/>
          <w:lang w:eastAsia="id-ID"/>
        </w:rPr>
        <w:t xml:space="preserve">Thomas-Evans, M. (2022). A Critical Analysis into the Beneficial and Malicious Utilisations of Artificial Intelligence. In R. Montasari (Ed.), </w:t>
      </w:r>
      <w:r w:rsidRPr="00C10BD5">
        <w:rPr>
          <w:rFonts w:asciiTheme="majorHAnsi" w:hAnsiTheme="majorHAnsi" w:cstheme="majorHAnsi"/>
          <w:i/>
          <w:noProof/>
          <w:sz w:val="24"/>
          <w:szCs w:val="24"/>
          <w:lang w:eastAsia="id-ID"/>
        </w:rPr>
        <w:t>Artificial Intelligence and National Security</w:t>
      </w:r>
      <w:r w:rsidRPr="00C10BD5">
        <w:rPr>
          <w:rFonts w:asciiTheme="majorHAnsi" w:hAnsiTheme="majorHAnsi" w:cstheme="majorHAnsi"/>
          <w:noProof/>
          <w:sz w:val="24"/>
          <w:szCs w:val="24"/>
          <w:lang w:eastAsia="id-ID"/>
        </w:rPr>
        <w:t xml:space="preserve"> (pp. 81–99). Springer International Publishing. </w:t>
      </w:r>
      <w:hyperlink r:id="rId61" w:history="1">
        <w:r w:rsidRPr="00C10BD5">
          <w:rPr>
            <w:rStyle w:val="a9"/>
            <w:rFonts w:asciiTheme="majorHAnsi" w:hAnsiTheme="majorHAnsi" w:cstheme="majorHAnsi"/>
            <w:noProof/>
            <w:sz w:val="24"/>
            <w:szCs w:val="24"/>
            <w:lang w:eastAsia="id-ID"/>
          </w:rPr>
          <w:t>https://doi.org/10.1007/978-3-031-06709-9_5</w:t>
        </w:r>
      </w:hyperlink>
    </w:p>
    <w:p w14:paraId="55D2E784" w14:textId="77777777" w:rsidR="00E3097C" w:rsidRPr="00C10BD5" w:rsidRDefault="00E3097C" w:rsidP="00E3097C">
      <w:pPr>
        <w:numPr>
          <w:ilvl w:val="0"/>
          <w:numId w:val="4"/>
        </w:numPr>
        <w:tabs>
          <w:tab w:val="left" w:pos="709"/>
        </w:tabs>
        <w:spacing w:before="120" w:after="120"/>
        <w:ind w:left="709" w:hanging="425"/>
        <w:jc w:val="both"/>
        <w:rPr>
          <w:rFonts w:asciiTheme="majorHAnsi" w:hAnsiTheme="majorHAnsi" w:cstheme="majorHAnsi"/>
          <w:noProof/>
          <w:sz w:val="24"/>
          <w:szCs w:val="24"/>
          <w:lang w:val="uk-UA" w:eastAsia="id-ID"/>
        </w:rPr>
      </w:pPr>
      <w:r w:rsidRPr="00C10BD5">
        <w:rPr>
          <w:rFonts w:asciiTheme="majorHAnsi" w:hAnsiTheme="majorHAnsi" w:cstheme="majorHAnsi"/>
          <w:noProof/>
          <w:sz w:val="24"/>
          <w:szCs w:val="24"/>
          <w:lang w:eastAsia="id-ID"/>
        </w:rPr>
        <w:t xml:space="preserve">Asaju, K., &amp; Munya, P. (2024). Digital Democracy and Elections in Nigeria: An Assessment of the 2023 Governorship Election in Taraba State. </w:t>
      </w:r>
      <w:r w:rsidRPr="00C10BD5">
        <w:rPr>
          <w:rFonts w:asciiTheme="majorHAnsi" w:hAnsiTheme="majorHAnsi" w:cstheme="majorHAnsi"/>
          <w:i/>
          <w:noProof/>
          <w:sz w:val="24"/>
          <w:szCs w:val="24"/>
          <w:lang w:eastAsia="id-ID"/>
        </w:rPr>
        <w:t>Futurity of Social Sciences, 2</w:t>
      </w:r>
      <w:r w:rsidRPr="00C10BD5">
        <w:rPr>
          <w:rFonts w:asciiTheme="majorHAnsi" w:hAnsiTheme="majorHAnsi" w:cstheme="majorHAnsi"/>
          <w:noProof/>
          <w:sz w:val="24"/>
          <w:szCs w:val="24"/>
          <w:lang w:eastAsia="id-ID"/>
        </w:rPr>
        <w:t xml:space="preserve">(4), 4–23. </w:t>
      </w:r>
      <w:hyperlink r:id="rId62" w:history="1">
        <w:r w:rsidRPr="00C10BD5">
          <w:rPr>
            <w:rStyle w:val="a9"/>
            <w:rFonts w:asciiTheme="majorHAnsi" w:hAnsiTheme="majorHAnsi" w:cstheme="majorHAnsi"/>
            <w:noProof/>
            <w:sz w:val="24"/>
            <w:szCs w:val="24"/>
            <w:lang w:eastAsia="id-ID"/>
          </w:rPr>
          <w:t>https://doi.org/10.57125/FS.2024.12.20.01</w:t>
        </w:r>
      </w:hyperlink>
    </w:p>
    <w:p w14:paraId="17089BA2" w14:textId="77777777" w:rsidR="00E3097C" w:rsidRPr="00C10BD5" w:rsidRDefault="00E3097C" w:rsidP="00E3097C">
      <w:pPr>
        <w:numPr>
          <w:ilvl w:val="0"/>
          <w:numId w:val="4"/>
        </w:numPr>
        <w:tabs>
          <w:tab w:val="left" w:pos="709"/>
        </w:tabs>
        <w:spacing w:before="120" w:after="120"/>
        <w:ind w:left="709" w:hanging="425"/>
        <w:jc w:val="both"/>
        <w:rPr>
          <w:rFonts w:asciiTheme="majorHAnsi" w:hAnsiTheme="majorHAnsi" w:cstheme="majorHAnsi"/>
          <w:noProof/>
          <w:sz w:val="24"/>
          <w:szCs w:val="24"/>
          <w:lang w:val="es-VE" w:eastAsia="id-ID"/>
        </w:rPr>
      </w:pPr>
      <w:r w:rsidRPr="00C10BD5">
        <w:rPr>
          <w:rFonts w:asciiTheme="majorHAnsi" w:hAnsiTheme="majorHAnsi" w:cstheme="majorHAnsi"/>
          <w:noProof/>
          <w:sz w:val="24"/>
          <w:szCs w:val="24"/>
          <w:lang w:eastAsia="id-ID"/>
        </w:rPr>
        <w:t xml:space="preserve">Shevchuk, O., Protsiuk, I., Mokhonchuk, S., Papusha, I. (2019). Adaptation of Ukrainian legislation on drug trafficking control to the European Union legislation (separate </w:t>
      </w:r>
      <w:r w:rsidRPr="00C10BD5">
        <w:rPr>
          <w:rFonts w:asciiTheme="majorHAnsi" w:hAnsiTheme="majorHAnsi" w:cstheme="majorHAnsi"/>
          <w:noProof/>
          <w:sz w:val="24"/>
          <w:szCs w:val="24"/>
          <w:lang w:eastAsia="id-ID"/>
        </w:rPr>
        <w:lastRenderedPageBreak/>
        <w:t xml:space="preserve">aspects). </w:t>
      </w:r>
      <w:r w:rsidRPr="00C10BD5">
        <w:rPr>
          <w:rFonts w:asciiTheme="majorHAnsi" w:hAnsiTheme="majorHAnsi" w:cstheme="majorHAnsi"/>
          <w:i/>
          <w:noProof/>
          <w:sz w:val="24"/>
          <w:szCs w:val="24"/>
          <w:lang w:val="es-VE" w:eastAsia="id-ID"/>
        </w:rPr>
        <w:t>Juridical Tribune/Tribuna Juridică</w:t>
      </w:r>
      <w:r w:rsidRPr="00C10BD5">
        <w:rPr>
          <w:rFonts w:asciiTheme="majorHAnsi" w:hAnsiTheme="majorHAnsi" w:cstheme="majorHAnsi"/>
          <w:noProof/>
          <w:sz w:val="24"/>
          <w:szCs w:val="24"/>
          <w:lang w:val="es-VE" w:eastAsia="id-ID"/>
        </w:rPr>
        <w:t xml:space="preserve">, </w:t>
      </w:r>
      <w:r w:rsidRPr="00C10BD5">
        <w:rPr>
          <w:rFonts w:asciiTheme="majorHAnsi" w:hAnsiTheme="majorHAnsi" w:cstheme="majorHAnsi"/>
          <w:i/>
          <w:noProof/>
          <w:sz w:val="24"/>
          <w:szCs w:val="24"/>
          <w:lang w:val="es-VE" w:eastAsia="id-ID"/>
        </w:rPr>
        <w:t>9</w:t>
      </w:r>
      <w:r w:rsidRPr="00C10BD5">
        <w:rPr>
          <w:rFonts w:asciiTheme="majorHAnsi" w:hAnsiTheme="majorHAnsi" w:cstheme="majorHAnsi"/>
          <w:noProof/>
          <w:sz w:val="24"/>
          <w:szCs w:val="24"/>
          <w:lang w:val="es-VE" w:eastAsia="id-ID"/>
        </w:rPr>
        <w:t xml:space="preserve">, 117–126. </w:t>
      </w:r>
      <w:hyperlink r:id="rId63">
        <w:r w:rsidRPr="00C10BD5">
          <w:rPr>
            <w:rStyle w:val="a9"/>
            <w:rFonts w:asciiTheme="majorHAnsi" w:hAnsiTheme="majorHAnsi" w:cstheme="majorHAnsi"/>
            <w:noProof/>
            <w:sz w:val="24"/>
            <w:szCs w:val="24"/>
            <w:lang w:val="es-VE" w:eastAsia="id-ID"/>
          </w:rPr>
          <w:t>https://ideas.repec.org/a/asr/journl/v9y2019ispecialp117-126.html</w:t>
        </w:r>
      </w:hyperlink>
      <w:r w:rsidRPr="00C10BD5">
        <w:rPr>
          <w:rFonts w:asciiTheme="majorHAnsi" w:hAnsiTheme="majorHAnsi" w:cstheme="majorHAnsi"/>
          <w:noProof/>
          <w:sz w:val="24"/>
          <w:szCs w:val="24"/>
          <w:lang w:val="es-VE" w:eastAsia="id-ID"/>
        </w:rPr>
        <w:t xml:space="preserve"> </w:t>
      </w:r>
    </w:p>
    <w:p w14:paraId="40474B47" w14:textId="77777777" w:rsidR="00E3097C" w:rsidRPr="00C10BD5" w:rsidRDefault="00E3097C" w:rsidP="00E3097C">
      <w:pPr>
        <w:numPr>
          <w:ilvl w:val="0"/>
          <w:numId w:val="4"/>
        </w:numPr>
        <w:tabs>
          <w:tab w:val="left" w:pos="709"/>
        </w:tabs>
        <w:spacing w:before="120" w:after="120"/>
        <w:ind w:left="709" w:hanging="425"/>
        <w:jc w:val="both"/>
        <w:rPr>
          <w:rFonts w:asciiTheme="majorHAnsi" w:hAnsiTheme="majorHAnsi" w:cstheme="majorHAnsi"/>
          <w:noProof/>
          <w:sz w:val="24"/>
          <w:szCs w:val="24"/>
          <w:lang w:eastAsia="id-ID"/>
        </w:rPr>
      </w:pPr>
      <w:r w:rsidRPr="00C10BD5">
        <w:rPr>
          <w:rFonts w:asciiTheme="majorHAnsi" w:hAnsiTheme="majorHAnsi" w:cstheme="majorHAnsi"/>
          <w:noProof/>
          <w:sz w:val="24"/>
          <w:szCs w:val="24"/>
          <w:lang w:eastAsia="id-ID"/>
        </w:rPr>
        <w:t xml:space="preserve">Shevchuk, O., Protsiuk, I,. Samoshchenko, V., Panova, A., &amp; Shaposhnyk A. (2023). The Rights to access to Information and National Security in the Ukraine in the System of Human Rights. </w:t>
      </w:r>
      <w:r w:rsidRPr="00C10BD5">
        <w:rPr>
          <w:rFonts w:asciiTheme="majorHAnsi" w:hAnsiTheme="majorHAnsi" w:cstheme="majorHAnsi"/>
          <w:i/>
          <w:noProof/>
          <w:sz w:val="24"/>
          <w:szCs w:val="24"/>
          <w:lang w:eastAsia="id-ID"/>
        </w:rPr>
        <w:t>Revista Jurídica Portucalense</w:t>
      </w:r>
      <w:r w:rsidRPr="00C10BD5">
        <w:rPr>
          <w:rFonts w:asciiTheme="majorHAnsi" w:hAnsiTheme="majorHAnsi" w:cstheme="majorHAnsi"/>
          <w:noProof/>
          <w:sz w:val="24"/>
          <w:szCs w:val="24"/>
          <w:lang w:eastAsia="id-ID"/>
        </w:rPr>
        <w:t xml:space="preserve">, (34), 257–282. </w:t>
      </w:r>
      <w:hyperlink r:id="rId64" w:history="1">
        <w:r w:rsidRPr="00C10BD5">
          <w:rPr>
            <w:rStyle w:val="a9"/>
            <w:rFonts w:asciiTheme="majorHAnsi" w:hAnsiTheme="majorHAnsi" w:cstheme="majorHAnsi"/>
            <w:noProof/>
            <w:sz w:val="24"/>
            <w:szCs w:val="24"/>
            <w:lang w:eastAsia="id-ID"/>
          </w:rPr>
          <w:t>https://doi.org/10.34625/issn.2183-2705(34)2023.ic-13</w:t>
        </w:r>
      </w:hyperlink>
    </w:p>
    <w:p w14:paraId="0A1FA9D4" w14:textId="77777777" w:rsidR="00E3097C" w:rsidRPr="00A94035" w:rsidRDefault="00E3097C" w:rsidP="00E3097C">
      <w:pPr>
        <w:numPr>
          <w:ilvl w:val="0"/>
          <w:numId w:val="4"/>
        </w:numPr>
        <w:tabs>
          <w:tab w:val="left" w:pos="709"/>
        </w:tabs>
        <w:spacing w:before="120" w:after="120"/>
        <w:ind w:left="709" w:hanging="425"/>
        <w:jc w:val="both"/>
        <w:rPr>
          <w:rFonts w:asciiTheme="majorHAnsi" w:hAnsiTheme="majorHAnsi" w:cstheme="majorHAnsi"/>
          <w:noProof/>
          <w:sz w:val="24"/>
          <w:szCs w:val="24"/>
          <w:lang w:eastAsia="id-ID"/>
        </w:rPr>
      </w:pPr>
      <w:r w:rsidRPr="00A94035">
        <w:rPr>
          <w:rFonts w:asciiTheme="majorHAnsi" w:hAnsiTheme="majorHAnsi" w:cstheme="majorHAnsi"/>
          <w:color w:val="000000"/>
          <w:sz w:val="24"/>
          <w:szCs w:val="24"/>
        </w:rPr>
        <w:t xml:space="preserve">Kravtsov, S., </w:t>
      </w:r>
      <w:proofErr w:type="spellStart"/>
      <w:r w:rsidRPr="00A94035">
        <w:rPr>
          <w:rFonts w:asciiTheme="majorHAnsi" w:hAnsiTheme="majorHAnsi" w:cstheme="majorHAnsi"/>
          <w:color w:val="000000"/>
          <w:sz w:val="24"/>
          <w:szCs w:val="24"/>
        </w:rPr>
        <w:t>Orobets</w:t>
      </w:r>
      <w:proofErr w:type="spellEnd"/>
      <w:r w:rsidRPr="00A94035">
        <w:rPr>
          <w:rFonts w:asciiTheme="majorHAnsi" w:hAnsiTheme="majorHAnsi" w:cstheme="majorHAnsi"/>
          <w:color w:val="000000"/>
          <w:sz w:val="24"/>
          <w:szCs w:val="24"/>
        </w:rPr>
        <w:t xml:space="preserve">, K., </w:t>
      </w:r>
      <w:proofErr w:type="spellStart"/>
      <w:r w:rsidRPr="00A94035">
        <w:rPr>
          <w:rFonts w:asciiTheme="majorHAnsi" w:hAnsiTheme="majorHAnsi" w:cstheme="majorHAnsi"/>
          <w:color w:val="000000"/>
          <w:sz w:val="24"/>
          <w:szCs w:val="24"/>
        </w:rPr>
        <w:t>Shyshpanova</w:t>
      </w:r>
      <w:proofErr w:type="spellEnd"/>
      <w:r w:rsidRPr="00A94035">
        <w:rPr>
          <w:rFonts w:asciiTheme="majorHAnsi" w:hAnsiTheme="majorHAnsi" w:cstheme="majorHAnsi"/>
          <w:color w:val="000000"/>
          <w:sz w:val="24"/>
          <w:szCs w:val="24"/>
        </w:rPr>
        <w:t xml:space="preserve">, N., </w:t>
      </w:r>
      <w:proofErr w:type="spellStart"/>
      <w:r w:rsidRPr="00A94035">
        <w:rPr>
          <w:rFonts w:asciiTheme="majorHAnsi" w:hAnsiTheme="majorHAnsi" w:cstheme="majorHAnsi"/>
          <w:color w:val="000000"/>
          <w:sz w:val="24"/>
          <w:szCs w:val="24"/>
        </w:rPr>
        <w:t>Vovchenko</w:t>
      </w:r>
      <w:proofErr w:type="spellEnd"/>
      <w:r w:rsidRPr="00A94035">
        <w:rPr>
          <w:rFonts w:asciiTheme="majorHAnsi" w:hAnsiTheme="majorHAnsi" w:cstheme="majorHAnsi"/>
          <w:color w:val="000000"/>
          <w:sz w:val="24"/>
          <w:szCs w:val="24"/>
        </w:rPr>
        <w:t xml:space="preserve">, O., &amp; </w:t>
      </w:r>
      <w:proofErr w:type="spellStart"/>
      <w:r w:rsidRPr="00A94035">
        <w:rPr>
          <w:rFonts w:asciiTheme="majorHAnsi" w:hAnsiTheme="majorHAnsi" w:cstheme="majorHAnsi"/>
          <w:color w:val="000000"/>
          <w:sz w:val="24"/>
          <w:szCs w:val="24"/>
        </w:rPr>
        <w:t>Berezovska-Chmil</w:t>
      </w:r>
      <w:proofErr w:type="spellEnd"/>
      <w:r w:rsidRPr="00A94035">
        <w:rPr>
          <w:rFonts w:asciiTheme="majorHAnsi" w:hAnsiTheme="majorHAnsi" w:cstheme="majorHAnsi"/>
          <w:color w:val="000000"/>
          <w:sz w:val="24"/>
          <w:szCs w:val="24"/>
        </w:rPr>
        <w:t>, O. (2024). Progress and Challenges in Combating Corruption in Ukraine: Pathways Forward.</w:t>
      </w:r>
      <w:r w:rsidRPr="00A94035">
        <w:rPr>
          <w:rStyle w:val="apple-converted-space"/>
          <w:rFonts w:asciiTheme="majorHAnsi" w:hAnsiTheme="majorHAnsi" w:cstheme="majorHAnsi"/>
          <w:color w:val="000000"/>
          <w:sz w:val="24"/>
          <w:szCs w:val="24"/>
        </w:rPr>
        <w:t> </w:t>
      </w:r>
      <w:r w:rsidRPr="00A94035">
        <w:rPr>
          <w:rFonts w:asciiTheme="majorHAnsi" w:hAnsiTheme="majorHAnsi" w:cstheme="majorHAnsi"/>
          <w:i/>
          <w:iCs/>
          <w:color w:val="000000"/>
          <w:sz w:val="24"/>
          <w:szCs w:val="24"/>
        </w:rPr>
        <w:t>Journal of Strategic Security</w:t>
      </w:r>
      <w:r w:rsidRPr="00A94035">
        <w:rPr>
          <w:rFonts w:asciiTheme="majorHAnsi" w:hAnsiTheme="majorHAnsi" w:cstheme="majorHAnsi"/>
          <w:color w:val="000000"/>
          <w:sz w:val="24"/>
          <w:szCs w:val="24"/>
        </w:rPr>
        <w:t>,</w:t>
      </w:r>
      <w:r w:rsidRPr="00A94035">
        <w:rPr>
          <w:rStyle w:val="apple-converted-space"/>
          <w:rFonts w:asciiTheme="majorHAnsi" w:hAnsiTheme="majorHAnsi" w:cstheme="majorHAnsi"/>
          <w:color w:val="000000"/>
          <w:sz w:val="24"/>
          <w:szCs w:val="24"/>
        </w:rPr>
        <w:t> </w:t>
      </w:r>
      <w:r w:rsidRPr="00A94035">
        <w:rPr>
          <w:rFonts w:asciiTheme="majorHAnsi" w:hAnsiTheme="majorHAnsi" w:cstheme="majorHAnsi"/>
          <w:i/>
          <w:iCs/>
          <w:color w:val="000000"/>
          <w:sz w:val="24"/>
          <w:szCs w:val="24"/>
        </w:rPr>
        <w:t>17</w:t>
      </w:r>
      <w:r w:rsidRPr="00A94035">
        <w:rPr>
          <w:rFonts w:asciiTheme="majorHAnsi" w:hAnsiTheme="majorHAnsi" w:cstheme="majorHAnsi"/>
          <w:color w:val="000000"/>
          <w:sz w:val="24"/>
          <w:szCs w:val="24"/>
        </w:rPr>
        <w:t>(2), 28–43.</w:t>
      </w:r>
      <w:r w:rsidRPr="00A94035">
        <w:rPr>
          <w:rStyle w:val="apple-converted-space"/>
          <w:rFonts w:asciiTheme="majorHAnsi" w:hAnsiTheme="majorHAnsi" w:cstheme="majorHAnsi"/>
          <w:color w:val="000000"/>
          <w:sz w:val="24"/>
          <w:szCs w:val="24"/>
        </w:rPr>
        <w:t> </w:t>
      </w:r>
      <w:hyperlink r:id="rId65" w:tgtFrame="_blank" w:history="1">
        <w:r w:rsidRPr="00A94035">
          <w:rPr>
            <w:rStyle w:val="a9"/>
            <w:rFonts w:asciiTheme="majorHAnsi" w:hAnsiTheme="majorHAnsi" w:cstheme="majorHAnsi"/>
            <w:color w:val="000000"/>
            <w:sz w:val="24"/>
            <w:szCs w:val="24"/>
          </w:rPr>
          <w:t>https://doi.org/10.5038/1944-0472.17.2.2223</w:t>
        </w:r>
      </w:hyperlink>
    </w:p>
    <w:p w14:paraId="7BC2E4FB" w14:textId="77777777" w:rsidR="002B6969" w:rsidRDefault="002B6969"/>
    <w:sectPr w:rsidR="002B6969" w:rsidSect="007816FC">
      <w:headerReference w:type="even" r:id="rId66"/>
      <w:headerReference w:type="default" r:id="rId67"/>
      <w:footerReference w:type="even" r:id="rId68"/>
      <w:footerReference w:type="default" r:id="rId69"/>
      <w:headerReference w:type="first" r:id="rId70"/>
      <w:footerReference w:type="first" r:id="rId71"/>
      <w:pgSz w:w="11907" w:h="16840" w:code="9"/>
      <w:pgMar w:top="1418" w:right="1418" w:bottom="1418" w:left="1418" w:header="720" w:footer="720" w:gutter="0"/>
      <w:pgNumType w:start="1"/>
      <w:cols w:space="720"/>
      <w:titlePg/>
      <w:docGrid w:linePitch="272"/>
    </w:sectPr>
  </w:body>
</w:document>
</file>

<file path=word/comments.xml><?xml version="1.0" encoding="utf-8"?>
<w:comment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0" w:author="A" w:date="2025-06-21T07:43:00Z" w:initials="A">
    <w:p w14:paraId="0EC6E985" w14:textId="77777777" w:rsidR="00E3097C" w:rsidRDefault="00E3097C" w:rsidP="00E3097C">
      <w:pPr>
        <w:pStyle w:val="ae"/>
      </w:pPr>
      <w:r>
        <w:rPr>
          <w:rStyle w:val="ad"/>
        </w:rPr>
        <w:annotationRef/>
      </w:r>
      <w:r w:rsidRPr="00477728">
        <w:t>You can add your country if you only focus on 1 country, but if there are many countries or comparisons then write them too.</w:t>
      </w:r>
    </w:p>
  </w:comment>
  <w:comment w:id="1" w:author="A" w:date="2025-06-21T07:45:00Z" w:initials="A">
    <w:p w14:paraId="7FF95433" w14:textId="77777777" w:rsidR="00E3097C" w:rsidRDefault="00E3097C" w:rsidP="00E3097C">
      <w:pPr>
        <w:pStyle w:val="ae"/>
      </w:pPr>
      <w:r>
        <w:rPr>
          <w:rStyle w:val="ad"/>
        </w:rPr>
        <w:annotationRef/>
      </w:r>
      <w:r w:rsidRPr="00477728">
        <w:t>Complete with the type and approach of research in your method.</w:t>
      </w:r>
    </w:p>
  </w:comment>
  <w:comment w:id="2" w:author="A" w:date="2025-06-21T08:39:00Z" w:initials="A">
    <w:p w14:paraId="1B203445" w14:textId="77777777" w:rsidR="00E3097C" w:rsidRDefault="00E3097C" w:rsidP="00E3097C">
      <w:pPr>
        <w:pStyle w:val="ae"/>
      </w:pPr>
      <w:r>
        <w:rPr>
          <w:rStyle w:val="ad"/>
        </w:rPr>
        <w:annotationRef/>
      </w:r>
      <w:r w:rsidRPr="0042403D">
        <w:t>This claim is too general and lacks novelty or direct justification for the Ukraine case. It needs context or actual statistics to show the specific urgency.</w:t>
      </w:r>
    </w:p>
  </w:comment>
  <w:comment w:id="3" w:author="A" w:date="2025-06-21T08:40:00Z" w:initials="A">
    <w:p w14:paraId="3D820BC4" w14:textId="77777777" w:rsidR="00E3097C" w:rsidRDefault="00E3097C" w:rsidP="00E3097C">
      <w:pPr>
        <w:pStyle w:val="ae"/>
      </w:pPr>
      <w:r>
        <w:rPr>
          <w:rStyle w:val="ad"/>
        </w:rPr>
        <w:annotationRef/>
      </w:r>
      <w:r w:rsidRPr="009C5EAA">
        <w:t>This is a very important sentence, but it needs some sharpening that previous studies have not explicitly answered</w:t>
      </w:r>
      <w:r>
        <w:t>.</w:t>
      </w:r>
    </w:p>
  </w:comment>
  <w:comment w:id="4" w:author="A" w:date="2025-06-21T08:41:00Z" w:initials="A">
    <w:p w14:paraId="410A29BB" w14:textId="77777777" w:rsidR="00E3097C" w:rsidRDefault="00E3097C" w:rsidP="00E3097C">
      <w:pPr>
        <w:pStyle w:val="ae"/>
      </w:pPr>
      <w:r>
        <w:rPr>
          <w:rStyle w:val="ad"/>
        </w:rPr>
        <w:annotationRef/>
      </w:r>
      <w:r w:rsidRPr="007B0729">
        <w:t>H1 and H2 are conceptually good. But they are incomplete. H2 is hanging: “Applying a systemic approach that combines preventive…” → unfinished sentence.</w:t>
      </w:r>
    </w:p>
  </w:comment>
  <w:comment w:id="5" w:author="A" w:date="2025-06-21T08:50:00Z" w:initials="A">
    <w:p w14:paraId="3DEFC85F" w14:textId="77777777" w:rsidR="00E3097C" w:rsidRDefault="00E3097C" w:rsidP="00E3097C">
      <w:pPr>
        <w:pStyle w:val="ae"/>
      </w:pPr>
      <w:r>
        <w:rPr>
          <w:rStyle w:val="ad"/>
        </w:rPr>
        <w:annotationRef/>
      </w:r>
      <w:r w:rsidRPr="00DC0D8A">
        <w:t>This important claim is not followed by any explanation or examples of which international agreements are meant or what national strategies should be revised.</w:t>
      </w:r>
    </w:p>
  </w:comment>
  <w:comment w:id="6" w:author="A" w:date="2025-06-21T08:57:00Z" w:initials="A">
    <w:p w14:paraId="32E6AB65" w14:textId="77777777" w:rsidR="00E3097C" w:rsidRDefault="00E3097C" w:rsidP="00E3097C">
      <w:pPr>
        <w:pStyle w:val="ae"/>
      </w:pPr>
      <w:r>
        <w:rPr>
          <w:rStyle w:val="ad"/>
        </w:rPr>
        <w:annotationRef/>
      </w:r>
      <w:r w:rsidRPr="00DC0D8A">
        <w:t>It is necessary to explain the concrete forms or roles of civil society and international partners (for example: human rights monitoring, legislative advocacy, NATO support, etc.).</w:t>
      </w:r>
    </w:p>
  </w:comment>
  <w:comment w:id="7" w:author="A" w:date="2025-06-21T08:47:00Z" w:initials="A">
    <w:p w14:paraId="564A1516" w14:textId="77777777" w:rsidR="00E3097C" w:rsidRDefault="00E3097C" w:rsidP="00E3097C">
      <w:pPr>
        <w:pStyle w:val="ae"/>
      </w:pPr>
      <w:r>
        <w:rPr>
          <w:rStyle w:val="ad"/>
        </w:rPr>
        <w:annotationRef/>
      </w:r>
      <w:r w:rsidRPr="00132F0A">
        <w:t>At the end of the discussion, make a discussion diagram. Describe your findings in the form of a chart or mind map to show the results in a concrete and easy-to-understand way.</w:t>
      </w:r>
    </w:p>
  </w:comment>
</w:comments>
</file>

<file path=word/commentsExtended.xml><?xml version="1.0" encoding="utf-8"?>
<w15:commentsEx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0EC6E985" w15:done="0"/>
  <w15:commentEx w15:paraId="7FF95433" w15:done="0"/>
  <w15:commentEx w15:paraId="1B203445" w15:done="0"/>
  <w15:commentEx w15:paraId="3D820BC4" w15:done="0"/>
  <w15:commentEx w15:paraId="410A29BB" w15:done="0"/>
  <w15:commentEx w15:paraId="3DEFC85F" w15:done="0"/>
  <w15:commentEx w15:paraId="32E6AB65" w15:done="0"/>
  <w15:commentEx w15:paraId="564A1516"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1C26512B" w16cex:dateUtc="2025-06-21T00:43:00Z"/>
  <w16cex:commentExtensible w16cex:durableId="581F28A8" w16cex:dateUtc="2025-06-21T00:45:00Z"/>
  <w16cex:commentExtensible w16cex:durableId="2961EFEA" w16cex:dateUtc="2025-06-21T01:39:00Z"/>
  <w16cex:commentExtensible w16cex:durableId="562F6F3B" w16cex:dateUtc="2025-06-21T01:40:00Z"/>
  <w16cex:commentExtensible w16cex:durableId="42984C8D" w16cex:dateUtc="2025-06-21T01:41:00Z"/>
  <w16cex:commentExtensible w16cex:durableId="7DE08054" w16cex:dateUtc="2025-06-21T01:50:00Z"/>
  <w16cex:commentExtensible w16cex:durableId="687D0191" w16cex:dateUtc="2025-06-21T01:57:00Z"/>
  <w16cex:commentExtensible w16cex:durableId="6C6FE92C" w16cex:dateUtc="2025-06-21T01:4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0EC6E985" w16cid:durableId="1C26512B"/>
  <w16cid:commentId w16cid:paraId="7FF95433" w16cid:durableId="581F28A8"/>
  <w16cid:commentId w16cid:paraId="1B203445" w16cid:durableId="2961EFEA"/>
  <w16cid:commentId w16cid:paraId="3D820BC4" w16cid:durableId="562F6F3B"/>
  <w16cid:commentId w16cid:paraId="410A29BB" w16cid:durableId="42984C8D"/>
  <w16cid:commentId w16cid:paraId="3DEFC85F" w16cid:durableId="7DE08054"/>
  <w16cid:commentId w16cid:paraId="32E6AB65" w16cid:durableId="687D0191"/>
  <w16cid:commentId w16cid:paraId="564A1516" w16cid:durableId="6C6FE92C"/>
</w16cid:commentsIds>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0FDBA90" w14:textId="77777777" w:rsidR="00174FDB" w:rsidRDefault="00174FDB">
      <w:r>
        <w:separator/>
      </w:r>
    </w:p>
  </w:endnote>
  <w:endnote w:type="continuationSeparator" w:id="0">
    <w:p w14:paraId="31329832" w14:textId="77777777" w:rsidR="00174FDB" w:rsidRDefault="00174FD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altName w:val="Times New Roman"/>
    <w:panose1 w:val="02020603050405020304"/>
    <w:charset w:val="CC"/>
    <w:family w:val="roman"/>
    <w:pitch w:val="variable"/>
    <w:sig w:usb0="E0002EFF" w:usb1="C000785B" w:usb2="00000009" w:usb3="00000000" w:csb0="000001FF" w:csb1="00000000"/>
  </w:font>
  <w:font w:name="Calibri">
    <w:altName w:val="Century Gothic"/>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Open Sans">
    <w:altName w:val="Arial"/>
    <w:charset w:val="00"/>
    <w:family w:val="swiss"/>
    <w:pitch w:val="variable"/>
    <w:sig w:usb0="00000001" w:usb1="4000205B" w:usb2="00000028" w:usb3="00000000" w:csb0="0000019F" w:csb1="00000000"/>
  </w:font>
  <w:font w:name="Arial">
    <w:altName w:val="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230161" w14:textId="77777777" w:rsidR="00EC751A" w:rsidRPr="00540F02" w:rsidRDefault="00174FDB" w:rsidP="00122F5F">
    <w:pPr>
      <w:pStyle w:val="a3"/>
      <w:ind w:right="357"/>
      <w:rPr>
        <w:rFonts w:ascii="Calibri Light" w:hAnsi="Calibri Light" w:cs="Calibri Light"/>
        <w:sz w:val="16"/>
        <w:szCs w:val="16"/>
      </w:rPr>
    </w:pPr>
    <w:r>
      <w:rPr>
        <w:noProof/>
        <w:lang w:val="ru-RU" w:eastAsia="ru-RU"/>
      </w:rPr>
      <mc:AlternateContent>
        <mc:Choice Requires="wps">
          <w:drawing>
            <wp:anchor distT="0" distB="0" distL="114300" distR="114300" simplePos="0" relativeHeight="251661312" behindDoc="0" locked="0" layoutInCell="1" allowOverlap="1" wp14:anchorId="33A2DD4D" wp14:editId="0A10A061">
              <wp:simplePos x="0" y="0"/>
              <wp:positionH relativeFrom="column">
                <wp:posOffset>5151755</wp:posOffset>
              </wp:positionH>
              <wp:positionV relativeFrom="paragraph">
                <wp:posOffset>-64770</wp:posOffset>
              </wp:positionV>
              <wp:extent cx="619760" cy="278130"/>
              <wp:effectExtent l="13335" t="7620" r="5080" b="9525"/>
              <wp:wrapNone/>
              <wp:docPr id="1482634506"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760" cy="278130"/>
                      </a:xfrm>
                      <a:prstGeom prst="rect">
                        <a:avLst/>
                      </a:prstGeom>
                      <a:solidFill>
                        <a:srgbClr val="FFFFFF"/>
                      </a:solidFill>
                      <a:ln w="9525">
                        <a:solidFill>
                          <a:srgbClr val="FFFFFF"/>
                        </a:solidFill>
                        <a:miter lim="800000"/>
                        <a:headEnd/>
                        <a:tailEnd/>
                      </a:ln>
                    </wps:spPr>
                    <wps:txbx>
                      <w:txbxContent>
                        <w:p w14:paraId="1ED6C1A2" w14:textId="77777777" w:rsidR="00EC751A" w:rsidRPr="00122F5F" w:rsidRDefault="00174FDB" w:rsidP="00122F5F">
                          <w:pPr>
                            <w:jc w:val="center"/>
                            <w:rPr>
                              <w:rFonts w:ascii="Calibri" w:hAnsi="Calibri" w:cs="Calibri"/>
                              <w:sz w:val="16"/>
                              <w:szCs w:val="16"/>
                            </w:rPr>
                          </w:pPr>
                          <w:r w:rsidRPr="00122F5F">
                            <w:rPr>
                              <w:rFonts w:ascii="Calibri" w:hAnsi="Calibri" w:cs="Calibri"/>
                              <w:sz w:val="16"/>
                              <w:szCs w:val="16"/>
                            </w:rPr>
                            <w:t>2022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A2DD4D" id="Rectangle 14" o:spid="_x0000_s1055" style="position:absolute;margin-left:405.65pt;margin-top:-5.1pt;width:48.8pt;height:21.9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" strokecolor="white">
              <v:textbox>
                <w:txbxContent>
                  <w:p w14:paraId="1ED6C1A2" w14:textId="77777777" w:rsidR="00EC751A" w:rsidRPr="00122F5F" w:rsidRDefault="00174FDB" w:rsidP="00122F5F">
                    <w:pPr>
                      <w:jc w:val="center"/>
                      <w:rPr>
                        <w:rFonts w:ascii="Calibri" w:hAnsi="Calibri" w:cs="Calibri"/>
                        <w:sz w:val="16"/>
                        <w:szCs w:val="16"/>
                      </w:rPr>
                    </w:pPr>
                    <w:r w:rsidRPr="00122F5F">
                      <w:rPr>
                        <w:rFonts w:ascii="Calibri" w:hAnsi="Calibri" w:cs="Calibri"/>
                        <w:sz w:val="16"/>
                        <w:szCs w:val="16"/>
                      </w:rPr>
                      <w:t>2022</w:t>
                    </w:r>
                  </w:p>
                </w:txbxContent>
              </v:textbox>
            </v:rect>
          </w:pict>
        </mc:Fallback>
      </mc:AlternateContent>
    </w:r>
    <w:r w:rsidRPr="00540F02">
      <w:rPr>
        <w:rFonts w:ascii="Calibri Light" w:hAnsi="Calibri Light" w:cs="Calibri Light"/>
        <w:sz w:val="16"/>
        <w:szCs w:val="16"/>
      </w:rPr>
      <w:t>International Journal Law and Society</w:t>
    </w:r>
  </w:p>
  <w:p w14:paraId="6EF8AC38" w14:textId="77777777" w:rsidR="00EC751A" w:rsidRPr="00540F02" w:rsidRDefault="00174FDB" w:rsidP="00122F5F">
    <w:pPr>
      <w:pStyle w:val="a3"/>
      <w:ind w:right="357"/>
      <w:rPr>
        <w:rFonts w:ascii="Calibri Light" w:hAnsi="Calibri Light" w:cs="Calibri Light"/>
        <w:sz w:val="16"/>
        <w:szCs w:val="16"/>
      </w:rPr>
    </w:pPr>
    <w:r w:rsidRPr="00540F02">
      <w:rPr>
        <w:rFonts w:ascii="Calibri Light" w:hAnsi="Calibri Light" w:cs="Calibri Light"/>
        <w:sz w:val="16"/>
        <w:szCs w:val="16"/>
      </w:rPr>
      <w:t xml:space="preserve">E-ISSN: ….-….   </w:t>
    </w:r>
    <w:hyperlink r:id="rId1" w:history="1">
      <w:r w:rsidRPr="00540F02">
        <w:rPr>
          <w:rStyle w:val="a9"/>
          <w:rFonts w:ascii="Calibri Light" w:hAnsi="Calibri Light" w:cs="Calibri Light"/>
          <w:sz w:val="16"/>
          <w:szCs w:val="16"/>
        </w:rPr>
        <w:t>https://najahaofficial.id/najahajournal/index.php/IJLS/</w:t>
      </w:r>
    </w:hyperlink>
    <w:r w:rsidRPr="00540F02">
      <w:rPr>
        <w:rFonts w:ascii="Calibri Light" w:hAnsi="Calibri Light" w:cs="Calibri Light"/>
        <w:sz w:val="16"/>
        <w:szCs w:val="16"/>
      </w:rPr>
      <w:t xml:space="preserve"> </w:t>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FA83A1" w14:textId="77777777" w:rsidR="00EC751A" w:rsidRPr="00540F02" w:rsidRDefault="00174FDB" w:rsidP="0008220C">
    <w:pPr>
      <w:pStyle w:val="a3"/>
      <w:ind w:right="357"/>
      <w:rPr>
        <w:rFonts w:ascii="Calibri Light" w:hAnsi="Calibri Light" w:cs="Calibri Light"/>
        <w:sz w:val="16"/>
        <w:szCs w:val="16"/>
      </w:rPr>
    </w:pPr>
    <w:r>
      <w:rPr>
        <w:noProof/>
        <w:lang w:val="ru-RU" w:eastAsia="ru-RU"/>
      </w:rPr>
      <mc:AlternateContent>
        <mc:Choice Requires="wps">
          <w:drawing>
            <wp:anchor distT="0" distB="0" distL="114300" distR="114300" simplePos="0" relativeHeight="251667456" behindDoc="0" locked="0" layoutInCell="1" allowOverlap="1" wp14:anchorId="3AE55A34" wp14:editId="0BC25E7D">
              <wp:simplePos x="0" y="0"/>
              <wp:positionH relativeFrom="column">
                <wp:posOffset>5151755</wp:posOffset>
              </wp:positionH>
              <wp:positionV relativeFrom="paragraph">
                <wp:posOffset>-64770</wp:posOffset>
              </wp:positionV>
              <wp:extent cx="619760" cy="278130"/>
              <wp:effectExtent l="13335" t="7620" r="5080" b="9525"/>
              <wp:wrapNone/>
              <wp:docPr id="1743054966"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760" cy="278130"/>
                      </a:xfrm>
                      <a:prstGeom prst="rect">
                        <a:avLst/>
                      </a:prstGeom>
                      <a:solidFill>
                        <a:srgbClr val="FFFFFF"/>
                      </a:solidFill>
                      <a:ln w="9525">
                        <a:solidFill>
                          <a:srgbClr val="FFFFFF"/>
                        </a:solidFill>
                        <a:miter lim="800000"/>
                        <a:headEnd/>
                        <a:tailEnd/>
                      </a:ln>
                    </wps:spPr>
                    <wps:txbx>
                      <w:txbxContent>
                        <w:p w14:paraId="38BE6C2B" w14:textId="77777777" w:rsidR="00EC751A" w:rsidRPr="00122F5F" w:rsidRDefault="00174FDB" w:rsidP="0008220C">
                          <w:pPr>
                            <w:jc w:val="center"/>
                            <w:rPr>
                              <w:rFonts w:ascii="Calibri" w:hAnsi="Calibri" w:cs="Calibri"/>
                              <w:sz w:val="16"/>
                              <w:szCs w:val="16"/>
                            </w:rPr>
                          </w:pPr>
                          <w:r w:rsidRPr="00122F5F">
                            <w:rPr>
                              <w:rFonts w:ascii="Calibri" w:hAnsi="Calibri" w:cs="Calibri"/>
                              <w:sz w:val="16"/>
                              <w:szCs w:val="16"/>
                            </w:rPr>
                            <w:t>2022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E55A34" id="Rectangle 15" o:spid="_x0000_s1056" style="position:absolute;margin-left:405.65pt;margin-top:-5.1pt;width:48.8pt;height:21.9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" strokecolor="white">
              <v:textbox>
                <w:txbxContent>
                  <w:p w14:paraId="38BE6C2B" w14:textId="77777777" w:rsidR="00EC751A" w:rsidRPr="00122F5F" w:rsidRDefault="00174FDB" w:rsidP="0008220C">
                    <w:pPr>
                      <w:jc w:val="center"/>
                      <w:rPr>
                        <w:rFonts w:ascii="Calibri" w:hAnsi="Calibri" w:cs="Calibri"/>
                        <w:sz w:val="16"/>
                        <w:szCs w:val="16"/>
                      </w:rPr>
                    </w:pPr>
                    <w:r w:rsidRPr="00122F5F">
                      <w:rPr>
                        <w:rFonts w:ascii="Calibri" w:hAnsi="Calibri" w:cs="Calibri"/>
                        <w:sz w:val="16"/>
                        <w:szCs w:val="16"/>
                      </w:rPr>
                      <w:t>2022</w:t>
                    </w:r>
                  </w:p>
                </w:txbxContent>
              </v:textbox>
            </v:rect>
          </w:pict>
        </mc:Fallback>
      </mc:AlternateContent>
    </w:r>
    <w:r w:rsidRPr="00540F02">
      <w:rPr>
        <w:rFonts w:ascii="Calibri Light" w:hAnsi="Calibri Light" w:cs="Calibri Light"/>
        <w:sz w:val="16"/>
        <w:szCs w:val="16"/>
      </w:rPr>
      <w:t>International Journal Law and Society</w:t>
    </w:r>
  </w:p>
  <w:p w14:paraId="2D987621" w14:textId="77777777" w:rsidR="00EC751A" w:rsidRPr="0008220C" w:rsidRDefault="00174FDB" w:rsidP="0008220C">
    <w:pPr>
      <w:pStyle w:val="a3"/>
      <w:ind w:right="357"/>
      <w:rPr>
        <w:rFonts w:ascii="Calibri Light" w:hAnsi="Calibri Light" w:cs="Calibri Light"/>
        <w:sz w:val="16"/>
        <w:szCs w:val="16"/>
      </w:rPr>
    </w:pPr>
    <w:r w:rsidRPr="00540F02">
      <w:rPr>
        <w:rFonts w:ascii="Calibri Light" w:hAnsi="Calibri Light" w:cs="Calibri Light"/>
        <w:sz w:val="16"/>
        <w:szCs w:val="16"/>
      </w:rPr>
      <w:t xml:space="preserve">E-ISSN: ….-….   </w:t>
    </w:r>
    <w:hyperlink r:id="rId1" w:history="1">
      <w:r w:rsidRPr="00540F02">
        <w:rPr>
          <w:rStyle w:val="a9"/>
          <w:rFonts w:ascii="Calibri Light" w:hAnsi="Calibri Light" w:cs="Calibri Light"/>
          <w:sz w:val="16"/>
          <w:szCs w:val="16"/>
        </w:rPr>
        <w:t>https://najahaofficial.id/najahajournal/index.php/IJLS/</w:t>
      </w:r>
    </w:hyperlink>
    <w:r w:rsidRPr="00540F02">
      <w:rPr>
        <w:rFonts w:ascii="Calibri Light" w:hAnsi="Calibri Light" w:cs="Calibri Light"/>
        <w:sz w:val="16"/>
        <w:szCs w:val="16"/>
      </w:rPr>
      <w:t xml:space="preserve"> </w:t>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A58C4E" w14:textId="77777777" w:rsidR="00EC751A" w:rsidRPr="0008220C" w:rsidRDefault="00174FDB" w:rsidP="00FF1D30">
    <w:pPr>
      <w:pStyle w:val="a3"/>
      <w:ind w:right="357"/>
      <w:rPr>
        <w:rFonts w:ascii="Calibri Light" w:hAnsi="Calibri Light" w:cs="Calibri Light"/>
        <w:sz w:val="16"/>
        <w:szCs w:val="16"/>
      </w:rPr>
    </w:pPr>
    <w:r>
      <w:rPr>
        <w:noProof/>
        <w:lang w:val="ru-RU" w:eastAsia="ru-RU"/>
      </w:rPr>
      <mc:AlternateContent>
        <mc:Choice Requires="wps">
          <w:drawing>
            <wp:anchor distT="0" distB="0" distL="114300" distR="114300" simplePos="0" relativeHeight="251660288" behindDoc="0" locked="0" layoutInCell="1" allowOverlap="1" wp14:anchorId="5ECC3341" wp14:editId="5AD726C5">
              <wp:simplePos x="0" y="0"/>
              <wp:positionH relativeFrom="column">
                <wp:posOffset>5151755</wp:posOffset>
              </wp:positionH>
              <wp:positionV relativeFrom="paragraph">
                <wp:posOffset>-64770</wp:posOffset>
              </wp:positionV>
              <wp:extent cx="619760" cy="278130"/>
              <wp:effectExtent l="13335" t="7620" r="5080" b="9525"/>
              <wp:wrapNone/>
              <wp:docPr id="1933024578"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760" cy="278130"/>
                      </a:xfrm>
                      <a:prstGeom prst="rect">
                        <a:avLst/>
                      </a:prstGeom>
                      <a:solidFill>
                        <a:srgbClr val="FFFFFF"/>
                      </a:solidFill>
                      <a:ln w="9525">
                        <a:solidFill>
                          <a:srgbClr val="FFFFFF"/>
                        </a:solidFill>
                        <a:miter lim="800000"/>
                        <a:headEnd/>
                        <a:tailEnd/>
                      </a:ln>
                    </wps:spPr>
                    <wps:txbx>
                      <w:txbxContent>
                        <w:p w14:paraId="73C31843" w14:textId="77777777" w:rsidR="00EC751A" w:rsidRPr="00540F02" w:rsidRDefault="00174FDB" w:rsidP="00122F5F">
                          <w:pPr>
                            <w:jc w:val="center"/>
                            <w:rPr>
                              <w:rFonts w:ascii="Calibri" w:hAnsi="Calibri" w:cs="Calibri"/>
                              <w:sz w:val="16"/>
                              <w:szCs w:val="16"/>
                            </w:rPr>
                          </w:pPr>
                          <w:r w:rsidRPr="00540F02">
                            <w:rPr>
                              <w:rFonts w:ascii="Calibri" w:hAnsi="Calibri" w:cs="Calibri"/>
                              <w:sz w:val="16"/>
                              <w:szCs w:val="16"/>
                            </w:rPr>
                            <w:t>2022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CC3341" id="Rectangle 18" o:spid="_x0000_s1059" style="position:absolute;margin-left:405.65pt;margin-top:-5.1pt;width:48.8pt;height:21.9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" strokecolor="white">
              <v:textbox>
                <w:txbxContent>
                  <w:p w14:paraId="73C31843" w14:textId="77777777" w:rsidR="00EC751A" w:rsidRPr="00540F02" w:rsidRDefault="00174FDB" w:rsidP="00122F5F">
                    <w:pPr>
                      <w:jc w:val="center"/>
                      <w:rPr>
                        <w:rFonts w:ascii="Calibri" w:hAnsi="Calibri" w:cs="Calibri"/>
                        <w:sz w:val="16"/>
                        <w:szCs w:val="16"/>
                      </w:rPr>
                    </w:pPr>
                    <w:r w:rsidRPr="00540F02">
                      <w:rPr>
                        <w:rFonts w:ascii="Calibri" w:hAnsi="Calibri" w:cs="Calibri"/>
                        <w:sz w:val="16"/>
                        <w:szCs w:val="16"/>
                      </w:rPr>
                      <w:t>2022</w:t>
                    </w:r>
                  </w:p>
                </w:txbxContent>
              </v:textbox>
            </v:rect>
          </w:pict>
        </mc:Fallback>
      </mc:AlternateContent>
    </w:r>
    <w:r w:rsidRPr="0008220C">
      <w:rPr>
        <w:rFonts w:ascii="Calibri Light" w:hAnsi="Calibri Light" w:cs="Calibri Light"/>
        <w:sz w:val="16"/>
        <w:szCs w:val="16"/>
      </w:rPr>
      <w:t xml:space="preserve">International </w:t>
    </w:r>
    <w:r w:rsidRPr="0008220C">
      <w:rPr>
        <w:rFonts w:ascii="Calibri Light" w:hAnsi="Calibri Light" w:cs="Calibri Light"/>
        <w:sz w:val="16"/>
        <w:szCs w:val="16"/>
      </w:rPr>
      <w:t>Journal Law and Society</w:t>
    </w:r>
  </w:p>
  <w:p w14:paraId="0604594B" w14:textId="77777777" w:rsidR="00EC751A" w:rsidRPr="0008220C" w:rsidRDefault="00174FDB" w:rsidP="00FF1D30">
    <w:pPr>
      <w:pStyle w:val="a3"/>
      <w:ind w:right="357"/>
      <w:rPr>
        <w:rFonts w:ascii="Calibri Light" w:hAnsi="Calibri Light" w:cs="Calibri Light"/>
        <w:sz w:val="16"/>
        <w:szCs w:val="16"/>
      </w:rPr>
    </w:pPr>
    <w:r w:rsidRPr="0008220C">
      <w:rPr>
        <w:rFonts w:ascii="Calibri Light" w:hAnsi="Calibri Light" w:cs="Calibri Light"/>
        <w:sz w:val="16"/>
        <w:szCs w:val="16"/>
      </w:rPr>
      <w:t xml:space="preserve">E-ISSN: ….-….   </w:t>
    </w:r>
    <w:hyperlink r:id="rId1" w:history="1">
      <w:r w:rsidRPr="0008220C">
        <w:rPr>
          <w:rStyle w:val="a9"/>
          <w:rFonts w:ascii="Calibri Light" w:hAnsi="Calibri Light" w:cs="Calibri Light"/>
          <w:sz w:val="16"/>
          <w:szCs w:val="16"/>
        </w:rPr>
        <w:t>https://najahaofficial.id/najahajournal/index.php/IJLS/</w:t>
      </w:r>
    </w:hyperlink>
    <w:r w:rsidRPr="0008220C">
      <w:rPr>
        <w:rFonts w:ascii="Calibri Light" w:hAnsi="Calibri Light" w:cs="Calibri Light"/>
        <w:sz w:val="16"/>
        <w:szCs w:val="16"/>
      </w:rPr>
      <w:t xml:space="preserve"> </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B2F8FDA" w14:textId="77777777" w:rsidR="00174FDB" w:rsidRDefault="00174FDB">
      <w:r>
        <w:separator/>
      </w:r>
    </w:p>
  </w:footnote>
  <w:footnote w:type="continuationSeparator" w:id="0">
    <w:p w14:paraId="022E83B9" w14:textId="77777777" w:rsidR="00174FDB" w:rsidRDefault="00174FDB">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28000E" w14:textId="77777777" w:rsidR="00EC751A" w:rsidRDefault="00174FDB" w:rsidP="00122F5F">
    <w:pPr>
      <w:pStyle w:val="a7"/>
    </w:pPr>
    <w:r>
      <w:rPr>
        <w:noProof/>
        <w:lang w:val="ru-RU" w:eastAsia="ru-RU"/>
      </w:rPr>
      <mc:AlternateContent>
        <mc:Choice Requires="wps">
          <w:drawing>
            <wp:anchor distT="0" distB="0" distL="114300" distR="114300" simplePos="0" relativeHeight="251662336" behindDoc="1" locked="0" layoutInCell="1" allowOverlap="1" wp14:anchorId="7FE77FAD" wp14:editId="6F1A00D6">
              <wp:simplePos x="0" y="0"/>
              <wp:positionH relativeFrom="page">
                <wp:posOffset>962025</wp:posOffset>
              </wp:positionH>
              <wp:positionV relativeFrom="page">
                <wp:posOffset>947420</wp:posOffset>
              </wp:positionV>
              <wp:extent cx="1998980" cy="229870"/>
              <wp:effectExtent l="0" t="4445" r="1270" b="3810"/>
              <wp:wrapNone/>
              <wp:docPr id="1933251899"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58B8E3" w14:textId="77777777" w:rsidR="00EC751A" w:rsidRPr="00FF1D30" w:rsidRDefault="00174FDB" w:rsidP="00122F5F">
                          <w:pPr>
                            <w:pStyle w:val="a7"/>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09B9DD6C" w14:textId="77777777" w:rsidR="00EC751A" w:rsidRPr="00FF1D30" w:rsidRDefault="00174FDB" w:rsidP="00122F5F">
                          <w:pPr>
                            <w:rPr>
                              <w:rFonts w:ascii="Calibri Light" w:hAnsi="Calibri Light" w:cs="Calibri Light"/>
                              <w:sz w:val="12"/>
                              <w:szCs w:val="12"/>
                            </w:rPr>
                          </w:pPr>
                          <w:r w:rsidRPr="00FF1D30">
                            <w:rPr>
                              <w:rFonts w:ascii="Calibri Light" w:hAnsi="Calibri Light" w:cs="Calibri Light"/>
                              <w:sz w:val="12"/>
                              <w:szCs w:val="12"/>
                            </w:rPr>
                            <w:t>Volume 1, Is</w:t>
                          </w:r>
                          <w:r w:rsidRPr="00FF1D30">
                            <w:rPr>
                              <w:rFonts w:ascii="Calibri Light" w:hAnsi="Calibri Light" w:cs="Calibri Light"/>
                              <w:sz w:val="12"/>
                              <w:szCs w:val="12"/>
                            </w:rPr>
                            <w:t>sue 1, 2022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FE77FAD" id="_x0000_t202" coordsize="21600,21600" o:spt="202" path="m,l,21600r21600,l21600,xe">
              <v:stroke joinstyle="miter"/>
              <v:path gradientshapeok="t" o:connecttype="rect"/>
            </v:shapetype>
            <v:shape id="Text Box 10" o:spid="_x0000_s1051" type="#_x0000_t202" style="position:absolute;margin-left:75.75pt;margin-top:74.6pt;width:157.4pt;height:18.1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" filled="f" stroked="f">
              <v:textbox inset="0,0,0,0">
                <w:txbxContent>
                  <w:p w14:paraId="7F58B8E3" w14:textId="77777777" w:rsidR="00EC751A" w:rsidRPr="00FF1D30" w:rsidRDefault="00174FDB" w:rsidP="00122F5F">
                    <w:pPr>
                      <w:pStyle w:val="a7"/>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09B9DD6C" w14:textId="77777777" w:rsidR="00EC751A" w:rsidRPr="00FF1D30" w:rsidRDefault="00174FDB" w:rsidP="00122F5F">
                    <w:pPr>
                      <w:rPr>
                        <w:rFonts w:ascii="Calibri Light" w:hAnsi="Calibri Light" w:cs="Calibri Light"/>
                        <w:sz w:val="12"/>
                        <w:szCs w:val="12"/>
                      </w:rPr>
                    </w:pPr>
                    <w:r w:rsidRPr="00FF1D30">
                      <w:rPr>
                        <w:rFonts w:ascii="Calibri Light" w:hAnsi="Calibri Light" w:cs="Calibri Light"/>
                        <w:sz w:val="12"/>
                        <w:szCs w:val="12"/>
                      </w:rPr>
                      <w:t>Volume 1, Is</w:t>
                    </w:r>
                    <w:r w:rsidRPr="00FF1D30">
                      <w:rPr>
                        <w:rFonts w:ascii="Calibri Light" w:hAnsi="Calibri Light" w:cs="Calibri Light"/>
                        <w:sz w:val="12"/>
                        <w:szCs w:val="12"/>
                      </w:rPr>
                      <w:t>sue 1, 2022</w:t>
                    </w:r>
                  </w:p>
                </w:txbxContent>
              </v:textbox>
              <w10:wrap anchorx="page" anchory="page"/>
            </v:shape>
          </w:pict>
        </mc:Fallback>
      </mc:AlternateContent>
    </w:r>
    <w:r>
      <w:rPr>
        <w:noProof/>
        <w:lang w:val="ru-RU" w:eastAsia="ru-RU"/>
      </w:rPr>
      <mc:AlternateContent>
        <mc:Choice Requires="wps">
          <w:drawing>
            <wp:anchor distT="0" distB="0" distL="114300" distR="114300" simplePos="0" relativeHeight="251665408" behindDoc="1" locked="0" layoutInCell="1" allowOverlap="1" wp14:anchorId="539F0EA6" wp14:editId="1801C85B">
              <wp:simplePos x="0" y="0"/>
              <wp:positionH relativeFrom="page">
                <wp:posOffset>6497955</wp:posOffset>
              </wp:positionH>
              <wp:positionV relativeFrom="page">
                <wp:posOffset>445135</wp:posOffset>
              </wp:positionV>
              <wp:extent cx="231775" cy="177800"/>
              <wp:effectExtent l="1905" t="0" r="4445" b="0"/>
              <wp:wrapNone/>
              <wp:docPr id="19821145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510E9" w14:textId="77777777" w:rsidR="00EC751A" w:rsidRPr="00540F02" w:rsidRDefault="00174FDB" w:rsidP="00540F02">
                          <w:pPr>
                            <w:pStyle w:val="a5"/>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Pr>
                              <w:rFonts w:ascii="Calibri Light" w:hAnsi="Calibri Light" w:cs="Calibri Light"/>
                              <w:noProof/>
                            </w:rPr>
                            <w:t>2</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9F0EA6" id="Text Box 11" o:spid="_x0000_s1052" type="#_x0000_t202" style="position:absolute;margin-left:511.65pt;margin-top:35.05pt;width:18.25pt;height:14pt;z-index:-25165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" filled="f" stroked="f">
              <v:textbox inset="0,0,0,0">
                <w:txbxContent>
                  <w:p w14:paraId="7A0510E9" w14:textId="77777777" w:rsidR="00EC751A" w:rsidRPr="00540F02" w:rsidRDefault="00174FDB" w:rsidP="00540F02">
                    <w:pPr>
                      <w:pStyle w:val="a5"/>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Pr>
                        <w:rFonts w:ascii="Calibri Light" w:hAnsi="Calibri Light" w:cs="Calibri Light"/>
                        <w:noProof/>
                      </w:rPr>
                      <w:t>2</w:t>
                    </w:r>
                    <w:r w:rsidRPr="00540F02">
                      <w:rPr>
                        <w:rFonts w:ascii="Calibri Light" w:hAnsi="Calibri Light" w:cs="Calibri Light"/>
                      </w:rPr>
                      <w:fldChar w:fldCharType="end"/>
                    </w:r>
                  </w:p>
                </w:txbxContent>
              </v:textbox>
              <w10:wrap anchorx="page" anchory="page"/>
            </v:shape>
          </w:pict>
        </mc:Fallback>
      </mc:AlternateContent>
    </w:r>
    <w:r>
      <w:rPr>
        <w:noProof/>
        <w:lang w:val="ru-RU" w:eastAsia="ru-RU"/>
      </w:rPr>
      <w:drawing>
        <wp:inline distT="0" distB="0" distL="0" distR="0" wp14:anchorId="176FFA91" wp14:editId="3DEC464C">
          <wp:extent cx="1092835" cy="510540"/>
          <wp:effectExtent l="0" t="0" r="0" b="0"/>
          <wp:docPr id="1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835" cy="510540"/>
                  </a:xfrm>
                  <a:prstGeom prst="rect">
                    <a:avLst/>
                  </a:prstGeom>
                  <a:noFill/>
                  <a:ln>
                    <a:noFill/>
                  </a:ln>
                </pic:spPr>
              </pic:pic>
            </a:graphicData>
          </a:graphic>
        </wp:inline>
      </w:drawing>
    </w:r>
  </w:p>
  <w:p w14:paraId="609713E4" w14:textId="77777777" w:rsidR="00EC751A" w:rsidRDefault="00EC751A" w:rsidP="00122F5F">
    <w:pPr>
      <w:pStyle w:val="a7"/>
      <w:rPr>
        <w:sz w:val="16"/>
        <w:szCs w:val="16"/>
      </w:rPr>
    </w:pPr>
  </w:p>
  <w:p w14:paraId="1EE306F2" w14:textId="77777777" w:rsidR="00EC751A" w:rsidRDefault="00EC751A" w:rsidP="00122F5F">
    <w:pPr>
      <w:pStyle w:val="a7"/>
      <w:rPr>
        <w:sz w:val="16"/>
        <w:szCs w:val="16"/>
      </w:rPr>
    </w:pPr>
  </w:p>
  <w:p w14:paraId="068E21B9" w14:textId="77777777" w:rsidR="00EC751A" w:rsidRPr="00122F5F" w:rsidRDefault="00EC751A" w:rsidP="00122F5F">
    <w:pPr>
      <w:pStyle w:val="a7"/>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2C77C0" w14:textId="77777777" w:rsidR="00EC751A" w:rsidRDefault="00174FDB" w:rsidP="00540F02">
    <w:pPr>
      <w:pStyle w:val="a7"/>
    </w:pPr>
    <w:r>
      <w:rPr>
        <w:noProof/>
        <w:lang w:val="ru-RU" w:eastAsia="ru-RU"/>
      </w:rPr>
      <mc:AlternateContent>
        <mc:Choice Requires="wps">
          <w:drawing>
            <wp:anchor distT="0" distB="0" distL="114300" distR="114300" simplePos="0" relativeHeight="251663360" behindDoc="1" locked="0" layoutInCell="1" allowOverlap="1" wp14:anchorId="2C519F3D" wp14:editId="5256A187">
              <wp:simplePos x="0" y="0"/>
              <wp:positionH relativeFrom="page">
                <wp:posOffset>962025</wp:posOffset>
              </wp:positionH>
              <wp:positionV relativeFrom="page">
                <wp:posOffset>947420</wp:posOffset>
              </wp:positionV>
              <wp:extent cx="1998980" cy="229870"/>
              <wp:effectExtent l="0" t="4445" r="1270" b="3810"/>
              <wp:wrapNone/>
              <wp:docPr id="96103312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EFD46" w14:textId="77777777" w:rsidR="00EC751A" w:rsidRPr="00FF1D30" w:rsidRDefault="00174FDB" w:rsidP="00540F02">
                          <w:pPr>
                            <w:pStyle w:val="a7"/>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1E57279F" w14:textId="77777777" w:rsidR="00EC751A" w:rsidRPr="00FF1D30" w:rsidRDefault="00174FDB" w:rsidP="00540F02">
                          <w:pPr>
                            <w:rPr>
                              <w:rFonts w:ascii="Calibri Light" w:hAnsi="Calibri Light" w:cs="Calibri Light"/>
                              <w:sz w:val="12"/>
                              <w:szCs w:val="12"/>
                            </w:rPr>
                          </w:pPr>
                          <w:r w:rsidRPr="00FF1D30">
                            <w:rPr>
                              <w:rFonts w:ascii="Calibri Light" w:hAnsi="Calibri Light" w:cs="Calibri Light"/>
                              <w:sz w:val="12"/>
                              <w:szCs w:val="12"/>
                            </w:rPr>
                            <w:t>Volume 1, Issue 1, 2022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C519F3D" id="_x0000_t202" coordsize="21600,21600" o:spt="202" path="m,l,21600r21600,l21600,xe">
              <v:stroke joinstyle="miter"/>
              <v:path gradientshapeok="t" o:connecttype="rect"/>
            </v:shapetype>
            <v:shape id="Text Box 12" o:spid="_x0000_s1053" type="#_x0000_t202" style="position:absolute;margin-left:75.75pt;margin-top:74.6pt;width:157.4pt;height:18.1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" filled="f" stroked="f">
              <v:textbox inset="0,0,0,0">
                <w:txbxContent>
                  <w:p w14:paraId="114EFD46" w14:textId="77777777" w:rsidR="00EC751A" w:rsidRPr="00FF1D30" w:rsidRDefault="00174FDB" w:rsidP="00540F02">
                    <w:pPr>
                      <w:pStyle w:val="a7"/>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1E57279F" w14:textId="77777777" w:rsidR="00EC751A" w:rsidRPr="00FF1D30" w:rsidRDefault="00174FDB" w:rsidP="00540F02">
                    <w:pPr>
                      <w:rPr>
                        <w:rFonts w:ascii="Calibri Light" w:hAnsi="Calibri Light" w:cs="Calibri Light"/>
                        <w:sz w:val="12"/>
                        <w:szCs w:val="12"/>
                      </w:rPr>
                    </w:pPr>
                    <w:r w:rsidRPr="00FF1D30">
                      <w:rPr>
                        <w:rFonts w:ascii="Calibri Light" w:hAnsi="Calibri Light" w:cs="Calibri Light"/>
                        <w:sz w:val="12"/>
                        <w:szCs w:val="12"/>
                      </w:rPr>
                      <w:t>Volume 1, Issue 1, 2022</w:t>
                    </w:r>
                  </w:p>
                </w:txbxContent>
              </v:textbox>
              <w10:wrap anchorx="page" anchory="page"/>
            </v:shape>
          </w:pict>
        </mc:Fallback>
      </mc:AlternateContent>
    </w:r>
    <w:r>
      <w:rPr>
        <w:noProof/>
        <w:lang w:val="ru-RU" w:eastAsia="ru-RU"/>
      </w:rPr>
      <mc:AlternateContent>
        <mc:Choice Requires="wps">
          <w:drawing>
            <wp:anchor distT="0" distB="0" distL="114300" distR="114300" simplePos="0" relativeHeight="251666432" behindDoc="1" locked="0" layoutInCell="1" allowOverlap="1" wp14:anchorId="607FA4FD" wp14:editId="1BE95BCC">
              <wp:simplePos x="0" y="0"/>
              <wp:positionH relativeFrom="page">
                <wp:posOffset>6464300</wp:posOffset>
              </wp:positionH>
              <wp:positionV relativeFrom="page">
                <wp:posOffset>467360</wp:posOffset>
              </wp:positionV>
              <wp:extent cx="231775" cy="177800"/>
              <wp:effectExtent l="0" t="635" r="0" b="2540"/>
              <wp:wrapNone/>
              <wp:docPr id="385239534"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C5DE06" w14:textId="5EAC8477" w:rsidR="00EC751A" w:rsidRPr="00540F02" w:rsidRDefault="00174FDB" w:rsidP="0008220C">
                          <w:pPr>
                            <w:pStyle w:val="a5"/>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00FA1BC1">
                            <w:rPr>
                              <w:rFonts w:ascii="Calibri Light" w:hAnsi="Calibri Light" w:cs="Calibri Light"/>
                              <w:noProof/>
                            </w:rPr>
                            <w:t>17</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7FA4FD" id="Text Box 13" o:spid="_x0000_s1054" type="#_x0000_t202" style="position:absolute;margin-left:509pt;margin-top:36.8pt;width:18.25pt;height:14pt;z-index:-25165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" filled="f" stroked="f">
              <v:textbox inset="0,0,0,0">
                <w:txbxContent>
                  <w:p w14:paraId="26C5DE06" w14:textId="5EAC8477" w:rsidR="00EC751A" w:rsidRPr="00540F02" w:rsidRDefault="00174FDB" w:rsidP="0008220C">
                    <w:pPr>
                      <w:pStyle w:val="a5"/>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00FA1BC1">
                      <w:rPr>
                        <w:rFonts w:ascii="Calibri Light" w:hAnsi="Calibri Light" w:cs="Calibri Light"/>
                        <w:noProof/>
                      </w:rPr>
                      <w:t>17</w:t>
                    </w:r>
                    <w:r w:rsidRPr="00540F02">
                      <w:rPr>
                        <w:rFonts w:ascii="Calibri Light" w:hAnsi="Calibri Light" w:cs="Calibri Light"/>
                      </w:rPr>
                      <w:fldChar w:fldCharType="end"/>
                    </w:r>
                  </w:p>
                </w:txbxContent>
              </v:textbox>
              <w10:wrap anchorx="page" anchory="page"/>
            </v:shape>
          </w:pict>
        </mc:Fallback>
      </mc:AlternateContent>
    </w:r>
    <w:r>
      <w:rPr>
        <w:noProof/>
        <w:lang w:val="ru-RU" w:eastAsia="ru-RU"/>
      </w:rPr>
      <w:drawing>
        <wp:inline distT="0" distB="0" distL="0" distR="0" wp14:anchorId="62736B70" wp14:editId="00ED88B9">
          <wp:extent cx="1092835" cy="510540"/>
          <wp:effectExtent l="0" t="0" r="0" b="0"/>
          <wp:docPr id="1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835" cy="510540"/>
                  </a:xfrm>
                  <a:prstGeom prst="rect">
                    <a:avLst/>
                  </a:prstGeom>
                  <a:noFill/>
                  <a:ln>
                    <a:noFill/>
                  </a:ln>
                </pic:spPr>
              </pic:pic>
            </a:graphicData>
          </a:graphic>
        </wp:inline>
      </w:drawing>
    </w:r>
  </w:p>
  <w:p w14:paraId="63FABC9E" w14:textId="77777777" w:rsidR="00EC751A" w:rsidRDefault="00EC751A" w:rsidP="00540F02">
    <w:pPr>
      <w:pStyle w:val="a7"/>
      <w:rPr>
        <w:sz w:val="16"/>
        <w:szCs w:val="16"/>
      </w:rPr>
    </w:pPr>
  </w:p>
  <w:p w14:paraId="2522D842" w14:textId="77777777" w:rsidR="00EC751A" w:rsidRDefault="00EC751A" w:rsidP="00540F02">
    <w:pPr>
      <w:pStyle w:val="a7"/>
      <w:rPr>
        <w:sz w:val="16"/>
        <w:szCs w:val="16"/>
      </w:rPr>
    </w:pPr>
  </w:p>
  <w:p w14:paraId="44CF342B" w14:textId="77777777" w:rsidR="00EC751A" w:rsidRPr="00540F02" w:rsidRDefault="00EC751A" w:rsidP="00540F02">
    <w:pPr>
      <w:pStyle w:val="a7"/>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BD8583" w14:textId="77777777" w:rsidR="00EC751A" w:rsidRDefault="00174FDB">
    <w:pPr>
      <w:pStyle w:val="a7"/>
    </w:pPr>
    <w:r>
      <w:rPr>
        <w:noProof/>
        <w:lang w:val="ru-RU" w:eastAsia="ru-RU"/>
      </w:rPr>
      <mc:AlternateContent>
        <mc:Choice Requires="wps">
          <w:drawing>
            <wp:anchor distT="0" distB="0" distL="114300" distR="114300" simplePos="0" relativeHeight="251659264" behindDoc="1" locked="0" layoutInCell="1" allowOverlap="1" wp14:anchorId="3AAF9842" wp14:editId="7D70F450">
              <wp:simplePos x="0" y="0"/>
              <wp:positionH relativeFrom="page">
                <wp:posOffset>942975</wp:posOffset>
              </wp:positionH>
              <wp:positionV relativeFrom="page">
                <wp:posOffset>947420</wp:posOffset>
              </wp:positionV>
              <wp:extent cx="1998980" cy="229870"/>
              <wp:effectExtent l="0" t="4445" r="1270" b="3810"/>
              <wp:wrapNone/>
              <wp:docPr id="1160008216"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BE1456" w14:textId="77777777" w:rsidR="00EC751A" w:rsidRPr="00FF1D30" w:rsidRDefault="00174FDB" w:rsidP="00FF1D30">
                          <w:pPr>
                            <w:pStyle w:val="a7"/>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0B1EE5F6" w14:textId="77777777" w:rsidR="00EC751A" w:rsidRPr="00FF1D30" w:rsidRDefault="00174FDB" w:rsidP="00FF1D30">
                          <w:pPr>
                            <w:rPr>
                              <w:rFonts w:ascii="Calibri Light" w:hAnsi="Calibri Light" w:cs="Calibri Light"/>
                              <w:sz w:val="12"/>
                              <w:szCs w:val="12"/>
                            </w:rPr>
                          </w:pPr>
                          <w:r w:rsidRPr="00FF1D30">
                            <w:rPr>
                              <w:rFonts w:ascii="Calibri Light" w:hAnsi="Calibri Light" w:cs="Calibri Light"/>
                              <w:sz w:val="12"/>
                              <w:szCs w:val="12"/>
                            </w:rPr>
                            <w:t>Volume 1, Issue 1, 2022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AAF9842" id="_x0000_t202" coordsize="21600,21600" o:spt="202" path="m,l,21600r21600,l21600,xe">
              <v:stroke joinstyle="miter"/>
              <v:path gradientshapeok="t" o:connecttype="rect"/>
            </v:shapetype>
            <v:shape id="Text Box 16" o:spid="_x0000_s1057" type="#_x0000_t202" style="position:absolute;margin-left:74.25pt;margin-top:74.6pt;width:157.4pt;height:18.1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" filled="f" stroked="f">
              <v:textbox inset="0,0,0,0">
                <w:txbxContent>
                  <w:p w14:paraId="04BE1456" w14:textId="77777777" w:rsidR="00EC751A" w:rsidRPr="00FF1D30" w:rsidRDefault="00174FDB" w:rsidP="00FF1D30">
                    <w:pPr>
                      <w:pStyle w:val="a7"/>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0B1EE5F6" w14:textId="77777777" w:rsidR="00EC751A" w:rsidRPr="00FF1D30" w:rsidRDefault="00174FDB" w:rsidP="00FF1D30">
                    <w:pPr>
                      <w:rPr>
                        <w:rFonts w:ascii="Calibri Light" w:hAnsi="Calibri Light" w:cs="Calibri Light"/>
                        <w:sz w:val="12"/>
                        <w:szCs w:val="12"/>
                      </w:rPr>
                    </w:pPr>
                    <w:r w:rsidRPr="00FF1D30">
                      <w:rPr>
                        <w:rFonts w:ascii="Calibri Light" w:hAnsi="Calibri Light" w:cs="Calibri Light"/>
                        <w:sz w:val="12"/>
                        <w:szCs w:val="12"/>
                      </w:rPr>
                      <w:t>Volume 1, Issue 1, 2022</w:t>
                    </w:r>
                  </w:p>
                </w:txbxContent>
              </v:textbox>
              <w10:wrap anchorx="page" anchory="page"/>
            </v:shape>
          </w:pict>
        </mc:Fallback>
      </mc:AlternateContent>
    </w:r>
    <w:r>
      <w:rPr>
        <w:noProof/>
        <w:lang w:val="ru-RU" w:eastAsia="ru-RU"/>
      </w:rPr>
      <mc:AlternateContent>
        <mc:Choice Requires="wps">
          <w:drawing>
            <wp:anchor distT="0" distB="0" distL="114300" distR="114300" simplePos="0" relativeHeight="251664384" behindDoc="1" locked="0" layoutInCell="1" allowOverlap="1" wp14:anchorId="7159A72E" wp14:editId="176F9529">
              <wp:simplePos x="0" y="0"/>
              <wp:positionH relativeFrom="page">
                <wp:posOffset>6464300</wp:posOffset>
              </wp:positionH>
              <wp:positionV relativeFrom="page">
                <wp:posOffset>439420</wp:posOffset>
              </wp:positionV>
              <wp:extent cx="231775" cy="177800"/>
              <wp:effectExtent l="0" t="1270" r="0" b="1905"/>
              <wp:wrapNone/>
              <wp:docPr id="2147057709"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122AF1" w14:textId="79FCFDAC" w:rsidR="00EC751A" w:rsidRPr="00540F02" w:rsidRDefault="00174FDB" w:rsidP="00540F02">
                          <w:pPr>
                            <w:pStyle w:val="a5"/>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00FA1BC1">
                            <w:rPr>
                              <w:rFonts w:ascii="Calibri Light" w:hAnsi="Calibri Light" w:cs="Calibri Light"/>
                              <w:noProof/>
                            </w:rPr>
                            <w:t>1</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59A72E" id="Text Box 17" o:spid="_x0000_s1058" type="#_x0000_t202" style="position:absolute;margin-left:509pt;margin-top:34.6pt;width:18.25pt;height:14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" filled="f" stroked="f">
              <v:textbox inset="0,0,0,0">
                <w:txbxContent>
                  <w:p w14:paraId="3D122AF1" w14:textId="79FCFDAC" w:rsidR="00EC751A" w:rsidRPr="00540F02" w:rsidRDefault="00174FDB" w:rsidP="00540F02">
                    <w:pPr>
                      <w:pStyle w:val="a5"/>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00FA1BC1">
                      <w:rPr>
                        <w:rFonts w:ascii="Calibri Light" w:hAnsi="Calibri Light" w:cs="Calibri Light"/>
                        <w:noProof/>
                      </w:rPr>
                      <w:t>1</w:t>
                    </w:r>
                    <w:r w:rsidRPr="00540F02">
                      <w:rPr>
                        <w:rFonts w:ascii="Calibri Light" w:hAnsi="Calibri Light" w:cs="Calibri Light"/>
                      </w:rPr>
                      <w:fldChar w:fldCharType="end"/>
                    </w:r>
                  </w:p>
                </w:txbxContent>
              </v:textbox>
              <w10:wrap anchorx="page" anchory="page"/>
            </v:shape>
          </w:pict>
        </mc:Fallback>
      </mc:AlternateContent>
    </w:r>
    <w:r>
      <w:rPr>
        <w:noProof/>
        <w:lang w:val="ru-RU" w:eastAsia="ru-RU"/>
      </w:rPr>
      <w:drawing>
        <wp:inline distT="0" distB="0" distL="0" distR="0" wp14:anchorId="2EBA0CB4" wp14:editId="328621D2">
          <wp:extent cx="1092835" cy="510540"/>
          <wp:effectExtent l="0" t="0" r="0" b="0"/>
          <wp:docPr id="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835" cy="510540"/>
                  </a:xfrm>
                  <a:prstGeom prst="rect">
                    <a:avLst/>
                  </a:prstGeom>
                  <a:noFill/>
                  <a:ln>
                    <a:noFill/>
                  </a:ln>
                </pic:spPr>
              </pic:pic>
            </a:graphicData>
          </a:graphic>
        </wp:inline>
      </w:drawing>
    </w:r>
  </w:p>
  <w:p w14:paraId="76B7F8A2" w14:textId="77777777" w:rsidR="00EC751A" w:rsidRDefault="00EC751A">
    <w:pPr>
      <w:pStyle w:val="a7"/>
      <w:rPr>
        <w:sz w:val="16"/>
        <w:szCs w:val="16"/>
      </w:rPr>
    </w:pPr>
  </w:p>
  <w:p w14:paraId="0ACA5D69" w14:textId="77777777" w:rsidR="00EC751A" w:rsidRDefault="00EC751A">
    <w:pPr>
      <w:pStyle w:val="a7"/>
      <w:rPr>
        <w:sz w:val="16"/>
        <w:szCs w:val="16"/>
      </w:rPr>
    </w:pPr>
  </w:p>
  <w:p w14:paraId="106E30AE" w14:textId="77777777" w:rsidR="00EC751A" w:rsidRPr="00FF1D30" w:rsidRDefault="00EC751A">
    <w:pPr>
      <w:pStyle w:val="a7"/>
      <w:rPr>
        <w:sz w:val="16"/>
        <w:szCs w:val="16"/>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F907360"/>
    <w:multiLevelType w:val="multilevel"/>
    <w:tmpl w:val="FFFFFFFF"/>
    <w:lvl w:ilvl="0">
      <w:start w:val="1"/>
      <w:numFmt w:val="decimal"/>
      <w:lvlText w:val="%1."/>
      <w:lvlJc w:val="left"/>
      <w:pPr>
        <w:ind w:left="720" w:hanging="360"/>
      </w:pPr>
      <w:rPr>
        <w:rFonts w:cs="Times New Roman" w:hint="default"/>
      </w:rPr>
    </w:lvl>
    <w:lvl w:ilvl="1">
      <w:start w:val="1"/>
      <w:numFmt w:val="decimal"/>
      <w:isLgl/>
      <w:lvlText w:val="%1.%2."/>
      <w:lvlJc w:val="left"/>
      <w:pPr>
        <w:ind w:left="928"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1" w15:restartNumberingAfterBreak="0">
    <w:nsid w:val="338232BE"/>
    <w:multiLevelType w:val="multilevel"/>
    <w:tmpl w:val="FFFFFFFF"/>
    <w:lvl w:ilvl="0">
      <w:start w:val="1"/>
      <w:numFmt w:val="decimal"/>
      <w:lvlText w:val="%1."/>
      <w:lvlJc w:val="left"/>
      <w:pPr>
        <w:ind w:left="720" w:hanging="360"/>
      </w:pPr>
      <w:rPr>
        <w:rFonts w:cs="Times New Roman" w:hint="default"/>
      </w:rPr>
    </w:lvl>
    <w:lvl w:ilvl="1">
      <w:start w:val="1"/>
      <w:numFmt w:val="decimal"/>
      <w:isLgl/>
      <w:lvlText w:val="%1.%2."/>
      <w:lvlJc w:val="left"/>
      <w:pPr>
        <w:ind w:left="928"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2" w15:restartNumberingAfterBreak="0">
    <w:nsid w:val="7B931A0E"/>
    <w:multiLevelType w:val="hybridMultilevel"/>
    <w:tmpl w:val="FFFFFFFF"/>
    <w:lvl w:ilvl="0" w:tplc="AF447402">
      <w:start w:val="1"/>
      <w:numFmt w:val="decimal"/>
      <w:lvlText w:val="[%1]"/>
      <w:lvlJc w:val="left"/>
      <w:pPr>
        <w:ind w:left="1162" w:hanging="360"/>
      </w:pPr>
      <w:rPr>
        <w:rFonts w:cs="Times New Roman" w:hint="default"/>
      </w:rPr>
    </w:lvl>
    <w:lvl w:ilvl="1" w:tplc="04190019" w:tentative="1">
      <w:start w:val="1"/>
      <w:numFmt w:val="lowerLetter"/>
      <w:lvlText w:val="%2."/>
      <w:lvlJc w:val="left"/>
      <w:pPr>
        <w:ind w:left="1882" w:hanging="360"/>
      </w:pPr>
      <w:rPr>
        <w:rFonts w:cs="Times New Roman"/>
      </w:rPr>
    </w:lvl>
    <w:lvl w:ilvl="2" w:tplc="0419001B" w:tentative="1">
      <w:start w:val="1"/>
      <w:numFmt w:val="lowerRoman"/>
      <w:lvlText w:val="%3."/>
      <w:lvlJc w:val="right"/>
      <w:pPr>
        <w:ind w:left="2602" w:hanging="180"/>
      </w:pPr>
      <w:rPr>
        <w:rFonts w:cs="Times New Roman"/>
      </w:rPr>
    </w:lvl>
    <w:lvl w:ilvl="3" w:tplc="0419000F" w:tentative="1">
      <w:start w:val="1"/>
      <w:numFmt w:val="decimal"/>
      <w:lvlText w:val="%4."/>
      <w:lvlJc w:val="left"/>
      <w:pPr>
        <w:ind w:left="3322" w:hanging="360"/>
      </w:pPr>
      <w:rPr>
        <w:rFonts w:cs="Times New Roman"/>
      </w:rPr>
    </w:lvl>
    <w:lvl w:ilvl="4" w:tplc="04190019" w:tentative="1">
      <w:start w:val="1"/>
      <w:numFmt w:val="lowerLetter"/>
      <w:lvlText w:val="%5."/>
      <w:lvlJc w:val="left"/>
      <w:pPr>
        <w:ind w:left="4042" w:hanging="360"/>
      </w:pPr>
      <w:rPr>
        <w:rFonts w:cs="Times New Roman"/>
      </w:rPr>
    </w:lvl>
    <w:lvl w:ilvl="5" w:tplc="0419001B" w:tentative="1">
      <w:start w:val="1"/>
      <w:numFmt w:val="lowerRoman"/>
      <w:lvlText w:val="%6."/>
      <w:lvlJc w:val="right"/>
      <w:pPr>
        <w:ind w:left="4762" w:hanging="180"/>
      </w:pPr>
      <w:rPr>
        <w:rFonts w:cs="Times New Roman"/>
      </w:rPr>
    </w:lvl>
    <w:lvl w:ilvl="6" w:tplc="0419000F" w:tentative="1">
      <w:start w:val="1"/>
      <w:numFmt w:val="decimal"/>
      <w:lvlText w:val="%7."/>
      <w:lvlJc w:val="left"/>
      <w:pPr>
        <w:ind w:left="5482" w:hanging="360"/>
      </w:pPr>
      <w:rPr>
        <w:rFonts w:cs="Times New Roman"/>
      </w:rPr>
    </w:lvl>
    <w:lvl w:ilvl="7" w:tplc="04190019" w:tentative="1">
      <w:start w:val="1"/>
      <w:numFmt w:val="lowerLetter"/>
      <w:lvlText w:val="%8."/>
      <w:lvlJc w:val="left"/>
      <w:pPr>
        <w:ind w:left="6202" w:hanging="360"/>
      </w:pPr>
      <w:rPr>
        <w:rFonts w:cs="Times New Roman"/>
      </w:rPr>
    </w:lvl>
    <w:lvl w:ilvl="8" w:tplc="0419001B" w:tentative="1">
      <w:start w:val="1"/>
      <w:numFmt w:val="lowerRoman"/>
      <w:lvlText w:val="%9."/>
      <w:lvlJc w:val="right"/>
      <w:pPr>
        <w:ind w:left="6922" w:hanging="180"/>
      </w:pPr>
      <w:rPr>
        <w:rFonts w:cs="Times New Roman"/>
      </w:rPr>
    </w:lvl>
  </w:abstractNum>
  <w:abstractNum w:abstractNumId="3" w15:restartNumberingAfterBreak="0">
    <w:nsid w:val="7CC85296"/>
    <w:multiLevelType w:val="hybridMultilevel"/>
    <w:tmpl w:val="FFFFFFFF"/>
    <w:lvl w:ilvl="0" w:tplc="04210013">
      <w:start w:val="1"/>
      <w:numFmt w:val="upperRoman"/>
      <w:lvlText w:val="%1."/>
      <w:lvlJc w:val="right"/>
      <w:pPr>
        <w:ind w:left="360" w:hanging="360"/>
      </w:pPr>
      <w:rPr>
        <w:rFonts w:cs="Times New Roman"/>
      </w:rPr>
    </w:lvl>
    <w:lvl w:ilvl="1" w:tplc="04210019" w:tentative="1">
      <w:start w:val="1"/>
      <w:numFmt w:val="lowerLetter"/>
      <w:lvlText w:val="%2."/>
      <w:lvlJc w:val="left"/>
      <w:pPr>
        <w:ind w:left="2149" w:hanging="360"/>
      </w:pPr>
      <w:rPr>
        <w:rFonts w:cs="Times New Roman"/>
      </w:rPr>
    </w:lvl>
    <w:lvl w:ilvl="2" w:tplc="0421001B" w:tentative="1">
      <w:start w:val="1"/>
      <w:numFmt w:val="lowerRoman"/>
      <w:lvlText w:val="%3."/>
      <w:lvlJc w:val="right"/>
      <w:pPr>
        <w:ind w:left="2869" w:hanging="180"/>
      </w:pPr>
      <w:rPr>
        <w:rFonts w:cs="Times New Roman"/>
      </w:rPr>
    </w:lvl>
    <w:lvl w:ilvl="3" w:tplc="0421000F" w:tentative="1">
      <w:start w:val="1"/>
      <w:numFmt w:val="decimal"/>
      <w:lvlText w:val="%4."/>
      <w:lvlJc w:val="left"/>
      <w:pPr>
        <w:ind w:left="3589" w:hanging="360"/>
      </w:pPr>
      <w:rPr>
        <w:rFonts w:cs="Times New Roman"/>
      </w:rPr>
    </w:lvl>
    <w:lvl w:ilvl="4" w:tplc="04210019" w:tentative="1">
      <w:start w:val="1"/>
      <w:numFmt w:val="lowerLetter"/>
      <w:lvlText w:val="%5."/>
      <w:lvlJc w:val="left"/>
      <w:pPr>
        <w:ind w:left="4309" w:hanging="360"/>
      </w:pPr>
      <w:rPr>
        <w:rFonts w:cs="Times New Roman"/>
      </w:rPr>
    </w:lvl>
    <w:lvl w:ilvl="5" w:tplc="0421001B" w:tentative="1">
      <w:start w:val="1"/>
      <w:numFmt w:val="lowerRoman"/>
      <w:lvlText w:val="%6."/>
      <w:lvlJc w:val="right"/>
      <w:pPr>
        <w:ind w:left="5029" w:hanging="180"/>
      </w:pPr>
      <w:rPr>
        <w:rFonts w:cs="Times New Roman"/>
      </w:rPr>
    </w:lvl>
    <w:lvl w:ilvl="6" w:tplc="0421000F" w:tentative="1">
      <w:start w:val="1"/>
      <w:numFmt w:val="decimal"/>
      <w:lvlText w:val="%7."/>
      <w:lvlJc w:val="left"/>
      <w:pPr>
        <w:ind w:left="5749" w:hanging="360"/>
      </w:pPr>
      <w:rPr>
        <w:rFonts w:cs="Times New Roman"/>
      </w:rPr>
    </w:lvl>
    <w:lvl w:ilvl="7" w:tplc="04210019" w:tentative="1">
      <w:start w:val="1"/>
      <w:numFmt w:val="lowerLetter"/>
      <w:lvlText w:val="%8."/>
      <w:lvlJc w:val="left"/>
      <w:pPr>
        <w:ind w:left="6469" w:hanging="360"/>
      </w:pPr>
      <w:rPr>
        <w:rFonts w:cs="Times New Roman"/>
      </w:rPr>
    </w:lvl>
    <w:lvl w:ilvl="8" w:tplc="0421001B" w:tentative="1">
      <w:start w:val="1"/>
      <w:numFmt w:val="lowerRoman"/>
      <w:lvlText w:val="%9."/>
      <w:lvlJc w:val="right"/>
      <w:pPr>
        <w:ind w:left="7189" w:hanging="180"/>
      </w:pPr>
      <w:rPr>
        <w:rFonts w:cs="Times New Roman"/>
      </w:rPr>
    </w:lvl>
  </w:abstractNum>
  <w:num w:numId="1">
    <w:abstractNumId w:val="3"/>
  </w:num>
  <w:num w:numId="2">
    <w:abstractNumId w:val="1"/>
  </w:num>
  <w:num w:numId="3">
    <w:abstractNumId w:val="0"/>
  </w:num>
  <w:num w:numId="4">
    <w:abstractNumId w:val="2"/>
  </w:num>
</w:numbering>
</file>

<file path=word/people.xml><?xml version="1.0" encoding="utf-8"?>
<w15:people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A">
    <w15:presenceInfo w15:providerId="None" w15:userId="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3097C"/>
    <w:rsid w:val="001653A9"/>
    <w:rsid w:val="00174FDB"/>
    <w:rsid w:val="00296D4D"/>
    <w:rsid w:val="002B6969"/>
    <w:rsid w:val="00777941"/>
    <w:rsid w:val="007A40EC"/>
    <w:rsid w:val="00881993"/>
    <w:rsid w:val="00A94035"/>
    <w:rsid w:val="00C10BD5"/>
    <w:rsid w:val="00E3097C"/>
    <w:rsid w:val="00EC751A"/>
    <w:rsid w:val="00FA1BC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FBE9670"/>
  <w15:chartTrackingRefBased/>
  <w15:docId w15:val="{FF637E76-963A-8847-AE45-331BF28440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4"/>
        <w:szCs w:val="24"/>
        <w:lang w:val="ru-RU" w:eastAsia="en-US" w:bidi="ar-SA"/>
        <w14:ligatures w14:val="standardContextual"/>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3097C"/>
    <w:pPr>
      <w:autoSpaceDE w:val="0"/>
      <w:autoSpaceDN w:val="0"/>
    </w:pPr>
    <w:rPr>
      <w:rFonts w:ascii="Times New Roman" w:eastAsia="Times New Roman" w:hAnsi="Times New Roman" w:cs="Times New Roman"/>
      <w:kern w:val="0"/>
      <w:sz w:val="20"/>
      <w:szCs w:val="20"/>
      <w:lang w:val="en-US" w:eastAsia="en-GB"/>
      <w14:ligatures w14:val="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rsid w:val="00E3097C"/>
    <w:pPr>
      <w:tabs>
        <w:tab w:val="center" w:pos="4320"/>
        <w:tab w:val="right" w:pos="8640"/>
      </w:tabs>
    </w:pPr>
  </w:style>
  <w:style w:type="character" w:customStyle="1" w:styleId="a4">
    <w:name w:val="Нижний колонтитул Знак"/>
    <w:basedOn w:val="a0"/>
    <w:link w:val="a3"/>
    <w:uiPriority w:val="99"/>
    <w:rsid w:val="00E3097C"/>
    <w:rPr>
      <w:rFonts w:ascii="Times New Roman" w:eastAsia="Times New Roman" w:hAnsi="Times New Roman" w:cs="Times New Roman"/>
      <w:kern w:val="0"/>
      <w:sz w:val="20"/>
      <w:szCs w:val="20"/>
      <w:lang w:val="en-US" w:eastAsia="en-GB"/>
      <w14:ligatures w14:val="none"/>
    </w:rPr>
  </w:style>
  <w:style w:type="paragraph" w:styleId="a5">
    <w:name w:val="Body Text"/>
    <w:basedOn w:val="a"/>
    <w:link w:val="a6"/>
    <w:uiPriority w:val="1"/>
    <w:qFormat/>
    <w:rsid w:val="00E3097C"/>
    <w:pPr>
      <w:spacing w:after="120"/>
    </w:pPr>
  </w:style>
  <w:style w:type="character" w:customStyle="1" w:styleId="a6">
    <w:name w:val="Основной текст Знак"/>
    <w:basedOn w:val="a0"/>
    <w:link w:val="a5"/>
    <w:uiPriority w:val="1"/>
    <w:rsid w:val="00E3097C"/>
    <w:rPr>
      <w:rFonts w:ascii="Times New Roman" w:eastAsia="Times New Roman" w:hAnsi="Times New Roman" w:cs="Times New Roman"/>
      <w:kern w:val="0"/>
      <w:sz w:val="20"/>
      <w:szCs w:val="20"/>
      <w:lang w:val="en-US" w:eastAsia="en-GB"/>
      <w14:ligatures w14:val="none"/>
    </w:rPr>
  </w:style>
  <w:style w:type="paragraph" w:styleId="a7">
    <w:name w:val="header"/>
    <w:basedOn w:val="a"/>
    <w:link w:val="a8"/>
    <w:uiPriority w:val="99"/>
    <w:unhideWhenUsed/>
    <w:rsid w:val="00E3097C"/>
    <w:pPr>
      <w:tabs>
        <w:tab w:val="center" w:pos="4680"/>
        <w:tab w:val="right" w:pos="9360"/>
      </w:tabs>
    </w:pPr>
  </w:style>
  <w:style w:type="character" w:customStyle="1" w:styleId="a8">
    <w:name w:val="Верхний колонтитул Знак"/>
    <w:basedOn w:val="a0"/>
    <w:link w:val="a7"/>
    <w:uiPriority w:val="99"/>
    <w:rsid w:val="00E3097C"/>
    <w:rPr>
      <w:rFonts w:ascii="Times New Roman" w:eastAsia="Times New Roman" w:hAnsi="Times New Roman" w:cs="Times New Roman"/>
      <w:kern w:val="0"/>
      <w:sz w:val="20"/>
      <w:szCs w:val="20"/>
      <w:lang w:val="en-US" w:eastAsia="en-GB"/>
      <w14:ligatures w14:val="none"/>
    </w:rPr>
  </w:style>
  <w:style w:type="character" w:styleId="a9">
    <w:name w:val="Hyperlink"/>
    <w:basedOn w:val="a0"/>
    <w:uiPriority w:val="99"/>
    <w:rsid w:val="00E3097C"/>
    <w:rPr>
      <w:rFonts w:cs="Times New Roman"/>
      <w:color w:val="0000FF"/>
      <w:u w:val="single"/>
    </w:rPr>
  </w:style>
  <w:style w:type="table" w:styleId="aa">
    <w:name w:val="Table Grid"/>
    <w:basedOn w:val="a1"/>
    <w:uiPriority w:val="99"/>
    <w:rsid w:val="00E3097C"/>
    <w:rPr>
      <w:rFonts w:ascii="Times New Roman" w:eastAsia="Times New Roman" w:hAnsi="Times New Roman" w:cs="Times New Roman"/>
      <w:kern w:val="0"/>
      <w:sz w:val="20"/>
      <w:szCs w:val="20"/>
      <w:lang w:val="en-US"/>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b">
    <w:name w:val="List Paragraph"/>
    <w:aliases w:val="Body of text"/>
    <w:basedOn w:val="a"/>
    <w:link w:val="ac"/>
    <w:uiPriority w:val="34"/>
    <w:qFormat/>
    <w:rsid w:val="00E3097C"/>
    <w:pPr>
      <w:autoSpaceDE/>
      <w:autoSpaceDN/>
      <w:spacing w:after="200" w:line="276" w:lineRule="auto"/>
      <w:ind w:left="720"/>
      <w:contextualSpacing/>
    </w:pPr>
    <w:rPr>
      <w:rFonts w:ascii="Calibri" w:hAnsi="Calibri"/>
      <w:noProof/>
      <w:sz w:val="22"/>
      <w:lang w:val="id-ID" w:eastAsia="id-ID"/>
    </w:rPr>
  </w:style>
  <w:style w:type="character" w:customStyle="1" w:styleId="ac">
    <w:name w:val="Абзац списка Знак"/>
    <w:aliases w:val="Body of text Знак"/>
    <w:link w:val="ab"/>
    <w:uiPriority w:val="34"/>
    <w:locked/>
    <w:rsid w:val="00E3097C"/>
    <w:rPr>
      <w:rFonts w:ascii="Calibri" w:eastAsia="Times New Roman" w:hAnsi="Calibri" w:cs="Times New Roman"/>
      <w:noProof/>
      <w:kern w:val="0"/>
      <w:sz w:val="22"/>
      <w:szCs w:val="20"/>
      <w:lang w:val="id-ID" w:eastAsia="id-ID"/>
      <w14:ligatures w14:val="none"/>
    </w:rPr>
  </w:style>
  <w:style w:type="character" w:customStyle="1" w:styleId="shorttext">
    <w:name w:val="short_text"/>
    <w:rsid w:val="00E3097C"/>
  </w:style>
  <w:style w:type="character" w:styleId="ad">
    <w:name w:val="annotation reference"/>
    <w:basedOn w:val="a0"/>
    <w:uiPriority w:val="99"/>
    <w:rsid w:val="00E3097C"/>
    <w:rPr>
      <w:sz w:val="16"/>
      <w:szCs w:val="16"/>
    </w:rPr>
  </w:style>
  <w:style w:type="paragraph" w:styleId="ae">
    <w:name w:val="annotation text"/>
    <w:basedOn w:val="a"/>
    <w:link w:val="af"/>
    <w:uiPriority w:val="99"/>
    <w:rsid w:val="00E3097C"/>
  </w:style>
  <w:style w:type="character" w:customStyle="1" w:styleId="af">
    <w:name w:val="Текст примечания Знак"/>
    <w:basedOn w:val="a0"/>
    <w:link w:val="ae"/>
    <w:uiPriority w:val="99"/>
    <w:rsid w:val="00E3097C"/>
    <w:rPr>
      <w:rFonts w:ascii="Times New Roman" w:eastAsia="Times New Roman" w:hAnsi="Times New Roman" w:cs="Times New Roman"/>
      <w:kern w:val="0"/>
      <w:sz w:val="20"/>
      <w:szCs w:val="20"/>
      <w:lang w:val="en-US" w:eastAsia="en-GB"/>
      <w14:ligatures w14:val="none"/>
    </w:rPr>
  </w:style>
  <w:style w:type="character" w:customStyle="1" w:styleId="apple-converted-space">
    <w:name w:val="apple-converted-space"/>
    <w:basedOn w:val="a0"/>
    <w:rsid w:val="00E3097C"/>
  </w:style>
  <w:style w:type="paragraph" w:styleId="af0">
    <w:name w:val="Balloon Text"/>
    <w:basedOn w:val="a"/>
    <w:link w:val="af1"/>
    <w:uiPriority w:val="99"/>
    <w:semiHidden/>
    <w:unhideWhenUsed/>
    <w:rsid w:val="00A94035"/>
    <w:rPr>
      <w:rFonts w:ascii="Segoe UI" w:hAnsi="Segoe UI" w:cs="Segoe UI"/>
      <w:sz w:val="18"/>
      <w:szCs w:val="18"/>
    </w:rPr>
  </w:style>
  <w:style w:type="character" w:customStyle="1" w:styleId="af1">
    <w:name w:val="Текст выноски Знак"/>
    <w:basedOn w:val="a0"/>
    <w:link w:val="af0"/>
    <w:uiPriority w:val="99"/>
    <w:semiHidden/>
    <w:rsid w:val="00A94035"/>
    <w:rPr>
      <w:rFonts w:ascii="Segoe UI" w:eastAsia="Times New Roman" w:hAnsi="Segoe UI" w:cs="Segoe UI"/>
      <w:kern w:val="0"/>
      <w:sz w:val="18"/>
      <w:szCs w:val="18"/>
      <w:lang w:val="en-US" w:eastAsia="en-GB"/>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04730384">
      <w:bodyDiv w:val="1"/>
      <w:marLeft w:val="0"/>
      <w:marRight w:val="0"/>
      <w:marTop w:val="0"/>
      <w:marBottom w:val="0"/>
      <w:divBdr>
        <w:top w:val="none" w:sz="0" w:space="0" w:color="auto"/>
        <w:left w:val="none" w:sz="0" w:space="0" w:color="auto"/>
        <w:bottom w:val="none" w:sz="0" w:space="0" w:color="auto"/>
        <w:right w:val="none" w:sz="0" w:space="0" w:color="auto"/>
      </w:divBdr>
    </w:div>
    <w:div w:id="11962323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s://doi.org/10.1016/j.eap.2020.07.008" TargetMode="External"/><Relationship Id="rId21" Type="http://schemas.openxmlformats.org/officeDocument/2006/relationships/hyperlink" Target="https://lbsherald.org/index.php/journal/article/view/62" TargetMode="External"/><Relationship Id="rId42" Type="http://schemas.openxmlformats.org/officeDocument/2006/relationships/hyperlink" Target="https://www.npsa.gov.uk/national-security-act-2023-and-prohibited-places" TargetMode="External"/><Relationship Id="rId47" Type="http://schemas.openxmlformats.org/officeDocument/2006/relationships/hyperlink" Target="https://doi.org/10.15804/ppsy202209" TargetMode="External"/><Relationship Id="rId63" Type="http://schemas.openxmlformats.org/officeDocument/2006/relationships/hyperlink" Target="https://ideas.repec.org/a/asr/journl/v9y2019ispecialp117-126.html" TargetMode="External"/><Relationship Id="rId68" Type="http://schemas.openxmlformats.org/officeDocument/2006/relationships/footer" Target="footer1.xml"/><Relationship Id="rId16" Type="http://schemas.openxmlformats.org/officeDocument/2006/relationships/hyperlink" Target="https://creativecommons.org/licenses/by/4.0/" TargetMode="External"/><Relationship Id="rId11" Type="http://schemas.openxmlformats.org/officeDocument/2006/relationships/hyperlink" Target="mailto:kafedra5@i.ua" TargetMode="External"/><Relationship Id="rId24" Type="http://schemas.openxmlformats.org/officeDocument/2006/relationships/hyperlink" Target="https://doi.org/10.1177/09636625211001555" TargetMode="External"/><Relationship Id="rId32" Type="http://schemas.openxmlformats.org/officeDocument/2006/relationships/hyperlink" Target="https://doi.org/10.35808/ijeba/457" TargetMode="External"/><Relationship Id="rId37" Type="http://schemas.openxmlformats.org/officeDocument/2006/relationships/hyperlink" Target="https://doi.org/10.3390/systems10050132" TargetMode="External"/><Relationship Id="rId40" Type="http://schemas.openxmlformats.org/officeDocument/2006/relationships/hyperlink" Target="https://doi.org/10.57125/FP.2024.12.30.06" TargetMode="External"/><Relationship Id="rId45" Type="http://schemas.openxmlformats.org/officeDocument/2006/relationships/hyperlink" Target="https://doi.org/10.1007/s40803-021-00151-9" TargetMode="External"/><Relationship Id="rId53" Type="http://schemas.openxmlformats.org/officeDocument/2006/relationships/hyperlink" Target="https://doi.org/10.1177/0020852320979359" TargetMode="External"/><Relationship Id="rId58" Type="http://schemas.openxmlformats.org/officeDocument/2006/relationships/hyperlink" Target="https://doi.org/10.36690/2674-5216-2020-2-28" TargetMode="External"/><Relationship Id="rId66" Type="http://schemas.openxmlformats.org/officeDocument/2006/relationships/header" Target="header1.xml"/><Relationship Id="rId74" Type="http://schemas.openxmlformats.org/officeDocument/2006/relationships/theme" Target="theme/theme1.xml"/><Relationship Id="rId79" Type="http://schemas.openxmlformats.org/officeDocument/2006/relationships/customXml" Target="../customXml/item3.xml"/><Relationship Id="rId5" Type="http://schemas.openxmlformats.org/officeDocument/2006/relationships/footnotes" Target="footnotes.xml"/><Relationship Id="rId61" Type="http://schemas.openxmlformats.org/officeDocument/2006/relationships/hyperlink" Target="https://doi.org/10.1007/978-3-031-06709-9_5" TargetMode="External"/><Relationship Id="rId19" Type="http://schemas.openxmlformats.org/officeDocument/2006/relationships/hyperlink" Target="https://kse.ua/about-the-school/news/155-billion-the-total-amount-of-damages-caused-to-ukraine-s-infrastructure-due-to-the-war-as-of-january-2024/" TargetMode="External"/><Relationship Id="rId14" Type="http://schemas.openxmlformats.org/officeDocument/2006/relationships/image" Target="media/image1.jpeg"/><Relationship Id="rId22" Type="http://schemas.openxmlformats.org/officeDocument/2006/relationships/hyperlink" Target="https://doi.org/10.9770/jssi.2020.10.1(25)" TargetMode="External"/><Relationship Id="rId27" Type="http://schemas.openxmlformats.org/officeDocument/2006/relationships/hyperlink" Target="https://doi.org/10.1016/b978-0-12-818438-7.00012-5" TargetMode="External"/><Relationship Id="rId30" Type="http://schemas.openxmlformats.org/officeDocument/2006/relationships/hyperlink" Target="https://doi.org/10.1080/19393555.2020.1795323" TargetMode="External"/><Relationship Id="rId35" Type="http://schemas.openxmlformats.org/officeDocument/2006/relationships/hyperlink" Target="https://doi.org/10.31893/multirev.2024spe026" TargetMode="External"/><Relationship Id="rId43" Type="http://schemas.openxmlformats.org/officeDocument/2006/relationships/hyperlink" Target="https://doi.org/10.1134/s1063785015020182" TargetMode="External"/><Relationship Id="rId48" Type="http://schemas.openxmlformats.org/officeDocument/2006/relationships/hyperlink" Target="https://doi.org/10.1080/20508840.2020.1782109" TargetMode="External"/><Relationship Id="rId56" Type="http://schemas.openxmlformats.org/officeDocument/2006/relationships/hyperlink" Target="https://doi.org/10.57239/pjlss-2024-22.2.00672" TargetMode="External"/><Relationship Id="rId64" Type="http://schemas.openxmlformats.org/officeDocument/2006/relationships/hyperlink" Target="https://doi.org/10.34625/issn.2183-2705(34)2023.ic-13" TargetMode="External"/><Relationship Id="rId69" Type="http://schemas.openxmlformats.org/officeDocument/2006/relationships/footer" Target="footer2.xml"/><Relationship Id="rId77" Type="http://schemas.openxmlformats.org/officeDocument/2006/relationships/customXml" Target="../customXml/item1.xml"/><Relationship Id="rId8" Type="http://schemas.microsoft.com/office/2011/relationships/commentsExtended" Target="commentsExtended.xml"/><Relationship Id="rId51" Type="http://schemas.openxmlformats.org/officeDocument/2006/relationships/hyperlink" Target="https://doi.org/10.1080/09546553.2020.1803288" TargetMode="External"/><Relationship Id="rId72" Type="http://schemas.openxmlformats.org/officeDocument/2006/relationships/fontTable" Target="fontTable.xml"/><Relationship Id="rId3" Type="http://schemas.openxmlformats.org/officeDocument/2006/relationships/settings" Target="settings.xml"/><Relationship Id="rId12" Type="http://schemas.openxmlformats.org/officeDocument/2006/relationships/hyperlink" Target="mailto:natapack@ukr.net" TargetMode="External"/><Relationship Id="rId17" Type="http://schemas.openxmlformats.org/officeDocument/2006/relationships/image" Target="media/image2.png"/><Relationship Id="rId25" Type="http://schemas.openxmlformats.org/officeDocument/2006/relationships/hyperlink" Target="https://visnyk.kh.ua/en/journals/visnik-naprnu-2-2021-r/teoretichni-osnovi-ta-prioriteti-rozvitku-prava-natsionalnoyi-bezpeki" TargetMode="External"/><Relationship Id="rId33" Type="http://schemas.openxmlformats.org/officeDocument/2006/relationships/hyperlink" Target="https://doi.org/10.32782/pdu.2024.1.25" TargetMode="External"/><Relationship Id="rId38" Type="http://schemas.openxmlformats.org/officeDocument/2006/relationships/hyperlink" Target="https://bja.ojp.gov/program/it/privacy-civil-liberties/authorities/statutes/1280" TargetMode="External"/><Relationship Id="rId46" Type="http://schemas.openxmlformats.org/officeDocument/2006/relationships/hyperlink" Target="https://doi.org/10.17770/etr2024vol4.8234" TargetMode="External"/><Relationship Id="rId59" Type="http://schemas.openxmlformats.org/officeDocument/2006/relationships/hyperlink" Target="https://apps.dtic.mil/sti/citations/AD1157244" TargetMode="External"/><Relationship Id="rId67" Type="http://schemas.openxmlformats.org/officeDocument/2006/relationships/header" Target="header2.xml"/><Relationship Id="rId20" Type="http://schemas.openxmlformats.org/officeDocument/2006/relationships/hyperlink" Target="https://doi.org/10.32631/pb.2022.2.17" TargetMode="External"/><Relationship Id="rId41" Type="http://schemas.openxmlformats.org/officeDocument/2006/relationships/hyperlink" Target="https://doi.org/10.57125/FEL.2024.09.25.04" TargetMode="External"/><Relationship Id="rId54" Type="http://schemas.openxmlformats.org/officeDocument/2006/relationships/hyperlink" Target="https://doi.org/10.46299/979-8-88992-698-6.4" TargetMode="External"/><Relationship Id="rId62" Type="http://schemas.openxmlformats.org/officeDocument/2006/relationships/hyperlink" Target="https://doi.org/10.57125/FS.2024.12.20.01" TargetMode="External"/><Relationship Id="rId70" Type="http://schemas.openxmlformats.org/officeDocument/2006/relationships/header" Target="header3.xml"/><Relationship Id="rId75" Type="http://schemas.microsoft.com/office/2018/08/relationships/commentsExtensible" Target="commentsExtensible.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s://doi.org/10.5758/ijls.2022.1" TargetMode="External"/><Relationship Id="rId23" Type="http://schemas.openxmlformats.org/officeDocument/2006/relationships/hyperlink" Target="https://doi.org/10.46398/cuestpol.3969.46" TargetMode="External"/><Relationship Id="rId28" Type="http://schemas.openxmlformats.org/officeDocument/2006/relationships/hyperlink" Target="https://doi.org/10.22059/JITM.2021.80738" TargetMode="External"/><Relationship Id="rId36" Type="http://schemas.openxmlformats.org/officeDocument/2006/relationships/hyperlink" Target="https://doi.org/10.62821/lp10402" TargetMode="External"/><Relationship Id="rId49" Type="http://schemas.openxmlformats.org/officeDocument/2006/relationships/hyperlink" Target="https://doi.org/10.57239/pjlss-2024-22.2.00776" TargetMode="External"/><Relationship Id="rId57" Type="http://schemas.openxmlformats.org/officeDocument/2006/relationships/hyperlink" Target="https://doi.org/10.61095/815-0047-2024-2-18-41" TargetMode="External"/><Relationship Id="rId10" Type="http://schemas.openxmlformats.org/officeDocument/2006/relationships/hyperlink" Target="mailto:karpenko.mikola@ukr.net" TargetMode="External"/><Relationship Id="rId31" Type="http://schemas.openxmlformats.org/officeDocument/2006/relationships/hyperlink" Target="https://doi.org/10.32612/uw.27201643.2022.5.pp.36-58" TargetMode="External"/><Relationship Id="rId44" Type="http://schemas.openxmlformats.org/officeDocument/2006/relationships/hyperlink" Target="https://doi.org/10.9770/jssi.2020.10.1(17)" TargetMode="External"/><Relationship Id="rId52" Type="http://schemas.openxmlformats.org/officeDocument/2006/relationships/hyperlink" Target="https://doi.org/10.4335/19.1.111-129(2021)" TargetMode="External"/><Relationship Id="rId60" Type="http://schemas.openxmlformats.org/officeDocument/2006/relationships/hyperlink" Target="https://doi.org/10.1016/j.jrt.2020.100005" TargetMode="External"/><Relationship Id="rId65" Type="http://schemas.openxmlformats.org/officeDocument/2006/relationships/hyperlink" Target="https://doi.org/10.5038/1944-0472.17.2.2223" TargetMode="External"/><Relationship Id="rId73" Type="http://schemas.microsoft.com/office/2011/relationships/people" Target="people.xml"/><Relationship Id="rId78" Type="http://schemas.openxmlformats.org/officeDocument/2006/relationships/customXml" Target="../customXml/item2.xml"/><Relationship Id="rId4" Type="http://schemas.openxmlformats.org/officeDocument/2006/relationships/webSettings" Target="webSettings.xml"/><Relationship Id="rId9" Type="http://schemas.openxmlformats.org/officeDocument/2006/relationships/hyperlink" Target="mailto:xrixos@gmail.com" TargetMode="External"/><Relationship Id="rId13" Type="http://schemas.openxmlformats.org/officeDocument/2006/relationships/hyperlink" Target="mailto:ovandr74@i.ua" TargetMode="External"/><Relationship Id="rId18" Type="http://schemas.openxmlformats.org/officeDocument/2006/relationships/hyperlink" Target="https://doi.org/10.57125/ELIJ.2023.03.25.04" TargetMode="External"/><Relationship Id="rId39" Type="http://schemas.openxmlformats.org/officeDocument/2006/relationships/hyperlink" Target="https://doi.org/10.1080/08850607.2024.2387850" TargetMode="External"/><Relationship Id="rId34" Type="http://schemas.openxmlformats.org/officeDocument/2006/relationships/hyperlink" Target="https://doi.org/10.46340/eppd.2023.10.3.1" TargetMode="External"/><Relationship Id="rId50" Type="http://schemas.openxmlformats.org/officeDocument/2006/relationships/hyperlink" Target="https://doi.org/10.1080/01436597.2023.2177149" TargetMode="External"/><Relationship Id="rId55" Type="http://schemas.openxmlformats.org/officeDocument/2006/relationships/hyperlink" Target="https://doi.org/10.36740/wlek/197094" TargetMode="External"/><Relationship Id="rId76" Type="http://schemas.microsoft.com/office/2016/09/relationships/commentsIds" Target="commentsIds.xml"/><Relationship Id="rId7" Type="http://schemas.openxmlformats.org/officeDocument/2006/relationships/comments" Target="comments.xml"/><Relationship Id="rId71" Type="http://schemas.openxmlformats.org/officeDocument/2006/relationships/footer" Target="footer3.xml"/><Relationship Id="rId2" Type="http://schemas.openxmlformats.org/officeDocument/2006/relationships/styles" Target="styles.xml"/><Relationship Id="rId29" Type="http://schemas.openxmlformats.org/officeDocument/2006/relationships/hyperlink" Target="https://doi.org/10.1016/j.egyr.2021.08.126" TargetMode="External"/></Relationships>
</file>

<file path=word/_rels/footer1.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footer3.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Документ" ma:contentTypeID="0x01010092859EDDF7D2E340B5B366A9D34C95A8" ma:contentTypeVersion="10" ma:contentTypeDescription="Создание документа." ma:contentTypeScope="" ma:versionID="5cbb7374898ab3edcaf33e6a93bd2d38">
  <xsd:schema xmlns:xsd="http://www.w3.org/2001/XMLSchema" xmlns:xs="http://www.w3.org/2001/XMLSchema" xmlns:p="http://schemas.microsoft.com/office/2006/metadata/properties" xmlns:ns2="4093cc45-6eaa-4d4d-b1a5-bbbe6058338c" xmlns:ns3="76b16172-3716-457a-b0ba-88bf95791f6e" targetNamespace="http://schemas.microsoft.com/office/2006/metadata/properties" ma:root="true" ma:fieldsID="d5c88fa19e81fec0e92cf3e73648ba7e" ns2:_="" ns3:_="">
    <xsd:import namespace="4093cc45-6eaa-4d4d-b1a5-bbbe6058338c"/>
    <xsd:import namespace="76b16172-3716-457a-b0ba-88bf95791f6e"/>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093cc45-6eaa-4d4d-b1a5-bbbe6058338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lcf76f155ced4ddcb4097134ff3c332f" ma:index="12" nillable="true" ma:taxonomy="true" ma:internalName="lcf76f155ced4ddcb4097134ff3c332f" ma:taxonomyFieldName="MediaServiceImageTags" ma:displayName="Теги изображений" ma:readOnly="false" ma:fieldId="{5cf76f15-5ced-4ddc-b409-7134ff3c332f}" ma:taxonomyMulti="true" ma:sspId="ae398c63-db6e-435e-86c0-812c5a044355" ma:termSetId="09814cd3-568e-fe90-9814-8d621ff8fb84" ma:anchorId="fba54fb3-c3e1-fe81-a776-ca4b69148c4d" ma:open="true" ma:isKeyword="false">
      <xsd:complexType>
        <xsd:sequence>
          <xsd:element ref="pc:Terms" minOccurs="0" maxOccurs="1"/>
        </xsd:sequence>
      </xsd:complex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6b16172-3716-457a-b0ba-88bf95791f6e"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4a7ccbb6-7373-4665-88bc-ce6e6d61ea5e}" ma:internalName="TaxCatchAll" ma:showField="CatchAllData" ma:web="76b16172-3716-457a-b0ba-88bf95791f6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контента"/>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76b16172-3716-457a-b0ba-88bf95791f6e" xsi:nil="true"/>
    <lcf76f155ced4ddcb4097134ff3c332f xmlns="4093cc45-6eaa-4d4d-b1a5-bbbe6058338c">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A60358D5-3C47-4E72-BED1-DA285ED2EEBD}"/>
</file>

<file path=customXml/itemProps2.xml><?xml version="1.0" encoding="utf-8"?>
<ds:datastoreItem xmlns:ds="http://schemas.openxmlformats.org/officeDocument/2006/customXml" ds:itemID="{B6B61257-EEDE-4BCF-BCF9-F4F17DEAFF63}"/>
</file>

<file path=customXml/itemProps3.xml><?xml version="1.0" encoding="utf-8"?>
<ds:datastoreItem xmlns:ds="http://schemas.openxmlformats.org/officeDocument/2006/customXml" ds:itemID="{B5F7023E-B61D-4CA8-9CCD-BEC3088A606C}"/>
</file>

<file path=docProps/app.xml><?xml version="1.0" encoding="utf-8"?>
<Properties xmlns="http://schemas.openxmlformats.org/officeDocument/2006/extended-properties" xmlns:vt="http://schemas.openxmlformats.org/officeDocument/2006/docPropsVTypes">
  <Template>Normal.dotm</Template>
  <TotalTime>3</TotalTime>
  <Pages>21</Pages>
  <Words>8990</Words>
  <Characters>51249</Characters>
  <Application>Microsoft Office Word</Application>
  <DocSecurity>0</DocSecurity>
  <Lines>427</Lines>
  <Paragraphs>120</Paragraphs>
  <ScaleCrop>false</ScaleCrop>
  <Company/>
  <LinksUpToDate>false</LinksUpToDate>
  <CharactersWithSpaces>60119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Khtystyna Mereniuk</dc:creator>
  <cp:keywords/>
  <dc:description/>
  <cp:lastModifiedBy>Yurii Smirnov</cp:lastModifiedBy>
  <cp:revision>4</cp:revision>
  <dcterms:created xsi:type="dcterms:W3CDTF">2025-07-01T18:02:00Z</dcterms:created>
  <dcterms:modified xsi:type="dcterms:W3CDTF">2025-07-07T08:22:00Z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0x01010092859EDDF7D2E340B5B366A9D34C95A8</vt:lpwstr>
  </property>
</Properties>
</file>