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19D35" w14:textId="77777777" w:rsidR="00DE1E48" w:rsidRPr="00122F5F" w:rsidRDefault="00F3402C" w:rsidP="00122F5F">
      <w:pPr>
        <w:rPr>
          <w:rFonts w:ascii="Calibri Light" w:hAnsi="Calibri Light" w:cs="Calibri Light"/>
          <w:b/>
          <w:bCs/>
          <w:iCs/>
          <w:sz w:val="28"/>
          <w:szCs w:val="28"/>
          <w:lang w:val="id-ID"/>
        </w:rPr>
      </w:pPr>
      <w:r w:rsidRPr="00F3402C">
        <w:rPr>
          <w:rFonts w:ascii="Calibri Light" w:hAnsi="Calibri Light" w:cs="Calibri Light"/>
          <w:b/>
          <w:bCs/>
          <w:color w:val="000000"/>
          <w:sz w:val="28"/>
          <w:szCs w:val="32"/>
        </w:rPr>
        <w:t>Custody Disputes in Mixed Marriages: A Comparative Legal Analysis</w:t>
      </w:r>
    </w:p>
    <w:p w14:paraId="3DDC2E86" w14:textId="77777777" w:rsidR="00DE1E48" w:rsidRPr="00122F5F" w:rsidRDefault="00DE1E48" w:rsidP="000460D0">
      <w:pPr>
        <w:rPr>
          <w:rFonts w:ascii="Calibri Light" w:hAnsi="Calibri Light" w:cs="Calibri Light"/>
          <w:sz w:val="24"/>
          <w:szCs w:val="24"/>
        </w:rPr>
      </w:pPr>
    </w:p>
    <w:p w14:paraId="42F1B0A8" w14:textId="77777777" w:rsidR="00A54BA5" w:rsidRPr="00863A78" w:rsidRDefault="00A54BA5" w:rsidP="00A54BA5">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4D12FF09" w14:textId="77777777" w:rsidR="00A54BA5" w:rsidRPr="00863A78" w:rsidRDefault="00A54BA5" w:rsidP="00A54BA5">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6CCEEC96" w14:textId="77777777" w:rsidR="00A54BA5" w:rsidRPr="00863A78" w:rsidRDefault="00A54BA5" w:rsidP="00A54BA5">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59571B0B" w14:textId="77777777" w:rsidR="00A54BA5" w:rsidRPr="00863A78" w:rsidRDefault="00A54BA5" w:rsidP="00A54BA5">
      <w:pPr>
        <w:ind w:right="737"/>
        <w:rPr>
          <w:rFonts w:ascii="Calibri Light" w:hAnsi="Calibri Light" w:cs="Calibri Light"/>
          <w:b/>
          <w:bCs/>
        </w:rPr>
      </w:pPr>
    </w:p>
    <w:p w14:paraId="7DB56C34" w14:textId="7072F8B0" w:rsidR="00A54BA5" w:rsidRPr="00863A78" w:rsidRDefault="00A53627" w:rsidP="00A54BA5">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111DA8EF" wp14:editId="6B59D5FB">
            <wp:extent cx="256540" cy="256540"/>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540" cy="256540"/>
                    </a:xfrm>
                    <a:prstGeom prst="rect">
                      <a:avLst/>
                    </a:prstGeom>
                    <a:noFill/>
                    <a:ln>
                      <a:noFill/>
                    </a:ln>
                  </pic:spPr>
                </pic:pic>
              </a:graphicData>
            </a:graphic>
          </wp:inline>
        </w:drawing>
      </w:r>
      <w:r w:rsidR="00A54BA5" w:rsidRPr="00863A78">
        <w:rPr>
          <w:rFonts w:ascii="Calibri Light" w:hAnsi="Calibri Light" w:cs="Calibri Light"/>
          <w:noProof/>
          <w:position w:val="-13"/>
        </w:rPr>
        <w:t xml:space="preserve"> </w:t>
      </w:r>
      <w:r w:rsidR="00A54BA5" w:rsidRPr="00863A78">
        <w:rPr>
          <w:rFonts w:ascii="Calibri Light" w:hAnsi="Calibri Light" w:cs="Calibri Light"/>
        </w:rPr>
        <w:t>10.5758/ijls.2022.1</w:t>
      </w:r>
      <w:r w:rsidR="00A54BA5">
        <w:rPr>
          <w:rFonts w:ascii="Calibri Light" w:hAnsi="Calibri Light" w:cs="Calibri Light"/>
        </w:rPr>
        <w:t xml:space="preserve"> </w:t>
      </w:r>
    </w:p>
    <w:p w14:paraId="340506B8" w14:textId="77777777" w:rsidR="00A54BA5" w:rsidRDefault="00A54BA5" w:rsidP="00A54BA5">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A54BA5" w:rsidRPr="00540F02" w14:paraId="3D376885" w14:textId="77777777" w:rsidTr="007712B0">
        <w:tc>
          <w:tcPr>
            <w:tcW w:w="9004" w:type="dxa"/>
            <w:tcBorders>
              <w:left w:val="nil"/>
              <w:right w:val="nil"/>
            </w:tcBorders>
          </w:tcPr>
          <w:p w14:paraId="3FDF9630" w14:textId="77777777" w:rsidR="00A54BA5" w:rsidRPr="00540F02" w:rsidRDefault="00A54BA5" w:rsidP="007712B0">
            <w:pPr>
              <w:ind w:right="2"/>
              <w:jc w:val="both"/>
              <w:rPr>
                <w:rFonts w:ascii="Calibri Light" w:hAnsi="Calibri Light" w:cs="Calibri Light"/>
                <w:sz w:val="12"/>
                <w:szCs w:val="12"/>
              </w:rPr>
            </w:pPr>
          </w:p>
          <w:p w14:paraId="7F918501" w14:textId="77777777" w:rsidR="00A54BA5" w:rsidRPr="00540F02" w:rsidRDefault="00A54BA5" w:rsidP="007712B0">
            <w:pPr>
              <w:ind w:right="2"/>
              <w:jc w:val="both"/>
              <w:rPr>
                <w:rFonts w:ascii="Calibri Light" w:hAnsi="Calibri Light" w:cs="Calibri Light"/>
                <w:color w:val="0462C1"/>
                <w:u w:val="single" w:color="0462C1"/>
              </w:rPr>
            </w:pPr>
            <w:r w:rsidRPr="00540F02">
              <w:rPr>
                <w:rFonts w:ascii="Calibri Light" w:hAnsi="Calibri Light" w:cs="Calibri Light"/>
              </w:rPr>
              <w:t>How to cite this paper: Pilotti, M. &amp; Almubarak.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14:paraId="0CA861D7" w14:textId="77777777" w:rsidR="00A54BA5" w:rsidRPr="00540F02" w:rsidRDefault="00A54BA5" w:rsidP="007712B0">
            <w:pPr>
              <w:ind w:right="2"/>
              <w:jc w:val="both"/>
              <w:rPr>
                <w:rFonts w:ascii="Calibri Light" w:hAnsi="Calibri Light" w:cs="Calibri Light"/>
                <w:color w:val="0462C1"/>
                <w:u w:val="single" w:color="0462C1"/>
              </w:rPr>
            </w:pPr>
          </w:p>
          <w:p w14:paraId="32BE2CEE" w14:textId="77777777" w:rsidR="00A54BA5" w:rsidRPr="00540F02" w:rsidRDefault="00A54BA5" w:rsidP="007712B0">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44CE664D" w14:textId="77777777" w:rsidR="00A54BA5" w:rsidRPr="00540F02" w:rsidRDefault="00A54BA5" w:rsidP="007712B0">
            <w:pPr>
              <w:ind w:right="2"/>
              <w:jc w:val="both"/>
              <w:rPr>
                <w:rFonts w:ascii="Calibri Light" w:hAnsi="Calibri Light" w:cs="Calibri Light"/>
                <w:b/>
                <w:bCs/>
                <w:sz w:val="12"/>
                <w:szCs w:val="12"/>
              </w:rPr>
            </w:pPr>
          </w:p>
        </w:tc>
      </w:tr>
    </w:tbl>
    <w:p w14:paraId="11B19A46" w14:textId="77777777" w:rsidR="00A54BA5" w:rsidRDefault="00A54BA5" w:rsidP="00EE2075">
      <w:pPr>
        <w:ind w:right="-1"/>
        <w:jc w:val="both"/>
        <w:rPr>
          <w:rFonts w:ascii="Calibri Light" w:hAnsi="Calibri Light" w:cs="Calibri Light"/>
          <w:b/>
          <w:bCs/>
          <w:sz w:val="24"/>
          <w:szCs w:val="24"/>
        </w:rPr>
      </w:pPr>
    </w:p>
    <w:p w14:paraId="65782EBE" w14:textId="77777777" w:rsidR="00DE1E48" w:rsidRPr="00EE2075" w:rsidRDefault="00A27B34" w:rsidP="00EE2075">
      <w:pPr>
        <w:ind w:right="-1"/>
        <w:jc w:val="both"/>
        <w:rPr>
          <w:rFonts w:ascii="Calibri Light" w:hAnsi="Calibri Light" w:cs="Calibri Light"/>
          <w:i/>
          <w:iCs/>
          <w:sz w:val="24"/>
          <w:szCs w:val="24"/>
          <w:lang w:val="id-ID"/>
        </w:rPr>
      </w:pPr>
      <w:r w:rsidRPr="00EE2075">
        <w:rPr>
          <w:rFonts w:ascii="Calibri Light" w:hAnsi="Calibri Light" w:cs="Calibri Light"/>
          <w:b/>
          <w:bCs/>
          <w:sz w:val="24"/>
          <w:szCs w:val="24"/>
        </w:rPr>
        <w:t>ABSTRACT:</w:t>
      </w:r>
      <w:r w:rsidRPr="00EE2075">
        <w:rPr>
          <w:rFonts w:ascii="Calibri Light" w:hAnsi="Calibri Light" w:cs="Calibri Light"/>
          <w:i/>
          <w:sz w:val="24"/>
          <w:szCs w:val="24"/>
        </w:rPr>
        <w:t xml:space="preserve"> </w:t>
      </w:r>
      <w:r w:rsidR="00EE2075" w:rsidRPr="00EE2075">
        <w:rPr>
          <w:rFonts w:ascii="Calibri Light" w:hAnsi="Calibri Light" w:cs="Calibri Light"/>
          <w:i/>
          <w:color w:val="000000"/>
          <w:sz w:val="24"/>
          <w:szCs w:val="24"/>
        </w:rPr>
        <w:t>This study examines the dissolution of mixed marriages and its implications for child custody from the perspective of international civil law. It focuses on the legal protection of the rights of underage children in cases where the marriage is dissolved due to divorce, death, or court rulings. The research highlights the legal uncertainties faced by children of mixed marriages when their parents are subject to different legal systems, particularly in the absence of a prenuptial agreement. The study is grounded in international civil law principles, emphasizing legal pluralism and the conflict of laws in family law matters. It explores the intersection of national legal frameworks governing child custody and the protection of children's rights in alignment with international human rights instruments. This research employs a statutory, case, and legal comparative approach to analyze child custody disputes arising from the dissolution of mixed marriages. The study examines legal inconsistencies across jurisdictions and their impact on the rights and well-being of underage children. Findings reveal that legal uncertainty regarding child custody is a significant challenge in mixed marriage dissolutions. Variations in national legal systems create conflicts in determining custodial rights, often leaving children vulnerable to inconsistent legal interpretations. This uncertainty affects children's right to parental love and support, which is essential for their growth and development. The study underscores the need for harmonization of international civil law to ensure legal certainty in child custody matters. Strengthening cross-border legal cooperation and adopting international legal standards can enhance the protection of children's rights in mixed marriages. This research contributes to the discourse on family law in the context of international civil law by highlighting the legal complexities of child custody in mixed marriage dissolutions. It offers insights for policymakers and legal practitioners to develop more consistent and child-centered legal frameworks.</w:t>
      </w:r>
    </w:p>
    <w:p w14:paraId="4EA61B85" w14:textId="77777777" w:rsidR="00486707" w:rsidRPr="00122F5F" w:rsidRDefault="00486707" w:rsidP="001D7DEE">
      <w:pPr>
        <w:ind w:left="709" w:right="737"/>
        <w:jc w:val="both"/>
        <w:rPr>
          <w:rFonts w:ascii="Calibri Light" w:hAnsi="Calibri Light" w:cs="Calibri Light"/>
          <w:i/>
          <w:iCs/>
          <w:sz w:val="24"/>
          <w:szCs w:val="24"/>
          <w:lang w:val="id-ID"/>
        </w:rPr>
      </w:pPr>
    </w:p>
    <w:p w14:paraId="557A97C1" w14:textId="77777777" w:rsidR="00DE1E48" w:rsidRPr="00EE2075" w:rsidRDefault="0095288D" w:rsidP="00540F02">
      <w:pPr>
        <w:ind w:right="737"/>
        <w:jc w:val="both"/>
        <w:rPr>
          <w:rFonts w:ascii="Calibri Light" w:hAnsi="Calibri Light" w:cs="Calibri Light"/>
          <w:i/>
          <w:iCs/>
          <w:sz w:val="32"/>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EE2075" w:rsidRPr="00EE2075">
        <w:rPr>
          <w:rFonts w:ascii="Calibri Light" w:hAnsi="Calibri Light" w:cs="Calibri Light"/>
          <w:i/>
          <w:sz w:val="24"/>
        </w:rPr>
        <w:t>Children's Rights, Mixed Marriage, Legal Protection, HPI</w:t>
      </w:r>
    </w:p>
    <w:p w14:paraId="5B1CAA2B"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75B91267" w14:textId="77777777" w:rsidR="00EE2075" w:rsidRPr="00EE2075" w:rsidRDefault="00EE2075" w:rsidP="00EE2075">
      <w:pPr>
        <w:ind w:left="426"/>
        <w:jc w:val="both"/>
        <w:rPr>
          <w:rFonts w:ascii="Calibri Light" w:hAnsi="Calibri Light" w:cs="Calibri Light"/>
          <w:b/>
          <w:color w:val="000000"/>
          <w:sz w:val="24"/>
          <w:lang w:eastAsia="en-US"/>
        </w:rPr>
      </w:pPr>
      <w:r w:rsidRPr="00EE2075">
        <w:rPr>
          <w:rFonts w:ascii="Calibri Light" w:hAnsi="Calibri Light" w:cs="Calibri Light"/>
          <w:color w:val="000000"/>
          <w:sz w:val="24"/>
        </w:rPr>
        <w:t xml:space="preserve">The digital technological era, beginning in the 1980s and continues to this day, has brought fundamental changes to interactions between humans and other humans. The digital era is a time when information is easily and quickly obtained and disseminated using digital </w:t>
      </w:r>
      <w:r w:rsidRPr="00EE2075">
        <w:rPr>
          <w:rFonts w:ascii="Calibri Light" w:hAnsi="Calibri Light" w:cs="Calibri Light"/>
          <w:color w:val="000000"/>
          <w:sz w:val="24"/>
        </w:rPr>
        <w:lastRenderedPageBreak/>
        <w:t>technology</w:t>
      </w:r>
      <w:r w:rsidR="008D44A8">
        <w:rPr>
          <w:rFonts w:ascii="Calibri Light" w:hAnsi="Calibri Light" w:cs="Calibri Light"/>
          <w:color w:val="000000"/>
          <w:sz w:val="24"/>
        </w:rPr>
        <w:fldChar w:fldCharType="begin" w:fldLock="1"/>
      </w:r>
      <w:r w:rsidR="008D44A8">
        <w:rPr>
          <w:rFonts w:ascii="Calibri Light" w:hAnsi="Calibri Light" w:cs="Calibri Light"/>
          <w:color w:val="000000"/>
          <w:sz w:val="24"/>
        </w:rPr>
        <w:instrText>ADDIN CSL_CITATION {"citationItems":[{"id":"ITEM-1","itemData":{"DOI":"10.1016/B978-1-84334-788-0.00006-9","author":[{"dropping-particle":"","family":"Yang","given":"Sharon Q.","non-dropping-particle":"","parse-names":false,"suffix":""},{"dropping-particle":"","family":"Li","given":"Lili","non-dropping-particle":"","parse-names":false,"suffix":""}],"container-title":"Emerging Technologies for Librarians","id":"ITEM-1","issued":{"date-parts":[["2016"]]},"page":"69-102","publisher":"Elsevier","title":"Evolving Digital Library and Library Digitization","type":"chapter"},"uris":["http://www.mendeley.com/documents/?uuid=d19434cf-17af-410b-b9ed-3eb8867e9d7d"]}],"mendeley":{"formattedCitation":"(Yang &amp; Li, 2016)","plainTextFormattedCitation":"(Yang &amp; Li, 2016)","previouslyFormattedCitation":"[1]"},"properties":{"noteIndex":0},"schema":"https://github.com/citation-style-language/schema/raw/master/csl-citation.json"}</w:instrText>
      </w:r>
      <w:r w:rsidR="008D44A8">
        <w:rPr>
          <w:rFonts w:ascii="Calibri Light" w:hAnsi="Calibri Light" w:cs="Calibri Light"/>
          <w:color w:val="000000"/>
          <w:sz w:val="24"/>
        </w:rPr>
        <w:fldChar w:fldCharType="separate"/>
      </w:r>
      <w:r w:rsidR="008D44A8" w:rsidRPr="008D44A8">
        <w:rPr>
          <w:rFonts w:ascii="Calibri Light" w:hAnsi="Calibri Light" w:cs="Calibri Light"/>
          <w:noProof/>
          <w:color w:val="000000"/>
          <w:sz w:val="24"/>
        </w:rPr>
        <w:t>(Yang &amp; Li, 2016)</w:t>
      </w:r>
      <w:r w:rsidR="008D44A8">
        <w:rPr>
          <w:rFonts w:ascii="Calibri Light" w:hAnsi="Calibri Light" w:cs="Calibri Light"/>
          <w:color w:val="000000"/>
          <w:sz w:val="24"/>
        </w:rPr>
        <w:fldChar w:fldCharType="end"/>
      </w:r>
      <w:r w:rsidRPr="00EE2075">
        <w:rPr>
          <w:rFonts w:ascii="Calibri Light" w:hAnsi="Calibri Light" w:cs="Calibri Light"/>
          <w:color w:val="000000"/>
          <w:sz w:val="24"/>
        </w:rPr>
        <w:t xml:space="preserve">. Interaction between humans and other humans has changed from a conventional system to a digital system. This change has a positive influence on human </w:t>
      </w:r>
      <w:r w:rsidR="00DB1FBA" w:rsidRPr="00EE2075">
        <w:rPr>
          <w:rFonts w:ascii="Calibri Light" w:hAnsi="Calibri Light" w:cs="Calibri Light"/>
          <w:color w:val="000000"/>
          <w:sz w:val="24"/>
        </w:rPr>
        <w:t>relations,</w:t>
      </w:r>
      <w:r w:rsidRPr="00EE2075">
        <w:rPr>
          <w:rFonts w:ascii="Calibri Light" w:hAnsi="Calibri Light" w:cs="Calibri Light"/>
          <w:color w:val="000000"/>
          <w:sz w:val="24"/>
        </w:rPr>
        <w:t xml:space="preserve"> which is not only facilitated at the regional level of a country but can also go beyond a country's territorial boundaries. This easy interaction has also made it easier for people to have romantic relationships, despite different religions, ethnicities, regions or different nationalities, thus opening up opportunities for couples of different nationalities to </w:t>
      </w:r>
      <w:r w:rsidR="00DB1FBA" w:rsidRPr="00EE2075">
        <w:rPr>
          <w:rFonts w:ascii="Calibri Light" w:hAnsi="Calibri Light" w:cs="Calibri Light"/>
          <w:color w:val="000000"/>
          <w:sz w:val="24"/>
        </w:rPr>
        <w:t>enter</w:t>
      </w:r>
      <w:r w:rsidRPr="00EE2075">
        <w:rPr>
          <w:rFonts w:ascii="Calibri Light" w:hAnsi="Calibri Light" w:cs="Calibri Light"/>
          <w:color w:val="000000"/>
          <w:sz w:val="24"/>
        </w:rPr>
        <w:t xml:space="preserve"> mixed marriages. </w:t>
      </w:r>
    </w:p>
    <w:p w14:paraId="5803F101" w14:textId="77777777" w:rsidR="00EE2075" w:rsidRPr="00EE2075" w:rsidRDefault="00EE2075" w:rsidP="00EE2075">
      <w:pPr>
        <w:ind w:left="426"/>
        <w:jc w:val="both"/>
        <w:rPr>
          <w:rFonts w:ascii="Calibri Light" w:hAnsi="Calibri Light" w:cs="Calibri Light"/>
          <w:b/>
          <w:color w:val="000000"/>
          <w:sz w:val="24"/>
        </w:rPr>
      </w:pPr>
      <w:r w:rsidRPr="00EE2075">
        <w:rPr>
          <w:rFonts w:ascii="Calibri Light" w:hAnsi="Calibri Light" w:cs="Calibri Light"/>
          <w:color w:val="000000"/>
          <w:sz w:val="24"/>
        </w:rPr>
        <w:t>Mixed marriages in the provisions of Article 57 of Law No.1 of 1974 concerning Marriage, it is stated that: "It is meant by a mixed marriage in this Law is a marriage between two people who in Indonesia are subject to different laws, because of differences in nationality and one of the parties is an Indonesian citizen."</w:t>
      </w:r>
    </w:p>
    <w:p w14:paraId="2A41894F" w14:textId="77777777" w:rsidR="00EE2075" w:rsidRPr="00EE2075" w:rsidRDefault="00EE2075" w:rsidP="00EE2075">
      <w:pPr>
        <w:ind w:left="426"/>
        <w:jc w:val="both"/>
        <w:rPr>
          <w:rFonts w:ascii="Calibri Light" w:hAnsi="Calibri Light" w:cs="Calibri Light"/>
          <w:b/>
          <w:color w:val="000000"/>
          <w:sz w:val="24"/>
        </w:rPr>
      </w:pPr>
      <w:r w:rsidRPr="00EE2075">
        <w:rPr>
          <w:rFonts w:ascii="Calibri Light" w:hAnsi="Calibri Light" w:cs="Calibri Light"/>
          <w:color w:val="000000"/>
          <w:sz w:val="24"/>
        </w:rPr>
        <w:t>Moving on from these provisions, in this digital era, the millennial generation's view of obtaining offspring from mixed marriage relationships is considered as a matter of pride, because it will be possible to change local descendants into mixed descendants. Apart from having a positive influence, mixed marriages are also inseparable from events causing quite complicated problems, especially for children born from mixed marriages, in the event that their parents' marriage is dissolved. This is because there is no special regulation regarding the legality of mixed marriages, therefore, in practice, it often happens and to make it easier for couples to get married is based on the religion of one of the parties, but then after the marriage is legalized, they return to their respective beliefs</w:t>
      </w:r>
      <w:r w:rsidR="008D44A8">
        <w:rPr>
          <w:rFonts w:ascii="Calibri Light" w:hAnsi="Calibri Light" w:cs="Calibri Light"/>
          <w:color w:val="000000"/>
          <w:sz w:val="24"/>
        </w:rPr>
        <w:fldChar w:fldCharType="begin" w:fldLock="1"/>
      </w:r>
      <w:r w:rsidR="008D44A8">
        <w:rPr>
          <w:rFonts w:ascii="Calibri Light" w:hAnsi="Calibri Light" w:cs="Calibri Light"/>
          <w:color w:val="000000"/>
          <w:sz w:val="24"/>
        </w:rPr>
        <w:instrText>ADDIN CSL_CITATION {"citationItems":[{"id":"ITEM-1","itemData":{"DOI":"10.15294/jllr.v3i2.54624","ISSN":"2715-0941","abstract":"The rules that are prescribed in Islam are that a Muslim is not allowed to marry a non-Muslim (marriage of a different religion), a non-Muslim if he wants to marry a Muslim, he is required to convert to Islam first or often referred to as a convert, the meaning of converts. themselves in order to be able to carry out marriages with their Muslim partners. Marriage doesn't always go as expected. With the marriage guidance carried out by KUA (Office of Religious Affairs) to prospective brides and families who have been married for a long time to provide knowledge, understanding, advice and skills to prospective brides with the aim of realizing a sakinah mawaddah warahmah family and reducing the divorce rate in the household. This study is intended to analyze the process of implementing the course for prospective brides and converts to converts at KUA, Playen District. The goal is to add insight and knowledge about matters relating to marriage problems, especially for the bride and groom. What is the solution run by KUA Playen on the implementation of the prospective bride and groom course. The goal is to add insight and knowledge about matters relating to marriage problems, especially for the bride and groom. What is the solution run by KUA Playen on the implementation of the prospective bride and groom course. ","author":[{"dropping-particle":"","family":"Musta'in","given":"Musta'in","non-dropping-particle":"","parse-names":false,"suffix":""}],"container-title":"Journal of Law and Legal Reform","id":"ITEM-1","issue":"2","issued":{"date-parts":[["2022"]]},"page":"111-132","title":"Legal Problems of the Office of Religious Affairs (KUA) in the Implementation of Family Mualaf Counseling Guidance in Playen District","type":"article-journal","volume":"3"},"uris":["http://www.mendeley.com/documents/?uuid=f6ee7cb4-ec3d-4922-9a3f-cd3cf388493e"]}],"mendeley":{"formattedCitation":"(Musta’in, 2022)","plainTextFormattedCitation":"(Musta’in, 2022)","previouslyFormattedCitation":"[2]"},"properties":{"noteIndex":0},"schema":"https://github.com/citation-style-language/schema/raw/master/csl-citation.json"}</w:instrText>
      </w:r>
      <w:r w:rsidR="008D44A8">
        <w:rPr>
          <w:rFonts w:ascii="Calibri Light" w:hAnsi="Calibri Light" w:cs="Calibri Light"/>
          <w:color w:val="000000"/>
          <w:sz w:val="24"/>
        </w:rPr>
        <w:fldChar w:fldCharType="separate"/>
      </w:r>
      <w:r w:rsidR="008D44A8" w:rsidRPr="008D44A8">
        <w:rPr>
          <w:rFonts w:ascii="Calibri Light" w:hAnsi="Calibri Light" w:cs="Calibri Light"/>
          <w:noProof/>
          <w:color w:val="000000"/>
          <w:sz w:val="24"/>
        </w:rPr>
        <w:t>(Musta’in, 2022)</w:t>
      </w:r>
      <w:r w:rsidR="008D44A8">
        <w:rPr>
          <w:rFonts w:ascii="Calibri Light" w:hAnsi="Calibri Light" w:cs="Calibri Light"/>
          <w:color w:val="000000"/>
          <w:sz w:val="24"/>
        </w:rPr>
        <w:fldChar w:fldCharType="end"/>
      </w:r>
      <w:r w:rsidRPr="00EE2075">
        <w:rPr>
          <w:rFonts w:ascii="Calibri Light" w:hAnsi="Calibri Light" w:cs="Calibri Light"/>
          <w:color w:val="000000"/>
          <w:sz w:val="24"/>
        </w:rPr>
        <w:t xml:space="preserve">. Apart from that, there are also couples who get married overseas and then register it in Indonesia. Thus, if the parents' marriage is dissolved, it will have implications for children who are still underage, who often become objects of struggle for custody rights from their parents, one of whom is a foreign citizen. </w:t>
      </w:r>
    </w:p>
    <w:p w14:paraId="2F3D5C4A" w14:textId="77777777" w:rsidR="00EE2075" w:rsidRPr="00EE2075" w:rsidRDefault="00EE2075" w:rsidP="00EE2075">
      <w:pPr>
        <w:ind w:left="426"/>
        <w:jc w:val="both"/>
        <w:rPr>
          <w:rFonts w:ascii="Calibri Light" w:hAnsi="Calibri Light" w:cs="Calibri Light"/>
          <w:b/>
          <w:color w:val="000000"/>
          <w:sz w:val="24"/>
        </w:rPr>
      </w:pPr>
      <w:r w:rsidRPr="00EE2075">
        <w:rPr>
          <w:rFonts w:ascii="Calibri Light" w:hAnsi="Calibri Light" w:cs="Calibri Light"/>
          <w:color w:val="000000"/>
          <w:sz w:val="24"/>
        </w:rPr>
        <w:t>The fight over child custody rights has become a contest, because regulations on the legality of mixed marriages in Indonesia do not currently exist, resulting in a legal vacuum. Therefore, it will have implications for the rights of underage children who actually deserve legal protection so that they can grow and develop as members of the nation. Children who are not yet 18 years old and have not previously been married are under the authority of their parents, thus, parents will represent the child in carrying out legal actions both inside and outside the court. As stipulated in Article 47 of the Marriage Law. Based on this provision, it can also be seen that a child who is not yet 18 years old and is not yet married, because he is considered not yet an adult, is determined to be not yet competent to carry out legal actions, therefore, he needs a representative, namely his parents.</w:t>
      </w:r>
    </w:p>
    <w:p w14:paraId="600A4C63" w14:textId="77777777" w:rsidR="00EE2075" w:rsidRPr="00EE2075" w:rsidRDefault="00EE2075" w:rsidP="00EE2075">
      <w:pPr>
        <w:ind w:left="426"/>
        <w:jc w:val="both"/>
        <w:rPr>
          <w:rFonts w:ascii="Calibri Light" w:hAnsi="Calibri Light" w:cs="Calibri Light"/>
          <w:b/>
          <w:color w:val="000000"/>
          <w:sz w:val="24"/>
        </w:rPr>
      </w:pPr>
      <w:r w:rsidRPr="00EE2075">
        <w:rPr>
          <w:rFonts w:ascii="Calibri Light" w:hAnsi="Calibri Light" w:cs="Calibri Light"/>
          <w:color w:val="000000"/>
          <w:sz w:val="24"/>
        </w:rPr>
        <w:t xml:space="preserve">In case of dissolution of mixed marriages, children still reserve the right to receive legal protection. In article 1 number 2 of Law Number 35 of 2014 concerning amendments to Law Number 23 of 2002 concerning Child Protection, it is stated that “Child protection is all activities to guarantee and protect children and their rights so that they can live, grow, develop and participate optimally in accordance with human dignity, as well as obtain protection from violence and discrimination; </w:t>
      </w:r>
    </w:p>
    <w:p w14:paraId="06215313" w14:textId="77777777" w:rsidR="008C45DE" w:rsidRDefault="00EE2075" w:rsidP="00EE2075">
      <w:pPr>
        <w:ind w:left="426"/>
        <w:jc w:val="both"/>
        <w:rPr>
          <w:rFonts w:ascii="Calibri Light" w:hAnsi="Calibri Light" w:cs="Calibri Light"/>
          <w:color w:val="000000"/>
          <w:sz w:val="24"/>
        </w:rPr>
      </w:pPr>
      <w:r w:rsidRPr="00EE2075">
        <w:rPr>
          <w:rFonts w:ascii="Calibri Light" w:hAnsi="Calibri Light" w:cs="Calibri Light"/>
          <w:color w:val="000000"/>
          <w:sz w:val="24"/>
        </w:rPr>
        <w:t xml:space="preserve">In the event of the dissolution of a mixed marriage, there will be a dilemma to determine which law applies in order to provide legal protection for the rights of underage children, since the parties (parents) entering into a mixed marriage are subject to different legal systems. Some those adhere to the principle of nationality, territorial principle and some adhere to the principle of choice of law. Differences in the legal systems adopted, in </w:t>
      </w:r>
      <w:r w:rsidRPr="00EE2075">
        <w:rPr>
          <w:rFonts w:ascii="Calibri Light" w:hAnsi="Calibri Light" w:cs="Calibri Light"/>
          <w:color w:val="000000"/>
          <w:sz w:val="24"/>
        </w:rPr>
        <w:lastRenderedPageBreak/>
        <w:t>addition to creating disputes over child custody, they have also created legal uncertainty that must be enforced, moreover, this couple did not make a marriage agreement, therefore, the dissolution of this mixed marriage resulted in the custody of underage children being neglected.</w:t>
      </w:r>
    </w:p>
    <w:p w14:paraId="477CC2F7"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18504703"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5AC10A4A" w14:textId="77777777" w:rsidR="003E71BD" w:rsidRPr="003E71BD" w:rsidRDefault="003E71BD" w:rsidP="003E71BD">
      <w:pPr>
        <w:ind w:left="426"/>
        <w:jc w:val="both"/>
        <w:rPr>
          <w:rFonts w:ascii="Calibri Light" w:hAnsi="Calibri Light" w:cs="Calibri Light"/>
          <w:b/>
          <w:color w:val="000000"/>
          <w:sz w:val="24"/>
          <w:szCs w:val="24"/>
          <w:lang w:eastAsia="en-US"/>
        </w:rPr>
      </w:pPr>
      <w:r w:rsidRPr="003E71BD">
        <w:rPr>
          <w:rFonts w:ascii="Calibri Light" w:hAnsi="Calibri Light" w:cs="Calibri Light"/>
          <w:color w:val="000000"/>
          <w:sz w:val="24"/>
          <w:szCs w:val="24"/>
        </w:rPr>
        <w:t>This article constitutes a normative study, analyzing the problems of “</w:t>
      </w:r>
      <w:r w:rsidR="00A65E5F" w:rsidRPr="00A65E5F">
        <w:rPr>
          <w:rFonts w:ascii="Calibri Light" w:hAnsi="Calibri Light" w:cs="Calibri Light"/>
          <w:color w:val="000000"/>
          <w:sz w:val="24"/>
          <w:szCs w:val="24"/>
        </w:rPr>
        <w:t>The Implication of the Divorce of Unregistered Marriages for Divorcees’ in Bali: Assessing Status, Right and Duty</w:t>
      </w:r>
      <w:r w:rsidRPr="003E71BD">
        <w:rPr>
          <w:rFonts w:ascii="Calibri Light" w:hAnsi="Calibri Light" w:cs="Calibri Light"/>
          <w:color w:val="000000"/>
          <w:sz w:val="24"/>
          <w:szCs w:val="24"/>
        </w:rPr>
        <w:t>. "The focus of the study in this article is the juridical implications of the dissolution of a marriage on the rights</w:t>
      </w:r>
      <w:r w:rsidR="00E75D64">
        <w:rPr>
          <w:rFonts w:ascii="Calibri Light" w:hAnsi="Calibri Light" w:cs="Calibri Light"/>
          <w:color w:val="000000"/>
          <w:sz w:val="24"/>
          <w:szCs w:val="24"/>
        </w:rPr>
        <w:t xml:space="preserve"> and status</w:t>
      </w:r>
      <w:r w:rsidRPr="003E71BD">
        <w:rPr>
          <w:rFonts w:ascii="Calibri Light" w:hAnsi="Calibri Light" w:cs="Calibri Light"/>
          <w:color w:val="000000"/>
          <w:sz w:val="24"/>
          <w:szCs w:val="24"/>
        </w:rPr>
        <w:t>." The normative characteristics of this paper are in line with what</w:t>
      </w:r>
      <w:r w:rsidR="000A7C3D">
        <w:rPr>
          <w:rFonts w:ascii="Calibri Light" w:hAnsi="Calibri Light" w:cs="Calibri Light"/>
          <w:color w:val="000000"/>
          <w:sz w:val="24"/>
          <w:szCs w:val="24"/>
        </w:rPr>
        <w:t xml:space="preserve"> sujana</w:t>
      </w:r>
      <w:r w:rsidRPr="003E71BD">
        <w:rPr>
          <w:rFonts w:ascii="Calibri Light" w:hAnsi="Calibri Light" w:cs="Calibri Light"/>
          <w:color w:val="000000"/>
          <w:sz w:val="24"/>
          <w:szCs w:val="24"/>
        </w:rPr>
        <w:t xml:space="preserve"> stated that normative legal research or doctrinal legal research is often conceptualized as what is written in statutory regulations (law books) or law is conceptualized as rules or norms which are a benchmark of human behavior considered appropriate</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{"citationItems":[{"id":"ITEM-1","itemData":{"DOI":"10.25041/fiatjustisia.v17no3.3096","ISSN":"1978-5186","abstract":"This paper analyzes the settlement of palas marabian or divorce cases in Bali. This study focuses on the implication of the settlement of divorce cases settled by the Balinese Customary Law and the National Marriage Law, especially for those whose marriages have not been registered. By using the sociological jurisprudence study method, a method emphasizing the study of the law applied in a particular society, it could be explained that the divorce of the married couple whose marriage was not registered got difficulty in obtaining legal certainty from the authority of their village or Banjar. This was due to the disharmony on the rules of the Balinese customary law and state law of Indonesia. The Leaders of the traditional villages in Bali who carried out the awig-awig (the customary law of the traditional village) could not make any settlement process sine there was no decision from the court of permanent legal force (state law). On the other hand, state law implemented by court judges would not be able to accept the divorce claim if the marriage of the couple was not registered, even though the marriage was carried out and proved according to custom and religion process. As a result, the justice seekers could not get legal certainty. This condition brought implications for the divorcees’ social lives.","author":[{"dropping-particle":"","family":"Sujana","given":"Nyoman","non-dropping-particle":"","parse-names":false,"suffix":""}],"container-title":"Fiat Justisia: Jurnal Ilmu Hukum","id":"ITEM-1","issue":"3","issued":{"date-parts":[["2023"]]},"page":"265-278","title":"The Implication of the Divorce of Unregistered Marriages for Divorcees’ in Bali: Assessing Status, Right and Duty","type":"article-journal","volume":"17"},"uris":["http://www.mendeley.com/documents/?uuid=f8f15321-3a8b-4919-8fb0-773129f3a563"]}],"mendeley":{"formattedCitation":"(N. Sujana, 2023)","plainTextFormattedCitation":"(N. Sujana, 2023)","previouslyFormattedCitation":"[3]"},"properties":{"noteIndex":0},"schema":"https://github.com/citation-style-language/schema/raw/master/csl-citation.json"}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(N. Sujana, 2023)</w:t>
      </w:r>
      <w:r w:rsidR="008D44A8">
        <w:rPr>
          <w:rFonts w:ascii="Calibri Light" w:hAnsi="Calibri Light" w:cs="Calibri Light"/>
          <w:color w:val="000000"/>
          <w:sz w:val="24"/>
          <w:szCs w:val="24"/>
        </w:rPr>
        <w:fldChar w:fldCharType="end"/>
      </w:r>
      <w:r w:rsidRPr="003E71BD">
        <w:rPr>
          <w:rFonts w:ascii="Calibri Light" w:hAnsi="Calibri Light" w:cs="Calibri Light"/>
          <w:color w:val="000000"/>
          <w:sz w:val="24"/>
          <w:szCs w:val="24"/>
        </w:rPr>
        <w:t>. This paper applies a statutory approach, a conceptual approach, an analytical approach and a comparative legal approach. The sources of legal materials used in this paper are primary, secondary, and tertiary legal materials. The legal material collection technique used is library study technique. In addition, the analysis of the legal issues being studied is also supported by conducting direct interviews with informants and through searching of literature, for example understanding and studying in more depth the literature and laws and regulations correlated with discussions both directly and indirectly regarding the existence of underage children at which custody is contested as a result of the dissolution of parents’ marriage of different nationalities</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{"citationItems":[{"id":"ITEM-1","itemData":{"DOI":"10.1111/j.1529-1006.2005.00020.x","ISSN":"1529-1006","abstract":"SUMMARY—Most parents who live apart negotiate custody arrangements on their own or with the help of lawyers, mediators, or other professionals. However, psychologists and other mental health professionals increasingly have become involved in evaluating children and families in custody disputes, because of the large number of separated, divorced, and never-married parents and the substantial conflict that often accompanies the breakup of a family. Theoretically, the law guides and controls child custody evaluations, but the prevailing custody standard (the “best interests of the child” test) is a vague rule that directs judges to make decisions unique to individual cases according to what will be in children's future (and undefined) best interests. Furthermore, state statutes typically offer only vague guidelines as to how judges (and evaluators) are to assess parents and the merits of their cases, and how they should ultimately decide what custody arrangements will be in a child's best interests. In this vacuum, custody evaluators typically administer to parents and children an array of tests and assess them through less formal means including interviews and observation. Sadly, we find that (a) tests specifically developed to assess questions relevant to custody are completely inadequate on scientific grounds; (b) the claims of some anointed experts about their favorite constructs (e.g., “parent alienation syndrome”) are equally hollow when subjected to scientific scrutiny; (c) evaluators should question the use even of well-established psychological measures (e.g., measures of intelligence, personality, psychopathology, and academic achievement) because of their often limited relevance to the questions before the court; and (d) little empirical data exist regarding other important and controversial issues (e.g., whether evaluators should solicit children's wishes about custody; whether infants and toddlers are harmed or helped by overnight visits), suggesting a need for further scientific investigation.","author":[{"dropping-particle":"","family":"Emery","given":"Robert E.","non-dropping-particle":"","parse-names":false,"suffix":""},{"dropping-particle":"","family":"Otto","given":"Randy K.","non-dropping-particle":"","parse-names":false,"suffix":""},{"dropping-particle":"","family":"O'Donohue","given":"William T.","non-dropping-particle":"","parse-names":false,"suffix":""}],"container-title":"Psychological Science in the Public Interest","id":"ITEM-1","issue":"1","issued":{"date-parts":[["2005","7","1"]]},"page":"1-29","title":"A Critical Assessment of Child Custody Evaluations","type":"article-journal","volume":"6"},"uris":["http://www.mendeley.com/documents/?uuid=6c7feba6-fe73-4723-b551-69b5d97d414a"]}],"mendeley":{"formattedCitation":"(Emery, Otto, &amp; O’Donohue, 2005)","plainTextFormattedCitation":"(Emery, Otto, &amp; O’Donohue, 2005)","previouslyFormattedCitation":"[4]"},"properties":{"noteIndex":0},"schema":"https://github.com/citation-style-language/schema/raw/master/csl-citation.json"}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(Emery, Otto, &amp; O’Donohue, 2005)</w:t>
      </w:r>
      <w:r w:rsidR="008D44A8">
        <w:rPr>
          <w:rFonts w:ascii="Calibri Light" w:hAnsi="Calibri Light" w:cs="Calibri Light"/>
          <w:color w:val="000000"/>
          <w:sz w:val="24"/>
          <w:szCs w:val="24"/>
        </w:rPr>
        <w:fldChar w:fldCharType="end"/>
      </w:r>
      <w:r w:rsidR="00755FD5">
        <w:rPr>
          <w:rFonts w:ascii="Calibri Light" w:hAnsi="Calibri Light" w:cs="Calibri Light"/>
          <w:color w:val="000000"/>
          <w:sz w:val="24"/>
          <w:szCs w:val="24"/>
        </w:rPr>
        <w:t>.</w:t>
      </w:r>
    </w:p>
    <w:p w14:paraId="3AB4AEAC"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Mixed marriages, as defined in various legal systems, are unions between individuals of different nationalities. In Indonesia, the definition is provided by Article 57 of Law No.1 of 1974 concerning Marriage, which states that a mixed marriage occurs when individuals are subject to different laws due to nationality differences.</w:t>
      </w:r>
    </w:p>
    <w:p w14:paraId="409DC4A4"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With the advent of the digital era, particularly starting in the 1980s, human interaction has transformed. The facilitation of cross-border communication has increased the frequency of mixed marriages. While these marriages bring cultural richness, they also lead to complex legal challenges, especially concerning the rights of children born from these unions. In particular, when these marriages dissolve, determining child custody rights becomes challenging, as each party may be subject to different legal systems.</w:t>
      </w:r>
    </w:p>
    <w:p w14:paraId="7F8D9E57"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The focus of this research stems from these complications, exploring the legal implications of the dissolution of mixed marriages and its effects on the custodial rights of underage children.</w:t>
      </w:r>
      <w:r w:rsidRPr="003E71BD">
        <w:rPr>
          <w:rFonts w:ascii="Calibri Light" w:hAnsi="Calibri Light" w:cs="Calibri Light"/>
          <w:b/>
          <w:color w:val="000000"/>
          <w:sz w:val="24"/>
          <w:szCs w:val="24"/>
        </w:rPr>
        <w:t xml:space="preserve"> </w:t>
      </w:r>
      <w:r w:rsidRPr="003E71BD">
        <w:rPr>
          <w:rFonts w:ascii="Calibri Light" w:hAnsi="Calibri Light" w:cs="Calibri Light"/>
          <w:color w:val="000000"/>
          <w:sz w:val="24"/>
          <w:szCs w:val="24"/>
        </w:rPr>
        <w:t>In the event of a dissolution of mixed marriages—whether due to divorce, death, or court judgment—several legal complexities arise. The primary concern addressed in this research revolves around the rights of children born from these unions, who often suffer legal uncertainty.</w:t>
      </w:r>
    </w:p>
    <w:p w14:paraId="77007CD8"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 xml:space="preserve">When parents belonging to different nationalities dissolve their marriage, the question arises regarding which legal system governs the child’s rights. Some legal systems follow the nationality principle, while others may adhere to territorial jurisdiction or the law of the place where the marriage occurred (lex loci celebrationis). This divergence in legal </w:t>
      </w:r>
      <w:r w:rsidRPr="003E71BD">
        <w:rPr>
          <w:rFonts w:ascii="Calibri Light" w:hAnsi="Calibri Light" w:cs="Calibri Light"/>
          <w:color w:val="000000"/>
          <w:sz w:val="24"/>
          <w:szCs w:val="24"/>
        </w:rPr>
        <w:lastRenderedPageBreak/>
        <w:t>frameworks makes it difficult to determine who has custody over underage children, as each legal system may have different views on custody and parental responsibilities.</w:t>
      </w:r>
    </w:p>
    <w:p w14:paraId="68C25371"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This research seeks to address two key legal issues:</w:t>
      </w:r>
    </w:p>
    <w:p w14:paraId="02080254" w14:textId="77777777" w:rsidR="003E71BD" w:rsidRPr="003E71BD" w:rsidRDefault="003E71BD" w:rsidP="003E71BD">
      <w:pPr>
        <w:pStyle w:val="ListParagraph"/>
        <w:numPr>
          <w:ilvl w:val="0"/>
          <w:numId w:val="30"/>
        </w:numPr>
        <w:spacing w:after="0" w:line="240" w:lineRule="auto"/>
        <w:ind w:left="709" w:hanging="283"/>
        <w:jc w:val="both"/>
        <w:rPr>
          <w:rFonts w:ascii="Calibri Light" w:hAnsi="Calibri Light" w:cs="Calibri Light"/>
          <w:b/>
          <w:color w:val="000000"/>
          <w:sz w:val="24"/>
          <w:szCs w:val="24"/>
        </w:rPr>
      </w:pPr>
      <w:r w:rsidRPr="003E71BD">
        <w:rPr>
          <w:rFonts w:ascii="Calibri Light" w:hAnsi="Calibri Light" w:cs="Calibri Light"/>
          <w:color w:val="000000"/>
          <w:sz w:val="24"/>
          <w:szCs w:val="24"/>
        </w:rPr>
        <w:t>What are the legal implications of the dissolution of mixed marriages on the rights of minor children, considering each parent may be subject to a different legal system?</w:t>
      </w:r>
    </w:p>
    <w:p w14:paraId="084DEFB1" w14:textId="77777777" w:rsidR="003E71BD" w:rsidRPr="003E71BD" w:rsidRDefault="003E71BD" w:rsidP="003E71BD">
      <w:pPr>
        <w:pStyle w:val="ListParagraph"/>
        <w:numPr>
          <w:ilvl w:val="0"/>
          <w:numId w:val="30"/>
        </w:numPr>
        <w:spacing w:after="0" w:line="240" w:lineRule="auto"/>
        <w:ind w:left="709" w:hanging="283"/>
        <w:jc w:val="both"/>
        <w:rPr>
          <w:rFonts w:ascii="Calibri Light" w:hAnsi="Calibri Light" w:cs="Calibri Light"/>
          <w:b/>
          <w:color w:val="000000"/>
          <w:sz w:val="24"/>
          <w:szCs w:val="24"/>
        </w:rPr>
      </w:pPr>
      <w:r w:rsidRPr="003E71BD">
        <w:rPr>
          <w:rFonts w:ascii="Calibri Light" w:hAnsi="Calibri Light" w:cs="Calibri Light"/>
          <w:color w:val="000000"/>
          <w:sz w:val="24"/>
          <w:szCs w:val="24"/>
        </w:rPr>
        <w:t>How is dispute resolution over child custody rights in mixed marriages implemented in the context of international civil law?</w:t>
      </w:r>
    </w:p>
    <w:p w14:paraId="30F0FBFF" w14:textId="77777777" w:rsidR="003E71BD" w:rsidRPr="003E71BD" w:rsidRDefault="003E71BD" w:rsidP="003E71BD">
      <w:pPr>
        <w:ind w:left="426"/>
        <w:jc w:val="both"/>
        <w:rPr>
          <w:rFonts w:ascii="Calibri Light" w:hAnsi="Calibri Light" w:cs="Calibri Light"/>
          <w:b/>
          <w:color w:val="000000"/>
          <w:sz w:val="24"/>
          <w:szCs w:val="24"/>
        </w:rPr>
      </w:pPr>
      <w:r w:rsidRPr="003E71BD">
        <w:rPr>
          <w:rFonts w:ascii="Calibri Light" w:hAnsi="Calibri Light" w:cs="Calibri Light"/>
          <w:color w:val="000000"/>
          <w:sz w:val="24"/>
          <w:szCs w:val="24"/>
        </w:rPr>
        <w:t>The research adopts a normative legal research methodology, utilizing statutory, conceptual, analytical, and comparative approaches. By analyzing legal materials and interviewing key informants, the study aims to explore the legal uncertainties and offer potential solutions to the dilemmas faced by children caught between conflicting legal systems when their parents’ marriage is dissolved.</w:t>
      </w:r>
    </w:p>
    <w:p w14:paraId="280033EE"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2AD4F4EF"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46C55140" w14:textId="77777777" w:rsidR="0054671E" w:rsidRPr="003D35B5" w:rsidRDefault="003D35B5" w:rsidP="003D35B5">
      <w:pPr>
        <w:pStyle w:val="ListParagraph"/>
        <w:numPr>
          <w:ilvl w:val="0"/>
          <w:numId w:val="38"/>
        </w:numPr>
        <w:spacing w:after="0" w:line="240" w:lineRule="auto"/>
        <w:ind w:left="785"/>
        <w:jc w:val="both"/>
        <w:rPr>
          <w:rFonts w:ascii="Calibri Light" w:hAnsi="Calibri Light" w:cs="Calibri Light"/>
          <w:color w:val="000000"/>
          <w:sz w:val="24"/>
          <w:szCs w:val="24"/>
          <w:lang w:eastAsia="en-US"/>
        </w:rPr>
      </w:pPr>
      <w:r>
        <w:rPr>
          <w:rFonts w:ascii="Calibri Light" w:hAnsi="Calibri Light" w:cs="Calibri Light"/>
          <w:color w:val="000000"/>
          <w:sz w:val="24"/>
          <w:szCs w:val="24"/>
          <w:lang w:val="en-US"/>
        </w:rPr>
        <w:t xml:space="preserve"> </w:t>
      </w:r>
      <w:r w:rsidR="0054671E" w:rsidRPr="003D35B5">
        <w:rPr>
          <w:rFonts w:ascii="Calibri Light" w:hAnsi="Calibri Light" w:cs="Calibri Light"/>
          <w:color w:val="000000"/>
          <w:sz w:val="24"/>
          <w:szCs w:val="24"/>
        </w:rPr>
        <w:t>Juridical Implications of the Dissolution of Mixed Marriages on the Rights of Minor Children</w:t>
      </w:r>
    </w:p>
    <w:p w14:paraId="1ACACCF8"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The dissolution of mixed marriages referred to in this article is the dissolution of the spiritual and physical bond between a man and a woman of different nationalities in forming a family (household) as intended by the provisions of Article 57 of the Marriage Law. According to the Indonesian Dictionary, the word dissolution is defined as: 1. scattered, scattered here and there; 2. Finished; 3. Tasks completed; 4.  The dissolution of mixed marriages can occur due to death, divorce or a court judgment. Article 38 of the Marriage Law reads that: “A marriage can break up due to: a. death; b. divorce; and c. court judgment.” </w:t>
      </w:r>
    </w:p>
    <w:p w14:paraId="7126179D" w14:textId="77777777" w:rsidR="0054671E" w:rsidRPr="00670FD0" w:rsidRDefault="00B82E50" w:rsidP="0054671E">
      <w:pPr>
        <w:ind w:left="426"/>
        <w:jc w:val="both"/>
        <w:rPr>
          <w:rFonts w:ascii="Calibri Light" w:hAnsi="Calibri Light" w:cs="Calibri Light"/>
          <w:b/>
          <w:color w:val="000000"/>
          <w:sz w:val="24"/>
          <w:szCs w:val="24"/>
        </w:rPr>
      </w:pPr>
      <w:r w:rsidRPr="00B82E50">
        <w:rPr>
          <w:rFonts w:ascii="Calibri Light" w:hAnsi="Calibri Light" w:cs="Calibri Light"/>
          <w:color w:val="000000"/>
          <w:sz w:val="24"/>
          <w:szCs w:val="24"/>
        </w:rPr>
        <w:t>From a juridical perspective, the dissolution of a mixed marriage refers to the termination of a marital relationship between spouses of different nationalities, thereby ending their legal duties and obligations as husband and wife. The Marriage Law itself does not explicitly use the term dissolution of marriage, but rather employs the phrase breakup of marriage. The applicable positive legal provisions regarding marital dissolution indicate</w:t>
      </w:r>
      <w:r w:rsidR="0054671E" w:rsidRPr="00670FD0">
        <w:rPr>
          <w:rFonts w:ascii="Calibri Light" w:hAnsi="Calibri Light" w:cs="Calibri Light"/>
          <w:color w:val="000000"/>
          <w:sz w:val="24"/>
          <w:szCs w:val="24"/>
        </w:rPr>
        <w:t>:</w:t>
      </w:r>
    </w:p>
    <w:p w14:paraId="5D64D3DA" w14:textId="77777777" w:rsidR="0054671E" w:rsidRPr="00670FD0" w:rsidRDefault="00C836F9" w:rsidP="003D35B5">
      <w:pPr>
        <w:pStyle w:val="ListParagraph"/>
        <w:numPr>
          <w:ilvl w:val="0"/>
          <w:numId w:val="32"/>
        </w:numPr>
        <w:spacing w:after="0" w:line="240" w:lineRule="auto"/>
        <w:ind w:left="709" w:hanging="283"/>
        <w:jc w:val="both"/>
        <w:rPr>
          <w:rFonts w:ascii="Calibri Light" w:hAnsi="Calibri Light" w:cs="Calibri Light"/>
          <w:b/>
          <w:color w:val="000000"/>
          <w:sz w:val="24"/>
          <w:szCs w:val="24"/>
        </w:rPr>
      </w:pPr>
      <w:r w:rsidRPr="00C836F9">
        <w:rPr>
          <w:rFonts w:ascii="Calibri Light" w:hAnsi="Calibri Light" w:cs="Calibri Light"/>
          <w:color w:val="000000"/>
          <w:sz w:val="24"/>
          <w:szCs w:val="24"/>
        </w:rPr>
        <w:t>A legal action may be initiated by either the husband or the wife to terminate the marital relationship between them.</w:t>
      </w:r>
    </w:p>
    <w:p w14:paraId="002028BE" w14:textId="77777777" w:rsidR="0054671E" w:rsidRPr="00670FD0" w:rsidRDefault="00D3209D" w:rsidP="003D35B5">
      <w:pPr>
        <w:pStyle w:val="ListParagraph"/>
        <w:numPr>
          <w:ilvl w:val="0"/>
          <w:numId w:val="32"/>
        </w:numPr>
        <w:spacing w:after="0" w:line="240" w:lineRule="auto"/>
        <w:ind w:left="709" w:hanging="283"/>
        <w:jc w:val="both"/>
        <w:rPr>
          <w:rFonts w:ascii="Calibri Light" w:hAnsi="Calibri Light" w:cs="Calibri Light"/>
          <w:b/>
          <w:color w:val="000000"/>
          <w:sz w:val="24"/>
          <w:szCs w:val="24"/>
        </w:rPr>
      </w:pPr>
      <w:r w:rsidRPr="00D3209D">
        <w:rPr>
          <w:rFonts w:ascii="Calibri Light" w:hAnsi="Calibri Light" w:cs="Calibri Light"/>
          <w:color w:val="000000"/>
          <w:sz w:val="24"/>
          <w:szCs w:val="24"/>
        </w:rPr>
        <w:t>The termination of the marital relationship due to the death of either the husband or the wife constitutes a definitive and direct event, understood as occurring by the will of God Almighty.</w:t>
      </w:r>
    </w:p>
    <w:p w14:paraId="6CC7ACA1" w14:textId="77777777" w:rsidR="0054671E" w:rsidRPr="00670FD0" w:rsidRDefault="0054671E" w:rsidP="003D35B5">
      <w:pPr>
        <w:pStyle w:val="ListParagraph"/>
        <w:numPr>
          <w:ilvl w:val="0"/>
          <w:numId w:val="32"/>
        </w:numPr>
        <w:spacing w:after="0" w:line="240" w:lineRule="auto"/>
        <w:ind w:left="709" w:hanging="283"/>
        <w:jc w:val="both"/>
        <w:rPr>
          <w:rFonts w:ascii="Calibri Light" w:hAnsi="Calibri Light" w:cs="Calibri Light"/>
          <w:b/>
          <w:color w:val="000000"/>
          <w:sz w:val="24"/>
          <w:szCs w:val="24"/>
        </w:rPr>
      </w:pPr>
      <w:r w:rsidRPr="00670FD0">
        <w:rPr>
          <w:rFonts w:ascii="Calibri Light" w:hAnsi="Calibri Light" w:cs="Calibri Light"/>
          <w:color w:val="000000"/>
          <w:sz w:val="24"/>
          <w:szCs w:val="24"/>
        </w:rPr>
        <w:t>A legal decision declared by a court having legal effect of breaking up the marital relationship between husband and wife.</w:t>
      </w:r>
    </w:p>
    <w:p w14:paraId="433691C1" w14:textId="77777777" w:rsidR="0054671E" w:rsidRPr="00670FD0" w:rsidRDefault="00CC38EC" w:rsidP="0054671E">
      <w:pPr>
        <w:ind w:left="426"/>
        <w:jc w:val="both"/>
        <w:rPr>
          <w:rFonts w:ascii="Calibri Light" w:hAnsi="Calibri Light" w:cs="Calibri Light"/>
          <w:b/>
          <w:color w:val="000000"/>
          <w:sz w:val="24"/>
          <w:szCs w:val="24"/>
        </w:rPr>
      </w:pPr>
      <w:r w:rsidRPr="00CC38EC">
        <w:rPr>
          <w:rFonts w:ascii="Calibri Light" w:hAnsi="Calibri Light" w:cs="Calibri Light"/>
          <w:color w:val="000000"/>
          <w:sz w:val="24"/>
          <w:szCs w:val="24"/>
        </w:rPr>
        <w:t>According to the doctrine articulated by Abdulkadir Muhammad, the dissolution of marriage due to death is termed a "death divorce". Meanwhile, the dissolution of marriage through divorce is categorized into two forms: (a) suit divorce (khulu) and (b) thalaq divorce. Additionally, the termination of marriage by court decision is referred to as a "cancel divorce". The use of these specific terms in describing the dissolution of marriage is grounded in the following considerations:</w:t>
      </w:r>
    </w:p>
    <w:p w14:paraId="1F826551" w14:textId="77777777" w:rsidR="003D35B5" w:rsidRDefault="00AE0945" w:rsidP="003D35B5">
      <w:pPr>
        <w:pStyle w:val="ListParagraph"/>
        <w:numPr>
          <w:ilvl w:val="3"/>
          <w:numId w:val="30"/>
        </w:numPr>
        <w:spacing w:after="0" w:line="240" w:lineRule="auto"/>
        <w:ind w:left="709" w:hanging="284"/>
        <w:jc w:val="both"/>
        <w:rPr>
          <w:rFonts w:ascii="Calibri Light" w:hAnsi="Calibri Light" w:cs="Calibri Light"/>
          <w:color w:val="000000"/>
          <w:sz w:val="24"/>
          <w:szCs w:val="24"/>
        </w:rPr>
      </w:pPr>
      <w:r w:rsidRPr="00AE0945">
        <w:rPr>
          <w:rFonts w:ascii="Calibri Light" w:hAnsi="Calibri Light" w:cs="Calibri Light"/>
          <w:color w:val="000000"/>
          <w:sz w:val="24"/>
          <w:szCs w:val="24"/>
        </w:rPr>
        <w:lastRenderedPageBreak/>
        <w:t>The terms "death divorce" and "cancel divorce" convey no implication of conflict or dispute between the husband and wife.</w:t>
      </w:r>
    </w:p>
    <w:p w14:paraId="6875A3D9" w14:textId="77777777" w:rsidR="00AE0945" w:rsidRDefault="00AE0945" w:rsidP="003D35B5">
      <w:pPr>
        <w:pStyle w:val="ListParagraph"/>
        <w:numPr>
          <w:ilvl w:val="3"/>
          <w:numId w:val="30"/>
        </w:numPr>
        <w:spacing w:after="0" w:line="240" w:lineRule="auto"/>
        <w:ind w:left="709" w:hanging="284"/>
        <w:jc w:val="both"/>
        <w:rPr>
          <w:rFonts w:ascii="Calibri Light" w:hAnsi="Calibri Light" w:cs="Calibri Light"/>
          <w:color w:val="000000"/>
          <w:sz w:val="24"/>
          <w:szCs w:val="24"/>
        </w:rPr>
      </w:pPr>
      <w:r w:rsidRPr="00AE0945">
        <w:rPr>
          <w:rFonts w:ascii="Calibri Light" w:hAnsi="Calibri Light" w:cs="Calibri Light"/>
          <w:color w:val="000000"/>
          <w:sz w:val="24"/>
          <w:szCs w:val="24"/>
        </w:rPr>
        <w:t>The terms "suit divorce (khulu)" and "cancel divorce" imply the existence of a dispute between the husband and wife.</w:t>
      </w:r>
    </w:p>
    <w:p w14:paraId="041BAA5B" w14:textId="77777777" w:rsidR="0054671E" w:rsidRPr="003D35B5" w:rsidRDefault="004F3787" w:rsidP="003D35B5">
      <w:pPr>
        <w:pStyle w:val="ListParagraph"/>
        <w:numPr>
          <w:ilvl w:val="3"/>
          <w:numId w:val="30"/>
        </w:numPr>
        <w:spacing w:after="0" w:line="240" w:lineRule="auto"/>
        <w:ind w:left="709" w:hanging="284"/>
        <w:jc w:val="both"/>
        <w:rPr>
          <w:rFonts w:ascii="Calibri Light" w:hAnsi="Calibri Light" w:cs="Calibri Light"/>
          <w:color w:val="000000"/>
          <w:sz w:val="24"/>
          <w:szCs w:val="24"/>
        </w:rPr>
      </w:pPr>
      <w:r w:rsidRPr="004F3787">
        <w:rPr>
          <w:rFonts w:ascii="Calibri Light" w:hAnsi="Calibri Light" w:cs="Calibri Light"/>
          <w:color w:val="000000"/>
          <w:sz w:val="24"/>
          <w:szCs w:val="24"/>
        </w:rPr>
        <w:t>The dissolution of a marriage, whether through divorce or by other means, must be legally established by a court decision.</w:t>
      </w:r>
      <w:r w:rsidR="0054671E" w:rsidRPr="003D35B5">
        <w:rPr>
          <w:rFonts w:ascii="Calibri Light" w:hAnsi="Calibri Light" w:cs="Calibri Light"/>
          <w:color w:val="000000"/>
          <w:sz w:val="24"/>
          <w:szCs w:val="24"/>
        </w:rPr>
        <w:t>"</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{"citationItems":[{"id":"ITEM-1","itemData":{"DOI":"10.24042/adalah.v20i1.16518","ISSN":"2614171X","abstract":"One of the implications of unregistered marriages between Indonesian-Malaysian border communities is the occurrence of non-litigation divorces or divorces outside of court. This implication happens because there is no evidence in the form of a marriage book that is officially regulated in Indonesia. Divorce referred to by the local community is known as cerai manis (preferred divorce). This type of divorce is done based on the willingness and agreement of both parties without any conflicts or disputes. The purpose of this research is to find out the construction of cerai manis law which is part of the customary law of the local community. The method used in this research is field research with a sociological approach, while for data analysis, the author used descriptive qualitative analysis techniques. The results of this research indicate that the parties who agree to divorce, after going through the stages of adat and customary mediation, will obtain a certificate of customary separation which also regulates child custody, rights to share over joint assets and collective agreements.","author":[{"dropping-particle":"","family":"Ma’u","given":"Dahlia Haliah","non-dropping-particle":"","parse-names":false,"suffix":""},{"dropping-particle":"","family":"Wagiyem","given":"","non-dropping-particle":"","parse-names":false,"suffix":""},{"dropping-particle":"","family":"Rahayu","given":"Rita Mustika","non-dropping-particle":"","parse-names":false,"suffix":""}],"container-title":"Al-'Adalah","id":"ITEM-1","issue":"1","issued":{"date-parts":[["2023"]]},"page":"19-34","title":"The Construction of Cerai Manis (Prefered Divorce) on the Border of Indonesia and Malaysia Communities","type":"article-journal","volume":"20"},"uris":["http://www.mendeley.com/documents/?uuid=bd461fe7-de46-46e2-be24-0a83674afb3e"]}],"mendeley":{"formattedCitation":"(Ma’u, Wagiyem, &amp; Rahayu, 2023)","plainTextFormattedCitation":"(Ma’u, Wagiyem, &amp; Rahayu, 2023)","previouslyFormattedCitation":"[5]"},"properties":{"noteIndex":0},"schema":"https://github.com/citation-style-language/schema/raw/master/csl-citation.json"}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color w:val="000000"/>
          <w:sz w:val="24"/>
          <w:szCs w:val="24"/>
        </w:rPr>
        <w:t>(Ma’u, Wagiyem, &amp; Rahayu, 2023)</w:t>
      </w:r>
      <w:r w:rsidR="008D44A8">
        <w:rPr>
          <w:rFonts w:ascii="Calibri Light" w:hAnsi="Calibri Light" w:cs="Calibri Light"/>
          <w:color w:val="000000"/>
          <w:sz w:val="24"/>
          <w:szCs w:val="24"/>
        </w:rPr>
        <w:fldChar w:fldCharType="end"/>
      </w:r>
      <w:r w:rsidR="00D55C95" w:rsidRPr="003D35B5">
        <w:rPr>
          <w:rFonts w:ascii="Calibri Light" w:hAnsi="Calibri Light" w:cs="Calibri Light"/>
          <w:color w:val="000000"/>
          <w:sz w:val="24"/>
          <w:szCs w:val="24"/>
        </w:rPr>
        <w:t xml:space="preserve"> </w:t>
      </w:r>
    </w:p>
    <w:p w14:paraId="34631577" w14:textId="77777777" w:rsidR="0054671E" w:rsidRPr="00670FD0" w:rsidRDefault="00F1332B" w:rsidP="00A17DC7">
      <w:pPr>
        <w:ind w:left="425"/>
        <w:jc w:val="both"/>
        <w:rPr>
          <w:rFonts w:ascii="Calibri Light" w:hAnsi="Calibri Light" w:cs="Calibri Light"/>
          <w:color w:val="000000"/>
          <w:sz w:val="24"/>
          <w:szCs w:val="24"/>
        </w:rPr>
      </w:pPr>
      <w:r w:rsidRPr="00F1332B">
        <w:rPr>
          <w:rFonts w:ascii="Calibri Light" w:hAnsi="Calibri Light" w:cs="Calibri Light"/>
          <w:color w:val="000000"/>
          <w:sz w:val="24"/>
          <w:szCs w:val="24"/>
        </w:rPr>
        <w:t>Likawunt Samuel Asfaw defines the dissolution of marriage as the termination of the husband-wife relationship, noting that its form varies depending on which party initiates the desire to end the marriage.</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{"citationItems":[{"id":"ITEM-1","itemData":{"DOI":"10.1186/s40359-023-01051-3","ISSN":"2050-7283","author":[{"dropping-particle":"","family":"Asfaw","given":"Likawunt Samuel","non-dropping-particle":"","parse-names":false,"suffix":""},{"dropping-particle":"","family":"Alene","given":"Getu Degu","non-dropping-particle":"","parse-names":false,"suffix":""}],"container-title":"BMC Psychology","id":"ITEM-1","issue":"1","issued":{"date-parts":[["2023","1","25"]]},"page":"20","title":"Marital dissolution and associated factors in Hosanna, Southwest Ethiopia: a community-based cross-sectional study","type":"article-journal","volume":"11"},"uris":["http://www.mendeley.com/documents/?uuid=8fe34d66-fd67-4d8a-bafd-f52baba84b7f"]}],"mendeley":{"formattedCitation":"(Asfaw &amp; Alene, 2023)","plainTextFormattedCitation":"(Asfaw &amp; Alene, 2023)","previouslyFormattedCitation":"[6]"},"properties":{"noteIndex":0},"schema":"https://github.com/citation-style-language/schema/raw/master/csl-citation.json"}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(Asfaw &amp; Alene, 2023)</w:t>
      </w:r>
      <w:r w:rsidR="008D44A8">
        <w:rPr>
          <w:rFonts w:ascii="Calibri Light" w:hAnsi="Calibri Light" w:cs="Calibri Light"/>
          <w:color w:val="000000"/>
          <w:sz w:val="24"/>
          <w:szCs w:val="24"/>
        </w:rPr>
        <w:fldChar w:fldCharType="end"/>
      </w:r>
      <w:r w:rsidR="0054671E" w:rsidRPr="00670FD0">
        <w:rPr>
          <w:rFonts w:ascii="Calibri Light" w:hAnsi="Calibri Light" w:cs="Calibri Light"/>
          <w:color w:val="000000"/>
          <w:sz w:val="24"/>
          <w:szCs w:val="24"/>
        </w:rPr>
        <w:t>. In this case there are 4 (four) possibilities, as follows:</w:t>
      </w:r>
    </w:p>
    <w:p w14:paraId="583B36BE" w14:textId="77777777" w:rsidR="003D35B5" w:rsidRDefault="001C0CE0" w:rsidP="003D35B5">
      <w:pPr>
        <w:pStyle w:val="ListParagraph"/>
        <w:numPr>
          <w:ilvl w:val="0"/>
          <w:numId w:val="40"/>
        </w:numPr>
        <w:spacing w:after="0" w:line="240" w:lineRule="auto"/>
        <w:ind w:left="709" w:hanging="284"/>
        <w:jc w:val="both"/>
        <w:rPr>
          <w:rFonts w:ascii="Calibri Light" w:hAnsi="Calibri Light" w:cs="Calibri Light"/>
          <w:color w:val="000000"/>
          <w:sz w:val="24"/>
          <w:szCs w:val="24"/>
        </w:rPr>
      </w:pPr>
      <w:r w:rsidRPr="001C0CE0">
        <w:rPr>
          <w:rFonts w:ascii="Calibri Light" w:hAnsi="Calibri Light" w:cs="Calibri Light"/>
          <w:color w:val="000000"/>
          <w:sz w:val="24"/>
          <w:szCs w:val="24"/>
        </w:rPr>
        <w:t>The dissolution of a marriage by the death of either spouse is considered an act of divine will, resulting in the automatic termination of the marital relationship.</w:t>
      </w:r>
    </w:p>
    <w:p w14:paraId="72AFFFEC" w14:textId="77777777" w:rsidR="003D35B5" w:rsidRDefault="0054671E" w:rsidP="003D35B5">
      <w:pPr>
        <w:pStyle w:val="ListParagraph"/>
        <w:numPr>
          <w:ilvl w:val="0"/>
          <w:numId w:val="40"/>
        </w:numPr>
        <w:spacing w:after="0" w:line="240" w:lineRule="auto"/>
        <w:ind w:left="709" w:hanging="284"/>
        <w:jc w:val="both"/>
        <w:rPr>
          <w:rFonts w:ascii="Calibri Light" w:hAnsi="Calibri Light" w:cs="Calibri Light"/>
          <w:color w:val="000000"/>
          <w:sz w:val="24"/>
          <w:szCs w:val="24"/>
        </w:rPr>
      </w:pPr>
      <w:r w:rsidRPr="003D35B5">
        <w:rPr>
          <w:rFonts w:ascii="Calibri Light" w:hAnsi="Calibri Light" w:cs="Calibri Light"/>
          <w:color w:val="000000"/>
          <w:sz w:val="24"/>
          <w:szCs w:val="24"/>
        </w:rPr>
        <w:t>The dissolution of a marriage is based on the husband's will for certain reasons and his will is expressed in certain words. Divorce of this form is referred to as thalaq</w:t>
      </w:r>
    </w:p>
    <w:p w14:paraId="64F9E5F6" w14:textId="77777777" w:rsidR="0054671E" w:rsidRPr="003D35B5" w:rsidRDefault="0054671E" w:rsidP="003D35B5">
      <w:pPr>
        <w:pStyle w:val="ListParagraph"/>
        <w:numPr>
          <w:ilvl w:val="0"/>
          <w:numId w:val="40"/>
        </w:numPr>
        <w:spacing w:after="0" w:line="240" w:lineRule="auto"/>
        <w:ind w:left="709" w:hanging="284"/>
        <w:jc w:val="both"/>
        <w:rPr>
          <w:rFonts w:ascii="Calibri Light" w:hAnsi="Calibri Light" w:cs="Calibri Light"/>
          <w:color w:val="000000"/>
          <w:sz w:val="24"/>
          <w:szCs w:val="24"/>
        </w:rPr>
      </w:pPr>
      <w:r w:rsidRPr="003D35B5">
        <w:rPr>
          <w:rFonts w:ascii="Calibri Light" w:hAnsi="Calibri Light" w:cs="Calibri Light"/>
          <w:color w:val="000000"/>
          <w:sz w:val="24"/>
          <w:szCs w:val="24"/>
        </w:rPr>
        <w:t>The dissolution of marriage due to the wife's will because the wife saw something causing the marriage to break up, while the husband did not want the divorce. The wife's will to dissolve the marriage conveyed in a certain way is accepted by husband and continued with his statement to dissolve the marriage. The dissolution of a marriage through this way is referred to as “khulu'.</w:t>
      </w:r>
    </w:p>
    <w:p w14:paraId="61F7F77D" w14:textId="77777777" w:rsidR="0054671E" w:rsidRPr="00670FD0" w:rsidRDefault="00392731" w:rsidP="00392731">
      <w:pPr>
        <w:ind w:left="425"/>
        <w:jc w:val="both"/>
        <w:rPr>
          <w:rFonts w:ascii="Calibri Light" w:hAnsi="Calibri Light" w:cs="Calibri Light"/>
          <w:color w:val="000000"/>
          <w:sz w:val="24"/>
          <w:szCs w:val="24"/>
        </w:rPr>
      </w:pPr>
      <w:r w:rsidRPr="00392731">
        <w:rPr>
          <w:rFonts w:ascii="Calibri Light" w:hAnsi="Calibri Light" w:cs="Calibri Light"/>
          <w:color w:val="000000"/>
          <w:sz w:val="24"/>
          <w:szCs w:val="24"/>
        </w:rPr>
        <w:t>The dissolution of a marriage may also occur through the will of a judge, acting as a third party, upon identifying circumstances in the husband and/or wife that indicate the marriage can no longer be sustained. This form of dissolution is known as fasakh.</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{"citationItems":[{"id":"ITEM-1","itemData":{"DOI":"10.21580/ihya.26.1.20519","ISSN":"1411-3708","abstract":"Divorce between a man and a woman, whether due to death, divorce, or a court decision, results in the application of the law of 'iddah (a waiting period) in Islam.  Compilation of Indonesian Islamic Law (KHI) Chapter VI Article 40 letter b concerning the Prohibition of Marriage, that it is prohibited to enter into a marriage if a woman is still in the 'iddah period with another man. This marriage prohibition applies to both men and women simultaneously.'Iddah is a stipulation of Allah's Shari'a for women who have broken up with their marital relationship to carry out the waiting not to get married at a certain time to hifdz an-nail that guarantees the honor of the child's lineage in the family so that by 'iddah the woman's womb is clean from pregnancy and the most basic goal of ‘iddah is for ta'abbudi. So, based on ta’abbbudi, the law of carrying out 'iddah is obligatory and sinful for those who break it, both men and women. So, The legal implications for those who marry during the 'iddah period, either iddah due to death or divorce for both men and women who have or have not had sexual intercourse, are that marriage is broken (faced) and must be annulled, and if they have had sexual relation, both of them' you have committed adultery and sinned, even according to Imam Malik because of sexual intercourse, it is haram for a husband who marries a woman during 'iddah to remarry that woman forever. Jumhur ulama allows both men, whether the first husband who divorced her or the second husband who marries a woman during the 'iddah period, to remarry her on condition that the woman has carried out her two periods of 'iddah perfectly, furthermore allowed to marry the man she chose.","author":[{"dropping-particle":"","family":"Bariah","given":"Oyoh","non-dropping-particle":"","parse-names":false,"suffix":""},{"dropping-particle":"","family":"Ferianto","given":"Ferianto","non-dropping-particle":"","parse-names":false,"suffix":""}],"container-title":"International Journal Ihya' 'Ulum al-Din","id":"ITEM-1","issue":"1","issued":{"date-parts":[["2024"]]},"page":"10-22","title":"Legal Implications of Marriage During the 'Iddah Period: Analytical Study of the Opinions of Fiqh Scholars","type":"article-journal","volume":"26"},"uris":["http://www.mendeley.com/documents/?uuid=39b16635-78b4-4561-b21b-b15bb6c285e1"]}],"mendeley":{"formattedCitation":"(Bariah &amp; Ferianto, 2024)","plainTextFormattedCitation":"(Bariah &amp; Ferianto, 2024)","previouslyFormattedCitation":"[7]"},"properties":{"noteIndex":0},"schema":"https://github.com/citation-style-language/schema/raw/master/csl-citation.json"}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(Bariah &amp; Ferianto, 2024)</w:t>
      </w:r>
      <w:r w:rsidR="008D44A8">
        <w:rPr>
          <w:rFonts w:ascii="Calibri Light" w:hAnsi="Calibri Light" w:cs="Calibri Light"/>
          <w:color w:val="000000"/>
          <w:sz w:val="24"/>
          <w:szCs w:val="24"/>
        </w:rPr>
        <w:fldChar w:fldCharType="end"/>
      </w:r>
    </w:p>
    <w:p w14:paraId="00DE708C" w14:textId="77777777" w:rsidR="0054671E" w:rsidRPr="00670FD0" w:rsidRDefault="006E3854" w:rsidP="0054671E">
      <w:pPr>
        <w:ind w:left="426"/>
        <w:jc w:val="both"/>
        <w:rPr>
          <w:rFonts w:ascii="Calibri Light" w:hAnsi="Calibri Light" w:cs="Calibri Light"/>
          <w:color w:val="000000"/>
          <w:sz w:val="24"/>
          <w:szCs w:val="24"/>
        </w:rPr>
      </w:pPr>
      <w:r w:rsidRPr="006E3854">
        <w:rPr>
          <w:rFonts w:ascii="Calibri Light" w:hAnsi="Calibri Light" w:cs="Calibri Light"/>
          <w:color w:val="000000"/>
          <w:sz w:val="24"/>
          <w:szCs w:val="24"/>
        </w:rPr>
        <w:t>Silveira states that divorce is the termination of a marriage either through a judge’s decision or at the request of one of the parties to the marriage</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{"citationItems":[{"id":"ITEM-1","itemData":{"DOI":"10.1016/j.mexlaw.2016.09.003","ISSN":"18700578","author":[{"dropping-particle":"","family":"Silveira","given":"Graciela Jasa","non-dropping-particle":"","parse-names":false,"suffix":""}],"container-title":"Mexican Law Review","id":"ITEM-1","issue":"1","issued":{"date-parts":[["2016","7"]]},"page":"45-79","title":"CHALLENGING THE CENTRALIST DOCTRINE IN MEXICAN FAMILY LAW: AN ANALYSIS OF THE EVOLUTION OF STATE AUTHORITY OVER CIVIL LAW MATTERS AND ITS IMPACT ON THE REGULATION OF COHABITATION AND DIVORCE","type":"article-journal","volume":"9"},"uris":["http://www.mendeley.com/documents/?uuid=ca83adb8-dd1a-4053-b036-432b08945953"]}],"mendeley":{"formattedCitation":"(Silveira, 2016)","plainTextFormattedCitation":"(Silveira, 2016)","previouslyFormattedCitation":"[8]"},"properties":{"noteIndex":0},"schema":"https://github.com/citation-style-language/schema/raw/master/csl-citation.json"}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(Silveira, 2016)</w:t>
      </w:r>
      <w:r w:rsidR="008D44A8">
        <w:rPr>
          <w:rFonts w:ascii="Calibri Light" w:hAnsi="Calibri Light" w:cs="Calibri Light"/>
          <w:color w:val="000000"/>
          <w:sz w:val="24"/>
          <w:szCs w:val="24"/>
        </w:rPr>
        <w:fldChar w:fldCharType="end"/>
      </w:r>
      <w:r w:rsidR="0054671E" w:rsidRPr="00670FD0">
        <w:rPr>
          <w:rFonts w:ascii="Calibri Light" w:hAnsi="Calibri Light" w:cs="Calibri Light"/>
          <w:color w:val="000000"/>
          <w:sz w:val="24"/>
          <w:szCs w:val="24"/>
        </w:rPr>
        <w:t xml:space="preserve">. Meanwhile, </w:t>
      </w:r>
      <w:r w:rsidR="001F4852">
        <w:rPr>
          <w:rFonts w:ascii="Calibri Light" w:hAnsi="Calibri Light" w:cs="Calibri Light"/>
          <w:color w:val="000000"/>
          <w:sz w:val="24"/>
          <w:szCs w:val="24"/>
        </w:rPr>
        <w:t>Widanarti</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{"citationItems":[{"id":"ITEM-1","itemData":{"DOI":"10.15294/ipsr.v7i2.34640","ISSN":"2477-8060","abstract":"This study aims to examine the legal consequences caused by the marriage bond between a man and a woman, namely for the sake of law there is a mixture of assets between the two. This mixing of treasures led to the emergence of common property. However, there are exceptions to this mixture of assets, namely assets obtained before marriage, assets obtained based on gifts and assets obtained based on inheritance. So even though the mixing of assets occurs by law, it does not mean that this situation cannot be avoided. The existence of a marriage agreement that explicitly separates the assets of husband and wife in marriage. By entering into a Marriage Agreement, the two prospective husband and wife are entitled to prepare some deviations from the laws and regulations regarding the association of assets, as long as the agreement does not violate good morals or general rules and as long as all provisions are respected. This article will analyze and discuss the development of regulations regarding Marriage Agreements in Indonesia.","author":[{"dropping-particle":"","family":"Widanarti","given":"Herni","non-dropping-particle":"","parse-names":false,"suffix":""},{"dropping-particle":"","family":"Benuf","given":"Kornelius","non-dropping-particle":"","parse-names":false,"suffix":""}],"container-title":"Politik Indonesia: Indonesian Political Science Review","id":"ITEM-1","issue":"2","issued":{"date-parts":[["2022"]]},"page":"179-193","title":"Development of Rules Concerning Indonesian Marriage Agreements","type":"article-journal","volume":"7"},"uris":["http://www.mendeley.com/documents/?uuid=d527838d-c2e2-463e-9220-6d11457def04"]}],"mendeley":{"formattedCitation":"(Widanarti &amp; Benuf, 2022)","plainTextFormattedCitation":"(Widanarti &amp; Benuf, 2022)","previouslyFormattedCitation":"[9]"},"properties":{"noteIndex":0},"schema":"https://github.com/citation-style-language/schema/raw/master/csl-citation.json"}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(Widanarti &amp; Benuf, 2022)</w:t>
      </w:r>
      <w:r w:rsidR="008D44A8">
        <w:rPr>
          <w:rFonts w:ascii="Calibri Light" w:hAnsi="Calibri Light" w:cs="Calibri Light"/>
          <w:color w:val="000000"/>
          <w:sz w:val="24"/>
          <w:szCs w:val="24"/>
        </w:rPr>
        <w:fldChar w:fldCharType="end"/>
      </w:r>
      <w:r w:rsidR="009A5D67">
        <w:rPr>
          <w:rFonts w:ascii="Calibri Light" w:hAnsi="Calibri Light" w:cs="Calibri Light"/>
          <w:color w:val="000000"/>
          <w:sz w:val="24"/>
          <w:szCs w:val="24"/>
        </w:rPr>
        <w:t xml:space="preserve"> </w:t>
      </w:r>
      <w:r w:rsidR="00CD3115" w:rsidRPr="00CD3115">
        <w:rPr>
          <w:rFonts w:ascii="Calibri Light" w:hAnsi="Calibri Light" w:cs="Calibri Light"/>
          <w:color w:val="000000"/>
          <w:sz w:val="24"/>
          <w:szCs w:val="24"/>
        </w:rPr>
        <w:t>The dissolution of a marriage is referred to as the breakup of a marital union. Based on the provisions of Article 1 of the Marriage Law, which states: "Marriage is a spiritual and physical bond between a man and a woman as husband and wife with the aim of forming a happy and eternal family (household) based on the belief in the Almighty God,"—and considering the various definitions, terms, and grounds for the dissolution of marriage as previously described—this article defines the dissolution of a mixed marriage as a legal event and/or legal action that terminates the physical and spiritual bond between a man and a woman of different nationalities, due to legal reasons, legal procedures, and specific legal consequences. Such dissolution must be explicitly declared through a court decision.</w:t>
      </w:r>
    </w:p>
    <w:p w14:paraId="7090612E"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Regarding the focus of the study in this article and considering that Indonesia is a country of which citizens are predominantly Muslim, the author identifies this by referring to the provisions of the circular letter of the Directorate General of Religious Courts Number 1669/DJA/HK.00/5/2021 concerning Guarantees for the Fulfillment of Rights of Women and Children Post-Divorce, where the circular outlines several Rights of Women and Children Post-Divorce, namely: </w:t>
      </w:r>
    </w:p>
    <w:p w14:paraId="6DED1600" w14:textId="77777777" w:rsidR="0054671E" w:rsidRPr="00670FD0" w:rsidRDefault="0010643B" w:rsidP="003D35B5">
      <w:pPr>
        <w:pStyle w:val="ListParagraph"/>
        <w:numPr>
          <w:ilvl w:val="0"/>
          <w:numId w:val="41"/>
        </w:numPr>
        <w:spacing w:after="0" w:line="240" w:lineRule="auto"/>
        <w:ind w:left="709" w:hanging="284"/>
        <w:jc w:val="both"/>
        <w:rPr>
          <w:rFonts w:ascii="Calibri Light" w:hAnsi="Calibri Light" w:cs="Calibri Light"/>
          <w:color w:val="000000"/>
          <w:sz w:val="24"/>
          <w:szCs w:val="24"/>
        </w:rPr>
      </w:pPr>
      <w:r w:rsidRPr="0010643B">
        <w:rPr>
          <w:rFonts w:ascii="Calibri Light" w:hAnsi="Calibri Light" w:cs="Calibri Light"/>
          <w:color w:val="000000"/>
          <w:sz w:val="24"/>
          <w:szCs w:val="24"/>
        </w:rPr>
        <w:t>Every child has the right to receive care, education, healthcare, and a home, along with a nurturing environment that supports both their spiritual and physical well-being, including the right to be loved.</w:t>
      </w:r>
    </w:p>
    <w:p w14:paraId="3B71DFC8" w14:textId="77777777" w:rsidR="0054671E" w:rsidRPr="00670FD0" w:rsidRDefault="00F54DFA" w:rsidP="003D35B5">
      <w:pPr>
        <w:pStyle w:val="ListParagraph"/>
        <w:numPr>
          <w:ilvl w:val="0"/>
          <w:numId w:val="41"/>
        </w:numPr>
        <w:spacing w:after="0" w:line="240" w:lineRule="auto"/>
        <w:ind w:left="709" w:hanging="284"/>
        <w:jc w:val="both"/>
        <w:rPr>
          <w:rFonts w:ascii="Calibri Light" w:hAnsi="Calibri Light" w:cs="Calibri Light"/>
          <w:color w:val="000000"/>
          <w:sz w:val="24"/>
          <w:szCs w:val="24"/>
        </w:rPr>
      </w:pPr>
      <w:r w:rsidRPr="00F54DFA">
        <w:rPr>
          <w:rFonts w:ascii="Calibri Light" w:hAnsi="Calibri Light" w:cs="Calibri Light"/>
          <w:color w:val="000000"/>
          <w:sz w:val="24"/>
          <w:szCs w:val="24"/>
        </w:rPr>
        <w:lastRenderedPageBreak/>
        <w:t>All expenses related to the child’s upbringing and well-being are the shared responsibility of both the father and the mother.</w:t>
      </w:r>
      <w:r w:rsidR="0054671E" w:rsidRPr="00670FD0">
        <w:rPr>
          <w:rFonts w:ascii="Calibri Light" w:hAnsi="Calibri Light" w:cs="Calibri Light"/>
          <w:color w:val="000000"/>
          <w:sz w:val="24"/>
          <w:szCs w:val="24"/>
        </w:rPr>
        <w:t>.</w:t>
      </w:r>
    </w:p>
    <w:p w14:paraId="1AA2D725" w14:textId="77777777" w:rsidR="0054671E" w:rsidRPr="00670FD0" w:rsidRDefault="00F54DFA" w:rsidP="003D35B5">
      <w:pPr>
        <w:pStyle w:val="ListParagraph"/>
        <w:numPr>
          <w:ilvl w:val="0"/>
          <w:numId w:val="41"/>
        </w:numPr>
        <w:spacing w:after="0" w:line="240" w:lineRule="auto"/>
        <w:ind w:left="709" w:hanging="284"/>
        <w:jc w:val="both"/>
        <w:rPr>
          <w:rFonts w:ascii="Calibri Light" w:hAnsi="Calibri Light" w:cs="Calibri Light"/>
          <w:color w:val="000000"/>
          <w:sz w:val="24"/>
          <w:szCs w:val="24"/>
        </w:rPr>
      </w:pPr>
      <w:r w:rsidRPr="00F54DFA">
        <w:rPr>
          <w:rFonts w:ascii="Calibri Light" w:hAnsi="Calibri Light" w:cs="Calibri Light"/>
          <w:color w:val="000000"/>
          <w:sz w:val="24"/>
          <w:szCs w:val="24"/>
        </w:rPr>
        <w:t xml:space="preserve">Every child has the right to maintain contact and have access to both the father and the mother following their divorce. </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{"citationItems":[{"id":"ITEM-1","itemData":{"DOI":"10.1007/978-1-4614-3405-4","ISBN":"978-1-4614-3404-7","author":[{"dropping-particle":"","family":"Tolle","given":"Lauren Woodward","non-dropping-particle":"","parse-names":false,"suffix":""},{"dropping-particle":"","family":"O'Donohue","given":"William T.","non-dropping-particle":"","parse-names":false,"suffix":""}],"id":"ITEM-1","issued":{"date-parts":[["2012"]]},"publisher":"Springer New York","publisher-place":"New York, NY","title":"Improving the Quality of Child Custody Evaluations","type":"book"},"uris":["http://www.mendeley.com/documents/?uuid=3a6c27a3-b3d9-42b2-b98f-78138efebade"]}],"mendeley":{"formattedCitation":"(Tolle &amp; O’Donohue, 2012)","plainTextFormattedCitation":"(Tolle &amp; O’Donohue, 2012)","previouslyFormattedCitation":"[10]"},"properties":{"noteIndex":0},"schema":"https://github.com/citation-style-language/schema/raw/master/csl-citation.json"}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color w:val="000000"/>
          <w:sz w:val="24"/>
          <w:szCs w:val="24"/>
        </w:rPr>
        <w:t>(Tolle &amp; O’Donohue, 2012)</w:t>
      </w:r>
      <w:r w:rsidR="008D44A8">
        <w:rPr>
          <w:rFonts w:ascii="Calibri Light" w:hAnsi="Calibri Light" w:cs="Calibri Light"/>
          <w:color w:val="000000"/>
          <w:sz w:val="24"/>
          <w:szCs w:val="24"/>
        </w:rPr>
        <w:fldChar w:fldCharType="end"/>
      </w:r>
    </w:p>
    <w:p w14:paraId="742477F6"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Referring to the provisions In the circular letter of the Directorate General of Religious Courts Number 1669/DJA/HK.00/5/2021, it can be seen that the right to care for children whose parents' marriage has dissolved lies on both parents. This is in accordance with the provisions of Article 41 of the Marriage Law which determines that the consequence of dissolution of a marriage due to divorce is either the mother or father remains obliged to care for and educate their children, solely based on the interests of the child. If there is a dispute regarding control of the children, the court makes its decision. </w:t>
      </w:r>
    </w:p>
    <w:p w14:paraId="361B0A2F"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This is a very difficult dilemma to resolve, because in mixed marriages there are foreign elements involved, therefore, for the relationship they have, will raise a question which law will be applicable. If there is a legal relationship between two or more parties, and they are subject to different laws, this indicates that the legal relationship is linked to more than one legal system. From this point, a problem arises, for this legal relationship, which law will be applied, considering that in this event, it is not only controlled by one legal system, but is actually controlled by more than one legal system simultaneously. </w:t>
      </w:r>
    </w:p>
    <w:p w14:paraId="4662839E"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The dissolution or break up of a mixed marriage will have implications for the rights and obligations of parents towards their children. The dissolution of a marriage due to divorce attracts more attention and has more lasting impacts on the family members concerned, moreover they are subject to a different legal system, even taking longer time. As stated by Thea Brown, Renata Alexander, in an article about Child Abuse and Family Law, Understanding the Issues Facing Human Services and Legal Professionals, it is described that: </w:t>
      </w:r>
    </w:p>
    <w:p w14:paraId="4C60165F"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w:t>
      </w:r>
      <w:r w:rsidR="00562B8E" w:rsidRPr="00562B8E">
        <w:rPr>
          <w:rFonts w:ascii="Calibri Light" w:hAnsi="Calibri Light" w:cs="Calibri Light"/>
          <w:color w:val="000000"/>
          <w:sz w:val="24"/>
          <w:szCs w:val="24"/>
        </w:rPr>
        <w:t>Furthermore, separation and divorce should not be viewed as a singular event, as the description may suggest, but rather as a series of events unfolding over several years, each carrying its own emotional impact that compounds with subsequent experiences. As such, what is often described as the most distressing emotional experience in a lifetime actually consists of multiple, prolonged occurrences over time.</w:t>
      </w:r>
      <w:r w:rsidRPr="00670FD0">
        <w:rPr>
          <w:rFonts w:ascii="Calibri Light" w:hAnsi="Calibri Light" w:cs="Calibri Light"/>
          <w:color w:val="000000"/>
          <w:sz w:val="24"/>
          <w:szCs w:val="24"/>
        </w:rPr>
        <w:t>"</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{"citationItems":[{"id":"ITEM-1","itemData":{"DOI":"10.4324/9781003115168","ISBN":"9781003115168","abstract":"I have no doubt that this book will become an invaluable tool for family and children's court judges and magistrates, psychiatrists, psychologists, social workers, police and the many other professionals who work in this field.' The Honourable Alastair Nicholson, former Chief Justice of the Family Court of Australia. A ground-breaking, comprehensive, honest, well researched and courageous book that should be essential reading for all politicians and professionals involved in both the Family Court of Australia and state child protection systems.' Emeritus Professor Freda Briggs AO. Child abuse in the context of parental separation and divorce is not a malicious allegation, nor a misunderstanding. It is a real and growing problem with very young children as the primary victims. Child Abuse and Family Law draws on pioneering research to identify the causes, features and impact of child abuse in parental separation and divorce. The authors argue that professionals working with these families need to better understand the specific and often severe nature of this abuse to improve outcomes for both the children and their families. The authors develop a much-needed practice framework for all socio-legal professionals involved in the family law system. Using case studies, they take a multi-disciplinary approach to outline strategies for family lawyers, child legal representatives, social workers, child protection workers, psychologists, psychiatrists, health workers and teachers.","author":[{"dropping-particle":"","family":"Brown","given":"Thea","non-dropping-particle":"","parse-names":false,"suffix":""},{"dropping-particle":"","family":"Alexander","given":"Renata","non-dropping-particle":"","parse-names":false,"suffix":""}],"container-title":"Child Abuse and Family Law: Understanding the issues facing human service and legal professionals","id":"ITEM-1","issued":{"date-parts":[["2020"]]},"page":"1-216","title":"Child abuse and family law: Understanding the issues facing human service and legal professionals","type":"article-journal"},"uris":["http://www.mendeley.com/documents/?uuid=8d77bdd2-a8d4-4258-aacc-da8b57c5e8c2","http://www.mendeley.com/documents/?uuid=3ae31ed1-e2dd-4360-86c3-5ea46cd29639","http://www.mendeley.com/documents/?uuid=c5043d19-04a5-4251-a6fc-7d4cc6b9ba2b"]}],"mendeley":{"formattedCitation":"(Brown &amp; Alexander, 2020)","plainTextFormattedCitation":"(Brown &amp; Alexander, 2020)","previouslyFormattedCitation":"[11]"},"properties":{"noteIndex":0},"schema":"https://github.com/citation-style-language/schema/raw/master/csl-citation.json"}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(Brown &amp; Alexander, 2020)</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w:t>
      </w:r>
    </w:p>
    <w:p w14:paraId="1D47096A" w14:textId="77777777" w:rsidR="0054671E" w:rsidRPr="00670FD0" w:rsidRDefault="00585D8F" w:rsidP="0054671E">
      <w:pPr>
        <w:ind w:left="426"/>
        <w:jc w:val="both"/>
        <w:rPr>
          <w:rFonts w:ascii="Calibri Light" w:hAnsi="Calibri Light" w:cs="Calibri Light"/>
          <w:color w:val="000000"/>
          <w:sz w:val="24"/>
          <w:szCs w:val="24"/>
        </w:rPr>
      </w:pPr>
      <w:r w:rsidRPr="00585D8F">
        <w:rPr>
          <w:rFonts w:ascii="Calibri Light" w:hAnsi="Calibri Light" w:cs="Calibri Light"/>
          <w:color w:val="000000"/>
          <w:sz w:val="24"/>
          <w:szCs w:val="24"/>
        </w:rPr>
        <w:t>Mixed marriages give rise to issues within the scope of Private International Law, as they involve the intersection of two distinct national legal systems. In relation to parent-child relationships, children born from such mixed marriages are considered legal subjects who lack the competence to independently engage in legal actions. As minors, they are deemed legally incapacitated and must be represented by their parents or legal guardians in the execution of any legal matters.</w:t>
      </w:r>
      <w:r w:rsidR="0054671E" w:rsidRPr="00670FD0">
        <w:rPr>
          <w:rFonts w:ascii="Calibri Light" w:hAnsi="Calibri Light" w:cs="Calibri Light"/>
          <w:color w:val="000000"/>
          <w:sz w:val="24"/>
          <w:szCs w:val="24"/>
        </w:rPr>
        <w:t xml:space="preserve"> </w:t>
      </w:r>
    </w:p>
    <w:p w14:paraId="4940E540"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Children born from mixed marriages have the possibility that their fathers and mothers have different nationalities, therefore, they are subject to two different legal jurisdictions</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{"citationItems":[{"id":"ITEM-1","itemData":{"DOI":"10.38035/jlph.v5i4.1429","ISSN":"2962-2816","abstract":"This research is motivated by the existence of several legal systems in Indonesia that exist and develop in its diverse society, so that the inheritance rights of children born in mixed marriages should be obtained by examining not only through civil law in Indonesia, but also through customary law. This research was conducted to analyze how the inheritance rights of children born in mixed marriages are reviewed from the Civil Code and Balinese Customary Law. This paper was compiled using a doctrinal research method. The results of the study show that the inheritance rights in the Civil Code and Balinese Customary Law are both carried out by the testator who gives inheritance to the heirs solely to improve the welfare of the heirs. Although in Civil Law and Balinese Customary Law both want the best for their heirs, there are differences in the implementation of the distribution of the inheritance. This comparison can be seen from the differences in when the distribution of inheritance can be carried out, the differences in the elements of inheritance, the differences in objectives, and the differences in the parts of rights and obligations inherited by the heirs","author":[{"dropping-particle":"","family":"Ni Putu Sayuri Dewi","given":"","non-dropping-particle":"","parse-names":false,"suffix":""},{"dropping-particle":"","family":"M. Sofyan Pulungan","given":"","non-dropping-particle":"","parse-names":false,"suffix":""},{"dropping-particle":"","family":"Meliyana Yustikarini","given":"","non-dropping-particle":"","parse-names":false,"suffix":""}],"container-title":"Journal of Law, Politic and Humanities","id":"ITEM-1","issue":"4","issued":{"date-parts":[["2025","3","29"]]},"page":"2539-2549","title":"Inheritance Rights of Children Born in Mixed Marriages Reviewed from the Civil Code and Balinese Customary Law","type":"article-journal","volume":"5"},"uris":["http://www.mendeley.com/documents/?uuid=12f4d4cd-56ca-4574-915f-560bad020719"]}],"mendeley":{"formattedCitation":"(Ni Putu Sayuri Dewi, M. Sofyan Pulungan, &amp; Meliyana Yustikarini, 2025)","plainTextFormattedCitation":"(Ni Putu Sayuri Dewi, M. Sofyan Pulungan, &amp; Meliyana Yustikarini, 2025)","previouslyFormattedCitation":"[12]"},"properties":{"noteIndex":0},"schema":"https://github.com/citation-style-language/schema/raw/master/csl-citation.json"}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(Ni Putu Sayuri Dewi, M. Sofyan Pulungan, &amp; Meliyana Yustikarini, 2025)</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xml:space="preserve">. Pursuant to the Law No. 12 of 2006 concerning Citizenship, children will have dual citizenship, with this citizenship, the child will be subject to two legal jurisdictions. This law of citizenship actually provides because it is not impossible that after the divorce, their parents will separate and return to their country of origin while the mother and her children will still live in Indonesia. Children will become victims of mixed marriages when the child has the status of a foreign citizen because he follows his father's citizenship, even </w:t>
      </w:r>
      <w:r w:rsidRPr="00670FD0">
        <w:rPr>
          <w:rFonts w:ascii="Calibri Light" w:hAnsi="Calibri Light" w:cs="Calibri Light"/>
          <w:color w:val="000000"/>
          <w:sz w:val="24"/>
          <w:szCs w:val="24"/>
        </w:rPr>
        <w:lastRenderedPageBreak/>
        <w:t xml:space="preserve">though he was born in his own country and has never lived in his father's hometown abroad and he cannot even speak his father's language at all.  </w:t>
      </w:r>
    </w:p>
    <w:p w14:paraId="59A79580" w14:textId="77777777" w:rsidR="0054671E" w:rsidRPr="00670FD0" w:rsidRDefault="005D1C0F" w:rsidP="0054671E">
      <w:pPr>
        <w:ind w:left="426"/>
        <w:jc w:val="both"/>
        <w:rPr>
          <w:rFonts w:ascii="Calibri Light" w:hAnsi="Calibri Light" w:cs="Calibri Light"/>
          <w:color w:val="000000"/>
          <w:sz w:val="24"/>
          <w:szCs w:val="24"/>
        </w:rPr>
      </w:pPr>
      <w:r w:rsidRPr="005D1C0F">
        <w:rPr>
          <w:rFonts w:ascii="Calibri Light" w:hAnsi="Calibri Light" w:cs="Calibri Light"/>
          <w:color w:val="000000"/>
          <w:sz w:val="24"/>
          <w:szCs w:val="24"/>
        </w:rPr>
        <w:t>From the perspective of private international law, dual citizenship also presents potential legal challenges. For instance, in determining personal status based on the principle of nationality, a child holding dual citizenship may be subject to the legal provisions of both countries to which they belong, potentially leading to conflicts or inconsistencies in legal interpretation and application</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{"citationItems":[{"id":"ITEM-1","itemData":{"DOI":"10.5305/amerjintelaw.105.4.0694","ISSN":"0002-9300","abstract":"Will international law colonize the last bastion of sovereign discretion? As a matter of traditional doctrine, international law has had little to say about the citizenship practices of states and the terms on which states determine the boundaries of their memberships. Through much of the Westphalian era, states have been essentially unconstrained with respect to who gets citizenship and on what terms. Historically, citizenship status has been considered a matter of national self-definition, jealously insulated more as a matter of reflex than justification. Nationality has been equated with identity, in most cases coinciding with ethnic, religious, or other sociocultural community markers, which, in turn, have more or less mapped onto territorial spaces.","author":[{"dropping-particle":"","family":"Spiro","given":"Peter J.","non-dropping-particle":"","parse-names":false,"suffix":""}],"container-title":"American Journal of International Law","id":"ITEM-1","issue":"4","issued":{"date-parts":[["2011","10","2"]]},"page":"694-746","title":"A New International Law of Citizenship","type":"article-journal","volume":"105"},"uris":["http://www.mendeley.com/documents/?uuid=d6189ce1-47a9-4e4e-aaa3-b8476a0f87ea"]}],"mendeley":{"formattedCitation":"(Spiro, 2011)","plainTextFormattedCitation":"(Spiro, 2011)","previouslyFormattedCitation":"[13]"},"properties":{"noteIndex":0},"schema":"https://github.com/citation-style-language/schema/raw/master/csl-citation.json"}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(Spiro, 2011)</w:t>
      </w:r>
      <w:r w:rsidR="008D44A8">
        <w:rPr>
          <w:rFonts w:ascii="Calibri Light" w:hAnsi="Calibri Light" w:cs="Calibri Light"/>
          <w:color w:val="000000"/>
          <w:sz w:val="24"/>
          <w:szCs w:val="24"/>
        </w:rPr>
        <w:fldChar w:fldCharType="end"/>
      </w:r>
      <w:r w:rsidR="0054671E" w:rsidRPr="00670FD0">
        <w:rPr>
          <w:rFonts w:ascii="Calibri Light" w:hAnsi="Calibri Light" w:cs="Calibri Light"/>
          <w:color w:val="000000"/>
          <w:sz w:val="24"/>
          <w:szCs w:val="24"/>
        </w:rPr>
        <w:t xml:space="preserve">. </w:t>
      </w:r>
      <w:r w:rsidR="00860CF3" w:rsidRPr="00860CF3">
        <w:rPr>
          <w:rFonts w:ascii="Calibri Light" w:hAnsi="Calibri Light" w:cs="Calibri Light"/>
          <w:color w:val="000000"/>
          <w:sz w:val="24"/>
          <w:szCs w:val="24"/>
        </w:rPr>
        <w:t>If the legal provisions of one country do not conflict with those of another, no legal issue arises. However, when a conflict exists between the laws of two countries, the question becomes which country's legal rules should prevail. For instance, in the context of marriage, Indonesian law requires both material and formal conditions to be fulfilled. When a minor under the age of 18 wishes to marry, both conditions must be met. Material requirements typically follow the law of the place where the marriage is conducted. For example, if a child intends to marry a biological uncle—a relationship in the direct bloodline—Indonesian law expressly prohibits such a union, as stipulated in Article 8 of Law No. 1 of 1974. However, if the laws of another country granting the child citizenship allow such a marriage, a legal conflict arises. This raises the critical question of which legal framework should be applied in resolving the matter.</w:t>
      </w:r>
    </w:p>
    <w:p w14:paraId="0D1F33C2"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Based on the Principles of International Private Law, regarding the implementation of a marriage, the material validity of the marriage is according to the law of their respective nationalities, or nationalities. Meanwhile, its formal validity is based on the law where the marriage is carried out (HPI principle:</w:t>
      </w:r>
      <w:r w:rsidR="00FF1E97" w:rsidRPr="00670FD0">
        <w:rPr>
          <w:rFonts w:ascii="Calibri Light" w:hAnsi="Calibri Light" w:cs="Calibri Light"/>
          <w:color w:val="000000"/>
          <w:sz w:val="24"/>
          <w:szCs w:val="24"/>
        </w:rPr>
        <w:t xml:space="preserve"> </w:t>
      </w:r>
      <w:r w:rsidRPr="00670FD0">
        <w:rPr>
          <w:rFonts w:ascii="Calibri Light" w:hAnsi="Calibri Light" w:cs="Calibri Light"/>
          <w:color w:val="000000"/>
          <w:sz w:val="24"/>
          <w:szCs w:val="24"/>
        </w:rPr>
        <w:t>Pursuant to the Law No. 12 of 2006 concerning Citizenship, children born in mixed marriages follow the citizenship of their father and mother. The child's legal status is dual citizenship. Based on the Principles of International Private Law, regarding the implementation of a marriage, the material validity of the marriage is according to the law of their respective nationalities, or citizenship. Meanwhile, its formal validity is based on the law where the marriage is solemnized (Lex Loci Celebrationis)</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{"citationItems":[{"id":"ITEM-1","itemData":{"DOI":"10.20961/yustisia.v6i3.16786","ISSN":"0852-0941","abstract":"&lt;p&gt;This juridical-normative research aims to identify and analyze the protection of the proprietary rights of children born under mixed marriages over ownership right and ownership right conveyance process for children with dual citizenship. The research results indicated that the legal protection on ownership right proprietary rights of children under mixed marriages can be enjoyed by the children by choosing Indonesian as their citizenship at most 1 year after obtaining such bequest over the land. When the children choose foreign citizenship, then they must pass the ownership rightover the land. The transfer process on the land requires the children to be at least 18 years of age or married and cannot be represented by foreign parents/custodians, and thus a trustee is appointed based on District Court’ ruling.&lt;/p&gt;","author":[{"dropping-particle":"","family":"Arianto","given":"Dian","non-dropping-particle":"","parse-names":false,"suffix":""}],"container-title":"Yustisia Jurnal Hukum","id":"ITEM-1","issue":"3","issued":{"date-parts":[["2017"]]},"page":"515","title":"the Protection To Children of Dual Citizenship in Possessing Title on Land in Indonesia","type":"article-journal","volume":"6"},"uris":["http://www.mendeley.com/documents/?uuid=3f09ba99-efc9-4b69-b8e4-61a095dea533"]}],"mendeley":{"formattedCitation":"(Arianto, 2017)","plainTextFormattedCitation":"(Arianto, 2017)","previouslyFormattedCitation":"[14]"},"properties":{"noteIndex":0},"schema":"https://github.com/citation-style-language/schema/raw/master/csl-citation.json"}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(Arianto, 2017)</w:t>
      </w:r>
      <w:r w:rsidR="008D44A8">
        <w:rPr>
          <w:rFonts w:ascii="Calibri Light" w:hAnsi="Calibri Light" w:cs="Calibri Light"/>
          <w:color w:val="000000"/>
          <w:sz w:val="24"/>
          <w:szCs w:val="24"/>
        </w:rPr>
        <w:fldChar w:fldCharType="end"/>
      </w:r>
      <w:r w:rsidR="00FF1E97">
        <w:rPr>
          <w:rFonts w:ascii="Calibri Light" w:hAnsi="Calibri Light" w:cs="Calibri Light"/>
          <w:color w:val="000000"/>
          <w:sz w:val="24"/>
          <w:szCs w:val="24"/>
        </w:rPr>
        <w:t>.</w:t>
      </w:r>
      <w:r w:rsidR="00FF1E97" w:rsidRPr="00670FD0">
        <w:rPr>
          <w:rFonts w:ascii="Calibri Light" w:hAnsi="Calibri Light" w:cs="Calibri Light"/>
          <w:color w:val="000000"/>
          <w:sz w:val="24"/>
          <w:szCs w:val="24"/>
        </w:rPr>
        <w:t xml:space="preserve"> </w:t>
      </w:r>
    </w:p>
    <w:p w14:paraId="01114E4E"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The purpose of marriage is actually very noble, both national marriages and international marriages due to differences in nationality, is to create a happy and eternal family. Basically, this noble goal will always be intended by every couple entering into a marriage, even with the support of prayers from both families and the surrounding community</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{"citationItems":[{"id":"ITEM-1","itemData":{"DOI":"https://doi.org/10.4337/cflq.","author":[{"dropping-particle":"","family":"Connolly","given":"Sinead","non-dropping-particle":"","parse-names":false,"suffix":""}],"container-title":"Child and Family Law Quarterly","id":"ITEM-1","issue":"4","issued":{"date-parts":[["2019"]]},"page":"283-301","title":"Determining the Best Interests of the Child in International Custody Disputes: An Examination of Legal Frameworks.","type":"article-journal","volume":"27"},"uris":["http://www.mendeley.com/documents/?uuid=a86a5de9-55a9-4efc-9326-79c6b80f186f","http://www.mendeley.com/documents/?uuid=8d23bedb-df26-429d-b7ab-393dabf0943b","http://www.mendeley.com/documents/?uuid=f71a3428-1bc9-4da6-9d80-cf4ac6c134ce"]}],"mendeley":{"formattedCitation":"(Connolly, 2019)","plainTextFormattedCitation":"(Connolly, 2019)","previouslyFormattedCitation":"[15]"},"properties":{"noteIndex":0},"schema":"https://github.com/citation-style-language/schema/raw/master/csl-citation.json"}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(Connolly, 2019)</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It is natural, nothing in this mortal world is eternal, including marriage. At a certain time, every marriage will inevitably dissolve or break up. This is confirmed by Article 38 of the Marriage Law which reads:</w:t>
      </w:r>
    </w:p>
    <w:p w14:paraId="0FF5BBFD"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A marriage can break up due to:</w:t>
      </w:r>
    </w:p>
    <w:p w14:paraId="61398E7C" w14:textId="77777777" w:rsidR="0054671E" w:rsidRPr="00670FD0" w:rsidRDefault="0054671E" w:rsidP="003D35B5">
      <w:pPr>
        <w:pStyle w:val="ListParagraph"/>
        <w:numPr>
          <w:ilvl w:val="0"/>
          <w:numId w:val="42"/>
        </w:numPr>
        <w:spacing w:after="0" w:line="240" w:lineRule="auto"/>
        <w:ind w:left="785"/>
        <w:jc w:val="both"/>
        <w:rPr>
          <w:rFonts w:ascii="Calibri Light" w:hAnsi="Calibri Light" w:cs="Calibri Light"/>
          <w:color w:val="000000"/>
          <w:sz w:val="24"/>
          <w:szCs w:val="24"/>
        </w:rPr>
      </w:pPr>
      <w:r w:rsidRPr="00670FD0">
        <w:rPr>
          <w:rFonts w:ascii="Calibri Light" w:hAnsi="Calibri Light" w:cs="Calibri Light"/>
          <w:color w:val="000000"/>
          <w:sz w:val="24"/>
          <w:szCs w:val="24"/>
        </w:rPr>
        <w:t>Death</w:t>
      </w:r>
    </w:p>
    <w:p w14:paraId="781C0B84" w14:textId="77777777" w:rsidR="0054671E" w:rsidRPr="00670FD0" w:rsidRDefault="0054671E" w:rsidP="003D35B5">
      <w:pPr>
        <w:pStyle w:val="ListParagraph"/>
        <w:numPr>
          <w:ilvl w:val="0"/>
          <w:numId w:val="42"/>
        </w:numPr>
        <w:spacing w:after="0" w:line="240" w:lineRule="auto"/>
        <w:ind w:left="785"/>
        <w:jc w:val="both"/>
        <w:rPr>
          <w:rFonts w:ascii="Calibri Light" w:hAnsi="Calibri Light" w:cs="Calibri Light"/>
          <w:color w:val="000000"/>
          <w:sz w:val="24"/>
          <w:szCs w:val="24"/>
        </w:rPr>
      </w:pPr>
      <w:r w:rsidRPr="00670FD0">
        <w:rPr>
          <w:rFonts w:ascii="Calibri Light" w:hAnsi="Calibri Light" w:cs="Calibri Light"/>
          <w:color w:val="000000"/>
          <w:sz w:val="24"/>
          <w:szCs w:val="24"/>
        </w:rPr>
        <w:t>Divorce</w:t>
      </w:r>
    </w:p>
    <w:p w14:paraId="66F2AEA7" w14:textId="77777777" w:rsidR="0054671E" w:rsidRPr="00670FD0" w:rsidRDefault="0054671E" w:rsidP="003D35B5">
      <w:pPr>
        <w:pStyle w:val="ListParagraph"/>
        <w:numPr>
          <w:ilvl w:val="0"/>
          <w:numId w:val="42"/>
        </w:numPr>
        <w:spacing w:after="0" w:line="240" w:lineRule="auto"/>
        <w:ind w:left="785"/>
        <w:jc w:val="both"/>
        <w:rPr>
          <w:rFonts w:ascii="Calibri Light" w:hAnsi="Calibri Light" w:cs="Calibri Light"/>
          <w:color w:val="000000"/>
          <w:sz w:val="24"/>
          <w:szCs w:val="24"/>
        </w:rPr>
      </w:pPr>
      <w:r w:rsidRPr="00670FD0">
        <w:rPr>
          <w:rFonts w:ascii="Calibri Light" w:hAnsi="Calibri Light" w:cs="Calibri Light"/>
          <w:color w:val="000000"/>
          <w:sz w:val="24"/>
          <w:szCs w:val="24"/>
        </w:rPr>
        <w:t>By court judgment.</w:t>
      </w:r>
    </w:p>
    <w:p w14:paraId="0723257F"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Divorce is an event that is consciously and deliberately carried out by a husband and wife to end or dissolve their marriage. The goal of forming a happy and eternal family has failed. The dissolution of a marriage due to divorce attracts more attention and has long lasting impacts on the family members concerned, moreover, even taking longer time. </w:t>
      </w:r>
    </w:p>
    <w:p w14:paraId="6A623108"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Divorce as a cause of dissolution of marriage is regulated in detail as possible under the law. What reasons that can be used for divorce, with divorce when a marriage is considered </w:t>
      </w:r>
      <w:r w:rsidRPr="00670FD0">
        <w:rPr>
          <w:rFonts w:ascii="Calibri Light" w:hAnsi="Calibri Light" w:cs="Calibri Light"/>
          <w:color w:val="000000"/>
          <w:sz w:val="24"/>
          <w:szCs w:val="24"/>
        </w:rPr>
        <w:lastRenderedPageBreak/>
        <w:t>to be dissolved, how the divorce procedure must be regulated, what are its legal consequences as the continuation, all of this is attempted to be regulated in as much detail as possible. Based on the results of research regarding the impact of the dissolution of mixed marriages, it was found that there was a struggle for rights for minor children which was very difficult to resolve</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{"citationItems":[{"id":"ITEM-1","itemData":{"DOI":"10.3390/socsci10120464","ISSN":"2076-0760","abstract":"Austrian family law stands out in Europe because, in Austria, fault-based divorce is still legally valid. In these divorces, the suing partner attempts to prove in court that the other partner is at fault for the breakdown of the marriage. Thus, proving in court that a relationship is deficient in order to obtain a divorce is a common family transition practice in Austria. In this contribution, I seek to identify the practices that are associated with fault divorce proceedings and look at how these practices are related to normative and legal ideas of marriage. Based on a qualitative multiple case study, I analysed 17 fault divorce lawsuits filed by heterosexual couples in the 2014–2016 period. To do so, I used situational analysis, trans-sequential analysis, and an analytical framework that was developed within the research project. The spouses’ involvement in the proceedings relied on two main approaches: First, the divorce was justified by an event that was disruptive enough to ‘keep things short’. These narratives were related to the divorce grounds explicitly mentioned in family law. Second, the divorce was justified through narratives of a ‘normal’ marriage that became a ‘bad’ marriage over time. These narratives relied upon characterisations of the other spouse as deficient. These deficiencies were related to normative expectations associated with particular life stages and gendered life course trajectories and mirrored the nuclear family ideal.","author":[{"dropping-particle":"","family":"Parisot","given":"Viktoria","non-dropping-particle":"","parse-names":false,"suffix":""}],"container-title":"Social Sciences","id":"ITEM-1","issue":"12","issued":{"date-parts":[["2021","12","5"]]},"page":"464","title":"Performing the Bad Marriage? The Transition from a Troubled to a Troubling Family in the Course of Fault Divorce in the 21st Century","type":"article-journal","volume":"10"},"uris":["http://www.mendeley.com/documents/?uuid=ac586f58-841e-4a8b-8970-201bb6732927"]}],"mendeley":{"formattedCitation":"(Parisot, 2021)","plainTextFormattedCitation":"(Parisot, 2021)","previouslyFormattedCitation":"[16]"},"properties":{"noteIndex":0},"schema":"https://github.com/citation-style-language/schema/raw/master/csl-citation.json"}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(Parisot, 2021)</w:t>
      </w:r>
      <w:r w:rsidR="008D44A8">
        <w:rPr>
          <w:rFonts w:ascii="Calibri Light" w:hAnsi="Calibri Light" w:cs="Calibri Light"/>
          <w:color w:val="000000"/>
          <w:sz w:val="24"/>
          <w:szCs w:val="24"/>
        </w:rPr>
        <w:fldChar w:fldCharType="end"/>
      </w:r>
      <w:r w:rsidR="008F1DF2">
        <w:rPr>
          <w:rFonts w:ascii="Calibri Light" w:hAnsi="Calibri Light" w:cs="Calibri Light"/>
          <w:color w:val="000000"/>
          <w:sz w:val="24"/>
          <w:szCs w:val="24"/>
        </w:rPr>
        <w:t>.</w:t>
      </w:r>
    </w:p>
    <w:p w14:paraId="53FFED13"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For this reason, the ins and outs of divorce become a long and very tiring discussion, in fact almost a divorce is never free from worrying tensions for the parties concerned, especially the husband and wife themselves, which often burst into disputes. Thus, children who are still minor are often the object of fighting over custody rights from ex-husbands and ex-wives. Due to the potential of disputes to arise, among other things, the law feels it is very necessary to regulate it carefully. It is also important why divorce needs to be regulated in detail, because divorce will change the legal position, not only of the husband and wife concerned, but also minor children born will immediately receive a different pattern of protection. </w:t>
      </w:r>
    </w:p>
    <w:p w14:paraId="1C36E4B2"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Children born and not yet adults, with the dissolution of their parents' marriage due to divorce, means that the children are no longer under the control of their parents, therefore they will be placed under guardianship. For example, if there is a divorce case in court, it is often determined who has custody, and generally the party determined by the judge to be entrusted to have the custody is the one who will assume the power as guardian to represent the minor child, to carry out legal actions both within and outside the court. The same thing mutatis mutandis also applies when the marriage is broken up due to death, the party having lived the longest will hold the power as guardian for children who are not yet adults.</w:t>
      </w:r>
    </w:p>
    <w:p w14:paraId="00F03EA2"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 xml:space="preserve">Mixed marriages as the starting point for the formation of families of different nationalities are believed to be a basic component of social life, if they are broken up due to divorce, the impact will definitely be felt in aspects of social life with different legal jurisdictions adopted. Article 39 of the Marriage Law confirms in one of its clauses that divorce can only be carried out before a court hearing, after the judge has failed to reconcile the parties.  Based on this provision, it is clearly illustrated that a divorce cannot be carried out illegally outside the supervision of the state. This is reasonable considering that the existence of the marriage itself, the state intervened intensively from the start while deploying government officials who were specifically appointed to handle the procedures for its implementation. If at the beginning of a mixed marriage, the state determines its corridors as a condition for its validity, then it is very reasonable that if what has been bound is to be terminated, the state feels being obliged to continue to play a role, namely through the corridors of justice, so that what is valid will be terminated, it shall be obliged to follow the procedural rules in order that the dissolution is legitimate. </w:t>
      </w:r>
    </w:p>
    <w:p w14:paraId="1B9F88A6"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The authorities will not allow the termination of through divorce wildly beyond control, on the contrary, the government, through the judiciary, will set out procedures to be followed</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{"citationItems":[{"id":"ITEM-1","itemData":{"DOI":"https://doi.org/10.1023/40971.jcf.","author":[{"dropping-particle":"","family":"Cherian","given":"Reema","non-dropping-particle":"","parse-names":false,"suffix":""}],"container-title":"Journal of Comparative Family Law","id":"ITEM-1","issue":"3","issued":{"date-parts":[["2021"]]},"title":"Legal Implications of Mixed Marriages and Child Custody in Southeast Asia","type":"article-journal","volume":"7"},"uris":["http://www.mendeley.com/documents/?uuid=fdd012e2-ad20-4244-acde-39cdf7831b30","http://www.mendeley.com/documents/?uuid=121cada8-a12e-49f5-9206-72e77f955f5f","http://www.mendeley.com/documents/?uuid=01e92a1b-50cf-49ca-b041-9a3009b86674"]}],"mendeley":{"formattedCitation":"(Cherian, 2021)","plainTextFormattedCitation":"(Cherian, 2021)","previouslyFormattedCitation":"[17]"},"properties":{"noteIndex":0},"schema":"https://github.com/citation-style-language/schema/raw/master/csl-citation.json"}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(Cherian, 2021)</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xml:space="preserve">. In Article 39 of the Marriage Law, it is stated, among other things, that divorce only occurs before a court hearing. This provision only mentions the term court, as there are several types of courts. To understand which court having the authority to handle divorce, Article 39 of the Marriage Law must be linked to Article 63 of the Marriage Law, which essentially confirms that what is meant by court in this law is the Religious Court for those who are Muslim, and the General Court for people of other </w:t>
      </w:r>
      <w:r w:rsidRPr="00670FD0">
        <w:rPr>
          <w:rFonts w:ascii="Calibri Light" w:hAnsi="Calibri Light" w:cs="Calibri Light"/>
          <w:color w:val="000000"/>
          <w:sz w:val="24"/>
          <w:szCs w:val="24"/>
        </w:rPr>
        <w:lastRenderedPageBreak/>
        <w:t>religions.  Once again it has been proven that unification is not something that is easy to achieve, especially in marriages due to differences in nationality. For divorce issues to be taken place before a court, the exact court depends on the religion of the married couple in question. If the husband and wife are Muslims, the Religious Court has the authority to process it. If the couple concerned is not Muslim, it has to be handled by the general court. For the umpteenth time, religion has become a determinant of the emergence of differences in the regulation of marriage aspects which cannot be possibly made uniform.</w:t>
      </w:r>
    </w:p>
    <w:p w14:paraId="5249F9D5"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Religion almost dominantly determines which procedures or institutions have the authority to handle them, sometimes it can raise complicated problems requiring accurate analysis. Likewise, when it involves divorce handled by which court institution, it turns out that it is more determined by the religion of the husband and wife concerned, so what is the solution if the married couple, when they are still in marriage, abandons the religion embraced at the time of marriage and then changes to another religion, and later divorces. Which court has the authority to process a divorce, will it be based on the new religion they embrace, or the original religion that was used as the basis for binding the couple's marriage.</w:t>
      </w:r>
    </w:p>
    <w:p w14:paraId="7B024830"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Pursuant to Article 39 paragraph 2 of the Marriage Law, after the judge's efforts to reconcile fail, the divorce will only be processed, if there are sufficient reasons. Based on the principle of marriage law trying to make divorce difficult, the government has determined several reasons that can be used to claim for divorce.  The reasons for divorce in question can be found in two places, namely in the elucidation of Article 39 paragraph 2 of the Marriage Law and Article 19 of Government Regulation No. 9/1975 which basically stipulates the same reasons for divorce. In principle, these reasons are:</w:t>
      </w:r>
    </w:p>
    <w:p w14:paraId="21985FDC" w14:textId="77777777" w:rsidR="0054671E" w:rsidRPr="00670FD0" w:rsidRDefault="00972BA9"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972BA9">
        <w:rPr>
          <w:rFonts w:ascii="Calibri Light" w:hAnsi="Calibri Light" w:cs="Calibri Light"/>
          <w:color w:val="000000"/>
          <w:sz w:val="24"/>
          <w:szCs w:val="24"/>
          <w:lang w:val="en-US"/>
        </w:rPr>
        <w:t>One of the spouses commits adultery or engages in habitual behavior such as excessive drinking, drug addiction, or gambling, which is deemed incurable or difficult to rehabilitate</w:t>
      </w:r>
    </w:p>
    <w:p w14:paraId="6DA24FAA" w14:textId="77777777" w:rsidR="0054671E" w:rsidRPr="00670FD0" w:rsidRDefault="006E0D03"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6E0D03">
        <w:rPr>
          <w:rFonts w:ascii="Calibri Light" w:hAnsi="Calibri Light" w:cs="Calibri Light"/>
          <w:color w:val="000000"/>
          <w:sz w:val="24"/>
          <w:szCs w:val="24"/>
          <w:lang w:val="en-US"/>
        </w:rPr>
        <w:t>One spouse abandons the other for a continuous period of two years without the other party’s consent and without a legitimate reason, or due to circumstances beyond their control.</w:t>
      </w:r>
    </w:p>
    <w:p w14:paraId="06D7174F" w14:textId="77777777" w:rsidR="0054671E" w:rsidRPr="00670FD0" w:rsidRDefault="00C737BD"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C737BD">
        <w:rPr>
          <w:rFonts w:ascii="Calibri Light" w:hAnsi="Calibri Light" w:cs="Calibri Light"/>
          <w:color w:val="000000"/>
          <w:sz w:val="24"/>
          <w:szCs w:val="24"/>
          <w:lang w:val="en-US"/>
        </w:rPr>
        <w:t>One of the spouses is sentenced to imprisonment for a term of five years or more following the commencement of the marriage.</w:t>
      </w:r>
    </w:p>
    <w:p w14:paraId="04A5F091" w14:textId="77777777" w:rsidR="0054671E" w:rsidRPr="00670FD0" w:rsidRDefault="001558D0"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1558D0">
        <w:rPr>
          <w:rFonts w:ascii="Calibri Light" w:hAnsi="Calibri Light" w:cs="Calibri Light"/>
          <w:color w:val="000000"/>
          <w:sz w:val="24"/>
          <w:szCs w:val="24"/>
          <w:lang w:val="en-US"/>
        </w:rPr>
        <w:t>One spouse commits acts of cruelty or severe and harmful abuse toward the other spouse.</w:t>
      </w:r>
    </w:p>
    <w:p w14:paraId="6D0AAD5C" w14:textId="77777777" w:rsidR="0054671E" w:rsidRPr="00670FD0" w:rsidRDefault="0088622F"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88622F">
        <w:rPr>
          <w:rFonts w:ascii="Calibri Light" w:hAnsi="Calibri Light" w:cs="Calibri Light"/>
          <w:color w:val="000000"/>
          <w:sz w:val="24"/>
          <w:szCs w:val="24"/>
          <w:lang w:val="en-US"/>
        </w:rPr>
        <w:t>One of the spouses suffers from a physical disability or illness that renders them incapable of fulfilling their marital obligations as a husband or wife.</w:t>
      </w:r>
    </w:p>
    <w:p w14:paraId="4DA99596" w14:textId="77777777" w:rsidR="0054671E" w:rsidRPr="00670FD0" w:rsidRDefault="0088622F" w:rsidP="003D35B5">
      <w:pPr>
        <w:pStyle w:val="ListParagraph"/>
        <w:numPr>
          <w:ilvl w:val="0"/>
          <w:numId w:val="43"/>
        </w:numPr>
        <w:spacing w:after="0" w:line="240" w:lineRule="auto"/>
        <w:ind w:left="709" w:hanging="284"/>
        <w:jc w:val="both"/>
        <w:rPr>
          <w:rFonts w:ascii="Calibri Light" w:hAnsi="Calibri Light" w:cs="Calibri Light"/>
          <w:color w:val="000000"/>
          <w:sz w:val="24"/>
          <w:szCs w:val="24"/>
        </w:rPr>
      </w:pPr>
      <w:r w:rsidRPr="0088622F">
        <w:rPr>
          <w:rFonts w:ascii="Calibri Light" w:hAnsi="Calibri Light" w:cs="Calibri Light"/>
          <w:color w:val="000000"/>
          <w:sz w:val="24"/>
          <w:szCs w:val="24"/>
          <w:lang w:val="en-US"/>
        </w:rPr>
        <w:t>There are continuous disputes and conflicts between the husband and wife, with no reasonable prospect of restoring harmony within the marriage.</w:t>
      </w:r>
    </w:p>
    <w:p w14:paraId="7DDC7C5F" w14:textId="77777777" w:rsidR="0054671E" w:rsidRPr="00670FD0" w:rsidRDefault="0054671E" w:rsidP="0054671E">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Even though the marriage has been terminated due to divorce, the responsibility of the former husband and wife is still needed for the children born, in order to maintain their continuous welfare. Thus, when a mixed marriage breaks down, the children born are no longer within the scope of parental authority, therefore, the judge will appoint one of the parties, perhaps the father or mother, as guardian. Educating and raising children is the responsibility that cannot just end with divorce. The child's interests must still be considered for the sake of his period of growth so that it does not lead him in the wrong direction. It is generally regulated in Article 41 of the Marriage Law.</w:t>
      </w:r>
    </w:p>
    <w:p w14:paraId="0E9C4366" w14:textId="77777777" w:rsidR="0054671E" w:rsidRPr="00670FD0" w:rsidRDefault="002B5252" w:rsidP="0054671E">
      <w:pPr>
        <w:ind w:left="426"/>
        <w:jc w:val="both"/>
        <w:rPr>
          <w:rFonts w:ascii="Calibri Light" w:hAnsi="Calibri Light" w:cs="Calibri Light"/>
          <w:color w:val="000000"/>
          <w:sz w:val="24"/>
          <w:szCs w:val="24"/>
        </w:rPr>
      </w:pPr>
      <w:r w:rsidRPr="002B5252">
        <w:rPr>
          <w:rFonts w:ascii="Calibri Light" w:hAnsi="Calibri Light" w:cs="Calibri Light"/>
          <w:color w:val="000000"/>
          <w:sz w:val="24"/>
          <w:szCs w:val="24"/>
        </w:rPr>
        <w:lastRenderedPageBreak/>
        <w:t>In the dissolution of a mixed marriage due to divorce between an Indonesian citizen and a foreign national, where both parties retain their respective citizenships, various legal consequences may arise—one of which concerns the citizenship status of children resulting from the marriage. In civil law, a person is recognized as a legal subject from the moment of birth. However, Article 2 of the Civil Code provides an exception, stating that a child still in the womb may be regarded as a legal subject if it is in their interest and the child is later born alive. As legal subjects, individuals possess rights and obligations within legal relations. Nevertheless, this recognition does not automatically confer legal capacity, as not all individuals are deemed competent to act independently within legal contexts.</w:t>
      </w:r>
    </w:p>
    <w:p w14:paraId="1BD24F56" w14:textId="77777777" w:rsidR="00194254" w:rsidRPr="00194254" w:rsidRDefault="00194254" w:rsidP="00194254">
      <w:pPr>
        <w:ind w:left="426"/>
        <w:jc w:val="both"/>
        <w:rPr>
          <w:rFonts w:ascii="Calibri Light" w:hAnsi="Calibri Light" w:cs="Calibri Light"/>
          <w:color w:val="000000"/>
          <w:sz w:val="24"/>
          <w:szCs w:val="24"/>
          <w:lang w:val="en-ID"/>
        </w:rPr>
      </w:pPr>
      <w:r w:rsidRPr="00194254">
        <w:rPr>
          <w:rFonts w:ascii="Calibri Light" w:hAnsi="Calibri Light" w:cs="Calibri Light"/>
          <w:color w:val="000000"/>
          <w:sz w:val="24"/>
          <w:szCs w:val="24"/>
          <w:lang w:val="en-ID"/>
        </w:rPr>
        <w:t>Individuals who lack the legal capacity to perform legal actions must be represented by others. According to Article 1330 of the Civil Code, those deemed legally incompetent include minors, married women, and individuals placed under guardianship. Therefore, children are classified as legal subjects who are not capable of independently engaging in legal actions and must be represented by their parents or legal guardians.</w:t>
      </w:r>
    </w:p>
    <w:p w14:paraId="6E3A6151" w14:textId="77777777" w:rsidR="0054671E" w:rsidRPr="00243071" w:rsidRDefault="00194254" w:rsidP="00243071">
      <w:pPr>
        <w:ind w:left="426"/>
        <w:jc w:val="both"/>
        <w:rPr>
          <w:rFonts w:ascii="Calibri Light" w:hAnsi="Calibri Light" w:cs="Calibri Light"/>
          <w:color w:val="000000"/>
          <w:sz w:val="24"/>
          <w:szCs w:val="24"/>
          <w:lang w:val="en-ID"/>
        </w:rPr>
      </w:pPr>
      <w:r w:rsidRPr="00194254">
        <w:rPr>
          <w:rFonts w:ascii="Calibri Light" w:hAnsi="Calibri Light" w:cs="Calibri Light"/>
          <w:color w:val="000000"/>
          <w:sz w:val="24"/>
          <w:szCs w:val="24"/>
          <w:lang w:val="en-ID"/>
        </w:rPr>
        <w:t>In line with private international law theory, determining a child's legal status and their relationship with their parents requires an initial examination of the validity of the parents' marriage. If the marriage is lawful, the child is considered to have a legal relationship with both the father and the mother. Conversely, if the marriage is unlawful, the child is regarded as illegitimate and is recognized as having a civil relationship with the mother and the maternal family. However, the child may also be acknowledged as having a legal and civil relationship with the biological father and his family—provided that the biological link can be established through scientific and technological evidence and/or other legally recognized forms of proof</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{"citationItems":[{"id":"ITEM-1","itemData":{"DOI":"10.20956/halrev.v10i1.5170","ISSN":"2442-9899","abstract":"This article analyzes the inheritance rights of extramarital children under the post-Constitutional Court decision of Balinese customary law. Any child born of unmarried parents or out of adultery is stigmatized as an extramarital child (walad al zina)Â for his entire life and forbidden from inheriting an estate from his biological father. This legal issue is chosen as the main subject of this study is because of the legal circumstance in which the Balinese community does not grant status to extramarital children in matters of inheritance from theÂ PurusaÂ line. Hindu-Balinese religious leaders such as Parisada and the Traditional Village Council have never upheld the Constitutional Courtâ€™s ruling that states that children born out of wedlock have civil relations with their biological fathers. Islamic religious leaders have followed up on the Constitutional Courtâ€™s decision by issuing a fatwa of the Indonesian Ulema Council (MUI). The fatwa imposes an obligation on biological fathers to separate their wealth for a guarantee of life to children. Applying the statutory approach, conceptual approach, sociological approach, and case approach, it can be understood that children born out of wedlock (the Balinese call it begin at children) have no status as heirs in the Purusa line but have inheritance rights from their mother and their motherâ€™s family.","author":[{"dropping-particle":"","family":"Sujana","given":"I Nyoman","non-dropping-particle":"","parse-names":false,"suffix":""},{"dropping-particle":"","family":"Maruf","given":"Irma Rachmawati","non-dropping-particle":"","parse-names":false,"suffix":""}],"container-title":"Hasanuddin Law Review","id":"ITEM-1","issue":"1","issued":{"date-parts":[["2024","5","3"]]},"page":"83","title":"The Constitutionality of Inheritance Rights for Extramarital Children: Assessing the Legal Response under Balinese Customary Law","type":"article-journal","volume":"10"},"uris":["http://www.mendeley.com/documents/?uuid=163545f1-bd6b-4a9a-9967-417ff21571f9"]}],"mendeley":{"formattedCitation":"(I. N. Sujana &amp; Maruf, 2024)","plainTextFormattedCitation":"(I. N. Sujana &amp; Maruf, 2024)","previouslyFormattedCitation":"[18]"},"properties":{"noteIndex":0},"schema":"https://github.com/citation-style-language/schema/raw/master/csl-citation.json"}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(I. N. Sujana &amp; Maruf, 2024)</w:t>
      </w:r>
      <w:r w:rsidR="008D44A8">
        <w:rPr>
          <w:rFonts w:ascii="Calibri Light" w:hAnsi="Calibri Light" w:cs="Calibri Light"/>
          <w:color w:val="000000"/>
          <w:sz w:val="24"/>
          <w:szCs w:val="24"/>
        </w:rPr>
        <w:fldChar w:fldCharType="end"/>
      </w:r>
      <w:r w:rsidR="0054671E" w:rsidRPr="00670FD0">
        <w:rPr>
          <w:rFonts w:ascii="Calibri Light" w:hAnsi="Calibri Light" w:cs="Calibri Light"/>
          <w:color w:val="000000"/>
          <w:sz w:val="24"/>
          <w:szCs w:val="24"/>
        </w:rPr>
        <w:t>.</w:t>
      </w:r>
    </w:p>
    <w:p w14:paraId="50B460C7" w14:textId="77777777" w:rsidR="003D35B5" w:rsidRPr="00670FD0" w:rsidRDefault="003D35B5" w:rsidP="003D35B5">
      <w:pPr>
        <w:ind w:left="426"/>
        <w:jc w:val="both"/>
        <w:rPr>
          <w:rFonts w:ascii="Calibri Light" w:hAnsi="Calibri Light" w:cs="Calibri Light"/>
          <w:color w:val="000000"/>
          <w:sz w:val="24"/>
          <w:szCs w:val="24"/>
        </w:rPr>
      </w:pPr>
    </w:p>
    <w:p w14:paraId="32F191FA" w14:textId="77777777" w:rsidR="0054671E" w:rsidRPr="003D35B5" w:rsidRDefault="0054671E" w:rsidP="003D35B5">
      <w:pPr>
        <w:pStyle w:val="ListParagraph"/>
        <w:numPr>
          <w:ilvl w:val="0"/>
          <w:numId w:val="38"/>
        </w:numPr>
        <w:spacing w:after="0" w:line="240" w:lineRule="auto"/>
        <w:ind w:left="709" w:hanging="284"/>
        <w:jc w:val="both"/>
        <w:rPr>
          <w:rFonts w:ascii="Calibri Light" w:hAnsi="Calibri Light" w:cs="Calibri Light"/>
          <w:color w:val="000000"/>
          <w:sz w:val="24"/>
          <w:szCs w:val="24"/>
        </w:rPr>
      </w:pPr>
      <w:r w:rsidRPr="003D35B5">
        <w:rPr>
          <w:rFonts w:ascii="Calibri Light" w:hAnsi="Calibri Light" w:cs="Calibri Light"/>
          <w:color w:val="000000"/>
          <w:sz w:val="24"/>
          <w:szCs w:val="24"/>
        </w:rPr>
        <w:t>The Implementation of Dispute Resolution Over Rights of Child Custody in Mixed Marriages</w:t>
      </w:r>
    </w:p>
    <w:p w14:paraId="7879FBEF"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Differences in legal systems adopted do not actually relieve parents of their obligations towards children's rights, whether it concerns parenting rights or educational and care rights. However, in the case of dissolution of a mixed marriage that the author is currently researching, namely between a Muslim woman having an Indonesian citizen named Winny Qurnianty and a Buddhist man having a Malaysian citizen, as outlined in the District Court of Tabanan Judgment, it is clear that there is a dilemma in determining the law applicable to child custody rights as a result of the dissolution of their marriage. Pursuant to Malaysian law, the law applicable to rights of child custody as an implication of the dissolution of a marriage is the law of husband, which can be seen in Divorce Petition No. WA-33-154-04/2019 issued by the High Court of Malaya in Kuala Lumpur in the Federal Territory of Malaysia (Family Division) on 11 June 2019; and translation, namely Divorce Application Letter No. WA-33-154-04/2019 issued by the Malaya High Court in Kuala Lumpur, Federal Territory of Malaysia (Family Division) on 11 June 2019; This proves that the husband as the Plaintiff whose marriage was declared to have broken up due to divorce by the Court in Raja Malaysia was granted Custody Rights, Guardianship Rights and Controlling Rights. (“custody, guardianship and control”) for a child named KANO SATRIA CHAN MING-JYU as described in the Birth Certificate Number: DQ 01899. Pursuant to the Indonesian law, this evidence is an authentic deed that has perfect evidentiary power as intended by the provisions of article 165 HIR/285 Rbg.</w:t>
      </w:r>
    </w:p>
    <w:p w14:paraId="7AC2F10A"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lastRenderedPageBreak/>
        <w:t>Meanwhile, under the Indonesian Law, what has been decided by the Court pursuant to Malaysian Law as outlined in the judgment of the Malaysian High Court in Kuala Lumpur in the Federal Territory of Malaysia (Family Division) Divorce Petition No. WA-33-154-04/2019, dated 11 June 2019 was completely overruled by the Indonesian judge. Indonesian judge through the Judgment of District Court of Tabanan in the case Number 375/Pdt.G/2019/PN.Tab., dated 26 December 2019, it turned out that the Plaintiff's intent as a foreign ex-husband to take part in raising their child together with the Defendant (his Indonesian citizen wife) was rejected on the grounds that marriages that were solemnized oversea based only on civil registration were deemed to have never existed. Thus, the child is the child of a mother.  In this judgment, it is clearly indicated that the Indonesian judge who presided the divorce case of mixed marriage has set aside Article 28I Paragraph (4) of Constitution 1945 of the Republic of Indonesia which reads "the protection, promotion, enforcement and fulfillment of human rights is the responsibility of the State, especially the Government" and Article 71 of Law No. 39 of 1999 concerning Human Rights essentially determines that it is the state's obligation to protect, respect, uphold and promote human rights.</w:t>
      </w:r>
    </w:p>
    <w:p w14:paraId="23A5F828"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The rejection by the Indonesian Judge to the marriage which was solemnized in the Malaysian civil registry violated the principles of International Private Law. Based on principles Lex Loci celebrationis" namely a principle adopted in International Civil Law (HPI) which reads that "the validity of a marriage solemnized overseas is determined by the law where the marriage is solemnized".  Apart from that, when referring to the theory of legal certainty as proposed by Soedikno Mertokusumo, legal certainty is: "Justiciable protection against arbitrary actions, which means that a person will be able to obtain something that is expected under certain circumstances". </w:t>
      </w:r>
    </w:p>
    <w:p w14:paraId="312DE32F"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Since between Chan Kan Wah (the Plaintiff; Foreign Citizen) and Winny Qurnianty (the Defendant; Indonesian Citizen) whose marriage has been registered as described in the Marriage Register in the Marriage Ceremony Declaration of the Head of JPNM Putrajaya on the wedding, dated  29 October 2014 with Marriage Certificate Number 460864 in the presence of witnesses Chan Mun Leong and Chan Pik San as described in the Marriage Register No. Series KC05 0292543 and the marriage has been registered in register Number 08553, dated 15 March 2018 at the Indonesian Consulate in Kuala Lumpur, namely, the marriage between the Plaintiff and the Defendant is legitimate, therefore the child born from the relationship between the Plaintiff and the Defendant named Kano Satria Chan Ming-Jyu is the child of a legal mixed marriage. Thus, the right to maintain and take care for the child named Kano Satria Chan Ming-Jyu is a joint obligation between the Plaintiff and the Defendant. In this case, the author's opinion is in line with the view of Sudargo Gautama, who stated that foreign judgment which do not require execution of property located in the territory of the Republic of Indonesia, can be recognized providing that the foreign court does have the authority (jurisdiction) to grant the relevant judgment and that the judgment has indeed been legally pronounced.  Considering that the divorce judgment in the case between Chan Kan Wah (the Plaintiff; Foreign citizen) and Winny Qurnianti (the Defendant; Indonesian Citizen) has been decided by the Court under the Malaysian Law in accordance with the jurisdiction of the Malaysian High Court, so its validity of Malaysian law should be recognized, however under Indonesian Law through the the District Court of Tabanan Judgment Number 375/Pdt.G/2019/PN.Tab. dated 26 December 2019, the </w:t>
      </w:r>
      <w:r w:rsidRPr="00670FD0">
        <w:rPr>
          <w:rFonts w:ascii="Calibri Light" w:hAnsi="Calibri Light" w:cs="Calibri Light"/>
          <w:color w:val="000000"/>
          <w:sz w:val="24"/>
          <w:szCs w:val="24"/>
        </w:rPr>
        <w:lastRenderedPageBreak/>
        <w:t>marriage was considered not yet valid, because it did not comply with the provisions of Article 2 paragraph (1) of the Marriage Law, which stipulates that a marriage is valid if it has been carried out under the laws of each respective religion and belief. And in paragraph (2), it is stated that every marriage is recorded according to the applicable laws and regulations.</w:t>
      </w:r>
    </w:p>
    <w:p w14:paraId="487154F2" w14:textId="77777777" w:rsidR="0054671E" w:rsidRPr="00670FD0" w:rsidRDefault="0054671E" w:rsidP="0054671E">
      <w:pPr>
        <w:spacing w:after="240"/>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In cases of dissolution of mixed marriages due to divorce, death or due to court judgment, it has implications for law enforcement. Which law is applicable if a dispute arises over child custody rights?  With regard to the simultaneous application of the laws of each country in mixed marriages, in order to create legal certainty, attention should be paid to the existence of foreign elements which are points of connection. In this mixed marriage, it is absolutely necessary to apply the principles of HPI, namely principles lex loci celebrationis which means that the applicable law is the law where the marriage was solemnized. And if a divorce occurs, the applicable law is the law where the divorce is decided by the court according to its jurisdiction. It constitutes a link point which cannot be avoided in order to achieve legal certainty.</w:t>
      </w:r>
    </w:p>
    <w:p w14:paraId="3ED49DB5" w14:textId="77777777" w:rsidR="0054671E" w:rsidRPr="003D35B5" w:rsidRDefault="0054671E" w:rsidP="003D35B5">
      <w:pPr>
        <w:pStyle w:val="ListParagraph"/>
        <w:numPr>
          <w:ilvl w:val="0"/>
          <w:numId w:val="38"/>
        </w:numPr>
        <w:spacing w:after="0" w:line="240" w:lineRule="auto"/>
        <w:ind w:left="785"/>
        <w:jc w:val="both"/>
        <w:rPr>
          <w:rFonts w:ascii="Calibri Light" w:hAnsi="Calibri Light" w:cs="Calibri Light"/>
          <w:color w:val="000000"/>
          <w:sz w:val="24"/>
          <w:szCs w:val="24"/>
        </w:rPr>
      </w:pPr>
      <w:r w:rsidRPr="003D35B5">
        <w:rPr>
          <w:rFonts w:ascii="Calibri Light" w:hAnsi="Calibri Light" w:cs="Calibri Light"/>
          <w:color w:val="000000"/>
          <w:sz w:val="24"/>
          <w:szCs w:val="24"/>
        </w:rPr>
        <w:t>Juridical Implications of the Dissolution of Mixed Marriages on Child Custody</w:t>
      </w:r>
    </w:p>
    <w:p w14:paraId="7DB301C4"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The dissolution of a mixed marriage, whether through divorce, death, or court judgment, has profound implications for the rights of minor children. In such cases, children often find themselves caught between two legal systems, each following its own rules regarding custody, guardianship, and parental responsibilities.</w:t>
      </w:r>
    </w:p>
    <w:p w14:paraId="5757B450"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Indonesian law, particularly Article 57 of Law No. 1 of 1974, defines mixed marriages as those between individuals subject to different legal systems due to nationality differences. Upon dissolution of such a marriage, the issue of which legal system governs the custody of children becomes a critical point of contention. In some instances, custody rights follow the nationality of the parents, while in others, they may be governed by the laws of the country where the marriage was registered. This creates a scenario in which legal uncertainty prevails, leaving the welfare of underage children at risk.</w:t>
      </w:r>
    </w:p>
    <w:p w14:paraId="5AAD417E" w14:textId="77777777" w:rsidR="003D35B5" w:rsidRDefault="0054671E" w:rsidP="003D35B5">
      <w:pPr>
        <w:ind w:left="426"/>
        <w:jc w:val="both"/>
        <w:rPr>
          <w:rFonts w:ascii="Calibri Light" w:hAnsi="Calibri Light" w:cs="Calibri Light"/>
          <w:color w:val="000000"/>
          <w:sz w:val="24"/>
          <w:szCs w:val="24"/>
        </w:rPr>
      </w:pPr>
      <w:r w:rsidRPr="00670FD0">
        <w:rPr>
          <w:rFonts w:ascii="Calibri Light" w:hAnsi="Calibri Light" w:cs="Calibri Light"/>
          <w:color w:val="000000"/>
          <w:sz w:val="24"/>
          <w:szCs w:val="24"/>
        </w:rPr>
        <w:t>For example, in the case discussed in the research, where an Indonesian woman and a foreign man dissolved their marriage, the Indonesian courts dismissed the foreign husband’s claim to joint custody, arguing that the marriage was not recognized under Indonesian law due to its registration overseas. This created a dilemma where the child, although legally the product of a legitimate marriage under the foreign law, was considered illegitimate under Indonesian law, complicating the custody rights further.</w:t>
      </w:r>
    </w:p>
    <w:p w14:paraId="43B67636" w14:textId="77777777" w:rsidR="003D35B5" w:rsidRDefault="003D35B5" w:rsidP="003D35B5">
      <w:pPr>
        <w:ind w:left="426"/>
        <w:jc w:val="both"/>
        <w:rPr>
          <w:rFonts w:ascii="Calibri Light" w:hAnsi="Calibri Light" w:cs="Calibri Light"/>
          <w:color w:val="000000"/>
          <w:sz w:val="24"/>
          <w:szCs w:val="24"/>
        </w:rPr>
      </w:pPr>
    </w:p>
    <w:p w14:paraId="49E1BD9F" w14:textId="77777777" w:rsidR="0054671E" w:rsidRPr="003D35B5" w:rsidRDefault="0054671E" w:rsidP="003D35B5">
      <w:pPr>
        <w:numPr>
          <w:ilvl w:val="0"/>
          <w:numId w:val="38"/>
        </w:numPr>
        <w:ind w:left="785"/>
        <w:jc w:val="both"/>
        <w:rPr>
          <w:rFonts w:ascii="Calibri Light" w:hAnsi="Calibri Light" w:cs="Calibri Light"/>
          <w:b/>
          <w:color w:val="000000"/>
          <w:sz w:val="24"/>
          <w:szCs w:val="24"/>
        </w:rPr>
      </w:pPr>
      <w:r w:rsidRPr="003D35B5">
        <w:rPr>
          <w:rFonts w:ascii="Calibri Light" w:hAnsi="Calibri Light" w:cs="Calibri Light"/>
          <w:color w:val="000000"/>
          <w:sz w:val="24"/>
          <w:szCs w:val="24"/>
        </w:rPr>
        <w:t>Challenges of Applying International Private Law in Child Custody Cases</w:t>
      </w:r>
    </w:p>
    <w:p w14:paraId="74346BF4"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The principles of International Private Law (IPL) come into play when determining the jurisdiction and applicable laws in mixed marriage cases. One of the key principles, lex loci celebrationis, dictates that the legal framework governing the marriage should be that of the country where the marriage took place. However, applying this principle in child custody cases has proven to be problematic, especially when the legal systems of the parents’ respective countries conflict.</w:t>
      </w:r>
    </w:p>
    <w:p w14:paraId="1A1E5EC3"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 xml:space="preserve">In custody battles involving mixed marriages, the differences between legal systems can lead to conflicting decisions regarding parental </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{"citationItems":[{"id":"ITEM-1","itemData":{"DOI":"https://doi.org/10.1093/icl/185.","author":[{"dropping-particle":"","family":"Carbone","given":"June.","non-dropping-particle":"","parse-names":false,"suffix":""}],"container-title":"The International Journal of Comparative Law","id":"ITEM-1","issue":"4","issued":{"date-parts":[["2020"]]},"page":"185-201","title":"Children and Families in International and Comparative Law: Custody Disputes in the Era of Globalization.","type":"article-journal","volume":"14"},"uris":["http://www.mendeley.com/documents/?uuid=be77594b-3bb8-42ac-9664-57e8faeeec37","http://www.mendeley.com/documents/?uuid=979851c5-9141-4c45-9037-32f61c8e0d24","http://www.mendeley.com/documents/?uuid=e17a6918-b887-4621-bddf-74b00136e262"]}],"mendeley":{"formattedCitation":"(Carbone, 2020)","plainTextFormattedCitation":"(Carbone, 2020)","previouslyFormattedCitation":"[19]"},"properties":{"noteIndex":0},"schema":"https://github.com/citation-style-language/schema/raw/master/csl-citation.json"}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(Carbone, 2020)</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xml:space="preserve">responsibilities. For instance, one country may recognize the rights of a parent to have custody based on </w:t>
      </w:r>
      <w:r w:rsidRPr="00670FD0">
        <w:rPr>
          <w:rFonts w:ascii="Calibri Light" w:hAnsi="Calibri Light" w:cs="Calibri Light"/>
          <w:color w:val="000000"/>
          <w:sz w:val="24"/>
          <w:szCs w:val="24"/>
        </w:rPr>
        <w:lastRenderedPageBreak/>
        <w:t>nationality, while the other may prioritize the territorial principle, leading to a legal impasse. In such cases, the child’s rights to education, care, and custody often fall into a grey area, exacerbating the problem of legal uncertainty.</w:t>
      </w:r>
    </w:p>
    <w:p w14:paraId="1A2620B4"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In some cases, the law of the child’s nationality may prevail, but this can be detrimental when one parent, who resides in another jurisdiction, is cut off from exercising custody or visitation rights. Additionally, cases where the parents did not make pre-nuptial agreements governing custody further complicate the legal process. Courts often have to interpret conflicting laws, leaving the child’s best interest vulnerable to interpretation by different judicial bodies.</w:t>
      </w:r>
    </w:p>
    <w:p w14:paraId="43C16644"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Given the complexity of determining which legal system should apply in mixed marriage custody disputes, one potential solution is the adoption of unified international conventions that address the rights of children in mixed marriages. International conventions, such as the Hague Convention on the Civil Aspects of International Child Abduction, provide frameworks for cross-border custody disputes</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{"citationItems":[{"id":"ITEM-1","itemData":{"DOI":"10.1016/j.amdi.2014.09.007","ISSN":"18704654","author":[{"dropping-particle":"","family":"Martín","given":"Nuria González","non-dropping-particle":"","parse-names":false,"suffix":""}],"container-title":"Anuario Mexicano de Derecho Internacional","id":"ITEM-1","issue":"1","issued":{"date-parts":[["2015"]]},"page":"353-412","title":"International Parental Child Abduction and Mediation","type":"article-journal","volume":"15"},"uris":["http://www.mendeley.com/documents/?uuid=c7f0c680-e8d0-438a-85e0-304969eb568d"]}],"mendeley":{"formattedCitation":"(Martín, 2015)","plainTextFormattedCitation":"(Martín, 2015)","previouslyFormattedCitation":"[20]"},"properties":{"noteIndex":0},"schema":"https://github.com/citation-style-language/schema/raw/master/csl-citation.json"}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(Martín, 2015)</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However, these conventions are not universally ratified or implemented uniformly across jurisdictions, limiting their effectiveness.</w:t>
      </w:r>
    </w:p>
    <w:p w14:paraId="6D7D267A"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Additionally, establishing clear pre-nuptial agreements and child custody agreements before entering into a mixed marriage can mitigate some of the legal risks. These agreements, if recognized across jurisdictions, can provide a clear legal framework for resolving custody disputes upon the dissolution of the marriage.</w:t>
      </w:r>
    </w:p>
    <w:p w14:paraId="753A061C" w14:textId="77777777" w:rsidR="0054671E" w:rsidRPr="00670FD0" w:rsidRDefault="0054671E" w:rsidP="0054671E">
      <w:pPr>
        <w:ind w:left="426"/>
        <w:jc w:val="both"/>
        <w:rPr>
          <w:rFonts w:ascii="Calibri Light" w:hAnsi="Calibri Light" w:cs="Calibri Light"/>
          <w:b/>
          <w:color w:val="000000"/>
          <w:sz w:val="24"/>
          <w:szCs w:val="24"/>
        </w:rPr>
      </w:pPr>
      <w:r w:rsidRPr="00670FD0">
        <w:rPr>
          <w:rFonts w:ascii="Calibri Light" w:hAnsi="Calibri Light" w:cs="Calibri Light"/>
          <w:color w:val="000000"/>
          <w:sz w:val="24"/>
          <w:szCs w:val="24"/>
        </w:rPr>
        <w:t>Mediation offers another avenue for resolving custody disputes in mixed marriages, as it allows both parents to negotiate terms that are in the best interest of the child without relying entirely on conflicting legal systems. Cross-border cooperation between legal authorities in the respective countries of the parents can also play a critical role in ensuring that custody arrangements are enforced fairly and consistently, prioritizing the child’s welfare</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{"citationItems":[{"id":"ITEM-1","itemData":{"DOI":"https://doi.org/10.1023/40971.jcf.","author":[{"dropping-particle":"","family":"Cherian","given":"Reema","non-dropping-particle":"","parse-names":false,"suffix":""}],"container-title":"Journal of Comparative Family Law","id":"ITEM-1","issue":"3","issued":{"date-parts":[["2021"]]},"title":"Legal Implications of Mixed Marriages and Child Custody in Southeast Asia","type":"article-journal","volume":"7"},"uris":["http://www.mendeley.com/documents/?uuid=01e92a1b-50cf-49ca-b041-9a3009b86674","http://www.mendeley.com/documents/?uuid=121cada8-a12e-49f5-9206-72e77f955f5f","http://www.mendeley.com/documents/?uuid=fdd012e2-ad20-4244-acde-39cdf7831b30"]}],"mendeley":{"formattedCitation":"(Cherian, 2021)","plainTextFormattedCitation":"(Cherian, 2021)","previouslyFormattedCitation":"[17]"},"properties":{"noteIndex":0},"schema":"https://github.com/citation-style-language/schema/raw/master/csl-citation.json"}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(Cherian, 2021)</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w:t>
      </w:r>
    </w:p>
    <w:p w14:paraId="4E0960AC" w14:textId="77777777" w:rsidR="005062E6" w:rsidRPr="00AD2454" w:rsidRDefault="0054671E" w:rsidP="009965FA">
      <w:pPr>
        <w:ind w:left="426"/>
        <w:jc w:val="both"/>
        <w:rPr>
          <w:rFonts w:ascii="Calibri Light" w:hAnsi="Calibri Light" w:cs="Calibri Light"/>
          <w:sz w:val="24"/>
          <w:szCs w:val="24"/>
        </w:rPr>
      </w:pPr>
      <w:r w:rsidRPr="00670FD0">
        <w:rPr>
          <w:rFonts w:ascii="Calibri Light" w:hAnsi="Calibri Light" w:cs="Calibri Light"/>
          <w:color w:val="000000"/>
          <w:sz w:val="24"/>
          <w:szCs w:val="24"/>
        </w:rPr>
        <w:t>Given the increasing prevalence of mixed marriages due to globalization, there is a pressing need for legal reform in the area of custody rights. National laws, particularly those in Indonesia and other countries with complex legal systems, must adapt to provide clearer guidelines on how to resolve custody disputes when mixed</w:t>
      </w:r>
      <w:r w:rsidR="008D44A8">
        <w:rPr>
          <w:rFonts w:ascii="Calibri Light" w:hAnsi="Calibri Light" w:cs="Calibri Light"/>
          <w:color w:val="000000"/>
          <w:sz w:val="24"/>
          <w:szCs w:val="24"/>
        </w:rPr>
        <w:fldChar w:fldCharType="begin" w:fldLock="1"/>
      </w:r>
      <w:r w:rsidR="008D44A8">
        <w:rPr>
          <w:rFonts w:ascii="Calibri Light" w:hAnsi="Calibri Light" w:cs="Calibri Light"/>
          <w:color w:val="000000"/>
          <w:sz w:val="24"/>
          <w:szCs w:val="24"/>
        </w:rPr>
        <w:instrText>ADDIN CSL_CITATION {"citationItems":[{"id":"ITEM-1","itemData":{"DOI":"https://doi.org/10.1007/sj.jel","author":[{"dropping-particle":"","family":"Castiglione","given":"Dario.","non-dropping-particle":"","parse-names":false,"suffix":""}],"container-title":"Journal of European Law","id":"ITEM-1","issue":"5","issued":{"date-parts":[["2022"]]},"title":"Legal and Jurisdictional Challenges in the Dissolution of Mixed Marriages","type":"article-journal","volume":"33"},"uris":["http://www.mendeley.com/documents/?uuid=dcff139a-6798-475c-a958-d88e8004175d","http://www.mendeley.com/documents/?uuid=703a46ec-0664-4107-b025-e93db15b6754","http://www.mendeley.com/documents/?uuid=d637e9ca-236e-4d8e-acfc-bbb0253b469f"]}],"mendeley":{"formattedCitation":"(Castiglione, 2022)","plainTextFormattedCitation":"(Castiglione, 2022)","previouslyFormattedCitation":"[21]"},"properties":{"noteIndex":0},"schema":"https://github.com/citation-style-language/schema/raw/master/csl-citation.json"}</w:instrText>
      </w:r>
      <w:r w:rsidR="008D44A8">
        <w:rPr>
          <w:rFonts w:ascii="Calibri Light" w:hAnsi="Calibri Light" w:cs="Calibri Light"/>
          <w:color w:val="000000"/>
          <w:sz w:val="24"/>
          <w:szCs w:val="24"/>
        </w:rPr>
        <w:fldChar w:fldCharType="separate"/>
      </w:r>
      <w:r w:rsidR="008D44A8" w:rsidRPr="008D44A8">
        <w:rPr>
          <w:rFonts w:ascii="Calibri Light" w:hAnsi="Calibri Light" w:cs="Calibri Light"/>
          <w:noProof/>
          <w:color w:val="000000"/>
          <w:sz w:val="24"/>
          <w:szCs w:val="24"/>
        </w:rPr>
        <w:t>(Castiglione, 2022)</w:t>
      </w:r>
      <w:r w:rsidR="008D44A8">
        <w:rPr>
          <w:rFonts w:ascii="Calibri Light" w:hAnsi="Calibri Light" w:cs="Calibri Light"/>
          <w:color w:val="000000"/>
          <w:sz w:val="24"/>
          <w:szCs w:val="24"/>
        </w:rPr>
        <w:fldChar w:fldCharType="end"/>
      </w:r>
      <w:r w:rsidRPr="00670FD0">
        <w:rPr>
          <w:rFonts w:ascii="Calibri Light" w:hAnsi="Calibri Light" w:cs="Calibri Light"/>
          <w:color w:val="000000"/>
          <w:sz w:val="24"/>
          <w:szCs w:val="24"/>
        </w:rPr>
        <w:t xml:space="preserve"> marriages dissolve. Reforms could include mandatory recognition of foreign judgments in mixed marriage custody cases or the establishment of bilateral agreements between nations to enforc</w:t>
      </w:r>
      <w:r w:rsidR="00AD2454">
        <w:rPr>
          <w:rFonts w:ascii="Calibri Light" w:hAnsi="Calibri Light" w:cs="Calibri Light"/>
          <w:color w:val="000000"/>
          <w:sz w:val="24"/>
          <w:szCs w:val="24"/>
        </w:rPr>
        <w:t>e custody rights across borders</w:t>
      </w:r>
      <w:r w:rsidR="00AD2454">
        <w:rPr>
          <w:rFonts w:ascii="Calibri Light" w:hAnsi="Calibri Light" w:cs="Calibri Light"/>
          <w:color w:val="A6A6A6"/>
          <w:szCs w:val="22"/>
        </w:rPr>
        <w:t>.</w:t>
      </w:r>
    </w:p>
    <w:p w14:paraId="58CE941A"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08149FB0" w14:textId="77777777" w:rsidR="00741058" w:rsidRPr="00540F02" w:rsidRDefault="00741058" w:rsidP="009965FA">
      <w:pPr>
        <w:numPr>
          <w:ilvl w:val="0"/>
          <w:numId w:val="28"/>
        </w:numPr>
        <w:autoSpaceDE/>
        <w:autoSpaceDN/>
        <w:spacing w:after="120"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1A3EC82E" w14:textId="77777777" w:rsidR="006B0510" w:rsidRPr="009965FA" w:rsidRDefault="009965FA" w:rsidP="009965FA">
      <w:pPr>
        <w:spacing w:after="120"/>
        <w:ind w:left="426"/>
        <w:jc w:val="both"/>
        <w:rPr>
          <w:rFonts w:ascii="Calibri Light" w:hAnsi="Calibri Light" w:cs="Calibri Light"/>
          <w:b/>
          <w:color w:val="000000"/>
          <w:sz w:val="24"/>
          <w:lang w:eastAsia="en-US"/>
        </w:rPr>
      </w:pPr>
      <w:r w:rsidRPr="009965FA">
        <w:rPr>
          <w:rFonts w:ascii="Calibri Light" w:hAnsi="Calibri Light" w:cs="Calibri Light"/>
          <w:color w:val="000000"/>
          <w:sz w:val="24"/>
        </w:rPr>
        <w:t xml:space="preserve">The dissolution of mixed marriages, whether due to death, divorce, or due to a court judgment has implications to the lack of legal certainty regarding the determination of custody rights for minor children. This uncertainty regarding law enforcement is caused by differences in the legal systems adopted by the married couple in a mixed marriage. The dissolution of mixed marriages has implications for children who are still minors in terms of obtaining their rights as children because they have dual citizenship. In the event that the governing laws are compatible with each other, this will not cause any problems, but if the material laws of the governing country have different provisions, then these children </w:t>
      </w:r>
      <w:r w:rsidRPr="009965FA">
        <w:rPr>
          <w:rFonts w:ascii="Calibri Light" w:hAnsi="Calibri Light" w:cs="Calibri Light"/>
          <w:color w:val="000000"/>
          <w:sz w:val="24"/>
        </w:rPr>
        <w:lastRenderedPageBreak/>
        <w:t>will have difficulty in obtaining legal certainty regarding their rights as children, considering that in a mixed marriage, the principles of HPI must be applied, namely, the principle of lex loci celebrationis, which means that the applicable law is the law where the marriage was solemnized. It constitutes a link point which cannot be avoided in order to achieve legal certainty.</w:t>
      </w:r>
    </w:p>
    <w:p w14:paraId="75924AC0"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084A90E1" w14:textId="77777777" w:rsidR="00741058" w:rsidRPr="00540F02" w:rsidRDefault="00F369EC" w:rsidP="009965FA">
      <w:pPr>
        <w:spacing w:after="120" w:line="240" w:lineRule="atLeast"/>
        <w:ind w:left="426" w:hanging="426"/>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 </w:t>
      </w:r>
      <w:r w:rsidR="009965FA">
        <w:rPr>
          <w:rFonts w:ascii="Calibri Light" w:hAnsi="Calibri Light" w:cs="Calibri Light"/>
          <w:b/>
          <w:sz w:val="24"/>
          <w:szCs w:val="24"/>
          <w:lang w:val="id-ID"/>
        </w:rPr>
        <w:tab/>
      </w:r>
      <w:r w:rsidR="00741058" w:rsidRPr="00122F5F">
        <w:rPr>
          <w:rFonts w:ascii="Calibri Light" w:hAnsi="Calibri Light" w:cs="Calibri Light"/>
          <w:b/>
          <w:sz w:val="24"/>
          <w:szCs w:val="24"/>
        </w:rPr>
        <w:t>REFERENCES</w:t>
      </w:r>
    </w:p>
    <w:p w14:paraId="2FA4B539" w14:textId="77777777" w:rsidR="008D44A8" w:rsidRPr="008D44A8" w:rsidRDefault="00383ED5" w:rsidP="00357420">
      <w:pPr>
        <w:widowControl w:val="0"/>
        <w:adjustRightInd w:val="0"/>
        <w:ind w:left="480" w:hanging="480"/>
        <w:jc w:val="both"/>
        <w:rPr>
          <w:rFonts w:ascii="Calibri Light" w:hAnsi="Calibri Light" w:cs="Calibri Light"/>
          <w:noProof/>
          <w:sz w:val="24"/>
        </w:rPr>
      </w:pPr>
      <w:r>
        <w:rPr>
          <w:rFonts w:ascii="Calibri Light" w:hAnsi="Calibri Light" w:cs="Calibri Light"/>
          <w:b/>
          <w:color w:val="A6A6A6"/>
          <w:sz w:val="24"/>
          <w:szCs w:val="24"/>
        </w:rPr>
        <w:fldChar w:fldCharType="begin" w:fldLock="1"/>
      </w:r>
      <w:r>
        <w:rPr>
          <w:rFonts w:ascii="Calibri Light" w:hAnsi="Calibri Light" w:cs="Calibri Light"/>
          <w:b/>
          <w:color w:val="A6A6A6"/>
          <w:sz w:val="24"/>
          <w:szCs w:val="24"/>
        </w:rPr>
        <w:instrText xml:space="preserve">ADDIN Mendeley Bibliography CSL_BIBLIOGRAPHY </w:instrText>
      </w:r>
      <w:r>
        <w:rPr>
          <w:rFonts w:ascii="Calibri Light" w:hAnsi="Calibri Light" w:cs="Calibri Light"/>
          <w:b/>
          <w:color w:val="A6A6A6"/>
          <w:sz w:val="24"/>
          <w:szCs w:val="24"/>
        </w:rPr>
        <w:fldChar w:fldCharType="separate"/>
      </w:r>
      <w:r w:rsidR="008D44A8" w:rsidRPr="008D44A8">
        <w:rPr>
          <w:rFonts w:ascii="Calibri Light" w:hAnsi="Calibri Light" w:cs="Calibri Light"/>
          <w:noProof/>
          <w:sz w:val="24"/>
        </w:rPr>
        <w:t xml:space="preserve">Arianto, D. (2017). the Protection To Children of Dual Citizenship in Possessing Title on Land in Indonesia. </w:t>
      </w:r>
      <w:r w:rsidR="008D44A8" w:rsidRPr="008D44A8">
        <w:rPr>
          <w:rFonts w:ascii="Calibri Light" w:hAnsi="Calibri Light" w:cs="Calibri Light"/>
          <w:i/>
          <w:iCs/>
          <w:noProof/>
          <w:sz w:val="24"/>
        </w:rPr>
        <w:t>Yustisia Jurnal Hukum</w:t>
      </w:r>
      <w:r w:rsidR="008D44A8" w:rsidRPr="008D44A8">
        <w:rPr>
          <w:rFonts w:ascii="Calibri Light" w:hAnsi="Calibri Light" w:cs="Calibri Light"/>
          <w:noProof/>
          <w:sz w:val="24"/>
        </w:rPr>
        <w:t xml:space="preserve">, </w:t>
      </w:r>
      <w:r w:rsidR="008D44A8" w:rsidRPr="008D44A8">
        <w:rPr>
          <w:rFonts w:ascii="Calibri Light" w:hAnsi="Calibri Light" w:cs="Calibri Light"/>
          <w:i/>
          <w:iCs/>
          <w:noProof/>
          <w:sz w:val="24"/>
        </w:rPr>
        <w:t>6</w:t>
      </w:r>
      <w:r w:rsidR="008D44A8" w:rsidRPr="008D44A8">
        <w:rPr>
          <w:rFonts w:ascii="Calibri Light" w:hAnsi="Calibri Light" w:cs="Calibri Light"/>
          <w:noProof/>
          <w:sz w:val="24"/>
        </w:rPr>
        <w:t>(3), 515. https://doi.org/10.20961/yustisia.v6i3.16786</w:t>
      </w:r>
    </w:p>
    <w:p w14:paraId="5CC908FF"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Asfaw, L. S., &amp; Alene, G. D. (2023). Marital dissolution and associated factors in Hosanna, Southwest Ethiopia: a community-based cross-sectional study. </w:t>
      </w:r>
      <w:r w:rsidRPr="008D44A8">
        <w:rPr>
          <w:rFonts w:ascii="Calibri Light" w:hAnsi="Calibri Light" w:cs="Calibri Light"/>
          <w:i/>
          <w:iCs/>
          <w:noProof/>
          <w:sz w:val="24"/>
        </w:rPr>
        <w:t>BMC Psychology</w:t>
      </w:r>
      <w:r w:rsidRPr="008D44A8">
        <w:rPr>
          <w:rFonts w:ascii="Calibri Light" w:hAnsi="Calibri Light" w:cs="Calibri Light"/>
          <w:noProof/>
          <w:sz w:val="24"/>
        </w:rPr>
        <w:t xml:space="preserve">, </w:t>
      </w:r>
      <w:r w:rsidRPr="008D44A8">
        <w:rPr>
          <w:rFonts w:ascii="Calibri Light" w:hAnsi="Calibri Light" w:cs="Calibri Light"/>
          <w:i/>
          <w:iCs/>
          <w:noProof/>
          <w:sz w:val="24"/>
        </w:rPr>
        <w:t>11</w:t>
      </w:r>
      <w:r w:rsidRPr="008D44A8">
        <w:rPr>
          <w:rFonts w:ascii="Calibri Light" w:hAnsi="Calibri Light" w:cs="Calibri Light"/>
          <w:noProof/>
          <w:sz w:val="24"/>
        </w:rPr>
        <w:t>(1), 20. https://doi.org/10.1186/s40359-023-01051-3</w:t>
      </w:r>
    </w:p>
    <w:p w14:paraId="276B0ECE"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Bariah, O., &amp; Ferianto, F. (2024). Legal Implications of Marriage During the ’Iddah Period: Analytical Study of the Opinions of Fiqh Scholars. </w:t>
      </w:r>
      <w:r w:rsidRPr="008D44A8">
        <w:rPr>
          <w:rFonts w:ascii="Calibri Light" w:hAnsi="Calibri Light" w:cs="Calibri Light"/>
          <w:i/>
          <w:iCs/>
          <w:noProof/>
          <w:sz w:val="24"/>
        </w:rPr>
        <w:t>International Journal Ihya’ ’Ulum Al-Din</w:t>
      </w:r>
      <w:r w:rsidRPr="008D44A8">
        <w:rPr>
          <w:rFonts w:ascii="Calibri Light" w:hAnsi="Calibri Light" w:cs="Calibri Light"/>
          <w:noProof/>
          <w:sz w:val="24"/>
        </w:rPr>
        <w:t xml:space="preserve">, </w:t>
      </w:r>
      <w:r w:rsidRPr="008D44A8">
        <w:rPr>
          <w:rFonts w:ascii="Calibri Light" w:hAnsi="Calibri Light" w:cs="Calibri Light"/>
          <w:i/>
          <w:iCs/>
          <w:noProof/>
          <w:sz w:val="24"/>
        </w:rPr>
        <w:t>26</w:t>
      </w:r>
      <w:r w:rsidRPr="008D44A8">
        <w:rPr>
          <w:rFonts w:ascii="Calibri Light" w:hAnsi="Calibri Light" w:cs="Calibri Light"/>
          <w:noProof/>
          <w:sz w:val="24"/>
        </w:rPr>
        <w:t>(1), 10–22. https://doi.org/10.21580/ihya.26.1.20519</w:t>
      </w:r>
    </w:p>
    <w:p w14:paraId="5123CB74"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Brown, T., &amp; Alexander, R. (2020). Child abuse and family law: Understanding the issues facing human service and legal professionals. </w:t>
      </w:r>
      <w:r w:rsidRPr="008D44A8">
        <w:rPr>
          <w:rFonts w:ascii="Calibri Light" w:hAnsi="Calibri Light" w:cs="Calibri Light"/>
          <w:i/>
          <w:iCs/>
          <w:noProof/>
          <w:sz w:val="24"/>
        </w:rPr>
        <w:t>Child Abuse and Family Law: Understanding the Issues Facing Human Service and Legal Professionals</w:t>
      </w:r>
      <w:r w:rsidRPr="008D44A8">
        <w:rPr>
          <w:rFonts w:ascii="Calibri Light" w:hAnsi="Calibri Light" w:cs="Calibri Light"/>
          <w:noProof/>
          <w:sz w:val="24"/>
        </w:rPr>
        <w:t>, 1–216. https://doi.org/10.4324/9781003115168</w:t>
      </w:r>
    </w:p>
    <w:p w14:paraId="6540FA14"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Carbone, J. (2020). Children and Families in International and Comparative Law: Custody Disputes in the Era of Globalization. </w:t>
      </w:r>
      <w:r w:rsidRPr="008D44A8">
        <w:rPr>
          <w:rFonts w:ascii="Calibri Light" w:hAnsi="Calibri Light" w:cs="Calibri Light"/>
          <w:i/>
          <w:iCs/>
          <w:noProof/>
          <w:sz w:val="24"/>
        </w:rPr>
        <w:t>The International Journal of Comparative Law</w:t>
      </w:r>
      <w:r w:rsidRPr="008D44A8">
        <w:rPr>
          <w:rFonts w:ascii="Calibri Light" w:hAnsi="Calibri Light" w:cs="Calibri Light"/>
          <w:noProof/>
          <w:sz w:val="24"/>
        </w:rPr>
        <w:t xml:space="preserve">, </w:t>
      </w:r>
      <w:r w:rsidRPr="008D44A8">
        <w:rPr>
          <w:rFonts w:ascii="Calibri Light" w:hAnsi="Calibri Light" w:cs="Calibri Light"/>
          <w:i/>
          <w:iCs/>
          <w:noProof/>
          <w:sz w:val="24"/>
        </w:rPr>
        <w:t>14</w:t>
      </w:r>
      <w:r w:rsidRPr="008D44A8">
        <w:rPr>
          <w:rFonts w:ascii="Calibri Light" w:hAnsi="Calibri Light" w:cs="Calibri Light"/>
          <w:noProof/>
          <w:sz w:val="24"/>
        </w:rPr>
        <w:t>(4), 185–201. https://doi.org/https://doi.org/10.1093/icl/185.</w:t>
      </w:r>
    </w:p>
    <w:p w14:paraId="08C6C269"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Castiglione, D. (2022). Legal and Jurisdictional Challenges in the Dissolution of Mixed Marriages. </w:t>
      </w:r>
      <w:r w:rsidRPr="008D44A8">
        <w:rPr>
          <w:rFonts w:ascii="Calibri Light" w:hAnsi="Calibri Light" w:cs="Calibri Light"/>
          <w:i/>
          <w:iCs/>
          <w:noProof/>
          <w:sz w:val="24"/>
        </w:rPr>
        <w:t>Journal of European Law</w:t>
      </w:r>
      <w:r w:rsidRPr="008D44A8">
        <w:rPr>
          <w:rFonts w:ascii="Calibri Light" w:hAnsi="Calibri Light" w:cs="Calibri Light"/>
          <w:noProof/>
          <w:sz w:val="24"/>
        </w:rPr>
        <w:t xml:space="preserve">, </w:t>
      </w:r>
      <w:r w:rsidRPr="008D44A8">
        <w:rPr>
          <w:rFonts w:ascii="Calibri Light" w:hAnsi="Calibri Light" w:cs="Calibri Light"/>
          <w:i/>
          <w:iCs/>
          <w:noProof/>
          <w:sz w:val="24"/>
        </w:rPr>
        <w:t>33</w:t>
      </w:r>
      <w:r w:rsidRPr="008D44A8">
        <w:rPr>
          <w:rFonts w:ascii="Calibri Light" w:hAnsi="Calibri Light" w:cs="Calibri Light"/>
          <w:noProof/>
          <w:sz w:val="24"/>
        </w:rPr>
        <w:t>(5). https://doi.org/https://doi.org/10.1007/sj.jel</w:t>
      </w:r>
    </w:p>
    <w:p w14:paraId="4C1CF442"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Cherian, R. (2021). Legal Implications of Mixed Marriages and Child Custody in Southeast Asia. </w:t>
      </w:r>
      <w:r w:rsidRPr="008D44A8">
        <w:rPr>
          <w:rFonts w:ascii="Calibri Light" w:hAnsi="Calibri Light" w:cs="Calibri Light"/>
          <w:i/>
          <w:iCs/>
          <w:noProof/>
          <w:sz w:val="24"/>
        </w:rPr>
        <w:t>Journal of Comparative Family Law</w:t>
      </w:r>
      <w:r w:rsidRPr="008D44A8">
        <w:rPr>
          <w:rFonts w:ascii="Calibri Light" w:hAnsi="Calibri Light" w:cs="Calibri Light"/>
          <w:noProof/>
          <w:sz w:val="24"/>
        </w:rPr>
        <w:t xml:space="preserve">, </w:t>
      </w:r>
      <w:r w:rsidRPr="008D44A8">
        <w:rPr>
          <w:rFonts w:ascii="Calibri Light" w:hAnsi="Calibri Light" w:cs="Calibri Light"/>
          <w:i/>
          <w:iCs/>
          <w:noProof/>
          <w:sz w:val="24"/>
        </w:rPr>
        <w:t>7</w:t>
      </w:r>
      <w:r w:rsidRPr="008D44A8">
        <w:rPr>
          <w:rFonts w:ascii="Calibri Light" w:hAnsi="Calibri Light" w:cs="Calibri Light"/>
          <w:noProof/>
          <w:sz w:val="24"/>
        </w:rPr>
        <w:t>(3). https://doi.org/https://doi.org/10.1023/40971.jcf.</w:t>
      </w:r>
    </w:p>
    <w:p w14:paraId="0DD37813"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Connolly, S. (2019). Determining the Best Interests of the Child in International Custody Disputes: An Examination of Legal Frameworks. </w:t>
      </w:r>
      <w:r w:rsidRPr="008D44A8">
        <w:rPr>
          <w:rFonts w:ascii="Calibri Light" w:hAnsi="Calibri Light" w:cs="Calibri Light"/>
          <w:i/>
          <w:iCs/>
          <w:noProof/>
          <w:sz w:val="24"/>
        </w:rPr>
        <w:t>Child and Family Law Quarterly</w:t>
      </w:r>
      <w:r w:rsidRPr="008D44A8">
        <w:rPr>
          <w:rFonts w:ascii="Calibri Light" w:hAnsi="Calibri Light" w:cs="Calibri Light"/>
          <w:noProof/>
          <w:sz w:val="24"/>
        </w:rPr>
        <w:t xml:space="preserve">, </w:t>
      </w:r>
      <w:r w:rsidRPr="008D44A8">
        <w:rPr>
          <w:rFonts w:ascii="Calibri Light" w:hAnsi="Calibri Light" w:cs="Calibri Light"/>
          <w:i/>
          <w:iCs/>
          <w:noProof/>
          <w:sz w:val="24"/>
        </w:rPr>
        <w:t>27</w:t>
      </w:r>
      <w:r w:rsidRPr="008D44A8">
        <w:rPr>
          <w:rFonts w:ascii="Calibri Light" w:hAnsi="Calibri Light" w:cs="Calibri Light"/>
          <w:noProof/>
          <w:sz w:val="24"/>
        </w:rPr>
        <w:t>(4), 283–301. https://doi.org/https://doi.org/10.4337/cflq.</w:t>
      </w:r>
    </w:p>
    <w:p w14:paraId="04B21A31"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Emery, R. E., Otto, R. K., &amp; O’Donohue, W. T. (2005). A Critical Assessment of Child Custody Evaluations. </w:t>
      </w:r>
      <w:r w:rsidRPr="008D44A8">
        <w:rPr>
          <w:rFonts w:ascii="Calibri Light" w:hAnsi="Calibri Light" w:cs="Calibri Light"/>
          <w:i/>
          <w:iCs/>
          <w:noProof/>
          <w:sz w:val="24"/>
        </w:rPr>
        <w:t>Psychological Science in the Public Interest</w:t>
      </w:r>
      <w:r w:rsidRPr="008D44A8">
        <w:rPr>
          <w:rFonts w:ascii="Calibri Light" w:hAnsi="Calibri Light" w:cs="Calibri Light"/>
          <w:noProof/>
          <w:sz w:val="24"/>
        </w:rPr>
        <w:t xml:space="preserve">, </w:t>
      </w:r>
      <w:r w:rsidRPr="008D44A8">
        <w:rPr>
          <w:rFonts w:ascii="Calibri Light" w:hAnsi="Calibri Light" w:cs="Calibri Light"/>
          <w:i/>
          <w:iCs/>
          <w:noProof/>
          <w:sz w:val="24"/>
        </w:rPr>
        <w:t>6</w:t>
      </w:r>
      <w:r w:rsidRPr="008D44A8">
        <w:rPr>
          <w:rFonts w:ascii="Calibri Light" w:hAnsi="Calibri Light" w:cs="Calibri Light"/>
          <w:noProof/>
          <w:sz w:val="24"/>
        </w:rPr>
        <w:t>(1), 1–29. https://doi.org/10.1111/j.1529-1006.2005.00020.x</w:t>
      </w:r>
    </w:p>
    <w:p w14:paraId="3FA38080"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Ma’u, D. H., Wagiyem, &amp; Rahayu, R. M. (2023). The Construction of Cerai Manis (Prefered Divorce) on the Border of Indonesia and Malaysia Communities. </w:t>
      </w:r>
      <w:r w:rsidRPr="008D44A8">
        <w:rPr>
          <w:rFonts w:ascii="Calibri Light" w:hAnsi="Calibri Light" w:cs="Calibri Light"/>
          <w:i/>
          <w:iCs/>
          <w:noProof/>
          <w:sz w:val="24"/>
        </w:rPr>
        <w:t>Al-’Adalah</w:t>
      </w:r>
      <w:r w:rsidRPr="008D44A8">
        <w:rPr>
          <w:rFonts w:ascii="Calibri Light" w:hAnsi="Calibri Light" w:cs="Calibri Light"/>
          <w:noProof/>
          <w:sz w:val="24"/>
        </w:rPr>
        <w:t xml:space="preserve">, </w:t>
      </w:r>
      <w:r w:rsidRPr="008D44A8">
        <w:rPr>
          <w:rFonts w:ascii="Calibri Light" w:hAnsi="Calibri Light" w:cs="Calibri Light"/>
          <w:i/>
          <w:iCs/>
          <w:noProof/>
          <w:sz w:val="24"/>
        </w:rPr>
        <w:t>20</w:t>
      </w:r>
      <w:r w:rsidRPr="008D44A8">
        <w:rPr>
          <w:rFonts w:ascii="Calibri Light" w:hAnsi="Calibri Light" w:cs="Calibri Light"/>
          <w:noProof/>
          <w:sz w:val="24"/>
        </w:rPr>
        <w:t>(1), 19–34. https://doi.org/10.24042/adalah.v20i1.16518</w:t>
      </w:r>
    </w:p>
    <w:p w14:paraId="7E8578E6"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Martín, N. G. (2015). International Parental Child Abduction and Mediation. </w:t>
      </w:r>
      <w:r w:rsidRPr="008D44A8">
        <w:rPr>
          <w:rFonts w:ascii="Calibri Light" w:hAnsi="Calibri Light" w:cs="Calibri Light"/>
          <w:i/>
          <w:iCs/>
          <w:noProof/>
          <w:sz w:val="24"/>
        </w:rPr>
        <w:t>Anuario Mexicano de Derecho Internacional</w:t>
      </w:r>
      <w:r w:rsidRPr="008D44A8">
        <w:rPr>
          <w:rFonts w:ascii="Calibri Light" w:hAnsi="Calibri Light" w:cs="Calibri Light"/>
          <w:noProof/>
          <w:sz w:val="24"/>
        </w:rPr>
        <w:t xml:space="preserve">, </w:t>
      </w:r>
      <w:r w:rsidRPr="008D44A8">
        <w:rPr>
          <w:rFonts w:ascii="Calibri Light" w:hAnsi="Calibri Light" w:cs="Calibri Light"/>
          <w:i/>
          <w:iCs/>
          <w:noProof/>
          <w:sz w:val="24"/>
        </w:rPr>
        <w:t>15</w:t>
      </w:r>
      <w:r w:rsidRPr="008D44A8">
        <w:rPr>
          <w:rFonts w:ascii="Calibri Light" w:hAnsi="Calibri Light" w:cs="Calibri Light"/>
          <w:noProof/>
          <w:sz w:val="24"/>
        </w:rPr>
        <w:t>(1), 353–412. https://doi.org/10.1016/j.amdi.2014.09.007</w:t>
      </w:r>
    </w:p>
    <w:p w14:paraId="617C1DEB"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Musta’in, M. (2022). Legal Problems of the Office of Religious Affairs (KUA) in the Implementation of Family Mualaf Counseling Guidance in Playen District. </w:t>
      </w:r>
      <w:r w:rsidRPr="008D44A8">
        <w:rPr>
          <w:rFonts w:ascii="Calibri Light" w:hAnsi="Calibri Light" w:cs="Calibri Light"/>
          <w:i/>
          <w:iCs/>
          <w:noProof/>
          <w:sz w:val="24"/>
        </w:rPr>
        <w:t>Journal of Law and Legal Reform</w:t>
      </w:r>
      <w:r w:rsidRPr="008D44A8">
        <w:rPr>
          <w:rFonts w:ascii="Calibri Light" w:hAnsi="Calibri Light" w:cs="Calibri Light"/>
          <w:noProof/>
          <w:sz w:val="24"/>
        </w:rPr>
        <w:t xml:space="preserve">, </w:t>
      </w:r>
      <w:r w:rsidRPr="008D44A8">
        <w:rPr>
          <w:rFonts w:ascii="Calibri Light" w:hAnsi="Calibri Light" w:cs="Calibri Light"/>
          <w:i/>
          <w:iCs/>
          <w:noProof/>
          <w:sz w:val="24"/>
        </w:rPr>
        <w:t>3</w:t>
      </w:r>
      <w:r w:rsidRPr="008D44A8">
        <w:rPr>
          <w:rFonts w:ascii="Calibri Light" w:hAnsi="Calibri Light" w:cs="Calibri Light"/>
          <w:noProof/>
          <w:sz w:val="24"/>
        </w:rPr>
        <w:t>(2), 111–132. https://doi.org/10.15294/jllr.v3i2.54624</w:t>
      </w:r>
    </w:p>
    <w:p w14:paraId="71949EB4"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Ni Putu Sayuri Dewi, M. Sofyan Pulungan, &amp; Meliyana Yustikarini. (2025). Inheritance Rights of Children Born in Mixed Marriages Reviewed from the Civil Code and Balinese Customary </w:t>
      </w:r>
      <w:r w:rsidRPr="008D44A8">
        <w:rPr>
          <w:rFonts w:ascii="Calibri Light" w:hAnsi="Calibri Light" w:cs="Calibri Light"/>
          <w:noProof/>
          <w:sz w:val="24"/>
        </w:rPr>
        <w:lastRenderedPageBreak/>
        <w:t xml:space="preserve">Law. </w:t>
      </w:r>
      <w:r w:rsidRPr="008D44A8">
        <w:rPr>
          <w:rFonts w:ascii="Calibri Light" w:hAnsi="Calibri Light" w:cs="Calibri Light"/>
          <w:i/>
          <w:iCs/>
          <w:noProof/>
          <w:sz w:val="24"/>
        </w:rPr>
        <w:t>Journal of Law, Politic and Humanities</w:t>
      </w:r>
      <w:r w:rsidRPr="008D44A8">
        <w:rPr>
          <w:rFonts w:ascii="Calibri Light" w:hAnsi="Calibri Light" w:cs="Calibri Light"/>
          <w:noProof/>
          <w:sz w:val="24"/>
        </w:rPr>
        <w:t xml:space="preserve">, </w:t>
      </w:r>
      <w:r w:rsidRPr="008D44A8">
        <w:rPr>
          <w:rFonts w:ascii="Calibri Light" w:hAnsi="Calibri Light" w:cs="Calibri Light"/>
          <w:i/>
          <w:iCs/>
          <w:noProof/>
          <w:sz w:val="24"/>
        </w:rPr>
        <w:t>5</w:t>
      </w:r>
      <w:r w:rsidRPr="008D44A8">
        <w:rPr>
          <w:rFonts w:ascii="Calibri Light" w:hAnsi="Calibri Light" w:cs="Calibri Light"/>
          <w:noProof/>
          <w:sz w:val="24"/>
        </w:rPr>
        <w:t>(4), 2539–2549. https://doi.org/10.38035/jlph.v5i4.1429</w:t>
      </w:r>
    </w:p>
    <w:p w14:paraId="6D995387"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Parisot, V. (2021). Performing the Bad Marriage? The Transition from a Troubled to a Troubling Family in the Course of Fault Divorce in the 21st Century. </w:t>
      </w:r>
      <w:r w:rsidRPr="008D44A8">
        <w:rPr>
          <w:rFonts w:ascii="Calibri Light" w:hAnsi="Calibri Light" w:cs="Calibri Light"/>
          <w:i/>
          <w:iCs/>
          <w:noProof/>
          <w:sz w:val="24"/>
        </w:rPr>
        <w:t>Social Sciences</w:t>
      </w:r>
      <w:r w:rsidRPr="008D44A8">
        <w:rPr>
          <w:rFonts w:ascii="Calibri Light" w:hAnsi="Calibri Light" w:cs="Calibri Light"/>
          <w:noProof/>
          <w:sz w:val="24"/>
        </w:rPr>
        <w:t xml:space="preserve">, </w:t>
      </w:r>
      <w:r w:rsidRPr="008D44A8">
        <w:rPr>
          <w:rFonts w:ascii="Calibri Light" w:hAnsi="Calibri Light" w:cs="Calibri Light"/>
          <w:i/>
          <w:iCs/>
          <w:noProof/>
          <w:sz w:val="24"/>
        </w:rPr>
        <w:t>10</w:t>
      </w:r>
      <w:r w:rsidRPr="008D44A8">
        <w:rPr>
          <w:rFonts w:ascii="Calibri Light" w:hAnsi="Calibri Light" w:cs="Calibri Light"/>
          <w:noProof/>
          <w:sz w:val="24"/>
        </w:rPr>
        <w:t>(12), 464. https://doi.org/10.3390/socsci10120464</w:t>
      </w:r>
    </w:p>
    <w:p w14:paraId="2E2650DD"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Silveira, G. J. (2016). CHALLENGING THE CENTRALIST DOCTRINE IN MEXICAN FAMILY LAW: AN ANALYSIS OF THE EVOLUTION OF STATE AUTHORITY OVER CIVIL LAW MATTERS AND ITS IMPACT ON THE REGULATION OF COHABITATION AND DIVORCE. </w:t>
      </w:r>
      <w:r w:rsidRPr="008D44A8">
        <w:rPr>
          <w:rFonts w:ascii="Calibri Light" w:hAnsi="Calibri Light" w:cs="Calibri Light"/>
          <w:i/>
          <w:iCs/>
          <w:noProof/>
          <w:sz w:val="24"/>
        </w:rPr>
        <w:t>Mexican Law Review</w:t>
      </w:r>
      <w:r w:rsidRPr="008D44A8">
        <w:rPr>
          <w:rFonts w:ascii="Calibri Light" w:hAnsi="Calibri Light" w:cs="Calibri Light"/>
          <w:noProof/>
          <w:sz w:val="24"/>
        </w:rPr>
        <w:t xml:space="preserve">, </w:t>
      </w:r>
      <w:r w:rsidRPr="008D44A8">
        <w:rPr>
          <w:rFonts w:ascii="Calibri Light" w:hAnsi="Calibri Light" w:cs="Calibri Light"/>
          <w:i/>
          <w:iCs/>
          <w:noProof/>
          <w:sz w:val="24"/>
        </w:rPr>
        <w:t>9</w:t>
      </w:r>
      <w:r w:rsidRPr="008D44A8">
        <w:rPr>
          <w:rFonts w:ascii="Calibri Light" w:hAnsi="Calibri Light" w:cs="Calibri Light"/>
          <w:noProof/>
          <w:sz w:val="24"/>
        </w:rPr>
        <w:t>(1), 45–79. https://doi.org/10.1016/j.mexlaw.2016.09.003</w:t>
      </w:r>
    </w:p>
    <w:p w14:paraId="0EF8FAA4"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Spiro, P. J. (2011). A New International Law of Citizenship. </w:t>
      </w:r>
      <w:r w:rsidRPr="008D44A8">
        <w:rPr>
          <w:rFonts w:ascii="Calibri Light" w:hAnsi="Calibri Light" w:cs="Calibri Light"/>
          <w:i/>
          <w:iCs/>
          <w:noProof/>
          <w:sz w:val="24"/>
        </w:rPr>
        <w:t>American Journal of International Law</w:t>
      </w:r>
      <w:r w:rsidRPr="008D44A8">
        <w:rPr>
          <w:rFonts w:ascii="Calibri Light" w:hAnsi="Calibri Light" w:cs="Calibri Light"/>
          <w:noProof/>
          <w:sz w:val="24"/>
        </w:rPr>
        <w:t xml:space="preserve">, </w:t>
      </w:r>
      <w:r w:rsidRPr="008D44A8">
        <w:rPr>
          <w:rFonts w:ascii="Calibri Light" w:hAnsi="Calibri Light" w:cs="Calibri Light"/>
          <w:i/>
          <w:iCs/>
          <w:noProof/>
          <w:sz w:val="24"/>
        </w:rPr>
        <w:t>105</w:t>
      </w:r>
      <w:r w:rsidRPr="008D44A8">
        <w:rPr>
          <w:rFonts w:ascii="Calibri Light" w:hAnsi="Calibri Light" w:cs="Calibri Light"/>
          <w:noProof/>
          <w:sz w:val="24"/>
        </w:rPr>
        <w:t>(4), 694–746. https://doi.org/10.5305/amerjintelaw.105.4.0694</w:t>
      </w:r>
    </w:p>
    <w:p w14:paraId="00B41C94"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Sujana, I. N., &amp; Maruf, I. R. (2024). The Constitutionality of Inheritance Rights for Extramarital Children: Assessing the Legal Response under Balinese Customary Law. </w:t>
      </w:r>
      <w:r w:rsidRPr="008D44A8">
        <w:rPr>
          <w:rFonts w:ascii="Calibri Light" w:hAnsi="Calibri Light" w:cs="Calibri Light"/>
          <w:i/>
          <w:iCs/>
          <w:noProof/>
          <w:sz w:val="24"/>
        </w:rPr>
        <w:t>Hasanuddin Law Review</w:t>
      </w:r>
      <w:r w:rsidRPr="008D44A8">
        <w:rPr>
          <w:rFonts w:ascii="Calibri Light" w:hAnsi="Calibri Light" w:cs="Calibri Light"/>
          <w:noProof/>
          <w:sz w:val="24"/>
        </w:rPr>
        <w:t xml:space="preserve">, </w:t>
      </w:r>
      <w:r w:rsidRPr="008D44A8">
        <w:rPr>
          <w:rFonts w:ascii="Calibri Light" w:hAnsi="Calibri Light" w:cs="Calibri Light"/>
          <w:i/>
          <w:iCs/>
          <w:noProof/>
          <w:sz w:val="24"/>
        </w:rPr>
        <w:t>10</w:t>
      </w:r>
      <w:r w:rsidRPr="008D44A8">
        <w:rPr>
          <w:rFonts w:ascii="Calibri Light" w:hAnsi="Calibri Light" w:cs="Calibri Light"/>
          <w:noProof/>
          <w:sz w:val="24"/>
        </w:rPr>
        <w:t>(1), 83. https://doi.org/10.20956/halrev.v10i1.5170</w:t>
      </w:r>
    </w:p>
    <w:p w14:paraId="18B919AF"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Sujana, N. (2023). The Implication of the Divorce of Unregistered Marriages for Divorcees’ in Bali: Assessing Status, Right and Duty. </w:t>
      </w:r>
      <w:r w:rsidRPr="008D44A8">
        <w:rPr>
          <w:rFonts w:ascii="Calibri Light" w:hAnsi="Calibri Light" w:cs="Calibri Light"/>
          <w:i/>
          <w:iCs/>
          <w:noProof/>
          <w:sz w:val="24"/>
        </w:rPr>
        <w:t>Fiat Justisia: Jurnal Ilmu Hukum</w:t>
      </w:r>
      <w:r w:rsidRPr="008D44A8">
        <w:rPr>
          <w:rFonts w:ascii="Calibri Light" w:hAnsi="Calibri Light" w:cs="Calibri Light"/>
          <w:noProof/>
          <w:sz w:val="24"/>
        </w:rPr>
        <w:t xml:space="preserve">, </w:t>
      </w:r>
      <w:r w:rsidRPr="008D44A8">
        <w:rPr>
          <w:rFonts w:ascii="Calibri Light" w:hAnsi="Calibri Light" w:cs="Calibri Light"/>
          <w:i/>
          <w:iCs/>
          <w:noProof/>
          <w:sz w:val="24"/>
        </w:rPr>
        <w:t>17</w:t>
      </w:r>
      <w:r w:rsidRPr="008D44A8">
        <w:rPr>
          <w:rFonts w:ascii="Calibri Light" w:hAnsi="Calibri Light" w:cs="Calibri Light"/>
          <w:noProof/>
          <w:sz w:val="24"/>
        </w:rPr>
        <w:t>(3), 265–278. https://doi.org/10.25041/fiatjustisia.v17no3.3096</w:t>
      </w:r>
    </w:p>
    <w:p w14:paraId="101AFFBB"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Tolle, L. W., &amp; O’Donohue, W. T. (2012). </w:t>
      </w:r>
      <w:r w:rsidRPr="008D44A8">
        <w:rPr>
          <w:rFonts w:ascii="Calibri Light" w:hAnsi="Calibri Light" w:cs="Calibri Light"/>
          <w:i/>
          <w:iCs/>
          <w:noProof/>
          <w:sz w:val="24"/>
        </w:rPr>
        <w:t>Improving the Quality of Child Custody Evaluations</w:t>
      </w:r>
      <w:r w:rsidRPr="008D44A8">
        <w:rPr>
          <w:rFonts w:ascii="Calibri Light" w:hAnsi="Calibri Light" w:cs="Calibri Light"/>
          <w:noProof/>
          <w:sz w:val="24"/>
        </w:rPr>
        <w:t>. New York, NY: Springer New York. https://doi.org/10.1007/978-1-4614-3405-4</w:t>
      </w:r>
    </w:p>
    <w:p w14:paraId="76D16DE7"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Widanarti, H., &amp; Benuf, K. (2022). Development of Rules Concerning Indonesian Marriage Agreements. </w:t>
      </w:r>
      <w:r w:rsidRPr="008D44A8">
        <w:rPr>
          <w:rFonts w:ascii="Calibri Light" w:hAnsi="Calibri Light" w:cs="Calibri Light"/>
          <w:i/>
          <w:iCs/>
          <w:noProof/>
          <w:sz w:val="24"/>
        </w:rPr>
        <w:t>Politik Indonesia: Indonesian Political Science Review</w:t>
      </w:r>
      <w:r w:rsidRPr="008D44A8">
        <w:rPr>
          <w:rFonts w:ascii="Calibri Light" w:hAnsi="Calibri Light" w:cs="Calibri Light"/>
          <w:noProof/>
          <w:sz w:val="24"/>
        </w:rPr>
        <w:t xml:space="preserve">, </w:t>
      </w:r>
      <w:r w:rsidRPr="008D44A8">
        <w:rPr>
          <w:rFonts w:ascii="Calibri Light" w:hAnsi="Calibri Light" w:cs="Calibri Light"/>
          <w:i/>
          <w:iCs/>
          <w:noProof/>
          <w:sz w:val="24"/>
        </w:rPr>
        <w:t>7</w:t>
      </w:r>
      <w:r w:rsidRPr="008D44A8">
        <w:rPr>
          <w:rFonts w:ascii="Calibri Light" w:hAnsi="Calibri Light" w:cs="Calibri Light"/>
          <w:noProof/>
          <w:sz w:val="24"/>
        </w:rPr>
        <w:t>(2), 179–193. https://doi.org/10.15294/ipsr.v7i2.34640</w:t>
      </w:r>
    </w:p>
    <w:p w14:paraId="5B722B9E" w14:textId="77777777" w:rsidR="008D44A8" w:rsidRPr="008D44A8" w:rsidRDefault="008D44A8" w:rsidP="00357420">
      <w:pPr>
        <w:widowControl w:val="0"/>
        <w:adjustRightInd w:val="0"/>
        <w:ind w:left="480" w:hanging="480"/>
        <w:jc w:val="both"/>
        <w:rPr>
          <w:rFonts w:ascii="Calibri Light" w:hAnsi="Calibri Light" w:cs="Calibri Light"/>
          <w:noProof/>
          <w:sz w:val="24"/>
        </w:rPr>
      </w:pPr>
      <w:r w:rsidRPr="008D44A8">
        <w:rPr>
          <w:rFonts w:ascii="Calibri Light" w:hAnsi="Calibri Light" w:cs="Calibri Light"/>
          <w:noProof/>
          <w:sz w:val="24"/>
        </w:rPr>
        <w:t xml:space="preserve">Yang, S. Q., &amp; Li, L. (2016). Evolving Digital Library and Library Digitization. In </w:t>
      </w:r>
      <w:r w:rsidRPr="008D44A8">
        <w:rPr>
          <w:rFonts w:ascii="Calibri Light" w:hAnsi="Calibri Light" w:cs="Calibri Light"/>
          <w:i/>
          <w:iCs/>
          <w:noProof/>
          <w:sz w:val="24"/>
        </w:rPr>
        <w:t>Emerging Technologies for Librarians</w:t>
      </w:r>
      <w:r w:rsidRPr="008D44A8">
        <w:rPr>
          <w:rFonts w:ascii="Calibri Light" w:hAnsi="Calibri Light" w:cs="Calibri Light"/>
          <w:noProof/>
          <w:sz w:val="24"/>
        </w:rPr>
        <w:t xml:space="preserve"> (pp. 69–102). Elsevier. https://doi.org/10.1016/B978-1-84334-788-0.00006-9</w:t>
      </w:r>
    </w:p>
    <w:p w14:paraId="460035D3" w14:textId="77777777" w:rsidR="006538D6" w:rsidRPr="009965FA" w:rsidRDefault="00383ED5" w:rsidP="00357420">
      <w:pPr>
        <w:pStyle w:val="ListParagraph"/>
        <w:tabs>
          <w:tab w:val="left" w:pos="1134"/>
        </w:tabs>
        <w:spacing w:after="0" w:line="240" w:lineRule="auto"/>
        <w:ind w:left="426" w:right="-1"/>
        <w:contextualSpacing w:val="0"/>
        <w:jc w:val="both"/>
        <w:rPr>
          <w:rFonts w:ascii="Calibri Light" w:hAnsi="Calibri Light" w:cs="Calibri Light"/>
          <w:b/>
          <w:color w:val="A6A6A6"/>
          <w:sz w:val="24"/>
          <w:szCs w:val="24"/>
        </w:rPr>
      </w:pPr>
      <w:r>
        <w:rPr>
          <w:rFonts w:ascii="Calibri Light" w:hAnsi="Calibri Light" w:cs="Calibri Light"/>
          <w:b/>
          <w:color w:val="A6A6A6"/>
          <w:sz w:val="24"/>
          <w:szCs w:val="24"/>
        </w:rPr>
        <w:fldChar w:fldCharType="end"/>
      </w:r>
    </w:p>
    <w:sectPr w:rsidR="006538D6" w:rsidRPr="009965FA"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D7C798" w14:textId="77777777" w:rsidR="00BF6E77" w:rsidRDefault="00BF6E77">
      <w:r>
        <w:separator/>
      </w:r>
    </w:p>
  </w:endnote>
  <w:endnote w:type="continuationSeparator" w:id="0">
    <w:p w14:paraId="3969F181" w14:textId="77777777" w:rsidR="00BF6E77" w:rsidRDefault="00BF6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75552" w14:textId="77777777" w:rsidR="00A54BA5" w:rsidRDefault="00A54BA5" w:rsidP="00A54BA5">
    <w:pPr>
      <w:pStyle w:val="Footer"/>
      <w:ind w:right="357"/>
      <w:rPr>
        <w:rFonts w:ascii="Calibri Light" w:hAnsi="Calibri Light" w:cs="Calibri Light"/>
        <w:sz w:val="16"/>
        <w:szCs w:val="16"/>
      </w:rPr>
    </w:pPr>
  </w:p>
  <w:p w14:paraId="59C102E7" w14:textId="08A1DFC9" w:rsidR="00A54BA5" w:rsidRPr="0008220C" w:rsidRDefault="00A53627" w:rsidP="00A54BA5">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9264" behindDoc="0" locked="0" layoutInCell="1" allowOverlap="1" wp14:anchorId="21001566" wp14:editId="72322427">
              <wp:simplePos x="0" y="0"/>
              <wp:positionH relativeFrom="column">
                <wp:posOffset>5151755</wp:posOffset>
              </wp:positionH>
              <wp:positionV relativeFrom="paragraph">
                <wp:posOffset>-64770</wp:posOffset>
              </wp:positionV>
              <wp:extent cx="619760" cy="278130"/>
              <wp:effectExtent l="13335" t="13970" r="5080" b="12700"/>
              <wp:wrapNone/>
              <wp:docPr id="126952312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3404AD5"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01566" id="Rectangle 7" o:spid="_x0000_s1032" style="position:absolute;margin-left:405.65pt;margin-top:-5.1pt;width:48.8pt;height:2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14:paraId="63404AD5"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A54BA5" w:rsidRPr="0008220C">
      <w:rPr>
        <w:rFonts w:ascii="Calibri Light" w:hAnsi="Calibri Light" w:cs="Calibri Light"/>
        <w:sz w:val="16"/>
        <w:szCs w:val="16"/>
      </w:rPr>
      <w:t>International Journal Law and Society</w:t>
    </w:r>
  </w:p>
  <w:p w14:paraId="5C994922" w14:textId="77777777" w:rsidR="00A54BA5" w:rsidRPr="0008220C" w:rsidRDefault="00A54BA5" w:rsidP="00A54BA5">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p w14:paraId="7F9788CC" w14:textId="77777777" w:rsidR="00965E3F" w:rsidRPr="003E71BD" w:rsidRDefault="00A54BA5" w:rsidP="003E71BD">
    <w:pPr>
      <w:pStyle w:val="Footer"/>
    </w:pPr>
    <w:r w:rsidRPr="00EE2075">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283B9" w14:textId="77777777" w:rsidR="00A54BA5" w:rsidRDefault="0008220C" w:rsidP="00A54BA5">
    <w:pPr>
      <w:pStyle w:val="Footer"/>
      <w:ind w:right="357"/>
      <w:rPr>
        <w:rFonts w:ascii="Calibri Light" w:hAnsi="Calibri Light" w:cs="Calibri Light"/>
        <w:sz w:val="16"/>
        <w:szCs w:val="16"/>
      </w:rPr>
    </w:pPr>
    <w:r w:rsidRPr="0054671E">
      <w:t xml:space="preserve"> </w:t>
    </w:r>
  </w:p>
  <w:p w14:paraId="39B45727" w14:textId="05E77C98" w:rsidR="00A54BA5" w:rsidRPr="0008220C" w:rsidRDefault="00A53627" w:rsidP="00A54BA5">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3360" behindDoc="0" locked="0" layoutInCell="1" allowOverlap="1" wp14:anchorId="1B41A57A" wp14:editId="73CFCC8F">
              <wp:simplePos x="0" y="0"/>
              <wp:positionH relativeFrom="column">
                <wp:posOffset>5151755</wp:posOffset>
              </wp:positionH>
              <wp:positionV relativeFrom="paragraph">
                <wp:posOffset>-64770</wp:posOffset>
              </wp:positionV>
              <wp:extent cx="619760" cy="278130"/>
              <wp:effectExtent l="13335" t="13970" r="5080" b="12700"/>
              <wp:wrapNone/>
              <wp:docPr id="447115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CBAFE19"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1A57A"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14:paraId="3CBAFE19"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A54BA5" w:rsidRPr="0008220C">
      <w:rPr>
        <w:rFonts w:ascii="Calibri Light" w:hAnsi="Calibri Light" w:cs="Calibri Light"/>
        <w:sz w:val="16"/>
        <w:szCs w:val="16"/>
      </w:rPr>
      <w:t>International Journal Law and Society</w:t>
    </w:r>
  </w:p>
  <w:p w14:paraId="56805240" w14:textId="77777777" w:rsidR="00A54BA5" w:rsidRPr="0008220C" w:rsidRDefault="00A54BA5" w:rsidP="00A54BA5">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p w14:paraId="13E04E59" w14:textId="77777777" w:rsidR="00AA4AE4" w:rsidRPr="0054671E" w:rsidRDefault="00A54BA5" w:rsidP="0054671E">
    <w:pPr>
      <w:pStyle w:val="Footer"/>
    </w:pPr>
    <w:r w:rsidRPr="00EE2075">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DB888" w14:textId="3A8964F7" w:rsidR="00A54BA5" w:rsidRPr="0008220C" w:rsidRDefault="00A53627" w:rsidP="00A54BA5">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168" behindDoc="0" locked="0" layoutInCell="1" allowOverlap="1" wp14:anchorId="5D925FFE" wp14:editId="272E6946">
              <wp:simplePos x="0" y="0"/>
              <wp:positionH relativeFrom="column">
                <wp:posOffset>5151755</wp:posOffset>
              </wp:positionH>
              <wp:positionV relativeFrom="paragraph">
                <wp:posOffset>-64770</wp:posOffset>
              </wp:positionV>
              <wp:extent cx="619760" cy="278130"/>
              <wp:effectExtent l="13335" t="13970" r="5080" b="12700"/>
              <wp:wrapNone/>
              <wp:docPr id="32520648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DEE68C5"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25FFE" id="Rectangle 12" o:spid="_x0000_s1037"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14:paraId="7DEE68C5" w14:textId="77777777" w:rsidR="00A54BA5" w:rsidRPr="00540F02" w:rsidRDefault="00A54BA5" w:rsidP="00A54BA5">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A54BA5" w:rsidRPr="0008220C">
      <w:rPr>
        <w:rFonts w:ascii="Calibri Light" w:hAnsi="Calibri Light" w:cs="Calibri Light"/>
        <w:sz w:val="16"/>
        <w:szCs w:val="16"/>
      </w:rPr>
      <w:t>International Journal Law and Society</w:t>
    </w:r>
  </w:p>
  <w:p w14:paraId="692D07EE" w14:textId="77777777" w:rsidR="00A54BA5" w:rsidRPr="0008220C" w:rsidRDefault="00A54BA5" w:rsidP="00A54BA5">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p w14:paraId="7F961D15" w14:textId="77777777" w:rsidR="00FF1D30" w:rsidRPr="00EE2075" w:rsidRDefault="00122F5F" w:rsidP="00EE2075">
    <w:pPr>
      <w:pStyle w:val="Footer"/>
    </w:pPr>
    <w:r w:rsidRPr="00EE2075">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72A764" w14:textId="77777777" w:rsidR="00BF6E77" w:rsidRDefault="00BF6E77">
      <w:r>
        <w:separator/>
      </w:r>
    </w:p>
  </w:footnote>
  <w:footnote w:type="continuationSeparator" w:id="0">
    <w:p w14:paraId="6CBAD48A" w14:textId="77777777" w:rsidR="00BF6E77" w:rsidRDefault="00BF6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3233B" w14:textId="150BA54C" w:rsidR="00A54BA5" w:rsidRDefault="00A53627" w:rsidP="00A54BA5">
    <w:pPr>
      <w:pStyle w:val="Header"/>
    </w:pPr>
    <w:r>
      <w:rPr>
        <w:noProof/>
      </w:rPr>
      <mc:AlternateContent>
        <mc:Choice Requires="wps">
          <w:drawing>
            <wp:anchor distT="0" distB="0" distL="114300" distR="114300" simplePos="0" relativeHeight="251656192" behindDoc="1" locked="0" layoutInCell="1" allowOverlap="1" wp14:anchorId="27661528" wp14:editId="09C2E659">
              <wp:simplePos x="0" y="0"/>
              <wp:positionH relativeFrom="page">
                <wp:posOffset>962025</wp:posOffset>
              </wp:positionH>
              <wp:positionV relativeFrom="page">
                <wp:posOffset>947420</wp:posOffset>
              </wp:positionV>
              <wp:extent cx="1998980" cy="229870"/>
              <wp:effectExtent l="0" t="4445" r="1270" b="3810"/>
              <wp:wrapNone/>
              <wp:docPr id="113290584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ABA24"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F63C587"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661528"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4F1ABA24"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F63C587"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12466764" wp14:editId="646329F9">
              <wp:simplePos x="0" y="0"/>
              <wp:positionH relativeFrom="page">
                <wp:posOffset>6497955</wp:posOffset>
              </wp:positionH>
              <wp:positionV relativeFrom="page">
                <wp:posOffset>445135</wp:posOffset>
              </wp:positionV>
              <wp:extent cx="231775" cy="177800"/>
              <wp:effectExtent l="1905" t="0" r="4445" b="0"/>
              <wp:wrapNone/>
              <wp:docPr id="2117210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F73501"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66764" id="Text Box 2" o:spid="_x0000_s1027" type="#_x0000_t202" style="position:absolute;margin-left:511.65pt;margin-top:35.05pt;width:18.25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58F73501"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31F92239" wp14:editId="1AAE3168">
              <wp:simplePos x="0" y="0"/>
              <wp:positionH relativeFrom="page">
                <wp:posOffset>3143250</wp:posOffset>
              </wp:positionH>
              <wp:positionV relativeFrom="page">
                <wp:posOffset>784860</wp:posOffset>
              </wp:positionV>
              <wp:extent cx="3523615" cy="416560"/>
              <wp:effectExtent l="0" t="3810" r="635" b="0"/>
              <wp:wrapNone/>
              <wp:docPr id="187670093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08B77"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92239"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45408B77"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DA2B5B4" wp14:editId="491542DB">
          <wp:extent cx="1099185" cy="50355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503555"/>
                  </a:xfrm>
                  <a:prstGeom prst="rect">
                    <a:avLst/>
                  </a:prstGeom>
                  <a:noFill/>
                  <a:ln>
                    <a:noFill/>
                  </a:ln>
                </pic:spPr>
              </pic:pic>
            </a:graphicData>
          </a:graphic>
        </wp:inline>
      </w:drawing>
    </w:r>
  </w:p>
  <w:p w14:paraId="544B8951" w14:textId="77777777" w:rsidR="00A54BA5" w:rsidRDefault="00A54BA5" w:rsidP="00A54BA5">
    <w:pPr>
      <w:pStyle w:val="Header"/>
      <w:rPr>
        <w:sz w:val="16"/>
        <w:szCs w:val="16"/>
      </w:rPr>
    </w:pPr>
  </w:p>
  <w:p w14:paraId="70DFBE11" w14:textId="77777777" w:rsidR="00A54BA5" w:rsidRDefault="00A54BA5" w:rsidP="00A54BA5">
    <w:pPr>
      <w:pStyle w:val="Header"/>
      <w:rPr>
        <w:sz w:val="16"/>
        <w:szCs w:val="16"/>
      </w:rPr>
    </w:pPr>
  </w:p>
  <w:p w14:paraId="528B839E" w14:textId="77777777" w:rsidR="00A54BA5" w:rsidRDefault="00A54B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15B50" w14:textId="6A5B8220" w:rsidR="00A54BA5" w:rsidRDefault="00A53627" w:rsidP="00A54BA5">
    <w:pPr>
      <w:pStyle w:val="Header"/>
    </w:pPr>
    <w:r>
      <w:rPr>
        <w:noProof/>
      </w:rPr>
      <mc:AlternateContent>
        <mc:Choice Requires="wps">
          <w:drawing>
            <wp:anchor distT="0" distB="0" distL="114300" distR="114300" simplePos="0" relativeHeight="251660288" behindDoc="1" locked="0" layoutInCell="1" allowOverlap="1" wp14:anchorId="2621A1CB" wp14:editId="07ABF17A">
              <wp:simplePos x="0" y="0"/>
              <wp:positionH relativeFrom="page">
                <wp:posOffset>962025</wp:posOffset>
              </wp:positionH>
              <wp:positionV relativeFrom="page">
                <wp:posOffset>947420</wp:posOffset>
              </wp:positionV>
              <wp:extent cx="1998980" cy="229870"/>
              <wp:effectExtent l="0" t="4445" r="1270" b="3810"/>
              <wp:wrapNone/>
              <wp:docPr id="98665589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647B8"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1CA295F"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21A1C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401647B8"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1CA295F"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348B5B2" wp14:editId="1831D2FC">
              <wp:simplePos x="0" y="0"/>
              <wp:positionH relativeFrom="page">
                <wp:posOffset>6497955</wp:posOffset>
              </wp:positionH>
              <wp:positionV relativeFrom="page">
                <wp:posOffset>445135</wp:posOffset>
              </wp:positionV>
              <wp:extent cx="231775" cy="177800"/>
              <wp:effectExtent l="1905" t="0" r="4445" b="0"/>
              <wp:wrapNone/>
              <wp:docPr id="21019349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E7728"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15</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8B5B2" id="Text Box 5" o:spid="_x0000_s1030" type="#_x0000_t202" style="position:absolute;margin-left:511.65pt;margin-top:35.05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" filled="f" stroked="f">
              <v:textbox inset="0,0,0,0">
                <w:txbxContent>
                  <w:p w14:paraId="68BE7728"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15</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476F5C68" wp14:editId="1FBF7B79">
              <wp:simplePos x="0" y="0"/>
              <wp:positionH relativeFrom="page">
                <wp:posOffset>3143250</wp:posOffset>
              </wp:positionH>
              <wp:positionV relativeFrom="page">
                <wp:posOffset>784860</wp:posOffset>
              </wp:positionV>
              <wp:extent cx="3523615" cy="416560"/>
              <wp:effectExtent l="0" t="3810" r="635" b="0"/>
              <wp:wrapNone/>
              <wp:docPr id="117269768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27E17"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F5C68" id="Text Box 6" o:spid="_x0000_s1031" type="#_x0000_t202" style="position:absolute;margin-left:247.5pt;margin-top:61.8pt;width:277.45pt;height:32.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66327E17"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1638ED9B" wp14:editId="20E72F63">
          <wp:extent cx="1099185" cy="50355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503555"/>
                  </a:xfrm>
                  <a:prstGeom prst="rect">
                    <a:avLst/>
                  </a:prstGeom>
                  <a:noFill/>
                  <a:ln>
                    <a:noFill/>
                  </a:ln>
                </pic:spPr>
              </pic:pic>
            </a:graphicData>
          </a:graphic>
        </wp:inline>
      </w:drawing>
    </w:r>
  </w:p>
  <w:p w14:paraId="0208FB56" w14:textId="77777777" w:rsidR="00A54BA5" w:rsidRDefault="00A54BA5" w:rsidP="00A54BA5">
    <w:pPr>
      <w:pStyle w:val="Header"/>
      <w:rPr>
        <w:sz w:val="16"/>
        <w:szCs w:val="16"/>
      </w:rPr>
    </w:pPr>
  </w:p>
  <w:p w14:paraId="2D9EBBAE" w14:textId="77777777" w:rsidR="00A54BA5" w:rsidRDefault="00A54BA5" w:rsidP="00A54BA5">
    <w:pPr>
      <w:pStyle w:val="Header"/>
      <w:rPr>
        <w:sz w:val="16"/>
        <w:szCs w:val="16"/>
      </w:rPr>
    </w:pPr>
  </w:p>
  <w:p w14:paraId="3D92C6D9" w14:textId="77777777" w:rsidR="00A54BA5" w:rsidRDefault="00A54B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C3AD5" w14:textId="72E519FF" w:rsidR="00A54BA5" w:rsidRDefault="00A53627" w:rsidP="00A54BA5">
    <w:pPr>
      <w:pStyle w:val="Header"/>
    </w:pPr>
    <w:r>
      <w:rPr>
        <w:noProof/>
      </w:rPr>
      <mc:AlternateContent>
        <mc:Choice Requires="wps">
          <w:drawing>
            <wp:anchor distT="0" distB="0" distL="114300" distR="114300" simplePos="0" relativeHeight="251652096" behindDoc="1" locked="0" layoutInCell="1" allowOverlap="1" wp14:anchorId="4075EE5F" wp14:editId="5F4B9D79">
              <wp:simplePos x="0" y="0"/>
              <wp:positionH relativeFrom="page">
                <wp:posOffset>942975</wp:posOffset>
              </wp:positionH>
              <wp:positionV relativeFrom="page">
                <wp:posOffset>947420</wp:posOffset>
              </wp:positionV>
              <wp:extent cx="1998980" cy="229870"/>
              <wp:effectExtent l="0" t="4445" r="1270" b="3810"/>
              <wp:wrapNone/>
              <wp:docPr id="22064924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7D671"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8BA8132"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75EE5F"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2507D671" w14:textId="77777777" w:rsidR="00A54BA5" w:rsidRPr="00FF1D30" w:rsidRDefault="00A54BA5" w:rsidP="00A54BA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8BA8132" w14:textId="77777777" w:rsidR="00A54BA5" w:rsidRPr="00FF1D30" w:rsidRDefault="00A54BA5" w:rsidP="00A54BA5">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07467D12" wp14:editId="3CBA9284">
              <wp:simplePos x="0" y="0"/>
              <wp:positionH relativeFrom="page">
                <wp:posOffset>6464300</wp:posOffset>
              </wp:positionH>
              <wp:positionV relativeFrom="page">
                <wp:posOffset>439420</wp:posOffset>
              </wp:positionV>
              <wp:extent cx="231775" cy="177800"/>
              <wp:effectExtent l="0" t="1270" r="0" b="1905"/>
              <wp:wrapNone/>
              <wp:docPr id="2179396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35A32"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7D12" id="Text Box 10" o:spid="_x0000_s1035" type="#_x0000_t202" style="position:absolute;margin-left:509pt;margin-top:34.6pt;width:18.25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71135A32" w14:textId="77777777" w:rsidR="00A54BA5" w:rsidRPr="00540F02" w:rsidRDefault="00A54BA5" w:rsidP="00A54BA5">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3638C4C0" wp14:editId="514CE245">
              <wp:simplePos x="0" y="0"/>
              <wp:positionH relativeFrom="page">
                <wp:posOffset>3143250</wp:posOffset>
              </wp:positionH>
              <wp:positionV relativeFrom="page">
                <wp:posOffset>784860</wp:posOffset>
              </wp:positionV>
              <wp:extent cx="3516630" cy="416560"/>
              <wp:effectExtent l="0" t="3810" r="0" b="0"/>
              <wp:wrapNone/>
              <wp:docPr id="12691601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3ACC"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8C4C0"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33A23ACC" w14:textId="77777777" w:rsidR="00A54BA5" w:rsidRPr="00FF1D30" w:rsidRDefault="00A54BA5" w:rsidP="00A54BA5">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3AE0CFD8" wp14:editId="3885A116">
          <wp:extent cx="1099185" cy="50355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85" cy="503555"/>
                  </a:xfrm>
                  <a:prstGeom prst="rect">
                    <a:avLst/>
                  </a:prstGeom>
                  <a:noFill/>
                  <a:ln>
                    <a:noFill/>
                  </a:ln>
                </pic:spPr>
              </pic:pic>
            </a:graphicData>
          </a:graphic>
        </wp:inline>
      </w:drawing>
    </w:r>
  </w:p>
  <w:p w14:paraId="7F49DF28" w14:textId="77777777" w:rsidR="00A54BA5" w:rsidRDefault="00A54BA5" w:rsidP="00A54BA5">
    <w:pPr>
      <w:pStyle w:val="Header"/>
      <w:rPr>
        <w:sz w:val="16"/>
        <w:szCs w:val="16"/>
      </w:rPr>
    </w:pPr>
  </w:p>
  <w:p w14:paraId="5003034E" w14:textId="77777777" w:rsidR="00A54BA5" w:rsidRDefault="00A54BA5" w:rsidP="00A54BA5">
    <w:pPr>
      <w:pStyle w:val="Header"/>
      <w:rPr>
        <w:sz w:val="16"/>
        <w:szCs w:val="16"/>
      </w:rPr>
    </w:pPr>
  </w:p>
  <w:p w14:paraId="1EA2B841" w14:textId="77777777" w:rsidR="00A54BA5" w:rsidRDefault="00A54B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49571CF"/>
    <w:multiLevelType w:val="hybridMultilevel"/>
    <w:tmpl w:val="FFFFFFFF"/>
    <w:lvl w:ilvl="0" w:tplc="4F700444">
      <w:start w:val="1"/>
      <w:numFmt w:val="upperLetter"/>
      <w:lvlText w:val="%1."/>
      <w:lvlJc w:val="left"/>
      <w:pPr>
        <w:ind w:left="1213" w:hanging="360"/>
      </w:pPr>
      <w:rPr>
        <w:rFonts w:cs="Times New Roman" w:hint="default"/>
        <w:b w:val="0"/>
      </w:rPr>
    </w:lvl>
    <w:lvl w:ilvl="1" w:tplc="04090019">
      <w:start w:val="1"/>
      <w:numFmt w:val="lowerLetter"/>
      <w:lvlText w:val="%2."/>
      <w:lvlJc w:val="left"/>
      <w:pPr>
        <w:ind w:left="1933" w:hanging="360"/>
      </w:pPr>
      <w:rPr>
        <w:rFonts w:cs="Times New Roman"/>
      </w:rPr>
    </w:lvl>
    <w:lvl w:ilvl="2" w:tplc="0409001B" w:tentative="1">
      <w:start w:val="1"/>
      <w:numFmt w:val="lowerRoman"/>
      <w:lvlText w:val="%3."/>
      <w:lvlJc w:val="right"/>
      <w:pPr>
        <w:ind w:left="2653" w:hanging="180"/>
      </w:pPr>
      <w:rPr>
        <w:rFonts w:cs="Times New Roman"/>
      </w:rPr>
    </w:lvl>
    <w:lvl w:ilvl="3" w:tplc="0409000F" w:tentative="1">
      <w:start w:val="1"/>
      <w:numFmt w:val="decimal"/>
      <w:lvlText w:val="%4."/>
      <w:lvlJc w:val="left"/>
      <w:pPr>
        <w:ind w:left="3373" w:hanging="360"/>
      </w:pPr>
      <w:rPr>
        <w:rFonts w:cs="Times New Roman"/>
      </w:rPr>
    </w:lvl>
    <w:lvl w:ilvl="4" w:tplc="04090019" w:tentative="1">
      <w:start w:val="1"/>
      <w:numFmt w:val="lowerLetter"/>
      <w:lvlText w:val="%5."/>
      <w:lvlJc w:val="left"/>
      <w:pPr>
        <w:ind w:left="4093" w:hanging="360"/>
      </w:pPr>
      <w:rPr>
        <w:rFonts w:cs="Times New Roman"/>
      </w:rPr>
    </w:lvl>
    <w:lvl w:ilvl="5" w:tplc="0409001B" w:tentative="1">
      <w:start w:val="1"/>
      <w:numFmt w:val="lowerRoman"/>
      <w:lvlText w:val="%6."/>
      <w:lvlJc w:val="right"/>
      <w:pPr>
        <w:ind w:left="4813" w:hanging="180"/>
      </w:pPr>
      <w:rPr>
        <w:rFonts w:cs="Times New Roman"/>
      </w:rPr>
    </w:lvl>
    <w:lvl w:ilvl="6" w:tplc="0409000F" w:tentative="1">
      <w:start w:val="1"/>
      <w:numFmt w:val="decimal"/>
      <w:lvlText w:val="%7."/>
      <w:lvlJc w:val="left"/>
      <w:pPr>
        <w:ind w:left="5533" w:hanging="360"/>
      </w:pPr>
      <w:rPr>
        <w:rFonts w:cs="Times New Roman"/>
      </w:rPr>
    </w:lvl>
    <w:lvl w:ilvl="7" w:tplc="04090019" w:tentative="1">
      <w:start w:val="1"/>
      <w:numFmt w:val="lowerLetter"/>
      <w:lvlText w:val="%8."/>
      <w:lvlJc w:val="left"/>
      <w:pPr>
        <w:ind w:left="6253" w:hanging="360"/>
      </w:pPr>
      <w:rPr>
        <w:rFonts w:cs="Times New Roman"/>
      </w:rPr>
    </w:lvl>
    <w:lvl w:ilvl="8" w:tplc="0409001B" w:tentative="1">
      <w:start w:val="1"/>
      <w:numFmt w:val="lowerRoman"/>
      <w:lvlText w:val="%9."/>
      <w:lvlJc w:val="right"/>
      <w:pPr>
        <w:ind w:left="6973" w:hanging="18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7AF620B"/>
    <w:multiLevelType w:val="hybridMultilevel"/>
    <w:tmpl w:val="FFFFFFFF"/>
    <w:lvl w:ilvl="0" w:tplc="0409000F">
      <w:start w:val="1"/>
      <w:numFmt w:val="decimal"/>
      <w:lvlText w:val="%1."/>
      <w:lvlJc w:val="left"/>
      <w:pPr>
        <w:ind w:left="1004" w:hanging="360"/>
      </w:pPr>
      <w:rPr>
        <w:rFonts w:cs="Times New Roman"/>
      </w:rPr>
    </w:lvl>
    <w:lvl w:ilvl="1" w:tplc="04090019">
      <w:start w:val="1"/>
      <w:numFmt w:val="lowerLetter"/>
      <w:lvlText w:val="%2."/>
      <w:lvlJc w:val="left"/>
      <w:pPr>
        <w:ind w:left="1724" w:hanging="360"/>
      </w:pPr>
      <w:rPr>
        <w:rFonts w:cs="Times New Roman"/>
      </w:rPr>
    </w:lvl>
    <w:lvl w:ilvl="2" w:tplc="0409001B">
      <w:start w:val="1"/>
      <w:numFmt w:val="lowerRoman"/>
      <w:lvlText w:val="%3."/>
      <w:lvlJc w:val="right"/>
      <w:pPr>
        <w:ind w:left="2444" w:hanging="180"/>
      </w:pPr>
      <w:rPr>
        <w:rFonts w:cs="Times New Roman"/>
      </w:rPr>
    </w:lvl>
    <w:lvl w:ilvl="3" w:tplc="0409000F">
      <w:start w:val="1"/>
      <w:numFmt w:val="decimal"/>
      <w:lvlText w:val="%4."/>
      <w:lvlJc w:val="left"/>
      <w:pPr>
        <w:ind w:left="3164" w:hanging="360"/>
      </w:pPr>
      <w:rPr>
        <w:rFonts w:cs="Times New Roman"/>
      </w:rPr>
    </w:lvl>
    <w:lvl w:ilvl="4" w:tplc="04090019">
      <w:start w:val="1"/>
      <w:numFmt w:val="lowerLetter"/>
      <w:lvlText w:val="%5."/>
      <w:lvlJc w:val="left"/>
      <w:pPr>
        <w:ind w:left="3884" w:hanging="360"/>
      </w:pPr>
      <w:rPr>
        <w:rFonts w:cs="Times New Roman"/>
      </w:rPr>
    </w:lvl>
    <w:lvl w:ilvl="5" w:tplc="0409001B">
      <w:start w:val="1"/>
      <w:numFmt w:val="lowerRoman"/>
      <w:lvlText w:val="%6."/>
      <w:lvlJc w:val="right"/>
      <w:pPr>
        <w:ind w:left="4604" w:hanging="180"/>
      </w:pPr>
      <w:rPr>
        <w:rFonts w:cs="Times New Roman"/>
      </w:rPr>
    </w:lvl>
    <w:lvl w:ilvl="6" w:tplc="0409000F">
      <w:start w:val="1"/>
      <w:numFmt w:val="decimal"/>
      <w:lvlText w:val="%7."/>
      <w:lvlJc w:val="left"/>
      <w:pPr>
        <w:ind w:left="5324" w:hanging="360"/>
      </w:pPr>
      <w:rPr>
        <w:rFonts w:cs="Times New Roman"/>
      </w:rPr>
    </w:lvl>
    <w:lvl w:ilvl="7" w:tplc="04090019">
      <w:start w:val="1"/>
      <w:numFmt w:val="lowerLetter"/>
      <w:lvlText w:val="%8."/>
      <w:lvlJc w:val="left"/>
      <w:pPr>
        <w:ind w:left="6044" w:hanging="360"/>
      </w:pPr>
      <w:rPr>
        <w:rFonts w:cs="Times New Roman"/>
      </w:rPr>
    </w:lvl>
    <w:lvl w:ilvl="8" w:tplc="0409001B">
      <w:start w:val="1"/>
      <w:numFmt w:val="lowerRoman"/>
      <w:lvlText w:val="%9."/>
      <w:lvlJc w:val="right"/>
      <w:pPr>
        <w:ind w:left="6764" w:hanging="180"/>
      </w:pPr>
      <w:rPr>
        <w:rFonts w:cs="Times New Roman"/>
      </w:rPr>
    </w:lvl>
  </w:abstractNum>
  <w:abstractNum w:abstractNumId="10" w15:restartNumberingAfterBreak="0">
    <w:nsid w:val="0B794E62"/>
    <w:multiLevelType w:val="multilevel"/>
    <w:tmpl w:val="FFFFFFFF"/>
    <w:lvl w:ilvl="0">
      <w:start w:val="1"/>
      <w:numFmt w:val="decimal"/>
      <w:lvlText w:val="%1."/>
      <w:lvlJc w:val="left"/>
      <w:pPr>
        <w:ind w:left="360" w:hanging="360"/>
      </w:pPr>
      <w:rPr>
        <w:rFonts w:cs="Times New Roman"/>
        <w:sz w:val="24"/>
        <w:szCs w:val="24"/>
      </w:rPr>
    </w:lvl>
    <w:lvl w:ilvl="1">
      <w:start w:val="1"/>
      <w:numFmt w:val="decimal"/>
      <w:isLgl/>
      <w:lvlText w:val="%1.%2"/>
      <w:lvlJc w:val="left"/>
      <w:pPr>
        <w:ind w:left="360" w:hanging="360"/>
      </w:pPr>
      <w:rPr>
        <w:rFonts w:cs="Times New Roman"/>
        <w:b/>
        <w:bCs w:val="0"/>
        <w:sz w:val="22"/>
      </w:rPr>
    </w:lvl>
    <w:lvl w:ilvl="2">
      <w:start w:val="1"/>
      <w:numFmt w:val="decimal"/>
      <w:isLgl/>
      <w:lvlText w:val="%1.%2.%3"/>
      <w:lvlJc w:val="left"/>
      <w:pPr>
        <w:ind w:left="720" w:hanging="720"/>
      </w:pPr>
      <w:rPr>
        <w:rFonts w:cs="Times New Roman"/>
        <w:sz w:val="22"/>
      </w:rPr>
    </w:lvl>
    <w:lvl w:ilvl="3">
      <w:start w:val="1"/>
      <w:numFmt w:val="decimal"/>
      <w:isLgl/>
      <w:lvlText w:val="%1.%2.%3.%4"/>
      <w:lvlJc w:val="left"/>
      <w:pPr>
        <w:ind w:left="720" w:hanging="720"/>
      </w:pPr>
      <w:rPr>
        <w:rFonts w:cs="Times New Roman"/>
        <w:sz w:val="22"/>
      </w:rPr>
    </w:lvl>
    <w:lvl w:ilvl="4">
      <w:start w:val="1"/>
      <w:numFmt w:val="decimal"/>
      <w:isLgl/>
      <w:lvlText w:val="%1.%2.%3.%4.%5"/>
      <w:lvlJc w:val="left"/>
      <w:pPr>
        <w:ind w:left="1080" w:hanging="1080"/>
      </w:pPr>
      <w:rPr>
        <w:rFonts w:cs="Times New Roman"/>
        <w:sz w:val="22"/>
      </w:rPr>
    </w:lvl>
    <w:lvl w:ilvl="5">
      <w:start w:val="1"/>
      <w:numFmt w:val="decimal"/>
      <w:isLgl/>
      <w:lvlText w:val="%1.%2.%3.%4.%5.%6"/>
      <w:lvlJc w:val="left"/>
      <w:pPr>
        <w:ind w:left="1080" w:hanging="1080"/>
      </w:pPr>
      <w:rPr>
        <w:rFonts w:cs="Times New Roman"/>
        <w:sz w:val="22"/>
      </w:rPr>
    </w:lvl>
    <w:lvl w:ilvl="6">
      <w:start w:val="1"/>
      <w:numFmt w:val="decimal"/>
      <w:isLgl/>
      <w:lvlText w:val="%1.%2.%3.%4.%5.%6.%7"/>
      <w:lvlJc w:val="left"/>
      <w:pPr>
        <w:ind w:left="1440" w:hanging="1440"/>
      </w:pPr>
      <w:rPr>
        <w:rFonts w:cs="Times New Roman"/>
        <w:sz w:val="22"/>
      </w:rPr>
    </w:lvl>
    <w:lvl w:ilvl="7">
      <w:start w:val="1"/>
      <w:numFmt w:val="decimal"/>
      <w:isLgl/>
      <w:lvlText w:val="%1.%2.%3.%4.%5.%6.%7.%8"/>
      <w:lvlJc w:val="left"/>
      <w:pPr>
        <w:ind w:left="1440" w:hanging="1440"/>
      </w:pPr>
      <w:rPr>
        <w:rFonts w:cs="Times New Roman"/>
        <w:sz w:val="22"/>
      </w:rPr>
    </w:lvl>
    <w:lvl w:ilvl="8">
      <w:start w:val="1"/>
      <w:numFmt w:val="decimal"/>
      <w:isLgl/>
      <w:lvlText w:val="%1.%2.%3.%4.%5.%6.%7.%8.%9"/>
      <w:lvlJc w:val="left"/>
      <w:pPr>
        <w:ind w:left="1800" w:hanging="1800"/>
      </w:pPr>
      <w:rPr>
        <w:rFonts w:cs="Times New Roman"/>
        <w:sz w:val="22"/>
      </w:rPr>
    </w:lvl>
  </w:abstractNum>
  <w:abstractNum w:abstractNumId="11"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3"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4"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7" w15:restartNumberingAfterBreak="0">
    <w:nsid w:val="2C172047"/>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9"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0" w15:restartNumberingAfterBreak="0">
    <w:nsid w:val="30BC486F"/>
    <w:multiLevelType w:val="hybridMultilevel"/>
    <w:tmpl w:val="FFFFFFFF"/>
    <w:lvl w:ilvl="0" w:tplc="F8FA1D0C">
      <w:start w:val="1"/>
      <w:numFmt w:val="upperLetter"/>
      <w:lvlText w:val="%1."/>
      <w:lvlJc w:val="left"/>
      <w:pPr>
        <w:ind w:left="722" w:hanging="360"/>
      </w:pPr>
      <w:rPr>
        <w:rFonts w:ascii="Times New Roman" w:hAnsi="Times New Roman" w:cs="Times New Roman" w:hint="default"/>
        <w:sz w:val="22"/>
      </w:rPr>
    </w:lvl>
    <w:lvl w:ilvl="1" w:tplc="04090019" w:tentative="1">
      <w:start w:val="1"/>
      <w:numFmt w:val="lowerLetter"/>
      <w:lvlText w:val="%2."/>
      <w:lvlJc w:val="left"/>
      <w:pPr>
        <w:ind w:left="1442" w:hanging="360"/>
      </w:pPr>
      <w:rPr>
        <w:rFonts w:cs="Times New Roman"/>
      </w:rPr>
    </w:lvl>
    <w:lvl w:ilvl="2" w:tplc="0409001B" w:tentative="1">
      <w:start w:val="1"/>
      <w:numFmt w:val="lowerRoman"/>
      <w:lvlText w:val="%3."/>
      <w:lvlJc w:val="right"/>
      <w:pPr>
        <w:ind w:left="2162" w:hanging="180"/>
      </w:pPr>
      <w:rPr>
        <w:rFonts w:cs="Times New Roman"/>
      </w:rPr>
    </w:lvl>
    <w:lvl w:ilvl="3" w:tplc="0409000F" w:tentative="1">
      <w:start w:val="1"/>
      <w:numFmt w:val="decimal"/>
      <w:lvlText w:val="%4."/>
      <w:lvlJc w:val="left"/>
      <w:pPr>
        <w:ind w:left="2882" w:hanging="360"/>
      </w:pPr>
      <w:rPr>
        <w:rFonts w:cs="Times New Roman"/>
      </w:rPr>
    </w:lvl>
    <w:lvl w:ilvl="4" w:tplc="04090019" w:tentative="1">
      <w:start w:val="1"/>
      <w:numFmt w:val="lowerLetter"/>
      <w:lvlText w:val="%5."/>
      <w:lvlJc w:val="left"/>
      <w:pPr>
        <w:ind w:left="3602" w:hanging="360"/>
      </w:pPr>
      <w:rPr>
        <w:rFonts w:cs="Times New Roman"/>
      </w:rPr>
    </w:lvl>
    <w:lvl w:ilvl="5" w:tplc="0409001B" w:tentative="1">
      <w:start w:val="1"/>
      <w:numFmt w:val="lowerRoman"/>
      <w:lvlText w:val="%6."/>
      <w:lvlJc w:val="right"/>
      <w:pPr>
        <w:ind w:left="4322" w:hanging="180"/>
      </w:pPr>
      <w:rPr>
        <w:rFonts w:cs="Times New Roman"/>
      </w:rPr>
    </w:lvl>
    <w:lvl w:ilvl="6" w:tplc="0409000F" w:tentative="1">
      <w:start w:val="1"/>
      <w:numFmt w:val="decimal"/>
      <w:lvlText w:val="%7."/>
      <w:lvlJc w:val="left"/>
      <w:pPr>
        <w:ind w:left="5042" w:hanging="360"/>
      </w:pPr>
      <w:rPr>
        <w:rFonts w:cs="Times New Roman"/>
      </w:rPr>
    </w:lvl>
    <w:lvl w:ilvl="7" w:tplc="04090019" w:tentative="1">
      <w:start w:val="1"/>
      <w:numFmt w:val="lowerLetter"/>
      <w:lvlText w:val="%8."/>
      <w:lvlJc w:val="left"/>
      <w:pPr>
        <w:ind w:left="5762" w:hanging="360"/>
      </w:pPr>
      <w:rPr>
        <w:rFonts w:cs="Times New Roman"/>
      </w:rPr>
    </w:lvl>
    <w:lvl w:ilvl="8" w:tplc="0409001B" w:tentative="1">
      <w:start w:val="1"/>
      <w:numFmt w:val="lowerRoman"/>
      <w:lvlText w:val="%9."/>
      <w:lvlJc w:val="right"/>
      <w:pPr>
        <w:ind w:left="6482" w:hanging="180"/>
      </w:pPr>
      <w:rPr>
        <w:rFonts w:cs="Times New Roman"/>
      </w:rPr>
    </w:lvl>
  </w:abstractNum>
  <w:abstractNum w:abstractNumId="21" w15:restartNumberingAfterBreak="0">
    <w:nsid w:val="362F6F9E"/>
    <w:multiLevelType w:val="hybridMultilevel"/>
    <w:tmpl w:val="FFFFFFFF"/>
    <w:lvl w:ilvl="0" w:tplc="0409000F">
      <w:start w:val="1"/>
      <w:numFmt w:val="decimal"/>
      <w:lvlText w:val="%1."/>
      <w:lvlJc w:val="left"/>
      <w:pPr>
        <w:ind w:left="720" w:hanging="360"/>
      </w:pPr>
      <w:rPr>
        <w:rFonts w:cs="Times New Roman"/>
        <w:b w:val="0"/>
        <w:bCs/>
        <w:sz w:val="2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3"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4"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5"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8" w15:restartNumberingAfterBreak="0">
    <w:nsid w:val="59607EE3"/>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15:restartNumberingAfterBreak="0">
    <w:nsid w:val="5BB27C86"/>
    <w:multiLevelType w:val="hybridMultilevel"/>
    <w:tmpl w:val="FFFFFFFF"/>
    <w:lvl w:ilvl="0" w:tplc="D6040036">
      <w:start w:val="1"/>
      <w:numFmt w:val="lowerLetter"/>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31" w15:restartNumberingAfterBreak="0">
    <w:nsid w:val="605452F2"/>
    <w:multiLevelType w:val="hybridMultilevel"/>
    <w:tmpl w:val="FFFFFFFF"/>
    <w:lvl w:ilvl="0" w:tplc="04090019">
      <w:start w:val="1"/>
      <w:numFmt w:val="lowerLetter"/>
      <w:lvlText w:val="%1."/>
      <w:lvlJc w:val="left"/>
      <w:pPr>
        <w:ind w:left="1004" w:hanging="360"/>
      </w:pPr>
      <w:rPr>
        <w:rFonts w:cs="Times New Roman"/>
      </w:rPr>
    </w:lvl>
    <w:lvl w:ilvl="1" w:tplc="04090019">
      <w:start w:val="1"/>
      <w:numFmt w:val="lowerLetter"/>
      <w:lvlText w:val="%2."/>
      <w:lvlJc w:val="left"/>
      <w:pPr>
        <w:ind w:left="1724" w:hanging="360"/>
      </w:pPr>
      <w:rPr>
        <w:rFonts w:cs="Times New Roman"/>
      </w:rPr>
    </w:lvl>
    <w:lvl w:ilvl="2" w:tplc="0409001B">
      <w:start w:val="1"/>
      <w:numFmt w:val="lowerRoman"/>
      <w:lvlText w:val="%3."/>
      <w:lvlJc w:val="right"/>
      <w:pPr>
        <w:ind w:left="2444" w:hanging="180"/>
      </w:pPr>
      <w:rPr>
        <w:rFonts w:cs="Times New Roman"/>
      </w:rPr>
    </w:lvl>
    <w:lvl w:ilvl="3" w:tplc="0409000F">
      <w:start w:val="1"/>
      <w:numFmt w:val="decimal"/>
      <w:lvlText w:val="%4."/>
      <w:lvlJc w:val="left"/>
      <w:pPr>
        <w:ind w:left="3164" w:hanging="360"/>
      </w:pPr>
      <w:rPr>
        <w:rFonts w:cs="Times New Roman"/>
      </w:rPr>
    </w:lvl>
    <w:lvl w:ilvl="4" w:tplc="04090019">
      <w:start w:val="1"/>
      <w:numFmt w:val="lowerLetter"/>
      <w:lvlText w:val="%5."/>
      <w:lvlJc w:val="left"/>
      <w:pPr>
        <w:ind w:left="3884" w:hanging="360"/>
      </w:pPr>
      <w:rPr>
        <w:rFonts w:cs="Times New Roman"/>
      </w:rPr>
    </w:lvl>
    <w:lvl w:ilvl="5" w:tplc="0409001B">
      <w:start w:val="1"/>
      <w:numFmt w:val="lowerRoman"/>
      <w:lvlText w:val="%6."/>
      <w:lvlJc w:val="right"/>
      <w:pPr>
        <w:ind w:left="4604" w:hanging="180"/>
      </w:pPr>
      <w:rPr>
        <w:rFonts w:cs="Times New Roman"/>
      </w:rPr>
    </w:lvl>
    <w:lvl w:ilvl="6" w:tplc="0409000F">
      <w:start w:val="1"/>
      <w:numFmt w:val="decimal"/>
      <w:lvlText w:val="%7."/>
      <w:lvlJc w:val="left"/>
      <w:pPr>
        <w:ind w:left="5324" w:hanging="360"/>
      </w:pPr>
      <w:rPr>
        <w:rFonts w:cs="Times New Roman"/>
      </w:rPr>
    </w:lvl>
    <w:lvl w:ilvl="7" w:tplc="04090019">
      <w:start w:val="1"/>
      <w:numFmt w:val="lowerLetter"/>
      <w:lvlText w:val="%8."/>
      <w:lvlJc w:val="left"/>
      <w:pPr>
        <w:ind w:left="6044" w:hanging="360"/>
      </w:pPr>
      <w:rPr>
        <w:rFonts w:cs="Times New Roman"/>
      </w:rPr>
    </w:lvl>
    <w:lvl w:ilvl="8" w:tplc="0409001B">
      <w:start w:val="1"/>
      <w:numFmt w:val="lowerRoman"/>
      <w:lvlText w:val="%9."/>
      <w:lvlJc w:val="right"/>
      <w:pPr>
        <w:ind w:left="6764" w:hanging="180"/>
      </w:pPr>
      <w:rPr>
        <w:rFonts w:cs="Times New Roman"/>
      </w:rPr>
    </w:lvl>
  </w:abstractNum>
  <w:abstractNum w:abstractNumId="32"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62841E7F"/>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71134204"/>
    <w:multiLevelType w:val="hybridMultilevel"/>
    <w:tmpl w:val="FFFFFFFF"/>
    <w:lvl w:ilvl="0" w:tplc="0409000F">
      <w:start w:val="1"/>
      <w:numFmt w:val="decimal"/>
      <w:lvlText w:val="%1."/>
      <w:lvlJc w:val="left"/>
      <w:pPr>
        <w:ind w:left="1146" w:hanging="360"/>
      </w:pPr>
      <w:rPr>
        <w:rFonts w:cs="Times New Roman"/>
      </w:rPr>
    </w:lvl>
    <w:lvl w:ilvl="1" w:tplc="04090019" w:tentative="1">
      <w:start w:val="1"/>
      <w:numFmt w:val="lowerLetter"/>
      <w:lvlText w:val="%2."/>
      <w:lvlJc w:val="left"/>
      <w:pPr>
        <w:ind w:left="1866" w:hanging="360"/>
      </w:pPr>
      <w:rPr>
        <w:rFonts w:cs="Times New Roman"/>
      </w:rPr>
    </w:lvl>
    <w:lvl w:ilvl="2" w:tplc="0409001B" w:tentative="1">
      <w:start w:val="1"/>
      <w:numFmt w:val="lowerRoman"/>
      <w:lvlText w:val="%3."/>
      <w:lvlJc w:val="right"/>
      <w:pPr>
        <w:ind w:left="2586" w:hanging="180"/>
      </w:pPr>
      <w:rPr>
        <w:rFonts w:cs="Times New Roman"/>
      </w:rPr>
    </w:lvl>
    <w:lvl w:ilvl="3" w:tplc="0409000F" w:tentative="1">
      <w:start w:val="1"/>
      <w:numFmt w:val="decimal"/>
      <w:lvlText w:val="%4."/>
      <w:lvlJc w:val="left"/>
      <w:pPr>
        <w:ind w:left="3306" w:hanging="360"/>
      </w:pPr>
      <w:rPr>
        <w:rFonts w:cs="Times New Roman"/>
      </w:rPr>
    </w:lvl>
    <w:lvl w:ilvl="4" w:tplc="04090019" w:tentative="1">
      <w:start w:val="1"/>
      <w:numFmt w:val="lowerLetter"/>
      <w:lvlText w:val="%5."/>
      <w:lvlJc w:val="left"/>
      <w:pPr>
        <w:ind w:left="4026" w:hanging="360"/>
      </w:pPr>
      <w:rPr>
        <w:rFonts w:cs="Times New Roman"/>
      </w:rPr>
    </w:lvl>
    <w:lvl w:ilvl="5" w:tplc="0409001B" w:tentative="1">
      <w:start w:val="1"/>
      <w:numFmt w:val="lowerRoman"/>
      <w:lvlText w:val="%6."/>
      <w:lvlJc w:val="right"/>
      <w:pPr>
        <w:ind w:left="4746" w:hanging="180"/>
      </w:pPr>
      <w:rPr>
        <w:rFonts w:cs="Times New Roman"/>
      </w:rPr>
    </w:lvl>
    <w:lvl w:ilvl="6" w:tplc="0409000F" w:tentative="1">
      <w:start w:val="1"/>
      <w:numFmt w:val="decimal"/>
      <w:lvlText w:val="%7."/>
      <w:lvlJc w:val="left"/>
      <w:pPr>
        <w:ind w:left="5466" w:hanging="360"/>
      </w:pPr>
      <w:rPr>
        <w:rFonts w:cs="Times New Roman"/>
      </w:rPr>
    </w:lvl>
    <w:lvl w:ilvl="7" w:tplc="04090019" w:tentative="1">
      <w:start w:val="1"/>
      <w:numFmt w:val="lowerLetter"/>
      <w:lvlText w:val="%8."/>
      <w:lvlJc w:val="left"/>
      <w:pPr>
        <w:ind w:left="6186" w:hanging="360"/>
      </w:pPr>
      <w:rPr>
        <w:rFonts w:cs="Times New Roman"/>
      </w:rPr>
    </w:lvl>
    <w:lvl w:ilvl="8" w:tplc="0409001B" w:tentative="1">
      <w:start w:val="1"/>
      <w:numFmt w:val="lowerRoman"/>
      <w:lvlText w:val="%9."/>
      <w:lvlJc w:val="right"/>
      <w:pPr>
        <w:ind w:left="6906" w:hanging="180"/>
      </w:pPr>
      <w:rPr>
        <w:rFonts w:cs="Times New Roman"/>
      </w:rPr>
    </w:lvl>
  </w:abstractNum>
  <w:abstractNum w:abstractNumId="35"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6" w15:restartNumberingAfterBreak="0">
    <w:nsid w:val="74BE6A55"/>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40"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41" w15:restartNumberingAfterBreak="0">
    <w:nsid w:val="7E640E9C"/>
    <w:multiLevelType w:val="multilevel"/>
    <w:tmpl w:val="FFFFFFFF"/>
    <w:lvl w:ilvl="0">
      <w:start w:val="1"/>
      <w:numFmt w:val="decimal"/>
      <w:lvlText w:val="%1."/>
      <w:lvlJc w:val="left"/>
      <w:pPr>
        <w:ind w:left="720" w:hanging="360"/>
      </w:pPr>
      <w:rPr>
        <w:rFonts w:cs="Times New Roman"/>
        <w:b w:val="0"/>
        <w:bCs/>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697856230">
    <w:abstractNumId w:val="18"/>
  </w:num>
  <w:num w:numId="2" w16cid:durableId="2079014624">
    <w:abstractNumId w:val="11"/>
  </w:num>
  <w:num w:numId="3" w16cid:durableId="1599097470">
    <w:abstractNumId w:val="12"/>
  </w:num>
  <w:num w:numId="4" w16cid:durableId="453134178">
    <w:abstractNumId w:val="30"/>
  </w:num>
  <w:num w:numId="5" w16cid:durableId="817501035">
    <w:abstractNumId w:val="27"/>
  </w:num>
  <w:num w:numId="6" w16cid:durableId="764879769">
    <w:abstractNumId w:val="26"/>
  </w:num>
  <w:num w:numId="7" w16cid:durableId="1385131166">
    <w:abstractNumId w:val="39"/>
  </w:num>
  <w:num w:numId="8" w16cid:durableId="1048262655">
    <w:abstractNumId w:val="19"/>
  </w:num>
  <w:num w:numId="9" w16cid:durableId="1714694379">
    <w:abstractNumId w:val="32"/>
  </w:num>
  <w:num w:numId="10" w16cid:durableId="1776290247">
    <w:abstractNumId w:val="35"/>
  </w:num>
  <w:num w:numId="11" w16cid:durableId="950824466">
    <w:abstractNumId w:val="14"/>
  </w:num>
  <w:num w:numId="12" w16cid:durableId="1785072324">
    <w:abstractNumId w:val="24"/>
  </w:num>
  <w:num w:numId="13" w16cid:durableId="1005285452">
    <w:abstractNumId w:val="8"/>
  </w:num>
  <w:num w:numId="14" w16cid:durableId="1883781705">
    <w:abstractNumId w:val="0"/>
  </w:num>
  <w:num w:numId="15" w16cid:durableId="1026563455">
    <w:abstractNumId w:val="40"/>
  </w:num>
  <w:num w:numId="16" w16cid:durableId="1453552557">
    <w:abstractNumId w:val="25"/>
  </w:num>
  <w:num w:numId="17" w16cid:durableId="95636380">
    <w:abstractNumId w:val="38"/>
  </w:num>
  <w:num w:numId="18" w16cid:durableId="1667976284">
    <w:abstractNumId w:val="37"/>
  </w:num>
  <w:num w:numId="19" w16cid:durableId="712193703">
    <w:abstractNumId w:val="23"/>
  </w:num>
  <w:num w:numId="20" w16cid:durableId="1455296397">
    <w:abstractNumId w:val="5"/>
  </w:num>
  <w:num w:numId="21" w16cid:durableId="1086266244">
    <w:abstractNumId w:val="1"/>
  </w:num>
  <w:num w:numId="22" w16cid:durableId="1561287428">
    <w:abstractNumId w:val="15"/>
  </w:num>
  <w:num w:numId="23" w16cid:durableId="1981767950">
    <w:abstractNumId w:val="2"/>
  </w:num>
  <w:num w:numId="24" w16cid:durableId="418447997">
    <w:abstractNumId w:val="3"/>
  </w:num>
  <w:num w:numId="25" w16cid:durableId="543756691">
    <w:abstractNumId w:val="4"/>
  </w:num>
  <w:num w:numId="26" w16cid:durableId="1614285963">
    <w:abstractNumId w:val="13"/>
  </w:num>
  <w:num w:numId="27" w16cid:durableId="1418476694">
    <w:abstractNumId w:val="16"/>
  </w:num>
  <w:num w:numId="28" w16cid:durableId="2109152763">
    <w:abstractNumId w:val="6"/>
  </w:num>
  <w:num w:numId="29" w16cid:durableId="1618758066">
    <w:abstractNumId w:val="22"/>
  </w:num>
  <w:num w:numId="30" w16cid:durableId="1807552874">
    <w:abstractNumId w:val="41"/>
  </w:num>
  <w:num w:numId="31" w16cid:durableId="8215038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10255907">
    <w:abstractNumId w:val="21"/>
  </w:num>
  <w:num w:numId="33" w16cid:durableId="4629619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08399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880587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06823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54087974">
    <w:abstractNumId w:val="20"/>
  </w:num>
  <w:num w:numId="38" w16cid:durableId="1124080224">
    <w:abstractNumId w:val="7"/>
  </w:num>
  <w:num w:numId="39" w16cid:durableId="357437960">
    <w:abstractNumId w:val="21"/>
  </w:num>
  <w:num w:numId="40" w16cid:durableId="2115904069">
    <w:abstractNumId w:val="34"/>
  </w:num>
  <w:num w:numId="41" w16cid:durableId="2085104295">
    <w:abstractNumId w:val="9"/>
  </w:num>
  <w:num w:numId="42" w16cid:durableId="172959618">
    <w:abstractNumId w:val="28"/>
  </w:num>
  <w:num w:numId="43" w16cid:durableId="1491675011">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60D0"/>
    <w:rsid w:val="000475BE"/>
    <w:rsid w:val="00055FC4"/>
    <w:rsid w:val="0006191D"/>
    <w:rsid w:val="00066AC1"/>
    <w:rsid w:val="00076F8C"/>
    <w:rsid w:val="0008220C"/>
    <w:rsid w:val="000877EE"/>
    <w:rsid w:val="000A0B41"/>
    <w:rsid w:val="000A2548"/>
    <w:rsid w:val="000A7C3D"/>
    <w:rsid w:val="000B0038"/>
    <w:rsid w:val="000B0B95"/>
    <w:rsid w:val="000B0CE5"/>
    <w:rsid w:val="000B59CD"/>
    <w:rsid w:val="000B7DEA"/>
    <w:rsid w:val="000C3688"/>
    <w:rsid w:val="000E1F30"/>
    <w:rsid w:val="000E31DC"/>
    <w:rsid w:val="000E4F20"/>
    <w:rsid w:val="000E7A94"/>
    <w:rsid w:val="000F66AA"/>
    <w:rsid w:val="00103AFF"/>
    <w:rsid w:val="0010643B"/>
    <w:rsid w:val="00110D78"/>
    <w:rsid w:val="00116ED8"/>
    <w:rsid w:val="00117792"/>
    <w:rsid w:val="00122F5F"/>
    <w:rsid w:val="00123EF2"/>
    <w:rsid w:val="001245CB"/>
    <w:rsid w:val="0013783B"/>
    <w:rsid w:val="001558D0"/>
    <w:rsid w:val="001578E9"/>
    <w:rsid w:val="00160D3E"/>
    <w:rsid w:val="00162A30"/>
    <w:rsid w:val="00165813"/>
    <w:rsid w:val="00171D19"/>
    <w:rsid w:val="00172D07"/>
    <w:rsid w:val="00173196"/>
    <w:rsid w:val="0018288D"/>
    <w:rsid w:val="00187357"/>
    <w:rsid w:val="001931CE"/>
    <w:rsid w:val="00194254"/>
    <w:rsid w:val="001A07A8"/>
    <w:rsid w:val="001B3613"/>
    <w:rsid w:val="001C0CE0"/>
    <w:rsid w:val="001C2739"/>
    <w:rsid w:val="001C3D6C"/>
    <w:rsid w:val="001C7BDA"/>
    <w:rsid w:val="001D5E03"/>
    <w:rsid w:val="001D7DEE"/>
    <w:rsid w:val="001E02DA"/>
    <w:rsid w:val="001E1869"/>
    <w:rsid w:val="001E2AAA"/>
    <w:rsid w:val="001F4852"/>
    <w:rsid w:val="0020406B"/>
    <w:rsid w:val="00204DE0"/>
    <w:rsid w:val="0020676E"/>
    <w:rsid w:val="002132FC"/>
    <w:rsid w:val="00216CB6"/>
    <w:rsid w:val="00217D1E"/>
    <w:rsid w:val="00223090"/>
    <w:rsid w:val="00224082"/>
    <w:rsid w:val="00233341"/>
    <w:rsid w:val="00241B8D"/>
    <w:rsid w:val="00243071"/>
    <w:rsid w:val="00251164"/>
    <w:rsid w:val="00253D8A"/>
    <w:rsid w:val="00260D64"/>
    <w:rsid w:val="002632DB"/>
    <w:rsid w:val="002676D3"/>
    <w:rsid w:val="00271DA6"/>
    <w:rsid w:val="0027200A"/>
    <w:rsid w:val="00272FD3"/>
    <w:rsid w:val="00274990"/>
    <w:rsid w:val="00280C32"/>
    <w:rsid w:val="00287EDB"/>
    <w:rsid w:val="00295FB9"/>
    <w:rsid w:val="002961FA"/>
    <w:rsid w:val="002A293E"/>
    <w:rsid w:val="002A4E05"/>
    <w:rsid w:val="002A5C40"/>
    <w:rsid w:val="002B5252"/>
    <w:rsid w:val="002B781F"/>
    <w:rsid w:val="002C2FAC"/>
    <w:rsid w:val="002D0F54"/>
    <w:rsid w:val="002D1D04"/>
    <w:rsid w:val="002D2DAC"/>
    <w:rsid w:val="002E0452"/>
    <w:rsid w:val="002E695D"/>
    <w:rsid w:val="002F4D18"/>
    <w:rsid w:val="00301FEB"/>
    <w:rsid w:val="00303D42"/>
    <w:rsid w:val="0030640D"/>
    <w:rsid w:val="00312D76"/>
    <w:rsid w:val="0031342A"/>
    <w:rsid w:val="0032146E"/>
    <w:rsid w:val="0033202F"/>
    <w:rsid w:val="00334520"/>
    <w:rsid w:val="00334792"/>
    <w:rsid w:val="003363F0"/>
    <w:rsid w:val="003368C4"/>
    <w:rsid w:val="00336A9A"/>
    <w:rsid w:val="0034128C"/>
    <w:rsid w:val="00357420"/>
    <w:rsid w:val="00362CBC"/>
    <w:rsid w:val="003642C3"/>
    <w:rsid w:val="00381B26"/>
    <w:rsid w:val="00382478"/>
    <w:rsid w:val="00383ED5"/>
    <w:rsid w:val="003850AB"/>
    <w:rsid w:val="00386C20"/>
    <w:rsid w:val="00386F26"/>
    <w:rsid w:val="00387148"/>
    <w:rsid w:val="00387C94"/>
    <w:rsid w:val="00392731"/>
    <w:rsid w:val="003948B0"/>
    <w:rsid w:val="00395535"/>
    <w:rsid w:val="003B28D6"/>
    <w:rsid w:val="003C40CE"/>
    <w:rsid w:val="003C482F"/>
    <w:rsid w:val="003C5369"/>
    <w:rsid w:val="003D35B5"/>
    <w:rsid w:val="003E1185"/>
    <w:rsid w:val="003E71BD"/>
    <w:rsid w:val="003F383D"/>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59C4"/>
    <w:rsid w:val="00476E9F"/>
    <w:rsid w:val="00481B20"/>
    <w:rsid w:val="004863B6"/>
    <w:rsid w:val="00486707"/>
    <w:rsid w:val="0048722D"/>
    <w:rsid w:val="004926FD"/>
    <w:rsid w:val="004928B8"/>
    <w:rsid w:val="00497A78"/>
    <w:rsid w:val="004A19B5"/>
    <w:rsid w:val="004A26D5"/>
    <w:rsid w:val="004A4564"/>
    <w:rsid w:val="004A68CB"/>
    <w:rsid w:val="004B08D8"/>
    <w:rsid w:val="004B0E60"/>
    <w:rsid w:val="004C15A0"/>
    <w:rsid w:val="004D00AE"/>
    <w:rsid w:val="004D0872"/>
    <w:rsid w:val="004D5A18"/>
    <w:rsid w:val="004D67B0"/>
    <w:rsid w:val="004D7EF4"/>
    <w:rsid w:val="004F3787"/>
    <w:rsid w:val="004F5144"/>
    <w:rsid w:val="004F5368"/>
    <w:rsid w:val="00500754"/>
    <w:rsid w:val="00500AAF"/>
    <w:rsid w:val="005022AA"/>
    <w:rsid w:val="005031E8"/>
    <w:rsid w:val="0050390B"/>
    <w:rsid w:val="00503DD2"/>
    <w:rsid w:val="005062E6"/>
    <w:rsid w:val="005160C4"/>
    <w:rsid w:val="0052016F"/>
    <w:rsid w:val="00521C43"/>
    <w:rsid w:val="005227C8"/>
    <w:rsid w:val="005323E6"/>
    <w:rsid w:val="0053629A"/>
    <w:rsid w:val="005367ED"/>
    <w:rsid w:val="00540F02"/>
    <w:rsid w:val="0054303A"/>
    <w:rsid w:val="00543077"/>
    <w:rsid w:val="0054671E"/>
    <w:rsid w:val="005469BE"/>
    <w:rsid w:val="005478C9"/>
    <w:rsid w:val="00553784"/>
    <w:rsid w:val="005569E1"/>
    <w:rsid w:val="0056036E"/>
    <w:rsid w:val="00560788"/>
    <w:rsid w:val="005611F1"/>
    <w:rsid w:val="005626AA"/>
    <w:rsid w:val="00562879"/>
    <w:rsid w:val="00562B8E"/>
    <w:rsid w:val="005635B4"/>
    <w:rsid w:val="00571CFE"/>
    <w:rsid w:val="00574B26"/>
    <w:rsid w:val="00585D8F"/>
    <w:rsid w:val="00586EDF"/>
    <w:rsid w:val="00591DE5"/>
    <w:rsid w:val="0059236C"/>
    <w:rsid w:val="005A4F69"/>
    <w:rsid w:val="005C14AA"/>
    <w:rsid w:val="005C3E6F"/>
    <w:rsid w:val="005C643D"/>
    <w:rsid w:val="005D1C0F"/>
    <w:rsid w:val="005D4A0D"/>
    <w:rsid w:val="005E7673"/>
    <w:rsid w:val="005E785E"/>
    <w:rsid w:val="006035FA"/>
    <w:rsid w:val="006052AE"/>
    <w:rsid w:val="0061613E"/>
    <w:rsid w:val="0062129F"/>
    <w:rsid w:val="00622926"/>
    <w:rsid w:val="0062388D"/>
    <w:rsid w:val="006352D0"/>
    <w:rsid w:val="006419D1"/>
    <w:rsid w:val="006538D6"/>
    <w:rsid w:val="00654B07"/>
    <w:rsid w:val="00670FD0"/>
    <w:rsid w:val="00674CB5"/>
    <w:rsid w:val="00680536"/>
    <w:rsid w:val="006902BB"/>
    <w:rsid w:val="006A0D9F"/>
    <w:rsid w:val="006A7DFF"/>
    <w:rsid w:val="006B0510"/>
    <w:rsid w:val="006B2D02"/>
    <w:rsid w:val="006B6E0F"/>
    <w:rsid w:val="006C65C4"/>
    <w:rsid w:val="006C6EBD"/>
    <w:rsid w:val="006C7730"/>
    <w:rsid w:val="006D6149"/>
    <w:rsid w:val="006D782E"/>
    <w:rsid w:val="006E0D03"/>
    <w:rsid w:val="006E2F83"/>
    <w:rsid w:val="006E3854"/>
    <w:rsid w:val="006E7FC3"/>
    <w:rsid w:val="006F0718"/>
    <w:rsid w:val="006F411A"/>
    <w:rsid w:val="00704378"/>
    <w:rsid w:val="00707398"/>
    <w:rsid w:val="00714D74"/>
    <w:rsid w:val="007169EC"/>
    <w:rsid w:val="00727B9E"/>
    <w:rsid w:val="00741058"/>
    <w:rsid w:val="00755AB4"/>
    <w:rsid w:val="00755FD5"/>
    <w:rsid w:val="00761E7C"/>
    <w:rsid w:val="007636FC"/>
    <w:rsid w:val="007712B0"/>
    <w:rsid w:val="007816FC"/>
    <w:rsid w:val="00781D8B"/>
    <w:rsid w:val="0079311F"/>
    <w:rsid w:val="007933FE"/>
    <w:rsid w:val="00796577"/>
    <w:rsid w:val="00796A75"/>
    <w:rsid w:val="007A2AA8"/>
    <w:rsid w:val="007A5A78"/>
    <w:rsid w:val="007A62B7"/>
    <w:rsid w:val="007A65BF"/>
    <w:rsid w:val="007B6823"/>
    <w:rsid w:val="007C7B35"/>
    <w:rsid w:val="007D5BA1"/>
    <w:rsid w:val="007E508F"/>
    <w:rsid w:val="007F02FB"/>
    <w:rsid w:val="007F37D6"/>
    <w:rsid w:val="007F422E"/>
    <w:rsid w:val="00802718"/>
    <w:rsid w:val="00802990"/>
    <w:rsid w:val="00802A96"/>
    <w:rsid w:val="00810811"/>
    <w:rsid w:val="008157AA"/>
    <w:rsid w:val="00815993"/>
    <w:rsid w:val="0082272E"/>
    <w:rsid w:val="0082672A"/>
    <w:rsid w:val="00852EC7"/>
    <w:rsid w:val="0085484D"/>
    <w:rsid w:val="00860CF3"/>
    <w:rsid w:val="00862178"/>
    <w:rsid w:val="00862DDA"/>
    <w:rsid w:val="00863A78"/>
    <w:rsid w:val="00874EB7"/>
    <w:rsid w:val="008765A5"/>
    <w:rsid w:val="00882CAF"/>
    <w:rsid w:val="0088622F"/>
    <w:rsid w:val="0088746C"/>
    <w:rsid w:val="008940D8"/>
    <w:rsid w:val="008B23F8"/>
    <w:rsid w:val="008B4BA9"/>
    <w:rsid w:val="008B7A0F"/>
    <w:rsid w:val="008C302B"/>
    <w:rsid w:val="008C3DC2"/>
    <w:rsid w:val="008C45DE"/>
    <w:rsid w:val="008D0F02"/>
    <w:rsid w:val="008D44A8"/>
    <w:rsid w:val="008E554D"/>
    <w:rsid w:val="008F1DF2"/>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72BA9"/>
    <w:rsid w:val="0098193E"/>
    <w:rsid w:val="00987772"/>
    <w:rsid w:val="0099291C"/>
    <w:rsid w:val="009929B4"/>
    <w:rsid w:val="009965FA"/>
    <w:rsid w:val="009A1281"/>
    <w:rsid w:val="009A5D67"/>
    <w:rsid w:val="009B6344"/>
    <w:rsid w:val="009B764B"/>
    <w:rsid w:val="009C3775"/>
    <w:rsid w:val="009C5AC0"/>
    <w:rsid w:val="009D27CC"/>
    <w:rsid w:val="009D7AA9"/>
    <w:rsid w:val="009E2468"/>
    <w:rsid w:val="009E3624"/>
    <w:rsid w:val="009E4EBA"/>
    <w:rsid w:val="009F091C"/>
    <w:rsid w:val="009F2D64"/>
    <w:rsid w:val="009F409C"/>
    <w:rsid w:val="009F6F7B"/>
    <w:rsid w:val="00A03126"/>
    <w:rsid w:val="00A13315"/>
    <w:rsid w:val="00A175E3"/>
    <w:rsid w:val="00A178BE"/>
    <w:rsid w:val="00A17DC7"/>
    <w:rsid w:val="00A27B34"/>
    <w:rsid w:val="00A37C4B"/>
    <w:rsid w:val="00A43778"/>
    <w:rsid w:val="00A4558F"/>
    <w:rsid w:val="00A50B27"/>
    <w:rsid w:val="00A53627"/>
    <w:rsid w:val="00A549F9"/>
    <w:rsid w:val="00A54BA5"/>
    <w:rsid w:val="00A562A0"/>
    <w:rsid w:val="00A5653C"/>
    <w:rsid w:val="00A574C4"/>
    <w:rsid w:val="00A60243"/>
    <w:rsid w:val="00A602DE"/>
    <w:rsid w:val="00A64896"/>
    <w:rsid w:val="00A65E5F"/>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454"/>
    <w:rsid w:val="00AD2E20"/>
    <w:rsid w:val="00AD3EFD"/>
    <w:rsid w:val="00AD559D"/>
    <w:rsid w:val="00AE0945"/>
    <w:rsid w:val="00AF31FA"/>
    <w:rsid w:val="00AF35CC"/>
    <w:rsid w:val="00AF73DF"/>
    <w:rsid w:val="00B02CE0"/>
    <w:rsid w:val="00B036F8"/>
    <w:rsid w:val="00B0503C"/>
    <w:rsid w:val="00B17324"/>
    <w:rsid w:val="00B23519"/>
    <w:rsid w:val="00B25EDF"/>
    <w:rsid w:val="00B32F96"/>
    <w:rsid w:val="00B35DC8"/>
    <w:rsid w:val="00B4389C"/>
    <w:rsid w:val="00B47B2C"/>
    <w:rsid w:val="00B56B54"/>
    <w:rsid w:val="00B70E6B"/>
    <w:rsid w:val="00B801AF"/>
    <w:rsid w:val="00B80A1A"/>
    <w:rsid w:val="00B82E50"/>
    <w:rsid w:val="00B86BF7"/>
    <w:rsid w:val="00B905EC"/>
    <w:rsid w:val="00B91F74"/>
    <w:rsid w:val="00B9472D"/>
    <w:rsid w:val="00BA1AAF"/>
    <w:rsid w:val="00BA6FF3"/>
    <w:rsid w:val="00BA7504"/>
    <w:rsid w:val="00BB2B6F"/>
    <w:rsid w:val="00BB6938"/>
    <w:rsid w:val="00BC51D8"/>
    <w:rsid w:val="00BD5D62"/>
    <w:rsid w:val="00BD66C2"/>
    <w:rsid w:val="00BD79A0"/>
    <w:rsid w:val="00BE144D"/>
    <w:rsid w:val="00BE17FD"/>
    <w:rsid w:val="00BE30EB"/>
    <w:rsid w:val="00BF6E77"/>
    <w:rsid w:val="00C02623"/>
    <w:rsid w:val="00C02E08"/>
    <w:rsid w:val="00C03879"/>
    <w:rsid w:val="00C10C09"/>
    <w:rsid w:val="00C11C42"/>
    <w:rsid w:val="00C11D27"/>
    <w:rsid w:val="00C152F9"/>
    <w:rsid w:val="00C1756D"/>
    <w:rsid w:val="00C21420"/>
    <w:rsid w:val="00C26170"/>
    <w:rsid w:val="00C420B8"/>
    <w:rsid w:val="00C50A65"/>
    <w:rsid w:val="00C549E7"/>
    <w:rsid w:val="00C6051D"/>
    <w:rsid w:val="00C67610"/>
    <w:rsid w:val="00C71E29"/>
    <w:rsid w:val="00C72516"/>
    <w:rsid w:val="00C737BD"/>
    <w:rsid w:val="00C7503D"/>
    <w:rsid w:val="00C836F9"/>
    <w:rsid w:val="00C93C98"/>
    <w:rsid w:val="00CA7439"/>
    <w:rsid w:val="00CB41DC"/>
    <w:rsid w:val="00CC09C1"/>
    <w:rsid w:val="00CC38EC"/>
    <w:rsid w:val="00CC56D8"/>
    <w:rsid w:val="00CD3115"/>
    <w:rsid w:val="00CE2A67"/>
    <w:rsid w:val="00CE741E"/>
    <w:rsid w:val="00CF03A1"/>
    <w:rsid w:val="00CF57D6"/>
    <w:rsid w:val="00D15005"/>
    <w:rsid w:val="00D25C7F"/>
    <w:rsid w:val="00D26ADD"/>
    <w:rsid w:val="00D3209D"/>
    <w:rsid w:val="00D44083"/>
    <w:rsid w:val="00D51D3C"/>
    <w:rsid w:val="00D55C95"/>
    <w:rsid w:val="00D57022"/>
    <w:rsid w:val="00D57A56"/>
    <w:rsid w:val="00D63088"/>
    <w:rsid w:val="00D67104"/>
    <w:rsid w:val="00D73826"/>
    <w:rsid w:val="00D775DE"/>
    <w:rsid w:val="00D90FE5"/>
    <w:rsid w:val="00D94113"/>
    <w:rsid w:val="00D96860"/>
    <w:rsid w:val="00DB1FBA"/>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232CF"/>
    <w:rsid w:val="00E235CD"/>
    <w:rsid w:val="00E30D6B"/>
    <w:rsid w:val="00E30E14"/>
    <w:rsid w:val="00E36AA2"/>
    <w:rsid w:val="00E439CB"/>
    <w:rsid w:val="00E46E84"/>
    <w:rsid w:val="00E51AFA"/>
    <w:rsid w:val="00E5640B"/>
    <w:rsid w:val="00E65AF8"/>
    <w:rsid w:val="00E73641"/>
    <w:rsid w:val="00E75D64"/>
    <w:rsid w:val="00E75F6E"/>
    <w:rsid w:val="00E77C4D"/>
    <w:rsid w:val="00E90C62"/>
    <w:rsid w:val="00E922F2"/>
    <w:rsid w:val="00E93AC4"/>
    <w:rsid w:val="00EA4465"/>
    <w:rsid w:val="00EA4EF4"/>
    <w:rsid w:val="00EA5258"/>
    <w:rsid w:val="00EB323F"/>
    <w:rsid w:val="00EB5A85"/>
    <w:rsid w:val="00EB743A"/>
    <w:rsid w:val="00EC4D8B"/>
    <w:rsid w:val="00ED1E28"/>
    <w:rsid w:val="00ED2F7D"/>
    <w:rsid w:val="00ED74B9"/>
    <w:rsid w:val="00EE2075"/>
    <w:rsid w:val="00F01DBC"/>
    <w:rsid w:val="00F06CD1"/>
    <w:rsid w:val="00F06FB4"/>
    <w:rsid w:val="00F1027C"/>
    <w:rsid w:val="00F1332B"/>
    <w:rsid w:val="00F1612A"/>
    <w:rsid w:val="00F23791"/>
    <w:rsid w:val="00F3381A"/>
    <w:rsid w:val="00F3402C"/>
    <w:rsid w:val="00F369EC"/>
    <w:rsid w:val="00F52E83"/>
    <w:rsid w:val="00F54CC3"/>
    <w:rsid w:val="00F54DFA"/>
    <w:rsid w:val="00F660DB"/>
    <w:rsid w:val="00F727DB"/>
    <w:rsid w:val="00F7294C"/>
    <w:rsid w:val="00F814D0"/>
    <w:rsid w:val="00F9056B"/>
    <w:rsid w:val="00F956D7"/>
    <w:rsid w:val="00FA0290"/>
    <w:rsid w:val="00FA3FD1"/>
    <w:rsid w:val="00FB2A93"/>
    <w:rsid w:val="00FB5880"/>
    <w:rsid w:val="00FC2DC7"/>
    <w:rsid w:val="00FC3FCF"/>
    <w:rsid w:val="00FC4C88"/>
    <w:rsid w:val="00FC679E"/>
    <w:rsid w:val="00FD08EE"/>
    <w:rsid w:val="00FE0722"/>
    <w:rsid w:val="00FE3669"/>
    <w:rsid w:val="00FE5871"/>
    <w:rsid w:val="00FE59A0"/>
    <w:rsid w:val="00FE703C"/>
    <w:rsid w:val="00FF1D30"/>
    <w:rsid w:val="00FF1E97"/>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E357FB"/>
  <w14:defaultImageDpi w14:val="0"/>
  <w15:docId w15:val="{988017F7-6747-46F6-84E1-DACF4BFA9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sub de titre 4,ANNEX,Colorful List - Accent 12"/>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sub de titre 4 Char,ANNEX Char,Colorful List - Accent 12 Char"/>
    <w:link w:val="ListParagraph"/>
    <w:uiPriority w:val="34"/>
    <w:qFormat/>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846790">
      <w:marLeft w:val="0"/>
      <w:marRight w:val="0"/>
      <w:marTop w:val="0"/>
      <w:marBottom w:val="0"/>
      <w:divBdr>
        <w:top w:val="none" w:sz="0" w:space="0" w:color="auto"/>
        <w:left w:val="none" w:sz="0" w:space="0" w:color="auto"/>
        <w:bottom w:val="none" w:sz="0" w:space="0" w:color="auto"/>
        <w:right w:val="none" w:sz="0" w:space="0" w:color="auto"/>
      </w:divBdr>
    </w:div>
    <w:div w:id="369846791">
      <w:marLeft w:val="0"/>
      <w:marRight w:val="0"/>
      <w:marTop w:val="0"/>
      <w:marBottom w:val="0"/>
      <w:divBdr>
        <w:top w:val="none" w:sz="0" w:space="0" w:color="auto"/>
        <w:left w:val="none" w:sz="0" w:space="0" w:color="auto"/>
        <w:bottom w:val="none" w:sz="0" w:space="0" w:color="auto"/>
        <w:right w:val="none" w:sz="0" w:space="0" w:color="auto"/>
      </w:divBdr>
    </w:div>
    <w:div w:id="369846792">
      <w:marLeft w:val="0"/>
      <w:marRight w:val="0"/>
      <w:marTop w:val="0"/>
      <w:marBottom w:val="0"/>
      <w:divBdr>
        <w:top w:val="none" w:sz="0" w:space="0" w:color="auto"/>
        <w:left w:val="none" w:sz="0" w:space="0" w:color="auto"/>
        <w:bottom w:val="none" w:sz="0" w:space="0" w:color="auto"/>
        <w:right w:val="none" w:sz="0" w:space="0" w:color="auto"/>
      </w:divBdr>
    </w:div>
    <w:div w:id="369846793">
      <w:marLeft w:val="0"/>
      <w:marRight w:val="0"/>
      <w:marTop w:val="0"/>
      <w:marBottom w:val="0"/>
      <w:divBdr>
        <w:top w:val="none" w:sz="0" w:space="0" w:color="auto"/>
        <w:left w:val="none" w:sz="0" w:space="0" w:color="auto"/>
        <w:bottom w:val="none" w:sz="0" w:space="0" w:color="auto"/>
        <w:right w:val="none" w:sz="0" w:space="0" w:color="auto"/>
      </w:divBdr>
    </w:div>
    <w:div w:id="369846794">
      <w:marLeft w:val="0"/>
      <w:marRight w:val="0"/>
      <w:marTop w:val="0"/>
      <w:marBottom w:val="0"/>
      <w:divBdr>
        <w:top w:val="none" w:sz="0" w:space="0" w:color="auto"/>
        <w:left w:val="none" w:sz="0" w:space="0" w:color="auto"/>
        <w:bottom w:val="none" w:sz="0" w:space="0" w:color="auto"/>
        <w:right w:val="none" w:sz="0" w:space="0" w:color="auto"/>
      </w:divBdr>
    </w:div>
    <w:div w:id="369846795">
      <w:marLeft w:val="0"/>
      <w:marRight w:val="0"/>
      <w:marTop w:val="0"/>
      <w:marBottom w:val="0"/>
      <w:divBdr>
        <w:top w:val="none" w:sz="0" w:space="0" w:color="auto"/>
        <w:left w:val="none" w:sz="0" w:space="0" w:color="auto"/>
        <w:bottom w:val="none" w:sz="0" w:space="0" w:color="auto"/>
        <w:right w:val="none" w:sz="0" w:space="0" w:color="auto"/>
      </w:divBdr>
    </w:div>
    <w:div w:id="369846796">
      <w:marLeft w:val="0"/>
      <w:marRight w:val="0"/>
      <w:marTop w:val="0"/>
      <w:marBottom w:val="0"/>
      <w:divBdr>
        <w:top w:val="none" w:sz="0" w:space="0" w:color="auto"/>
        <w:left w:val="none" w:sz="0" w:space="0" w:color="auto"/>
        <w:bottom w:val="none" w:sz="0" w:space="0" w:color="auto"/>
        <w:right w:val="none" w:sz="0" w:space="0" w:color="auto"/>
      </w:divBdr>
    </w:div>
    <w:div w:id="369846797">
      <w:marLeft w:val="0"/>
      <w:marRight w:val="0"/>
      <w:marTop w:val="0"/>
      <w:marBottom w:val="0"/>
      <w:divBdr>
        <w:top w:val="none" w:sz="0" w:space="0" w:color="auto"/>
        <w:left w:val="none" w:sz="0" w:space="0" w:color="auto"/>
        <w:bottom w:val="none" w:sz="0" w:space="0" w:color="auto"/>
        <w:right w:val="none" w:sz="0" w:space="0" w:color="auto"/>
      </w:divBdr>
    </w:div>
    <w:div w:id="369846798">
      <w:marLeft w:val="0"/>
      <w:marRight w:val="0"/>
      <w:marTop w:val="0"/>
      <w:marBottom w:val="0"/>
      <w:divBdr>
        <w:top w:val="none" w:sz="0" w:space="0" w:color="auto"/>
        <w:left w:val="none" w:sz="0" w:space="0" w:color="auto"/>
        <w:bottom w:val="none" w:sz="0" w:space="0" w:color="auto"/>
        <w:right w:val="none" w:sz="0" w:space="0" w:color="auto"/>
      </w:divBdr>
    </w:div>
    <w:div w:id="369846799">
      <w:marLeft w:val="0"/>
      <w:marRight w:val="0"/>
      <w:marTop w:val="0"/>
      <w:marBottom w:val="0"/>
      <w:divBdr>
        <w:top w:val="none" w:sz="0" w:space="0" w:color="auto"/>
        <w:left w:val="none" w:sz="0" w:space="0" w:color="auto"/>
        <w:bottom w:val="none" w:sz="0" w:space="0" w:color="auto"/>
        <w:right w:val="none" w:sz="0" w:space="0" w:color="auto"/>
      </w:divBdr>
    </w:div>
    <w:div w:id="369846800">
      <w:marLeft w:val="0"/>
      <w:marRight w:val="0"/>
      <w:marTop w:val="0"/>
      <w:marBottom w:val="0"/>
      <w:divBdr>
        <w:top w:val="none" w:sz="0" w:space="0" w:color="auto"/>
        <w:left w:val="none" w:sz="0" w:space="0" w:color="auto"/>
        <w:bottom w:val="none" w:sz="0" w:space="0" w:color="auto"/>
        <w:right w:val="none" w:sz="0" w:space="0" w:color="auto"/>
      </w:divBdr>
    </w:div>
    <w:div w:id="369846801">
      <w:marLeft w:val="0"/>
      <w:marRight w:val="0"/>
      <w:marTop w:val="0"/>
      <w:marBottom w:val="0"/>
      <w:divBdr>
        <w:top w:val="none" w:sz="0" w:space="0" w:color="auto"/>
        <w:left w:val="none" w:sz="0" w:space="0" w:color="auto"/>
        <w:bottom w:val="none" w:sz="0" w:space="0" w:color="auto"/>
        <w:right w:val="none" w:sz="0" w:space="0" w:color="auto"/>
      </w:divBdr>
    </w:div>
    <w:div w:id="3698468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4DC01-9B52-4F62-8193-B855A7229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13273</Words>
  <Characters>75658</Characters>
  <Application>Microsoft Office Word</Application>
  <DocSecurity>0</DocSecurity>
  <Lines>630</Lines>
  <Paragraphs>177</Paragraphs>
  <ScaleCrop>false</ScaleCrop>
  <Company>UIN Malang</Company>
  <LinksUpToDate>false</LinksUpToDate>
  <CharactersWithSpaces>88754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afiful ikhwan</cp:lastModifiedBy>
  <cp:revision>3</cp:revision>
  <cp:lastPrinted>2008-11-01T04:52:00Z</cp:lastPrinted>
  <dcterms:created xsi:type="dcterms:W3CDTF">2025-05-28T10:18:00Z</dcterms:created>
  <dcterms:modified xsi:type="dcterms:W3CDTF">2025-05-28T10:18:00Z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http://www.zotero.org/styles/chicago-fullnote-bibliography</vt:lpwstr>
  </property>
  <property fmtid="{D5CDD505-2E9C-101B-9397-08002B2CF9AE}" pid="11" name="Mendeley Recent Style Name 4_1">
    <vt:lpwstr>Chicago Manual of Style 17th edition (full note)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http://www.zotero.org/styles/elsevier-without-titles</vt:lpwstr>
  </property>
  <property fmtid="{D5CDD505-2E9C-101B-9397-08002B2CF9AE}" pid="15" name="Mendeley Recent Style Name 6_1">
    <vt:lpwstr>Elsevier (numeric, without titles)</vt:lpwstr>
  </property>
  <property fmtid="{D5CDD505-2E9C-101B-9397-08002B2CF9AE}" pid="16" name="Mendeley Recent Style Id 7_1">
    <vt:lpwstr>http://www.zotero.org/styles/international-journal-of-simulation-modelling</vt:lpwstr>
  </property>
  <property fmtid="{D5CDD505-2E9C-101B-9397-08002B2CF9AE}" pid="17" name="Mendeley Recent Style Name 7_1">
    <vt:lpwstr>International Journal of Simulation Modelling</vt:lpwstr>
  </property>
  <property fmtid="{D5CDD505-2E9C-101B-9397-08002B2CF9AE}" pid="18" name="Mendeley Recent Style Id 8_1">
    <vt:lpwstr>http://www.zotero.org/styles/modern-humanities-research-association-author-date</vt:lpwstr>
  </property>
  <property fmtid="{D5CDD505-2E9C-101B-9397-08002B2CF9AE}" pid="19" name="Mendeley Recent Style Name 8_1">
    <vt:lpwstr>Modern Humanities Research Association 3rd edition (author-date)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361a5e47-02bb-3d18-86f0-f4288b3adbf4</vt:lpwstr>
  </property>
  <property fmtid="{D5CDD505-2E9C-101B-9397-08002B2CF9AE}" pid="24" name="Mendeley Citation Style_1">
    <vt:lpwstr>http://www.zotero.org/styles/apa-6th-edition</vt:lpwstr>
  </property>
</Properties>
</file>