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60D24">
      <w:pPr>
        <w:jc w:val="both"/>
        <w:rPr>
          <w:rFonts w:ascii="Calibri Light" w:hAnsi="Calibri Light" w:cs="Calibri Light"/>
          <w:b/>
          <w:bCs/>
          <w:iCs/>
          <w:sz w:val="28"/>
          <w:szCs w:val="28"/>
          <w:lang w:val="id-ID"/>
        </w:rPr>
      </w:pPr>
      <w:r>
        <w:rPr>
          <w:rFonts w:ascii="Calibri Light" w:hAnsi="Calibri Light" w:cs="Calibri Light"/>
          <w:b/>
          <w:bCs/>
          <w:sz w:val="28"/>
          <w:szCs w:val="28"/>
        </w:rPr>
        <w:t>The Role of Land Banks in the Customary Land Management Rights of Customary Law Community Units</w:t>
      </w:r>
    </w:p>
    <w:p w14:paraId="6D12EB67">
      <w:pPr>
        <w:jc w:val="center"/>
        <w:rPr>
          <w:rFonts w:ascii="Calibri Light" w:hAnsi="Calibri Light" w:cs="Calibri Light"/>
          <w:sz w:val="24"/>
          <w:szCs w:val="24"/>
        </w:rPr>
      </w:pPr>
    </w:p>
    <w:p w14:paraId="7EF2E752">
      <w:pPr>
        <w:jc w:val="center"/>
        <w:rPr>
          <w:rFonts w:ascii="Calibri Light" w:hAnsi="Calibri Light" w:cs="Calibri Light"/>
          <w:sz w:val="24"/>
          <w:szCs w:val="24"/>
        </w:rPr>
      </w:pPr>
    </w:p>
    <w:p w14:paraId="47A11F56">
      <w:pPr>
        <w:ind w:right="737"/>
        <w:rPr>
          <w:rFonts w:ascii="Calibri Light" w:hAnsi="Calibri Light" w:cs="Calibri Light"/>
          <w:spacing w:val="1"/>
        </w:rPr>
      </w:pPr>
      <w:r>
        <w:rPr>
          <w:rFonts w:ascii="Calibri Light" w:hAnsi="Calibri Light" w:cs="Calibri Light"/>
        </w:rPr>
        <w:t>Received: 2021-October-15</w:t>
      </w:r>
      <w:r>
        <w:rPr>
          <w:rFonts w:ascii="Calibri Light" w:hAnsi="Calibri Light" w:cs="Calibri Light"/>
          <w:spacing w:val="1"/>
        </w:rPr>
        <w:t xml:space="preserve"> </w:t>
      </w:r>
      <w:r>
        <w:rPr>
          <w:rFonts w:ascii="Calibri Light" w:hAnsi="Calibri Light" w:cs="Calibri Light"/>
          <w:color w:val="A6A6A6"/>
        </w:rPr>
        <w:t>(10-Calibri Light)</w:t>
      </w:r>
    </w:p>
    <w:p w14:paraId="0B3C0B79">
      <w:pPr>
        <w:ind w:right="737"/>
        <w:rPr>
          <w:rFonts w:ascii="Calibri Light" w:hAnsi="Calibri Light" w:cs="Calibri Light"/>
          <w:spacing w:val="1"/>
        </w:rPr>
      </w:pPr>
      <w:r>
        <w:rPr>
          <w:rFonts w:ascii="Calibri Light" w:hAnsi="Calibri Light" w:cs="Calibri Light"/>
        </w:rPr>
        <w:t>Rev. Req:</w:t>
      </w:r>
      <w:r>
        <w:rPr>
          <w:rFonts w:ascii="Calibri Light" w:hAnsi="Calibri Light" w:cs="Calibri Light"/>
          <w:spacing w:val="1"/>
        </w:rPr>
        <w:t xml:space="preserve"> </w:t>
      </w:r>
      <w:r>
        <w:rPr>
          <w:rFonts w:ascii="Calibri Light" w:hAnsi="Calibri Light" w:cs="Calibri Light"/>
        </w:rPr>
        <w:t>2022-January-09</w:t>
      </w:r>
      <w:r>
        <w:rPr>
          <w:rFonts w:ascii="Calibri Light" w:hAnsi="Calibri Light" w:cs="Calibri Light"/>
          <w:spacing w:val="1"/>
        </w:rPr>
        <w:t xml:space="preserve"> </w:t>
      </w:r>
    </w:p>
    <w:p w14:paraId="1990E3A5">
      <w:pPr>
        <w:ind w:right="737"/>
        <w:rPr>
          <w:rFonts w:ascii="Calibri Light" w:hAnsi="Calibri Light" w:cs="Calibri Light"/>
        </w:rPr>
      </w:pPr>
      <w:r>
        <w:rPr>
          <w:rFonts w:ascii="Calibri Light" w:hAnsi="Calibri Light" w:cs="Calibri Light"/>
        </w:rPr>
        <w:t>Accepted:</w:t>
      </w:r>
      <w:r>
        <w:rPr>
          <w:rFonts w:ascii="Calibri Light" w:hAnsi="Calibri Light" w:cs="Calibri Light"/>
          <w:spacing w:val="32"/>
        </w:rPr>
        <w:t xml:space="preserve"> </w:t>
      </w:r>
      <w:r>
        <w:rPr>
          <w:rFonts w:ascii="Calibri Light" w:hAnsi="Calibri Light" w:cs="Calibri Light"/>
        </w:rPr>
        <w:t>2022-January-22</w:t>
      </w:r>
    </w:p>
    <w:p w14:paraId="6679FDBE">
      <w:pPr>
        <w:ind w:right="737"/>
        <w:rPr>
          <w:rFonts w:ascii="Calibri Light" w:hAnsi="Calibri Light" w:cs="Calibri Light"/>
          <w:b/>
          <w:bCs/>
        </w:rPr>
      </w:pPr>
    </w:p>
    <w:p w14:paraId="710842D4">
      <w:pPr>
        <w:ind w:right="737"/>
        <w:rPr>
          <w:rFonts w:ascii="Calibri Light" w:hAnsi="Calibri Light" w:cs="Calibri Light"/>
          <w:b/>
          <w:bCs/>
        </w:rPr>
      </w:pPr>
      <w:r>
        <w:rPr>
          <w:rFonts w:ascii="Calibri Light" w:hAnsi="Calibri Light" w:cs="Calibri Light"/>
          <w:position w:val="-13"/>
        </w:rPr>
        <w:drawing>
          <wp:inline distT="0" distB="0" distL="0" distR="0">
            <wp:extent cx="260350"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60350" cy="253365"/>
                    </a:xfrm>
                    <a:prstGeom prst="rect">
                      <a:avLst/>
                    </a:prstGeom>
                    <a:noFill/>
                    <a:ln>
                      <a:noFill/>
                    </a:ln>
                  </pic:spPr>
                </pic:pic>
              </a:graphicData>
            </a:graphic>
          </wp:inline>
        </w:drawing>
      </w:r>
      <w:r>
        <w:rPr>
          <w:rFonts w:ascii="Calibri Light" w:hAnsi="Calibri Light" w:cs="Calibri Light"/>
          <w:position w:val="-13"/>
        </w:rPr>
        <w:t xml:space="preserve"> </w:t>
      </w:r>
      <w:r>
        <w:rPr>
          <w:rFonts w:ascii="Calibri Light" w:hAnsi="Calibri Light" w:cs="Calibri Light"/>
        </w:rPr>
        <w:t xml:space="preserve">10.5758/ijls.2022.1 </w:t>
      </w:r>
    </w:p>
    <w:p w14:paraId="64F8B2EE">
      <w:pPr>
        <w:ind w:right="737"/>
        <w:rPr>
          <w:rFonts w:ascii="Calibri Light" w:hAnsi="Calibri Light" w:cs="Calibri Light"/>
          <w:b/>
          <w:bCs/>
          <w:sz w:val="24"/>
          <w:szCs w:val="24"/>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14:paraId="0AAE5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04" w:type="dxa"/>
            <w:tcBorders>
              <w:left w:val="nil"/>
              <w:right w:val="nil"/>
            </w:tcBorders>
          </w:tcPr>
          <w:p w14:paraId="33F52E4D">
            <w:pPr>
              <w:ind w:right="2"/>
              <w:jc w:val="both"/>
              <w:rPr>
                <w:rFonts w:ascii="Calibri Light" w:hAnsi="Calibri Light" w:cs="Calibri Light"/>
                <w:sz w:val="12"/>
                <w:szCs w:val="12"/>
              </w:rPr>
            </w:pPr>
          </w:p>
          <w:p w14:paraId="5FFE11A5">
            <w:pPr>
              <w:ind w:right="2"/>
              <w:jc w:val="both"/>
              <w:rPr>
                <w:rFonts w:ascii="Calibri Light" w:hAnsi="Calibri Light" w:cs="Calibri Light"/>
                <w:color w:val="0462C1"/>
                <w:u w:val="single" w:color="0462C1"/>
              </w:rPr>
            </w:pPr>
            <w:r>
              <w:rPr>
                <w:rFonts w:ascii="Calibri Light" w:hAnsi="Calibri Light" w:cs="Calibri Light"/>
              </w:rPr>
              <w:t>How to cite this paper: Nur, S.S., Polontoh, H.M., Anggraeni, A.E. &amp; Kahar (2025). The Role of Land Banks in the Customary Land Management Rights of Customary Law Community Units.</w:t>
            </w:r>
            <w:r>
              <w:rPr>
                <w:rFonts w:ascii="Calibri Light" w:hAnsi="Calibri Light" w:cs="Calibri Light"/>
                <w:spacing w:val="1"/>
              </w:rPr>
              <w:t xml:space="preserve"> </w:t>
            </w:r>
            <w:r>
              <w:rPr>
                <w:rFonts w:ascii="Calibri Light" w:hAnsi="Calibri Light" w:cs="Calibri Light"/>
                <w:i/>
              </w:rPr>
              <w:t>Journal of Culture and Values in Education</w:t>
            </w:r>
            <w:r>
              <w:rPr>
                <w:rFonts w:ascii="Calibri Light" w:hAnsi="Calibri Light" w:cs="Calibri Light"/>
              </w:rPr>
              <w:t xml:space="preserve">, </w:t>
            </w:r>
            <w:r>
              <w:rPr>
                <w:rFonts w:ascii="Calibri Light" w:hAnsi="Calibri Light" w:cs="Calibri Light"/>
                <w:i/>
              </w:rPr>
              <w:t>4</w:t>
            </w:r>
            <w:r>
              <w:rPr>
                <w:rFonts w:ascii="Calibri Light" w:hAnsi="Calibri Light" w:cs="Calibri Light"/>
              </w:rPr>
              <w:t>(2), 14-26.</w:t>
            </w:r>
            <w:r>
              <w:rPr>
                <w:rFonts w:ascii="Calibri Light" w:hAnsi="Calibri Light" w:cs="Calibri Light"/>
                <w:spacing w:val="1"/>
              </w:rPr>
              <w:t xml:space="preserve"> </w:t>
            </w:r>
            <w:r>
              <w:fldChar w:fldCharType="begin"/>
            </w:r>
            <w:r>
              <w:instrText xml:space="preserve"> HYPERLINK "https://doi.org/10.5758/ijls.2022.1" </w:instrText>
            </w:r>
            <w:r>
              <w:fldChar w:fldCharType="separate"/>
            </w:r>
            <w:r>
              <w:rPr>
                <w:rStyle w:val="25"/>
                <w:rFonts w:ascii="Calibri Light" w:hAnsi="Calibri Light" w:cs="Calibri Light"/>
              </w:rPr>
              <w:t>https://doi.org/10.5758/ijls.2022.1</w:t>
            </w:r>
            <w:r>
              <w:rPr>
                <w:rStyle w:val="25"/>
                <w:rFonts w:ascii="Calibri Light" w:hAnsi="Calibri Light" w:cs="Calibri Light"/>
              </w:rPr>
              <w:fldChar w:fldCharType="end"/>
            </w:r>
          </w:p>
          <w:p w14:paraId="30F7C055">
            <w:pPr>
              <w:ind w:right="2"/>
              <w:jc w:val="both"/>
              <w:rPr>
                <w:rFonts w:ascii="Calibri Light" w:hAnsi="Calibri Light" w:cs="Calibri Light"/>
                <w:color w:val="0462C1"/>
                <w:u w:val="single" w:color="0462C1"/>
              </w:rPr>
            </w:pPr>
          </w:p>
          <w:p w14:paraId="2B9A4B1B">
            <w:pPr>
              <w:ind w:right="2"/>
              <w:jc w:val="both"/>
              <w:rPr>
                <w:rFonts w:ascii="Calibri Light" w:hAnsi="Calibri Light" w:cs="Calibri Light"/>
              </w:rPr>
            </w:pPr>
            <w:r>
              <w:rPr>
                <w:rFonts w:ascii="Calibri Light" w:hAnsi="Calibri Light" w:cs="Calibri Light"/>
              </w:rPr>
              <w:t>This is an Open Access article distributed under the terms of the Creative Commons Attribution 4.0 International license</w:t>
            </w:r>
            <w:r>
              <w:rPr>
                <w:rFonts w:ascii="Calibri Light" w:hAnsi="Calibri Light" w:cs="Calibri Light"/>
                <w:spacing w:val="-34"/>
              </w:rPr>
              <w:t xml:space="preserve"> </w:t>
            </w:r>
            <w:r>
              <w:fldChar w:fldCharType="begin"/>
            </w:r>
            <w:r>
              <w:instrText xml:space="preserve"> HYPERLINK "https://creativecommons.org/licenses/by/4.0/" \h </w:instrText>
            </w:r>
            <w:r>
              <w:fldChar w:fldCharType="separate"/>
            </w:r>
            <w:r>
              <w:rPr>
                <w:rFonts w:ascii="Calibri Light" w:hAnsi="Calibri Light" w:cs="Calibri Light"/>
              </w:rPr>
              <w:t>(</w:t>
            </w:r>
            <w:r>
              <w:rPr>
                <w:rFonts w:ascii="Calibri Light" w:hAnsi="Calibri Light" w:cs="Calibri Light"/>
                <w:color w:val="0462C1"/>
                <w:u w:val="single" w:color="0462C1"/>
              </w:rPr>
              <w:t>https://creativecommons.org/licenses/by/4.0/</w:t>
            </w:r>
            <w:r>
              <w:rPr>
                <w:rFonts w:ascii="Calibri Light" w:hAnsi="Calibri Light" w:cs="Calibri Light"/>
              </w:rPr>
              <w:t>)</w:t>
            </w:r>
            <w:r>
              <w:rPr>
                <w:rFonts w:ascii="Calibri Light" w:hAnsi="Calibri Light" w:cs="Calibri Light"/>
              </w:rPr>
              <w:fldChar w:fldCharType="end"/>
            </w:r>
          </w:p>
          <w:p w14:paraId="5940168F">
            <w:pPr>
              <w:ind w:right="2"/>
              <w:jc w:val="both"/>
              <w:rPr>
                <w:rFonts w:ascii="Calibri Light" w:hAnsi="Calibri Light" w:cs="Calibri Light"/>
                <w:b/>
                <w:bCs/>
                <w:sz w:val="12"/>
                <w:szCs w:val="12"/>
              </w:rPr>
            </w:pPr>
          </w:p>
        </w:tc>
      </w:tr>
    </w:tbl>
    <w:p w14:paraId="5E641DC3">
      <w:pPr>
        <w:ind w:right="737"/>
        <w:rPr>
          <w:rFonts w:ascii="Calibri Light" w:hAnsi="Calibri Light" w:cs="Calibri Light"/>
          <w:b/>
          <w:bCs/>
          <w:sz w:val="24"/>
          <w:szCs w:val="24"/>
        </w:rPr>
      </w:pPr>
    </w:p>
    <w:p w14:paraId="3EFA047E">
      <w:pPr>
        <w:ind w:right="-1"/>
        <w:jc w:val="both"/>
        <w:rPr>
          <w:rFonts w:ascii="Calibri Light" w:hAnsi="Calibri Light" w:cs="Calibri Light"/>
          <w:i/>
          <w:iCs/>
          <w:color w:val="000000"/>
          <w:sz w:val="24"/>
          <w:szCs w:val="24"/>
        </w:rPr>
      </w:pPr>
      <w:r>
        <w:rPr>
          <w:rFonts w:ascii="Calibri Light" w:hAnsi="Calibri Light" w:cs="Calibri Light"/>
          <w:b/>
          <w:bCs/>
          <w:sz w:val="24"/>
          <w:szCs w:val="24"/>
        </w:rPr>
        <w:t>ABSTRACT:</w:t>
      </w:r>
      <w:r>
        <w:rPr>
          <w:rFonts w:ascii="Calibri Light" w:hAnsi="Calibri Light" w:cs="Calibri Light"/>
          <w:sz w:val="24"/>
          <w:szCs w:val="24"/>
        </w:rPr>
        <w:t xml:space="preserve"> </w:t>
      </w:r>
      <w:r>
        <w:rPr>
          <w:rFonts w:ascii="Calibri Light" w:hAnsi="Calibri Light" w:cs="Calibri Light"/>
          <w:i/>
          <w:iCs/>
          <w:color w:val="000000"/>
          <w:sz w:val="24"/>
          <w:szCs w:val="24"/>
          <w:highlight w:val="green"/>
        </w:rPr>
        <w:t>Management rights represent a form of control delegated by the state or customary authorities to designated holders. These rights may originate from both state land and customary land. On state land, Land Banks are authorized to exercise management rights as regulated under the Job Creation Law. Meanwhile, on customary land, the Customary Law Community Unit (KMHA) holds authority, but regulation of management rights remains limited beyond initial land recognition and registration. This gap potentially weakens KMHA's position, as the essence of management rights often implies state control, risking a shift of status from customary to state land when involving third-party cooperation. This normative legal research uses legislative and conceptual approaches, analyzed qualitatively and presented descriptively. The findings suggest that Land Banks, in alignment with governmental functions, can serve as dynamizers, facilitators, and capacitors in assisting KMHA in managing their land. Through land development programs, Land Banks can support the productive use of customary lands, enhancing their economic, social, and physical value. Properly implemented, such collaboration can secure land availability for investment without compromising customary land ownership or KMHA's autonomy.</w:t>
      </w:r>
    </w:p>
    <w:p w14:paraId="2C4187A5">
      <w:pPr>
        <w:ind w:right="-1"/>
        <w:jc w:val="both"/>
        <w:rPr>
          <w:rFonts w:ascii="Calibri Light" w:hAnsi="Calibri Light" w:cs="Calibri Light"/>
          <w:i/>
          <w:iCs/>
          <w:color w:val="000000"/>
          <w:sz w:val="24"/>
          <w:szCs w:val="24"/>
        </w:rPr>
      </w:pPr>
    </w:p>
    <w:p w14:paraId="0EFEF076">
      <w:pPr>
        <w:ind w:right="-1"/>
        <w:jc w:val="both"/>
        <w:rPr>
          <w:rFonts w:ascii="Calibri Light" w:hAnsi="Calibri Light" w:cs="Calibri Light"/>
          <w:color w:val="000000"/>
          <w:sz w:val="24"/>
          <w:szCs w:val="24"/>
        </w:rPr>
      </w:pPr>
      <w:r>
        <w:rPr>
          <w:rFonts w:ascii="Calibri Light" w:hAnsi="Calibri Light" w:cs="Calibri Light"/>
          <w:color w:val="000000"/>
          <w:sz w:val="24"/>
          <w:szCs w:val="24"/>
          <w:highlight w:val="green"/>
        </w:rPr>
        <w:t>Hak pengelolaan adalah bentuk kewenangan yang diberikan oleh negara kepada pihak tertentu untuk mengelola tanah. Kewenangan ini merupakan bagian dari kekuasaan negara atas tanah, yang diserahkan sebagian kepada pemegang hak pengelolaan. Tanah yang dapat dikelola melalui hak ini bisa berasal dari tanah negara maupun tanah adat.</w:t>
      </w:r>
      <w:r>
        <w:rPr>
          <w:rFonts w:ascii="Calibri Light" w:hAnsi="Calibri Light" w:cs="Calibri Light"/>
          <w:color w:val="000000"/>
          <w:sz w:val="24"/>
          <w:szCs w:val="24"/>
        </w:rPr>
        <w:t xml:space="preserve"> Salah satu kewenangan Hak Pengelolaan atas tanah negara adalah Bank Tanah, sedangkan Kesatuan Masyarakat Hukum Adat/KMHA memberikan 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p>
    <w:p w14:paraId="655BA0A7">
      <w:pPr>
        <w:ind w:left="709" w:right="737"/>
        <w:jc w:val="both"/>
        <w:rPr>
          <w:rFonts w:ascii="Calibri Light" w:hAnsi="Calibri Light" w:cs="Calibri Light"/>
          <w:i/>
          <w:iCs/>
          <w:sz w:val="24"/>
          <w:szCs w:val="24"/>
          <w:lang w:val="id-ID"/>
        </w:rPr>
      </w:pPr>
    </w:p>
    <w:p w14:paraId="072F12F1">
      <w:pPr>
        <w:ind w:right="737"/>
        <w:jc w:val="both"/>
        <w:rPr>
          <w:rFonts w:ascii="Calibri Light" w:hAnsi="Calibri Light" w:cs="Calibri Light"/>
          <w:i/>
          <w:iCs/>
          <w:sz w:val="24"/>
          <w:szCs w:val="24"/>
          <w:lang w:val="id-ID"/>
        </w:rPr>
      </w:pPr>
      <w:r>
        <w:rPr>
          <w:rFonts w:ascii="Calibri Light" w:hAnsi="Calibri Light" w:cs="Calibri Light"/>
          <w:b/>
          <w:bCs/>
          <w:sz w:val="24"/>
          <w:szCs w:val="24"/>
        </w:rPr>
        <w:t>Keyword</w:t>
      </w:r>
      <w:r>
        <w:rPr>
          <w:rFonts w:ascii="Calibri Light" w:hAnsi="Calibri Light" w:cs="Calibri Light"/>
          <w:b/>
          <w:bCs/>
          <w:sz w:val="24"/>
          <w:szCs w:val="24"/>
          <w:lang w:val="id-ID"/>
        </w:rPr>
        <w:t>s</w:t>
      </w:r>
      <w:r>
        <w:rPr>
          <w:rFonts w:ascii="Calibri Light" w:hAnsi="Calibri Light" w:cs="Calibri Light"/>
          <w:b/>
          <w:bCs/>
          <w:sz w:val="24"/>
          <w:szCs w:val="24"/>
        </w:rPr>
        <w:t>:</w:t>
      </w:r>
      <w:r>
        <w:rPr>
          <w:rFonts w:ascii="Calibri Light" w:hAnsi="Calibri Light" w:cs="Calibri Light"/>
          <w:sz w:val="24"/>
          <w:szCs w:val="24"/>
        </w:rPr>
        <w:t xml:space="preserve"> </w:t>
      </w:r>
      <w:r>
        <w:rPr>
          <w:rStyle w:val="63"/>
          <w:rFonts w:ascii="Calibri Light" w:hAnsi="Calibri Light" w:cs="Calibri Light"/>
          <w:i/>
          <w:iCs/>
          <w:sz w:val="24"/>
          <w:szCs w:val="24"/>
          <w:lang w:val="en"/>
        </w:rPr>
        <w:t>Land Banks, Management Rights, Customary Land</w:t>
      </w:r>
    </w:p>
    <w:p w14:paraId="21CDFEC7">
      <w:pPr>
        <w:jc w:val="center"/>
        <w:rPr>
          <w:rFonts w:ascii="Calibri Light" w:hAnsi="Calibri Light" w:cs="Calibri Light"/>
          <w:i/>
          <w:iCs/>
          <w:lang w:val="id-ID"/>
        </w:rPr>
      </w:pPr>
    </w:p>
    <w:p w14:paraId="76B3EA1D">
      <w:pPr>
        <w:rPr>
          <w:rFonts w:ascii="Calibri Light" w:hAnsi="Calibri Light" w:cs="Calibri Light"/>
          <w:b/>
          <w:bCs/>
          <w:sz w:val="24"/>
          <w:szCs w:val="24"/>
          <w:lang w:val="id-ID"/>
        </w:rPr>
      </w:pPr>
    </w:p>
    <w:p w14:paraId="6F2941DC">
      <w:pPr>
        <w:numPr>
          <w:ilvl w:val="0"/>
          <w:numId w:val="1"/>
        </w:numPr>
        <w:spacing w:before="120" w:after="120"/>
        <w:ind w:left="426" w:hanging="284"/>
        <w:rPr>
          <w:rFonts w:ascii="Calibri Light" w:hAnsi="Calibri Light" w:cs="Calibri Light"/>
          <w:b/>
          <w:bCs/>
          <w:sz w:val="24"/>
          <w:szCs w:val="24"/>
          <w:lang w:val="id-ID"/>
        </w:rPr>
      </w:pPr>
      <w:r>
        <w:rPr>
          <w:rFonts w:ascii="Calibri Light" w:hAnsi="Calibri Light" w:cs="Calibri Light"/>
          <w:b/>
          <w:sz w:val="24"/>
          <w:szCs w:val="24"/>
        </w:rPr>
        <w:t>INTRODUCTION</w:t>
      </w:r>
    </w:p>
    <w:p w14:paraId="1CD08158">
      <w:pPr>
        <w:spacing w:before="240" w:after="240"/>
        <w:ind w:left="426"/>
        <w:jc w:val="both"/>
        <w:rPr>
          <w:rFonts w:ascii="Calibri Light" w:hAnsi="Calibri Light" w:cs="Calibri Light"/>
          <w:sz w:val="24"/>
          <w:szCs w:val="24"/>
        </w:rPr>
      </w:pPr>
      <w:r>
        <w:rPr>
          <w:rFonts w:ascii="Calibri Light" w:hAnsi="Calibri Light" w:cs="Calibri Light"/>
          <w:sz w:val="24"/>
          <w:szCs w:val="24"/>
        </w:rPr>
        <w:t xml:space="preserve">Indonesia is a country that was created on August 17, 1945, and it formally has a very vast area that is separated into islands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{"citationItems":[{"id":"ITEM-1","itemData":{"author":[{"dropping-particle":"","family":"Mukhlis","given":"Muhammad Mutawalli","non-dropping-particle":"","parse-names":false,"suffix":""},{"dropping-particle":"","family":"Maskun","given":"","non-dropping-particle":"","parse-names":false,"suffix":""},{"dropping-particle":"","family":"Tajuddin","given":"Muhammad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Reform","id":"ITEM-1","issue":"2","issued":{"date-parts":[["2024"]]},"page":"485-530","title":"Regional government according to the 1945 constitution: ideas refinements and law reform","type":"article-journal","volume":"5"},"uris":["http://www.mendeley.com/documents/?uuid=be74b120-abf3-44e7-bb2f-81a525ab98ae"]}],"mendeley":{"formattedCitation":"(Mukhlis et al., 2024)","plainTextFormattedCitation":"(Mukhlis et al., 2024)","previouslyFormattedCitation":"(Mukhlis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(Mukhlis et al., 2024)</w:t>
      </w:r>
      <w:r>
        <w:rPr>
          <w:rFonts w:ascii="Calibri Light" w:hAnsi="Calibri Light" w:cs="Calibri Light"/>
          <w:sz w:val="24"/>
          <w:szCs w:val="24"/>
        </w:rPr>
        <w:fldChar w:fldCharType="end"/>
      </w:r>
      <w:r>
        <w:rPr>
          <w:rFonts w:ascii="Calibri Light" w:hAnsi="Calibri Light" w:cs="Calibri Light"/>
          <w:sz w:val="24"/>
          <w:szCs w:val="24"/>
        </w:rPr>
        <w:t xml:space="preserve">. </w:t>
      </w:r>
      <w:commentRangeStart w:id="0"/>
      <w:commentRangeStart w:id="1"/>
      <w:r>
        <w:rPr>
          <w:rFonts w:ascii="Calibri Light" w:hAnsi="Calibri Light" w:cs="Calibri Light"/>
          <w:sz w:val="24"/>
          <w:szCs w:val="24"/>
        </w:rPr>
        <w:t>I</w:t>
      </w:r>
      <w:r>
        <w:rPr>
          <w:rFonts w:ascii="Calibri Light" w:hAnsi="Calibri Light" w:cs="Calibri Light"/>
          <w:sz w:val="24"/>
          <w:szCs w:val="24"/>
          <w:highlight w:val="green"/>
        </w:rPr>
        <w:t>ndonesia's archipelagic structure, consisting of over 17,000 islands</w:t>
      </w:r>
      <w:commentRangeEnd w:id="0"/>
      <w:r>
        <w:rPr>
          <w:rStyle w:val="16"/>
          <w:highlight w:val="green"/>
        </w:rPr>
        <w:commentReference w:id="0"/>
      </w:r>
      <w:commentRangeEnd w:id="1"/>
      <w:r>
        <w:rPr>
          <w:rStyle w:val="16"/>
        </w:rPr>
        <w:commentReference w:id="1"/>
      </w:r>
      <w:r>
        <w:rPr>
          <w:rFonts w:ascii="Calibri Light" w:hAnsi="Calibri Light" w:cs="Calibri Light"/>
          <w:sz w:val="24"/>
          <w:szCs w:val="24"/>
          <w:highlight w:val="green"/>
        </w:rPr>
        <w:t xml:space="preserve">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{"citationItems":[{"id":"ITEM-1","itemData":{"author":[{"dropping-particle":"","family":"Mukhlis","given":"Muhammad Mutawalli","non-dropping-particle":"","parse-names":false,"suffix":""}],"container-title":"YUDISIA : JURNAL PEMIKIRAN HUKUM DAN HUKUM ISLAM","id":"ITEM-1","issue":"1","issued":{"date-parts":[["2021"]]},"page":"1-16","title":"Tanggung Jawab Negara Terhadap Dikawasan Pesisir Pantai","type":"article-journal","volume":"12"},"uris":["http://www.mendeley.com/documents/?uuid=1c6c2d77-cf2d-4248-b94e-8affff52849e","http://www.mendeley.com/documents/?uuid=eef27bff-2c8c-4d82-a949-003bcec7755e"]}],"mendeley":{"formattedCitation":"(Mukhlis, 2021)","plainTextFormattedCitation":"(Mukhlis, 2021)","previouslyFormattedCitation":"(Mukhlis, 2021)"},"properties":{"noteIndex":0},"schema":"https://github.com/citation-style-language/schema/raw/master/csl-citation.json"}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bCs/>
          <w:sz w:val="24"/>
          <w:szCs w:val="24"/>
          <w:highlight w:val="green"/>
          <w:lang w:val="id-ID"/>
        </w:rPr>
        <w:t>(Mukhlis, 2021)</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presents complex challenges in the administrative management and equitable distribution of land, particularly in regions where customary land ownership systems coexist with formal land governance frameworks.</w:t>
      </w:r>
      <w:r>
        <w:rPr>
          <w:rFonts w:ascii="Calibri Light" w:hAnsi="Calibri Light" w:cs="Calibri Light"/>
          <w:sz w:val="24"/>
          <w:szCs w:val="24"/>
        </w:rPr>
        <w:t xml:space="preserve"> Land is an asset that humans may utilize to conduct numerous living activities. The quantity of land or space accessible on the ground of the Earth is highly limited, but the human desire for fresh land or space keeps on growing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Indonesia","type":"article-journal","volume":"39"},"uris":["http://www.mendeley.com/documents/?uuid=c26a52ac-98ad-420b-9858-be1e2cdc33f7"]}],"mendeley":{"formattedCitation":"(Mutawalli et al., 2023)","plainTextFormattedCitation":"(Mutawalli et al., 2023)","previouslyFormattedCitation":"(Mutawalli et al.,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(Mutawalli et al., 2023)</w:t>
      </w:r>
      <w:r>
        <w:rPr>
          <w:rFonts w:ascii="Calibri Light" w:hAnsi="Calibri Light" w:cs="Calibri Light"/>
          <w:sz w:val="24"/>
          <w:szCs w:val="24"/>
        </w:rPr>
        <w:fldChar w:fldCharType="end"/>
      </w:r>
      <w:r>
        <w:rPr>
          <w:rFonts w:ascii="Calibri Light" w:hAnsi="Calibri Light" w:cs="Calibri Light"/>
          <w:sz w:val="24"/>
          <w:szCs w:val="24"/>
        </w:rPr>
        <w:t xml:space="preserve">. </w:t>
      </w:r>
      <w:r>
        <w:rPr>
          <w:rFonts w:ascii="Calibri Light" w:hAnsi="Calibri Light" w:cs="Calibri Light"/>
          <w:sz w:val="24"/>
          <w:szCs w:val="24"/>
          <w:highlight w:val="yellow"/>
        </w:rPr>
        <w:t>To address the issue of national land availability and governance, the government formed a new institution to manage land more efficiently and equitably.</w:t>
      </w:r>
      <w:r>
        <w:rPr>
          <w:rFonts w:ascii="Calibri Light" w:hAnsi="Calibri Light" w:cs="Calibri Light"/>
          <w:sz w:val="24"/>
          <w:szCs w:val="24"/>
        </w:rPr>
        <w:t xml:space="preserve">  </w:t>
      </w:r>
      <w:commentRangeStart w:id="2"/>
      <w:commentRangeStart w:id="3"/>
      <w:r>
        <w:rPr>
          <w:rFonts w:ascii="Calibri Light" w:hAnsi="Calibri Light" w:cs="Calibri Light"/>
          <w:sz w:val="24"/>
          <w:szCs w:val="24"/>
        </w:rPr>
        <w:t xml:space="preserve">The property Bank is an official government institution with specific jurisdiction </w:t>
      </w:r>
      <w:commentRangeEnd w:id="2"/>
      <w:r>
        <w:rPr>
          <w:rStyle w:val="16"/>
        </w:rPr>
        <w:commentReference w:id="2"/>
      </w:r>
      <w:commentRangeEnd w:id="3"/>
      <w:r>
        <w:rPr>
          <w:rStyle w:val="16"/>
        </w:rPr>
        <w:commentReference w:id="3"/>
      </w:r>
      <w:r>
        <w:rPr>
          <w:rFonts w:ascii="Calibri Light" w:hAnsi="Calibri Light" w:cs="Calibri Light"/>
          <w:sz w:val="24"/>
          <w:szCs w:val="24"/>
        </w:rPr>
        <w:t>(sui generis) to manage property on state property and land from third parties, based on Management Rights/</w:t>
      </w:r>
      <w:r>
        <w:rPr>
          <w:rFonts w:ascii="Calibri Light" w:hAnsi="Calibri Light" w:cs="Calibri Light"/>
          <w:b/>
          <w:bCs/>
          <w:sz w:val="24"/>
          <w:szCs w:val="24"/>
        </w:rPr>
        <w:t>MR</w:t>
      </w:r>
      <w:r>
        <w:rPr>
          <w:rFonts w:ascii="Calibri Light" w:hAnsi="Calibri Light" w:cs="Calibri Light"/>
          <w:sz w:val="24"/>
          <w:szCs w:val="24"/>
        </w:rPr>
        <w:t xml:space="preserve">. </w:t>
      </w:r>
      <w:commentRangeStart w:id="4"/>
      <w:commentRangeStart w:id="5"/>
      <w:r>
        <w:rPr>
          <w:rFonts w:ascii="Calibri Light" w:hAnsi="Calibri Light" w:cs="Calibri Light"/>
          <w:sz w:val="24"/>
          <w:szCs w:val="24"/>
          <w:highlight w:val="green"/>
        </w:rPr>
        <w:t>Following the enactment of Law No. 11 of 2020 on Job Creation (amended by Law No. 6 of 2023), Articles 125 to 135 mandate the establishment of a new institution called the Land Bank Agency. This institution serves as a solution to address land availability issues for investment activities in Indonesia. To implement these provisions, the government issued Government Regulation No. 64 of 2021 on the Land Bank Agency</w:t>
      </w:r>
      <w:commentRangeEnd w:id="4"/>
      <w:r>
        <w:rPr>
          <w:rStyle w:val="16"/>
          <w:highlight w:val="green"/>
        </w:rPr>
        <w:commentReference w:id="4"/>
      </w:r>
      <w:commentRangeEnd w:id="5"/>
      <w:r>
        <w:rPr>
          <w:rStyle w:val="16"/>
          <w:highlight w:val="green"/>
        </w:rPr>
        <w:commentReference w:id="5"/>
      </w:r>
      <w:r>
        <w:rPr>
          <w:rFonts w:ascii="Calibri Light" w:hAnsi="Calibri Light" w:cs="Calibri Light"/>
          <w:sz w:val="24"/>
          <w:szCs w:val="24"/>
          <w:highlight w:val="green"/>
        </w:rPr>
        <w:t>. With this, it is known that the state needs law and vice versa, where the law is carried out through the state authority</w:t>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{"citationItems":[{"id":"ITEM-1","itemData":{"author":[{"dropping-particle":"","family":"Mutawalli","given":"Muhammad","non-dropping-particle":"","parse-names":false,"suffix":""}],"id":"ITEM-1","issued":{"date-parts":[["2023"]]},"publisher":"Repository STAIN Majene","title":"NEGARA HUKUM KEDAULATAN DAN DEMOKRASI (Konsepsi Teori dan Perkembangannya)","type":"book"},"uris":["http://www.mendeley.com/documents/?uuid=0d88ae69-ae7c-48fe-88b3-067c3f68c620"]}],"mendeley":{"formattedCitation":"(Mutawalli, 2023)","plainTextFormattedCitation":"(Mutawalli, 2023)","previouslyFormattedCitation":"(Mutawalli,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bCs/>
          <w:sz w:val="24"/>
          <w:szCs w:val="24"/>
          <w:lang w:val="id-ID"/>
        </w:rPr>
        <w:t>(Mutawalli, 2023)</w:t>
      </w:r>
      <w:r>
        <w:rPr>
          <w:rFonts w:ascii="Calibri Light" w:hAnsi="Calibri Light" w:cs="Calibri Light"/>
          <w:sz w:val="24"/>
          <w:szCs w:val="24"/>
        </w:rPr>
        <w:fldChar w:fldCharType="end"/>
      </w:r>
      <w:r>
        <w:rPr>
          <w:rFonts w:ascii="Calibri Light" w:hAnsi="Calibri Light" w:cs="Calibri Light"/>
          <w:sz w:val="24"/>
          <w:szCs w:val="24"/>
        </w:rPr>
        <w:t>.</w:t>
      </w:r>
    </w:p>
    <w:p w14:paraId="182EB698">
      <w:pPr>
        <w:spacing w:before="240" w:after="240"/>
        <w:ind w:left="426"/>
        <w:jc w:val="both"/>
        <w:rPr>
          <w:rFonts w:ascii="Calibri Light" w:hAnsi="Calibri Light" w:cs="Calibri Light"/>
          <w:sz w:val="24"/>
          <w:szCs w:val="24"/>
        </w:rPr>
      </w:pPr>
      <w:commentRangeStart w:id="6"/>
      <w:commentRangeStart w:id="7"/>
      <w:r>
        <w:rPr>
          <w:rFonts w:ascii="Calibri Light" w:hAnsi="Calibri Light" w:cs="Calibri Light"/>
          <w:sz w:val="24"/>
          <w:szCs w:val="24"/>
        </w:rPr>
        <w:t xml:space="preserve"> In Article 129 paragraph (1) of the LJC Article 40 paragraph (1) of the GR Land Bank, It is established that land administered by the land bank is assigned management rights (MR). </w:t>
      </w:r>
      <w:r>
        <w:rPr>
          <w:rFonts w:ascii="Calibri Light" w:hAnsi="Calibri Light" w:cs="Calibri Light"/>
          <w:b/>
          <w:bCs/>
          <w:sz w:val="24"/>
          <w:szCs w:val="24"/>
        </w:rPr>
        <w:t xml:space="preserve">Management rights </w:t>
      </w:r>
      <w:r>
        <w:rPr>
          <w:rFonts w:ascii="Calibri Light" w:hAnsi="Calibri Light" w:cs="Calibri Light"/>
          <w:sz w:val="24"/>
          <w:szCs w:val="24"/>
        </w:rPr>
        <w:t xml:space="preserve">have the authority to regulate through the state, and the implementation power is partially assigned to its bearer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{"citationItems":[{"id":"ITEM-1","itemData":{"DOI":"https://doi.org/10.38035/jihhp.v5i3.3668","ISSN":"2086-1702","abstract":"… Terhadap Akuisisi Dalam Perseroan Terbatas? 2) Bagaimana Perlindungan Hukum … Perseroan Terbatas Yang Melakukan Akuisisi (Studi Kasus Pada Pt. Bank Sinar Harapan Bali Dan Pt. Bank Mandiri (Tbk)).” Fakultas Hukum Universitas Udayana …","author":[{"dropping-particle":"","family":"Hanim","given":"Iis Gesia","non-dropping-particle":"","parse-names":false,"suffix":""},{"dropping-particle":"","family":"Shanti","given":"Ni Ketut Ayu Pradnyani","non-dropping-particle":"","parse-names":false,"suffix":""},{"dropping-particle":"","family":"Hutajulu","given":"Trifona Melati","non-dropping-particle":"","parse-names":false,"suffix":""}],"container-title":"JIHHP: Jurnal Ilmu Hukum, Humaniora dan Politik","id":"ITEM-1","issue":"3","issued":{"date-parts":[["2025"]]},"page":"1933-1940","title":"Perlindungan Hukum Pemegang Hak Guna Bangunan di Atas Hak Pengelolaan","type":"article-journal","volume":"5"},"uris":["http://www.mendeley.com/documents/?uuid=5566634e-c79d-4ad2-8bd6-2eb73375fd88"]}],"mendeley":{"formattedCitation":"(Hanim et al., 2025)","plainTextFormattedCitation":"(Hanim et al., 2025)","previouslyFormattedCitation":"(Hanim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(Hanim et al., 2025)</w:t>
      </w:r>
      <w:r>
        <w:rPr>
          <w:rFonts w:ascii="Calibri Light" w:hAnsi="Calibri Light" w:cs="Calibri Light"/>
          <w:sz w:val="24"/>
          <w:szCs w:val="24"/>
        </w:rPr>
        <w:fldChar w:fldCharType="end"/>
      </w:r>
      <w:r>
        <w:rPr>
          <w:rFonts w:ascii="Calibri Light" w:hAnsi="Calibri Light" w:cs="Calibri Light"/>
          <w:sz w:val="24"/>
          <w:szCs w:val="24"/>
        </w:rPr>
        <w:t>. Furthermore, management rights are regulated in Government Regulation No. 18 of 2021 concerning Management Rights, Land Rights, Apartment Units, and Land Registration/</w:t>
      </w:r>
      <w:r>
        <w:rPr>
          <w:rFonts w:ascii="Calibri Light" w:hAnsi="Calibri Light" w:cs="Calibri Light"/>
          <w:b/>
          <w:bCs/>
          <w:sz w:val="24"/>
          <w:szCs w:val="24"/>
        </w:rPr>
        <w:t xml:space="preserve">GR No. 18/2021 </w:t>
      </w:r>
      <w:r>
        <w:rPr>
          <w:rFonts w:ascii="Calibri Light" w:hAnsi="Calibri Light" w:cs="Calibri Light"/>
          <w:b/>
          <w:bCs/>
          <w:sz w:val="24"/>
          <w:szCs w:val="24"/>
        </w:rPr>
        <w:fldChar w:fldCharType="begin" w:fldLock="1"/>
      </w:r>
      <w:r>
        <w:rPr>
          <w:rFonts w:ascii="Calibri Light" w:hAnsi="Calibri Light" w:cs="Calibri Light"/>
          <w:b/>
          <w:bCs/>
          <w:sz w:val="24"/>
          <w:szCs w:val="24"/>
        </w:rPr>
        <w:instrText xml:space="preserve">ADDIN CSL_CITATION {"citationItems":[{"id":"ITEM-1","itemData":{"DOI":"https://doi.org/10.56370/jhlg.v2i9.130","author":[{"dropping-particle":"","family":"Devita","given":"Seventina Monda","non-dropping-particle":"","parse-names":false,"suffix":""}],"container-title":"Jurnal Hukum Lex Generalis","id":"ITEM-1","issue":"9","issued":{"date-parts":[["2021"]]},"page":"870-888","title":"Perkembangan Hak Pengelolaan Atas Tanah Sebelum Dan Sesudah Peraturan Pemerintah Nomor 18 Tahun 2021 Tentang Hak Pengelolaan, Hak Atas Tanah, Satuan Rumah Susun, Dan Pendaftaran Tanah","type":"article-journal","volume":"2"},"uris":["http://www.mendeley.com/documents/?uuid=8d5b1d06-c963-4acc-89c5-b161e2966563"]}],"mendeley":{"formattedCitation":"(Devita, 2021)","plainTextFormattedCitation":"(Devita, 2021)","previouslyFormattedCitation":"(Devita, 2021)"},"properties":{"noteIndex":0},"schema":"https://github.com/citation-style-language/schema/raw/master/csl-citation.json"}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Cs/>
          <w:sz w:val="24"/>
          <w:szCs w:val="24"/>
        </w:rPr>
        <w:t>(Devita, 2021)</w:t>
      </w:r>
      <w:r>
        <w:rPr>
          <w:rFonts w:ascii="Calibri Light" w:hAnsi="Calibri Light" w:cs="Calibri Light"/>
          <w:b/>
          <w:bCs/>
          <w:sz w:val="24"/>
          <w:szCs w:val="24"/>
        </w:rPr>
        <w:fldChar w:fldCharType="end"/>
      </w:r>
      <w:r>
        <w:rPr>
          <w:rFonts w:ascii="Calibri Light" w:hAnsi="Calibri Light" w:cs="Calibri Light"/>
          <w:sz w:val="24"/>
          <w:szCs w:val="24"/>
        </w:rPr>
        <w:t xml:space="preserve">, Article 4 states that management rights are derived from </w:t>
      </w:r>
      <w:r>
        <w:rPr>
          <w:rFonts w:ascii="Calibri Light" w:hAnsi="Calibri Light" w:cs="Calibri Light"/>
          <w:b/>
          <w:bCs/>
          <w:sz w:val="24"/>
          <w:szCs w:val="24"/>
        </w:rPr>
        <w:t>both state and customary land</w:t>
      </w:r>
      <w:r>
        <w:rPr>
          <w:rFonts w:ascii="Calibri Light" w:hAnsi="Calibri Light" w:cs="Calibri Light"/>
          <w:sz w:val="24"/>
          <w:szCs w:val="24"/>
        </w:rPr>
        <w:t>. Based on the LJC, GR Land Bank, and GR 18/2021, mentioned above, the Land Bank and the KMHA as the holders of Management Rights.</w:t>
      </w:r>
    </w:p>
    <w:p w14:paraId="79299397">
      <w:pPr>
        <w:spacing w:before="240" w:after="240"/>
        <w:ind w:left="426"/>
        <w:jc w:val="both"/>
        <w:rPr>
          <w:rFonts w:ascii="Calibri Light" w:hAnsi="Calibri Light" w:cs="Calibri Light"/>
          <w:sz w:val="24"/>
          <w:szCs w:val="24"/>
          <w:highlight w:val="green"/>
        </w:rPr>
      </w:pPr>
      <w:r>
        <w:rPr>
          <w:rFonts w:ascii="Calibri Light" w:hAnsi="Calibri Light" w:cs="Calibri Light"/>
          <w:sz w:val="24"/>
          <w:szCs w:val="24"/>
          <w:highlight w:val="green"/>
        </w:rPr>
        <w:t xml:space="preserve">The recognition of customary land through the issuance of HPL (Hak Pengelolaan Lahan) has introduced new legal possibilities for indigenous communities (Komunitas Masyarakat Hukum Adat—KMHA) to manage their territories, including the opportunity to engage in formal partnerships with third parties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{"citationItems":[{"id":"ITEM-1","itemData":{"DOI":"10.31292/jta.v6i2.215","abstract":"In fact, in positive law in Indonesia, there is a policy of recognizing customary or ulayat lands from the Customary Law Community (HMA). However, operational arrangements and practices are limited to the recognition of objects and not yet complete in the recognition of subjects and legal relations. Customary or ulayat land is not an object of registration (PP No. 24/1997) but is recorded in the land register (Permen ATR/KBPN No. 18/2019). The inconsistency between the constitution and implementing regulations has the potential to cause differences in the practice of recognition administration. This research with a socio-legal approach was conducted in Central Kalimantan, Banten, West Sumatra, and Bali. The results found that there are regional regulations that recognize customary land ownership with various administrations. First, it does not recognize ownership by MHA because of its certification through the granting of rights to individuals. Second, recognition of objects by administering them on registration maps and land registers without clear status and owners Third, recognition (conversion) by issuing a HM certificate whose subject matter is communal and/or individual (individual or jointly owned). Certification as individual property has transferred ownership from communal to individual ownership. Opportunities for registration that do not change the subject of ownership can be carried out by examining: 1) determining the subject of ownership rights and the subject of user rights; 2) dimensions of the legal relationship of ownership and use; and 3) boundaries of customary land that are not cultivated intensively.   Sesungguhnya dalam hukum positif di Indonesia terdapat kebijakan pengakuan tanah adat/ulayat dari Masyarakat Hukum Adat (HMA). Namun operasional pengaturan dan praktiknya sebatas pengakuan obyek, belum tuntas dalam pengakuan subyek dan hubungan hukum. Tanah adat/ulayat bukan obyek pendaftaran (PP No. 24/1997), namun dicatat dalam daftar tanah (Permen ATR/KBPN No. 18/2019). Ketidakselarasan antara konstitusi dengan peraturan pelaksanaan potensi menimbulkan perbedaan dalam praktik administrasi pengakuan. Penelitian dengan pendekatan sosio-legal ini dilakukan di Kalimantan Tengah, Banten, Sumatera Barat dan Bali. Hasilnya menemukan bahwa terdapat peraturan daerah yang mengakui pemilikan tanah adat dengan beragam penatausahaan. Pertama, tidak mengakui kepemilikan oleh MHA karena sertipikasinya melalui pemberian hak kepada individu. Kedua…","author":[{"dropping-particle":"","family":"Guntur","given":"I Gusti Nyoman","non-dropping-particle":"","parse-names":false,"suffix":""}],"container-title":"Tunas Agraria","id":"ITEM-1","issue":"2","issued":{"date-parts":[["2023"]]},"page":"93-109","title":"Ragam pengakuan formal terhadap penguasaan tanah adat di Indonesia","type":"article-journal","volume":"6"},"uris":["http://www.mendeley.com/documents/?uuid=7c139f20-9460-4053-b30b-e35516eddcfc"]}],"mendeley":{"formattedCitation":"(Guntur, 2023)","plainTextFormattedCitation":"(Guntur, 2023)"},"properties":{"noteIndex":0},"schema":"https://github.com/citation-style-language/schema/raw/master/csl-citation.json"}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(Guntur, 2023)</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xml:space="preserve">. However, the post-HPL governance landscape remains under-researched. As pointed out by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{"citationItems":[{"id":"ITEM-1","itemData":{"DOI":"10.31078/jk1035","ISSN":"1829-7706","abstract":"If the Government is always consistent to ensure the rights of indigenous people over ulayat forest, of course there will be no legislation which is contrary to the constitution, because the constitution had always guaranteed it. The Decision of Constitutional Court Number 35/PUU-X/2012 which declares that Article 1 point 6, Article 4 paragraph (3), article 5 paragraph (1), paragraph (2), paragraph (3) of Law 41/1999 on Forestry unconstitutional shows that there is inconsistency in regulating indigenous forest. In the perspective of human rights, the articles have a spirit of protection of indigenous peoples’ rights over ulayat forest which is repressive derogable in nature. Meanwhile, the Constitutional Court decision has the spirit of progressive derogable protection. The first spirit means that because the state could derogate the recognition of ulayat forest if it is incompatible with the development of society and contrary to the principles of the Unitary State of the Republic of Indonesia, then the ulayat forest should be seen as the state forest. In the contrary, the next spirit means that although the state could derogate the recognition based on the preceeding requirements, the ulayat forest should be defined as ulayat forests. The first spirit is a repressive one because it aims at subordinating ulayat forests in the name of state forests. Meanwhile, the progressive spirit has the character of liberation and empowerment, it aims at removing the term of ulayat forests from state forests.","author":[{"dropping-particle":"","family":"Tobroni","given":"Faiq","non-dropping-particle":"","parse-names":false,"suffix":""}],"container-title":"Jurnal Konstitusi","id":"ITEM-1","issue":"3","issued":{"date-parts":[["2016"]]},"page":"461-482","title":"Menguatkan Hak Masyarakat Adat Atas Hutan Adat (Studi Putusan MK Nomor 35/ PUU-X/2012)","type":"article-journal","volume":"10"},"uris":["http://www.mendeley.com/documents/?uuid=b1fb0a02-c88e-4d0a-853a-6c238afde06e"]}],"mendeley":{"formattedCitation":"(Tobroni, 2016)","plainTextFormattedCitation":"(Tobroni, 2016)","previouslyFormattedCitation":"(Tobroni, 2016)"},"properties":{"noteIndex":0},"schema":"https://github.com/citation-style-language/schema/raw/master/csl-citation.json"}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(Tobroni, 2016)</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although the Indonesian state has opened legal space for recognition of adat land through the Constitutional Court Decision No. 35/PUU-X/2012 and subsequent forestry and agrarian regulations, the operational mechanisms for land governance, especially involving third-party actors, remain vague.</w:t>
      </w:r>
    </w:p>
    <w:p w14:paraId="4B100583">
      <w:pPr>
        <w:spacing w:before="240" w:after="240"/>
        <w:ind w:left="426"/>
        <w:jc w:val="both"/>
        <w:rPr>
          <w:rFonts w:ascii="Calibri Light" w:hAnsi="Calibri Light" w:cs="Calibri Light"/>
          <w:sz w:val="24"/>
          <w:szCs w:val="24"/>
          <w:highlight w:val="green"/>
        </w:rPr>
      </w:pPr>
      <w:r>
        <w:rPr>
          <w:rFonts w:ascii="Calibri Light" w:hAnsi="Calibri Light" w:cs="Calibri Light"/>
          <w:sz w:val="24"/>
          <w:szCs w:val="24"/>
          <w:highlight w:val="green"/>
        </w:rPr>
        <w:t xml:space="preserve">In practice, some communities have used HPL as a framework for cooperative arrangements. For example, the Laman Kinipan community in Central Kalimantan has attempted to assert management control over their ancestral forest areas while negotiating with palm oil companies and district-level government authorities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{"citationItems":[{"id":"ITEM-1","itemData":{"DOI":"10.20527/h-js.v2i1.33","abstract":"Ekspansi perusahaan perkebunan kelapa sawit di Laman Kinipan menyebabkan terjadinya konflik agaria dan perlawanan masyarakat mempertahankan hutan adatnya. Penelitian ini bertujuan untuk menggali dan menganalisis nilai-nilai yang diimplementasikan dalam pengelolaan hutan adat dan sifat gerakan masyarakat dalam mempertahankan hutan hutan adat oleh masyarakat Laman Kinipan. Pendekatan penelitian yang digunakan adalah kualitatif, dengan jenis penelitian studi kasus. Penelitian dilaksanakan pada bulan Mei – Juli 2022, bertempat di Laman Kinipan, Kecamatan Batang Kawa, Kabupaten Lamandau, Provinsi Kalimantan Tengah. Teknik pengumpulan data menggunakan observasi partisipan, wawancara mendalam dan dokumentasi. Data dianalisis dengan menggunakan model interaktif Miles dan Huberman, yang terdiri dari reduksi data, penyajian data, dan penarikan kesimpulan/verifikasi. Hasil penelitian menunjukkan bahwa perjuangan yang dilakukan oleh masyarakat adat Laman Kinipan merupakan bentuk perjuangan atas hak-hak adatnya yang memiliki keterkaitan erat dengan isu pengelolaan lingkungan berkelanjutan. Masyarakat adat laman Kinipan memiliki nilai-nilai perlindungan hutan adat yang bersumber dari hubungan yang erat antara hutan dengan aktivitas kehidupan sehari-hari masyarakat yang selaras dengan tata kelola alam yang berkelanjutan. Gerakan yang dibangun oleh masyarakat Laman Kinipan dalam mempertahankan hutan adatnya dari ekspansi perkebunan kelapa sawit merupakan upaya mempertahankan nilai-nilai perlindungan hutan dan keberlanjutan hidup masyarakat Laman Kinipan. Pengakuan dan penetapan Hutan Adat Laman Kinipan dan Masyarakat Laman Kinipan sebagai Masyarakat Hukum Adat merupakan solusi yang penting diwujudkan untuk penyelesaian konflik agraria di Laman Kinipan.","author":[{"dropping-particle":"","family":"Pranawa","given":"Gabriella Genny","non-dropping-particle":"","parse-names":false,"suffix":""},{"dropping-particle":"","family":"Hamid","given":"Ismar","non-dropping-particle":"","parse-names":false,"suffix":""}],"container-title":"Huma: Jurnal Sosiologi","id":"ITEM-1","issue":"1","issued":{"date-parts":[["2023"]]},"page":"10-19","title":"Non-Violence Movement: Gerakan Masyarakat Laman Kinipan Mempertahankan Hutan Adat","type":"article-journal","volume":"2"},"uris":["http://www.mendeley.com/documents/?uuid=9b441882-68fd-4cec-bad9-799c8034fddb"]}],"mendeley":{"formattedCitation":"(Pranawa &amp; Hamid, 2023)","plainTextFormattedCitation":"(Pranawa &amp; Hamid, 2023)","previouslyFormattedCitation":"(Pranawa &amp; Hamid, 2023)"},"properties":{"noteIndex":0},"schema":"https://github.com/citation-style-language/schema/raw/master/csl-citation.json"}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(Pranawa &amp; Hamid, 2023)</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 xml:space="preserve">. Nonetheless, such negotiations are often asymmetrical. Companies tend to dominate contractual terms due to the lack of technical and legal capacity within KMHA, leading to instances of benefit capture by elites or external actors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{"citationItems":[{"id":"ITEM-1","itemData":{"DOI":"10.1215/00382876-8177759","author":[{"dropping-particle":"","family":"Scott","given":"Dayna","non-dropping-particle":"","parse-names":false,"suffix":""}],"container-title":"South Atlantic Quarterly","id":"ITEM-1","issue":"2","issued":{"date-parts":[["2020"]]},"page":"269-299","title":"Extraction Contracting: The Struggle for Control of Indigenous Lands","type":"article-journal","volume":"119"},"uris":["http://www.mendeley.com/documents/?uuid=c03c30c8-da8e-4a20-bb11-4ca8eba7affa"]}],"mendeley":{"formattedCitation":"(Scott, 2020)","plainTextFormattedCitation":"(Scott, 2020)","previouslyFormattedCitation":"(Scott, 2020)"},"properties":{"noteIndex":0},"schema":"https://github.com/citation-style-language/schema/raw/master/csl-citation.json"}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(Scott, 2020)</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w:t>
      </w:r>
    </w:p>
    <w:p w14:paraId="00C3F8B9">
      <w:pPr>
        <w:spacing w:before="240" w:after="240"/>
        <w:ind w:left="426"/>
        <w:jc w:val="both"/>
        <w:rPr>
          <w:rFonts w:ascii="Calibri Light" w:hAnsi="Calibri Light" w:cs="Calibri Light"/>
          <w:sz w:val="24"/>
          <w:szCs w:val="24"/>
        </w:rPr>
      </w:pPr>
      <w:r>
        <w:rPr>
          <w:rFonts w:ascii="Calibri Light" w:hAnsi="Calibri Light" w:cs="Calibri Light"/>
          <w:sz w:val="24"/>
          <w:szCs w:val="24"/>
          <w:highlight w:val="green"/>
        </w:rPr>
        <w:t>These examples highlight that the capacity of KMHA to manage land post-HPL largely depends on institutional readiness, legal literacy, and support mechanisms available to them. Without this, the promise of formal recognition may not translate into meaningful control over land-based resources.</w:t>
      </w:r>
    </w:p>
    <w:p w14:paraId="1DF7EFBD">
      <w:pPr>
        <w:spacing w:before="240" w:after="240"/>
        <w:ind w:left="426"/>
        <w:jc w:val="both"/>
        <w:rPr>
          <w:rFonts w:ascii="Calibri Light" w:hAnsi="Calibri Light" w:cs="Calibri Light"/>
          <w:sz w:val="24"/>
          <w:szCs w:val="24"/>
        </w:rPr>
      </w:pPr>
      <w:r>
        <w:rPr>
          <w:rFonts w:ascii="Calibri Light" w:hAnsi="Calibri Light" w:cs="Calibri Light"/>
          <w:b/>
          <w:bCs/>
          <w:sz w:val="24"/>
          <w:szCs w:val="24"/>
        </w:rPr>
        <w:t>State land</w:t>
      </w:r>
      <w:r>
        <w:rPr>
          <w:rFonts w:ascii="Calibri Light" w:hAnsi="Calibri Light" w:cs="Calibri Light"/>
          <w:sz w:val="24"/>
          <w:szCs w:val="24"/>
        </w:rPr>
        <w:t xml:space="preserve"> as an object of Management Rights according to Article 7 GR Land Bank can come through; a. ex-rights land; b. vacant territory and land; c. woodland released land; d. emerging land; e. reclamation land; f. ex-mining land; g. land of tiny islands; h. land impacted by territorial reform measures; and i. land over which no control exists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{"citationItems":[{"id":"ITEM-1","itemData":{"ISBN":"9786028273886","ISSN":"2747-0938","abstract":"This research aims to analyze the policies and efforts taken by the Jakarta government to deal with Covid 19. This research is qualitative research with descriptive methods of analysis and data collection techniques using literature studies. The results showed that the policies and efforts made have not been fully effective in handling Covid 19 in Jakarta. Obstacles in handling stem from community non-compliance and weak coordination of central and local governments.","author":[{"dropping-particle":"","family":"Tampi","given":"Celline Gabriella","non-dropping-particle":"","parse-names":false,"suffix":""}],"container-title":"Jurnal Lex Crimen","id":"ITEM-1","issue":"11","issued":{"date-parts":[["2021"]]},"page":"123-132","title":"Pembentukan Bank Tanah Berdasarkan Undang-Undang No 11 Tahun 2020 Dalam Rangka Menjamin Kesejahteraan Masyarakat","type":"article-journal","volume":"10"},"uris":["http://www.mendeley.com/documents/?uuid=794d052d-1ef7-4852-9a2f-1b31867397d3"]}],"mendeley":{"formattedCitation":"(Tampi, 2021)","plainTextFormattedCitation":"(Tampi, 2021)","previouslyFormattedCitation":"(Tampi,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(Tampi, 2021)</w:t>
      </w:r>
      <w:r>
        <w:rPr>
          <w:rFonts w:ascii="Calibri Light" w:hAnsi="Calibri Light" w:cs="Calibri Light"/>
          <w:sz w:val="24"/>
          <w:szCs w:val="24"/>
        </w:rPr>
        <w:fldChar w:fldCharType="end"/>
      </w:r>
      <w:r>
        <w:rPr>
          <w:rFonts w:ascii="Calibri Light" w:hAnsi="Calibri Light" w:cs="Calibri Light"/>
          <w:sz w:val="24"/>
          <w:szCs w:val="24"/>
        </w:rPr>
        <w:t xml:space="preserve">. Land objects from other parties can go through the process; a. buy; b. receiving grants/donations or equivalent; c. exchange; d. renunciation of rights; and e. </w:t>
      </w:r>
      <w:r>
        <w:rPr>
          <w:rFonts w:ascii="Calibri Light" w:hAnsi="Calibri Light" w:cs="Calibri Light"/>
          <w:b/>
          <w:bCs/>
          <w:sz w:val="24"/>
          <w:szCs w:val="24"/>
        </w:rPr>
        <w:t xml:space="preserve">acquiring other lawful forms </w:t>
      </w:r>
      <w:r>
        <w:rPr>
          <w:rFonts w:ascii="Calibri Light" w:hAnsi="Calibri Light" w:cs="Calibri Light"/>
          <w:b/>
          <w:bCs/>
          <w:sz w:val="24"/>
          <w:szCs w:val="24"/>
        </w:rPr>
        <w:fldChar w:fldCharType="begin" w:fldLock="1"/>
      </w:r>
      <w:r>
        <w:rPr>
          <w:rFonts w:ascii="Calibri Light" w:hAnsi="Calibri Light" w:cs="Calibri Light"/>
          <w:b/>
          <w:bCs/>
          <w:sz w:val="24"/>
          <w:szCs w:val="24"/>
        </w:rPr>
        <w:instrText xml:space="preserve">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approach.","author":[{"dropping-particle":"","family":"Ronthi","given":"I Nengah Putra Wijaya","non-dropping-particle":"","parse-names":false,"suffix":""},{"dropping-particle":"","family":"Kasih","given":"Desak Putu Dewi","non-dropping-particle":"","parse-names":false,"suffix":""},{"dropping-particle":"","family":"Darmadha","given":"I Nyoman","non-dropping-particle":"","parse-names":false,"suffix":""}],"container-title":"Kertha Semaya: Journal Ilmu Hukum","id":"ITEM-1","issue":"4","issued":{"date-parts":[["2019"]]},"page":"1-14","title":"Kekuatan Hukum Peralihan Hak Atas Tanah Melalui Hibah Yang Dibebankan Hak Tanggungan.","type":"article-journal","volume":"6"},"uris":["http://www.mendeley.com/documents/?uuid=4e0fdba4-b4a2-403b-9548-29a6307e2255"]}],"mendeley":{"formattedCitation":"(Ronthi et al., 2019)","plainTextFormattedCitation":"(Ronthi et al., 2019)","previouslyFormattedCitation":"(Ronthi et al., 2019)"},"properties":{"noteIndex":0},"schema":"https://github.com/citation-style-language/schema/raw/master/csl-citation.json"}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Cs/>
          <w:sz w:val="24"/>
          <w:szCs w:val="24"/>
        </w:rPr>
        <w:t>(Ronthi et al., 2019)</w:t>
      </w:r>
      <w:r>
        <w:rPr>
          <w:rFonts w:ascii="Calibri Light" w:hAnsi="Calibri Light" w:cs="Calibri Light"/>
          <w:b/>
          <w:bCs/>
          <w:sz w:val="24"/>
          <w:szCs w:val="24"/>
        </w:rPr>
        <w:fldChar w:fldCharType="end"/>
      </w:r>
      <w:r>
        <w:rPr>
          <w:rFonts w:ascii="Calibri Light" w:hAnsi="Calibri Light" w:cs="Calibri Light"/>
          <w:sz w:val="24"/>
          <w:szCs w:val="24"/>
          <w:shd w:val="clear" w:color="auto" w:fill="FFFFFF"/>
        </w:rPr>
        <w:t xml:space="preserve">. </w:t>
      </w:r>
    </w:p>
    <w:p w14:paraId="4BB4D996">
      <w:pPr>
        <w:spacing w:before="240" w:after="240"/>
        <w:ind w:left="426"/>
        <w:jc w:val="both"/>
        <w:rPr>
          <w:rFonts w:ascii="Calibri Light" w:hAnsi="Calibri Light" w:cs="Calibri Light"/>
          <w:b/>
          <w:bCs/>
          <w:sz w:val="24"/>
          <w:szCs w:val="24"/>
          <w:shd w:val="clear" w:color="auto" w:fill="FFFFFF"/>
        </w:rPr>
      </w:pPr>
      <w:r>
        <w:rPr>
          <w:rFonts w:ascii="Calibri Light" w:hAnsi="Calibri Light" w:cs="Calibri Light"/>
          <w:b/>
          <w:bCs/>
          <w:sz w:val="24"/>
          <w:szCs w:val="24"/>
          <w:shd w:val="clear" w:color="auto" w:fill="FFFFFF"/>
        </w:rPr>
        <w:t xml:space="preserve">Customary land </w:t>
      </w:r>
      <w:r>
        <w:rPr>
          <w:rFonts w:ascii="Calibri Light" w:hAnsi="Calibri Light" w:cs="Calibri Light"/>
          <w:sz w:val="24"/>
          <w:szCs w:val="24"/>
          <w:shd w:val="clear" w:color="auto" w:fill="FFFFFF"/>
        </w:rPr>
        <w:t xml:space="preserve">situated in the region governed by the society of customary law, to be registered it requires several stages, namely: 1) through the determination of the </w:t>
      </w:r>
      <w:r>
        <w:rPr>
          <w:rFonts w:ascii="Calibri Light" w:hAnsi="Calibri Light" w:cs="Calibri Light"/>
          <w:sz w:val="24"/>
          <w:szCs w:val="24"/>
        </w:rPr>
        <w:t>KMHA</w:t>
      </w:r>
      <w:r>
        <w:rPr>
          <w:rFonts w:ascii="Calibri Light" w:hAnsi="Calibri Light" w:cs="Calibri Light"/>
          <w:sz w:val="24"/>
          <w:szCs w:val="24"/>
          <w:shd w:val="clear" w:color="auto" w:fill="FFFFFF"/>
        </w:rPr>
        <w:t xml:space="preserve"> as the Subject of Customary Land; 2) </w:t>
      </w:r>
      <w:r>
        <w:rPr>
          <w:rFonts w:ascii="Calibri Light" w:hAnsi="Calibri Light" w:cs="Calibri Light"/>
          <w:sz w:val="24"/>
          <w:szCs w:val="24"/>
        </w:rPr>
        <w:t>KMHA</w:t>
      </w:r>
      <w:r>
        <w:rPr>
          <w:rFonts w:ascii="Calibri Light" w:hAnsi="Calibri Light" w:cs="Calibri Light"/>
          <w:sz w:val="24"/>
          <w:szCs w:val="24"/>
          <w:shd w:val="clear" w:color="auto" w:fill="FFFFFF"/>
        </w:rPr>
        <w:t xml:space="preserve"> can submit an application for designation of customary land, also obtain a Certificate of Management Rights </w:t>
      </w:r>
      <w:r>
        <w:rPr>
          <w:rFonts w:ascii="Calibri Light" w:hAnsi="Calibri Light" w:cs="Calibri Light"/>
          <w:sz w:val="24"/>
          <w:szCs w:val="24"/>
          <w:shd w:val="clear" w:color="auto" w:fill="FFFFFF"/>
        </w:rPr>
        <w:fldChar w:fldCharType="begin" w:fldLock="1"/>
      </w:r>
      <w:r>
        <w:rPr>
          <w:rFonts w:ascii="Calibri Light" w:hAnsi="Calibri Light" w:cs="Calibri Light"/>
          <w:sz w:val="24"/>
          <w:szCs w:val="24"/>
          <w:shd w:val="clear" w:color="auto" w:fill="FFFFFF"/>
        </w:rPr>
        <w:instrText xml:space="preserve">ADDIN CSL_CITATION {"citationItems":[{"id":"ITEM-1","itemData":{"DOI":"https://doi.org/10.24843/KS.2024.v12.i11.p06","author":[{"dropping-particle":"","family":"Saputri","given":"Berliana Ayu","non-dropping-particle":"","parse-names":false,"suffix":""},{"dropping-particle":"","family":"Rato","given":"Dominikus","non-dropping-particle":"","parse-names":false,"suffix":""},{"dropping-particle":"","family":"Anggraini","given":"R.A Rini","non-dropping-particle":"","parse-names":false,"suffix":""}],"container-title":"Jurnal Kertha Semaya","id":"ITEM-1","issue":"11","issued":{"date-parts":[["2024"]]},"page":"2816-2826","title":"RATIO LEGIS PEMBERIAN HAK PENGELOLAAN TANAH ULAYAT TERHADAP MASYARAKAT HUKUM ADAT DI INDONESIA","type":"article-journal","volume":"12"},"uris":["http://www.mendeley.com/documents/?uuid=1c146242-c253-41d7-944a-9ff7f22f6bfa"]}],"mendeley":{"formattedCitation":"(Saputri et al., 2024)","plainTextFormattedCitation":"(Saputri et al., 2024)","previouslyFormattedCitation":"(Saputri et al., 2024)"},"properties":{"noteIndex":0},"schema":"https://github.com/citation-style-language/schema/raw/master/csl-citation.json"}</w:instrText>
      </w:r>
      <w:r>
        <w:rPr>
          <w:rFonts w:ascii="Calibri Light" w:hAnsi="Calibri Light" w:cs="Calibri Light"/>
          <w:sz w:val="24"/>
          <w:szCs w:val="24"/>
          <w:shd w:val="clear" w:color="auto" w:fill="FFFFFF"/>
        </w:rPr>
        <w:fldChar w:fldCharType="separate"/>
      </w:r>
      <w:r>
        <w:rPr>
          <w:rFonts w:ascii="Calibri Light" w:hAnsi="Calibri Light" w:cs="Calibri Light"/>
          <w:sz w:val="24"/>
          <w:szCs w:val="24"/>
          <w:shd w:val="clear" w:color="auto" w:fill="FFFFFF"/>
        </w:rPr>
        <w:t>(Saputri et al., 2024)</w:t>
      </w:r>
      <w:r>
        <w:rPr>
          <w:rFonts w:ascii="Calibri Light" w:hAnsi="Calibri Light" w:cs="Calibri Light"/>
          <w:sz w:val="24"/>
          <w:szCs w:val="24"/>
          <w:shd w:val="clear" w:color="auto" w:fill="FFFFFF"/>
        </w:rPr>
        <w:fldChar w:fldCharType="end"/>
      </w:r>
      <w:r>
        <w:rPr>
          <w:rFonts w:ascii="Calibri Light" w:hAnsi="Calibri Light" w:cs="Calibri Light"/>
          <w:sz w:val="24"/>
          <w:szCs w:val="24"/>
          <w:shd w:val="clear" w:color="auto" w:fill="FFFFFF"/>
        </w:rPr>
        <w:t>. This is regulated in the Regulation of the Minister of Agrarian Affairs and Spatial Planning/National Land Agency Number 14 of 2024 (</w:t>
      </w:r>
      <w:commentRangeStart w:id="8"/>
      <w:commentRangeStart w:id="9"/>
      <w:r>
        <w:rPr>
          <w:rFonts w:ascii="Calibri Light" w:hAnsi="Calibri Light" w:cs="Calibri Light"/>
          <w:b/>
          <w:bCs/>
          <w:sz w:val="24"/>
          <w:szCs w:val="24"/>
          <w:shd w:val="clear" w:color="auto" w:fill="FFFFFF"/>
        </w:rPr>
        <w:t>Reg. ATR/BPN No.14/2024</w:t>
      </w:r>
      <w:commentRangeEnd w:id="8"/>
      <w:r>
        <w:rPr>
          <w:rStyle w:val="16"/>
        </w:rPr>
        <w:commentReference w:id="8"/>
      </w:r>
      <w:commentRangeEnd w:id="9"/>
      <w:r>
        <w:rPr>
          <w:rStyle w:val="16"/>
        </w:rPr>
        <w:commentReference w:id="9"/>
      </w:r>
      <w:r>
        <w:rPr>
          <w:rFonts w:ascii="Calibri Light" w:hAnsi="Calibri Light" w:cs="Calibri Light"/>
          <w:sz w:val="24"/>
          <w:szCs w:val="24"/>
          <w:shd w:val="clear" w:color="auto" w:fill="FFFFFF"/>
        </w:rPr>
        <w:t>), in Article 15 paragraph (1) which states that:</w:t>
      </w:r>
    </w:p>
    <w:p w14:paraId="740C249C">
      <w:pPr>
        <w:spacing w:before="240" w:after="240"/>
        <w:ind w:left="851"/>
        <w:jc w:val="both"/>
        <w:rPr>
          <w:rFonts w:ascii="Calibri Light" w:hAnsi="Calibri Light" w:cs="Calibri Light"/>
          <w:sz w:val="24"/>
          <w:szCs w:val="24"/>
        </w:rPr>
      </w:pPr>
      <w:r>
        <w:rPr>
          <w:rFonts w:ascii="Calibri Light" w:hAnsi="Calibri Light" w:cs="Calibri Light"/>
          <w:sz w:val="24"/>
          <w:szCs w:val="24"/>
        </w:rPr>
        <w:t xml:space="preserve">“Registration of customary land rights that have been recorded in the List of Customary Lands (DTU) as referred to in Article 13 paragraph (1) </w:t>
      </w:r>
      <w:r>
        <w:rPr>
          <w:rFonts w:ascii="Calibri Light" w:hAnsi="Calibri Light" w:cs="Calibri Light"/>
          <w:b/>
          <w:bCs/>
          <w:sz w:val="24"/>
          <w:szCs w:val="24"/>
        </w:rPr>
        <w:t xml:space="preserve">may involve submitting an application for management rights </w:t>
      </w:r>
      <w:r>
        <w:rPr>
          <w:rFonts w:ascii="Calibri Light" w:hAnsi="Calibri Light" w:cs="Calibri Light"/>
          <w:sz w:val="24"/>
          <w:szCs w:val="24"/>
        </w:rPr>
        <w:t xml:space="preserve">by KMHA to the Minister”. </w:t>
      </w:r>
    </w:p>
    <w:p w14:paraId="10E55BB4">
      <w:pPr>
        <w:spacing w:before="240" w:after="240"/>
        <w:ind w:left="426" w:firstLine="425"/>
        <w:jc w:val="both"/>
        <w:rPr>
          <w:rFonts w:ascii="Calibri Light" w:hAnsi="Calibri Light" w:cs="Calibri Light"/>
          <w:sz w:val="24"/>
          <w:szCs w:val="24"/>
        </w:rPr>
      </w:pPr>
      <w:r>
        <w:rPr>
          <w:rFonts w:ascii="Calibri Light" w:hAnsi="Calibri Light" w:cs="Calibri Light"/>
          <w:sz w:val="24"/>
          <w:szCs w:val="24"/>
        </w:rPr>
        <w:t>Furthermore, Article 16 paragraph (2) states that:</w:t>
      </w:r>
    </w:p>
    <w:p w14:paraId="49FBB293">
      <w:pPr>
        <w:spacing w:before="240" w:after="240"/>
        <w:ind w:left="851"/>
        <w:jc w:val="both"/>
        <w:rPr>
          <w:rFonts w:ascii="Calibri Light" w:hAnsi="Calibri Light" w:cs="Calibri Light"/>
          <w:sz w:val="24"/>
          <w:szCs w:val="24"/>
        </w:rPr>
      </w:pPr>
      <w:r>
        <w:rPr>
          <w:rFonts w:ascii="Calibri Light" w:hAnsi="Calibri Light" w:cs="Calibri Light"/>
          <w:sz w:val="24"/>
          <w:szCs w:val="24"/>
        </w:rPr>
        <w:t xml:space="preserve"> “Regarding customary land as referred to in paragraph (1), KMHA </w:t>
      </w:r>
      <w:r>
        <w:rPr>
          <w:rFonts w:ascii="Calibri Light" w:hAnsi="Calibri Light" w:cs="Calibri Light"/>
          <w:b/>
          <w:bCs/>
          <w:sz w:val="24"/>
          <w:szCs w:val="24"/>
        </w:rPr>
        <w:t>may cooperate with third parties</w:t>
      </w:r>
      <w:r>
        <w:rPr>
          <w:rFonts w:ascii="Calibri Light" w:hAnsi="Calibri Light" w:cs="Calibri Light"/>
          <w:sz w:val="24"/>
          <w:szCs w:val="24"/>
        </w:rPr>
        <w:t xml:space="preserve"> based on an agreement in accordance with the provisions of statutory regulations.”</w:t>
      </w:r>
    </w:p>
    <w:p w14:paraId="42A26257">
      <w:pPr>
        <w:pStyle w:val="48"/>
        <w:spacing w:before="240" w:after="240" w:line="240" w:lineRule="auto"/>
        <w:ind w:left="426"/>
        <w:jc w:val="both"/>
        <w:rPr>
          <w:rFonts w:ascii="Calibri Light" w:hAnsi="Calibri Light" w:cs="Calibri Light"/>
          <w:sz w:val="24"/>
          <w:szCs w:val="24"/>
        </w:rPr>
      </w:pPr>
      <w:r>
        <w:rPr>
          <w:rFonts w:ascii="Calibri Light" w:hAnsi="Calibri Light" w:cs="Calibri Light"/>
          <w:sz w:val="24"/>
          <w:szCs w:val="24"/>
        </w:rPr>
        <w:t xml:space="preserve">Although the Regulation of the Minister of Agrarian Affairs and Spatial Planning/Head of the National Land Agency Number 14 of 2024 (Permen ATR/BPN No.14/2024) provides opportunities for indigenous peoples (MHA) to cooperate with third parties in managing customary land, in-depth academic studies on how MHA understand, design, and implement these utilization agreements are still limited. For example, research by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COMMUNITIES","type":"article-journal","volume":"8"},"uris":["http://www.mendeley.com/documents/?uuid=c3392998-072e-4645-a1c2-04cb412d8ab4"]}],"mendeley":{"formattedCitation":"(Sumilat, 2024)","plainTextFormattedCitation":"(Sumilat, 2024)","previouslyFormattedCitation":"(Sumilat,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(Sumilat, 2024)</w:t>
      </w:r>
      <w:r>
        <w:rPr>
          <w:rFonts w:ascii="Calibri Light" w:hAnsi="Calibri Light" w:cs="Calibri Light"/>
          <w:sz w:val="24"/>
          <w:szCs w:val="24"/>
        </w:rPr>
        <w:fldChar w:fldCharType="end"/>
      </w:r>
      <w:r>
        <w:rPr>
          <w:rFonts w:ascii="Calibri Light" w:hAnsi="Calibri Light" w:cs="Calibri Light"/>
          <w:sz w:val="24"/>
          <w:szCs w:val="24"/>
        </w:rPr>
        <w:t xml:space="preserve"> highlights that the implementation of Permen ATR/BPN No.14/2024 in the registration of customary land rights still faces challenges, especially in terms of MHA's understanding of complex legal procedures. In addition, a study by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https://doi.org/10.31292/jta.v8i2.401","author":[{"dropping-particle":"","family":"Lubis","given":"Ikhsan","non-dropping-particle":"","parse-names":false,"suffix":""},{"dropping-particle":"","family":"Siregar","given":"Taufik","non-dropping-particle":"","parse-names":false,"suffix":""},{"dropping-particle":"","family":"Lubis","given":"Duma Indah Sari","non-dropping-particle":"","parse-names":false,"suffix":""},{"dropping-particle":"","family":"Adawiyah","given":"Rodiatun","non-dropping-particle":"","parse-names":false,"suffix":""},{"dropping-particle":"","family":"Lubis","given":"Andi Hakim","non-dropping-particle":"","parse-names":false,"suffix":""}],"container-title":"Tunas Agraria","id":"ITEM-1","issue":"2","issued":{"date-parts":[["2025"]]},"page":"143-158","title":"Integrasi Hukum Adat dalam Sistem Hukum Agraria Nasional: Tantangan dan Solusi dalam Pengakuan Hak Ulayat","type":"article-journal","volume":"8"},"uris":["http://www.mendeley.com/documents/?uuid=6d978e06-4b42-4c64-8da7-92c6f71ec706"]}],"mendeley":{"formattedCitation":"(Lubis et al., 2025)","plainTextFormattedCitation":"(Lubis et al., 2025)","previouslyFormattedCitation":"(Lubis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(Lubis et al., 2025)</w:t>
      </w:r>
      <w:r>
        <w:rPr>
          <w:rFonts w:ascii="Calibri Light" w:hAnsi="Calibri Light" w:cs="Calibri Light"/>
          <w:sz w:val="24"/>
          <w:szCs w:val="24"/>
        </w:rPr>
        <w:fldChar w:fldCharType="end"/>
      </w:r>
      <w:r>
        <w:rPr>
          <w:rFonts w:ascii="Calibri Light" w:hAnsi="Calibri Light" w:cs="Calibri Light"/>
          <w:sz w:val="24"/>
          <w:szCs w:val="24"/>
        </w:rPr>
        <w:t xml:space="preserve"> shows that the integration of customary law into the national agrarian law system often creates legal uncertainty for MHA, especially when dealing with the interests of third parties. Another study by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{"citationItems":[{"id":"ITEM-1","itemData":{"author":[{"dropping-particle":"","family":"Roosanti","given":"Nila Galih","non-dropping-particle":"","parse-names":false,"suffix":""}],"id":"ITEM-1","issued":{"date-parts":[["2022"]]},"publisher":"Universitas Negeri Semarang","title":"ASPEK KEADILAN DALAM KEMITRAAN KEHUTANAN ANTARA LEMBAGA MASYARAKAT DESA HUTAN (LMDH) BANYURIP LESTARI DENGAN KESATUAN PEMANGKU HUTAN (KPH) SURAKARTA","type":"thesis"},"uris":["http://www.mendeley.com/documents/?uuid=c750aeea-ddc1-480d-9e73-304618e54359"]}],"mendeley":{"formattedCitation":"(Roosanti, 2022)","plainTextFormattedCitation":"(Roosanti, 2022)","previouslyFormattedCitation":"(Roosanti,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(Roosanti, 2022)</w:t>
      </w:r>
      <w:r>
        <w:rPr>
          <w:rFonts w:ascii="Calibri Light" w:hAnsi="Calibri Light" w:cs="Calibri Light"/>
          <w:sz w:val="24"/>
          <w:szCs w:val="24"/>
        </w:rPr>
        <w:fldChar w:fldCharType="end"/>
      </w:r>
      <w:r>
        <w:rPr>
          <w:rFonts w:ascii="Calibri Light" w:hAnsi="Calibri Light" w:cs="Calibri Light"/>
          <w:sz w:val="24"/>
          <w:szCs w:val="24"/>
        </w:rPr>
        <w:t xml:space="preserve"> revealed that cooperation agreements between companies and indigenous peoples in forestry areas are often less transparent and participatory, which has the potential to harm MHA rights. Therefore, this study aims to fill this gap by analyzing the legal, procedural, and institutional dimensions of MHA-led cooperation in customary land management, in order to ensure the protection of indigenous peoples' rights within the framework of sustainable land governance.</w:t>
      </w:r>
    </w:p>
    <w:p w14:paraId="472AC5B8">
      <w:pPr>
        <w:pStyle w:val="48"/>
        <w:spacing w:before="240" w:after="240" w:line="240" w:lineRule="auto"/>
        <w:ind w:left="426"/>
        <w:jc w:val="both"/>
        <w:rPr>
          <w:rFonts w:ascii="Calibri Light" w:hAnsi="Calibri Light" w:cs="Calibri Light"/>
          <w:sz w:val="24"/>
          <w:szCs w:val="24"/>
        </w:rPr>
      </w:pPr>
    </w:p>
    <w:p w14:paraId="57FE955B">
      <w:pPr>
        <w:pStyle w:val="48"/>
        <w:spacing w:before="240" w:after="240" w:line="240" w:lineRule="auto"/>
        <w:ind w:left="426"/>
        <w:jc w:val="both"/>
        <w:rPr>
          <w:rFonts w:ascii="Calibri Light" w:hAnsi="Calibri Light" w:cs="Calibri Light"/>
          <w:sz w:val="24"/>
          <w:szCs w:val="24"/>
        </w:rPr>
      </w:pPr>
      <w:r>
        <w:rPr>
          <w:rFonts w:ascii="Calibri Light" w:hAnsi="Calibri Light" w:cs="Calibri Light"/>
          <w:sz w:val="24"/>
          <w:szCs w:val="24"/>
        </w:rPr>
        <w:t xml:space="preserve">Basically, there are 2 (two) activities within the scope of </w:t>
      </w:r>
      <w:r>
        <w:rPr>
          <w:rFonts w:ascii="Calibri Light" w:hAnsi="Calibri Light" w:cs="Calibri Light"/>
          <w:b/>
          <w:bCs/>
          <w:sz w:val="24"/>
          <w:szCs w:val="24"/>
          <w:shd w:val="clear" w:color="auto" w:fill="FFFFFF"/>
        </w:rPr>
        <w:t>Reg. ATR/BPN No.14/2024</w:t>
      </w:r>
      <w:r>
        <w:rPr>
          <w:rFonts w:ascii="Calibri Light" w:hAnsi="Calibri Light" w:cs="Calibri Light"/>
          <w:sz w:val="24"/>
          <w:szCs w:val="24"/>
        </w:rPr>
        <w:t>, namely:</w:t>
      </w:r>
    </w:p>
    <w:p w14:paraId="5CB4A9BC">
      <w:pPr>
        <w:pStyle w:val="48"/>
        <w:numPr>
          <w:ilvl w:val="0"/>
          <w:numId w:val="2"/>
        </w:numPr>
        <w:spacing w:before="240" w:after="240" w:line="240" w:lineRule="auto"/>
        <w:ind w:left="709" w:hanging="283"/>
        <w:jc w:val="both"/>
        <w:rPr>
          <w:rFonts w:ascii="Calibri Light" w:hAnsi="Calibri Light" w:cs="Calibri Light"/>
          <w:sz w:val="24"/>
          <w:szCs w:val="24"/>
        </w:rPr>
      </w:pPr>
      <w:r>
        <w:rPr>
          <w:rFonts w:ascii="Calibri Light" w:hAnsi="Calibri Light" w:cs="Calibri Light"/>
          <w:sz w:val="24"/>
          <w:szCs w:val="24"/>
        </w:rPr>
        <w:t>Customary land administration activities consist of inventory and identification activities, measurement, recording, and publication of the List of Customary Lands (DTU),</w:t>
      </w:r>
    </w:p>
    <w:p w14:paraId="19E07DCC">
      <w:pPr>
        <w:pStyle w:val="48"/>
        <w:numPr>
          <w:ilvl w:val="0"/>
          <w:numId w:val="2"/>
        </w:numPr>
        <w:spacing w:before="240" w:after="240" w:line="240" w:lineRule="auto"/>
        <w:ind w:left="709" w:hanging="283"/>
        <w:jc w:val="both"/>
        <w:rPr>
          <w:rFonts w:ascii="Calibri Light" w:hAnsi="Calibri Light" w:cs="Calibri Light"/>
          <w:sz w:val="24"/>
          <w:szCs w:val="24"/>
        </w:rPr>
      </w:pPr>
      <w:r>
        <w:rPr>
          <w:rFonts w:ascii="Calibri Light" w:hAnsi="Calibri Light" w:cs="Calibri Light"/>
          <w:sz w:val="24"/>
          <w:szCs w:val="24"/>
        </w:rPr>
        <w:t>Registration of Customary Land includes the issuance of MR certificates for Customary Legal Community Units.</w:t>
      </w:r>
    </w:p>
    <w:p w14:paraId="548F3C45">
      <w:pPr>
        <w:spacing w:before="240" w:after="240"/>
        <w:ind w:left="426"/>
        <w:jc w:val="both"/>
        <w:rPr>
          <w:rFonts w:ascii="Calibri Light" w:hAnsi="Calibri Light" w:cs="Calibri Light"/>
          <w:sz w:val="24"/>
          <w:szCs w:val="24"/>
        </w:rPr>
      </w:pPr>
      <w:r>
        <w:rPr>
          <w:rFonts w:ascii="Calibri Light" w:hAnsi="Calibri Light" w:cs="Calibri Light"/>
          <w:sz w:val="24"/>
          <w:szCs w:val="24"/>
        </w:rPr>
        <w:t>Since 2024, there have been several KMHA that have registered customary land and obtained Management Rights Certificates.</w:t>
      </w:r>
    </w:p>
    <w:p w14:paraId="1607F604">
      <w:pPr>
        <w:spacing w:before="240" w:after="240"/>
        <w:ind w:left="426"/>
        <w:jc w:val="both"/>
        <w:rPr>
          <w:rFonts w:ascii="Calibri Light" w:hAnsi="Calibri Light" w:cs="Calibri Light"/>
          <w:sz w:val="24"/>
          <w:szCs w:val="24"/>
          <w:lang w:val="zh-CN"/>
        </w:rPr>
      </w:pPr>
      <w:r>
        <w:rPr>
          <w:rFonts w:ascii="Calibri Light" w:hAnsi="Calibri Light" w:cs="Calibri Light"/>
          <w:sz w:val="28"/>
          <w:szCs w:val="28"/>
        </w:rPr>
        <w:t xml:space="preserve"> </w:t>
      </w:r>
      <w:commentRangeStart w:id="10"/>
      <w:commentRangeStart w:id="11"/>
      <w:r>
        <w:rPr>
          <w:rFonts w:ascii="Calibri Light" w:hAnsi="Calibri Light" w:cs="Calibri Light"/>
          <w:sz w:val="24"/>
          <w:szCs w:val="24"/>
          <w:lang w:val="zh-CN"/>
        </w:rPr>
        <w:t>This research focuses on the post-certification governance of customary lands by Customary Law Community Units (Kelompok Masyarakat Hukum Adat or KMHA). It specifically seeks to explore how KMHA exercise their authority over customary land after receiving Management Rights Certificates.</w:t>
      </w:r>
    </w:p>
    <w:p w14:paraId="5446AF2F">
      <w:pPr>
        <w:spacing w:before="240" w:after="240"/>
        <w:ind w:left="426"/>
        <w:jc w:val="both"/>
        <w:rPr>
          <w:rFonts w:ascii="Calibri Light" w:hAnsi="Calibri Light" w:cs="Calibri Light"/>
          <w:sz w:val="24"/>
          <w:szCs w:val="24"/>
        </w:rPr>
      </w:pPr>
      <w:r>
        <w:rPr>
          <w:rFonts w:ascii="Calibri Light" w:hAnsi="Calibri Light" w:cs="Calibri Light"/>
          <w:sz w:val="24"/>
          <w:szCs w:val="24"/>
        </w:rPr>
        <w:t xml:space="preserve">The research addresses the following questions: (1) How do KMHA manage their customary land following the issuance of Management Rights? (2) How do KMHA engage in cooperation with third parties through land use agreements? </w:t>
      </w:r>
      <w:commentRangeEnd w:id="10"/>
      <w:r>
        <w:rPr>
          <w:rStyle w:val="16"/>
          <w:rFonts w:ascii="Calibri Light" w:hAnsi="Calibri Light" w:cs="Calibri Light"/>
          <w:sz w:val="24"/>
          <w:szCs w:val="24"/>
        </w:rPr>
        <w:commentReference w:id="10"/>
      </w:r>
      <w:commentRangeEnd w:id="11"/>
      <w:r>
        <w:rPr>
          <w:rStyle w:val="16"/>
        </w:rPr>
        <w:commentReference w:id="11"/>
      </w:r>
      <w:commentRangeEnd w:id="6"/>
      <w:r>
        <w:rPr>
          <w:rStyle w:val="16"/>
        </w:rPr>
        <w:commentReference w:id="6"/>
      </w:r>
      <w:commentRangeEnd w:id="7"/>
      <w:r>
        <w:rPr>
          <w:rStyle w:val="16"/>
        </w:rPr>
        <w:commentReference w:id="7"/>
      </w:r>
    </w:p>
    <w:p w14:paraId="36BB8121">
      <w:pPr>
        <w:spacing w:before="240"/>
        <w:ind w:left="426"/>
        <w:jc w:val="both"/>
        <w:rPr>
          <w:rFonts w:ascii="Calibri Light" w:hAnsi="Calibri Light" w:cs="Calibri Light"/>
          <w:color w:val="333333"/>
          <w:sz w:val="24"/>
          <w:szCs w:val="24"/>
        </w:rPr>
      </w:pPr>
      <w:r>
        <w:rPr>
          <w:rFonts w:ascii="Calibri Light" w:hAnsi="Calibri Light" w:cs="Calibri Light"/>
          <w:sz w:val="24"/>
          <w:szCs w:val="24"/>
        </w:rPr>
        <w:t xml:space="preserve">According to Maria SW.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Land","type":"webpage"},"uris":["http://www.mendeley.com/documents/?uuid=703967de-6713-4981-9c7a-9a4c66ee36bb","http://www.mendeley.com/documents/?uuid=ffca4e99-388c-463c-8f62-91811d553b8a"]}],"mendeley":{"formattedCitation":"(Sumardjono, 2024)","manualFormatting":"Sumardjono (2024)","plainTextFormattedCitation":"(Sumardjono, 2024)","previouslyFormattedCitation":"(Sumardjono,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Sumardjono (2024)</w:t>
      </w:r>
      <w:r>
        <w:rPr>
          <w:rFonts w:ascii="Calibri Light" w:hAnsi="Calibri Light" w:cs="Calibri Light"/>
          <w:sz w:val="24"/>
          <w:szCs w:val="24"/>
        </w:rPr>
        <w:fldChar w:fldCharType="end"/>
      </w:r>
      <w:r>
        <w:rPr>
          <w:rFonts w:ascii="Calibri Light" w:hAnsi="Calibri Light" w:cs="Calibri Light"/>
          <w:sz w:val="24"/>
          <w:szCs w:val="24"/>
        </w:rPr>
        <w:t xml:space="preserve"> “The attitude and actions of the government to issue Management Rights certificates for KMHA are optional, it is evidence of respect for the rights of customary law communities.</w:t>
      </w:r>
      <w:r>
        <w:rPr>
          <w:rFonts w:ascii="Calibri Light" w:hAnsi="Calibri Light" w:cs="Calibri Light"/>
          <w:color w:val="333333"/>
          <w:sz w:val="24"/>
          <w:szCs w:val="24"/>
        </w:rPr>
        <w:t xml:space="preserve">” </w:t>
      </w:r>
      <w:commentRangeStart w:id="12"/>
      <w:commentRangeStart w:id="13"/>
      <w:r>
        <w:rPr>
          <w:rFonts w:ascii="Calibri Light" w:hAnsi="Calibri Light" w:cs="Calibri Light"/>
          <w:color w:val="333333"/>
          <w:sz w:val="24"/>
          <w:szCs w:val="24"/>
        </w:rPr>
        <w:t>However, the granting of MR certificates for KMHA is not done automatically</w:t>
      </w:r>
      <w:commentRangeEnd w:id="12"/>
      <w:r>
        <w:rPr>
          <w:rStyle w:val="16"/>
        </w:rPr>
        <w:commentReference w:id="12"/>
      </w:r>
      <w:commentRangeEnd w:id="13"/>
      <w:r>
        <w:rPr>
          <w:rStyle w:val="16"/>
        </w:rPr>
        <w:commentReference w:id="13"/>
      </w:r>
      <w:r>
        <w:rPr>
          <w:rFonts w:ascii="Calibri Light" w:hAnsi="Calibri Light" w:cs="Calibri Light"/>
          <w:color w:val="333333"/>
          <w:sz w:val="24"/>
          <w:szCs w:val="24"/>
        </w:rPr>
        <w:t xml:space="preserve">; rather, it must be based on the application of KMHA who have a thorough understanding of management rights and cooperation in the use of customary land with third parties. This might make it more advantageous for investors while weakening the presence of communities with customary law and its customary property. </w:t>
      </w:r>
      <w:r>
        <w:rPr>
          <w:rFonts w:ascii="Calibri Light" w:hAnsi="Calibri Light" w:cs="Calibri Light"/>
          <w:color w:val="333333"/>
          <w:sz w:val="24"/>
          <w:szCs w:val="24"/>
          <w:highlight w:val="yellow"/>
        </w:rPr>
        <w:t>This situation underscores a broader tension between investment interests and the protection of indigenous peoples' rights. The absence of automatic recognition for MR certificates may facilitate land commercialization, potentially enabling third-party investors to dominate customary territories through legal mechanisms that sideline indigenous voices. Such arrangements risk marginalizing indigenous communities, both economically and politically, as their limited access to legal and institutional support undermines their ability to negotiate fair terms or assert control over ancestral lands.</w:t>
      </w:r>
      <w:r>
        <w:rPr>
          <w:rFonts w:ascii="Calibri Light" w:hAnsi="Calibri Light" w:cs="Calibri Light"/>
          <w:color w:val="333333"/>
          <w:sz w:val="24"/>
          <w:szCs w:val="24"/>
        </w:rPr>
        <w:t xml:space="preserve">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14:paraId="5255ADC6">
      <w:pPr>
        <w:ind w:left="426" w:firstLine="709"/>
        <w:jc w:val="both"/>
        <w:rPr>
          <w:rFonts w:ascii="Calibri Light" w:hAnsi="Calibri Light" w:cs="Calibri Light"/>
          <w:color w:val="FF0000"/>
          <w:sz w:val="24"/>
          <w:szCs w:val="24"/>
          <w:lang w:val="id-ID"/>
        </w:rPr>
      </w:pPr>
    </w:p>
    <w:p w14:paraId="3BF85627">
      <w:pPr>
        <w:numPr>
          <w:ilvl w:val="0"/>
          <w:numId w:val="1"/>
        </w:numPr>
        <w:autoSpaceDE/>
        <w:autoSpaceDN/>
        <w:spacing w:before="120" w:after="120"/>
        <w:ind w:left="426" w:hanging="219"/>
        <w:rPr>
          <w:rFonts w:ascii="Calibri Light" w:hAnsi="Calibri Light" w:cs="Calibri Light"/>
          <w:b/>
          <w:sz w:val="24"/>
          <w:szCs w:val="24"/>
          <w:lang w:val="id-ID"/>
        </w:rPr>
      </w:pPr>
      <w:commentRangeStart w:id="14"/>
      <w:commentRangeStart w:id="15"/>
      <w:r>
        <w:rPr>
          <w:rFonts w:ascii="Calibri Light" w:hAnsi="Calibri Light" w:cs="Calibri Light"/>
          <w:b/>
          <w:sz w:val="24"/>
          <w:szCs w:val="24"/>
          <w:lang w:val="id-ID"/>
        </w:rPr>
        <w:t>METHOD</w:t>
      </w:r>
      <w:r>
        <w:rPr>
          <w:rFonts w:ascii="Calibri Light" w:hAnsi="Calibri Light" w:cs="Calibri Light"/>
          <w:b/>
          <w:sz w:val="24"/>
          <w:szCs w:val="24"/>
        </w:rPr>
        <w:t xml:space="preserve"> </w:t>
      </w:r>
      <w:commentRangeEnd w:id="14"/>
      <w:r>
        <w:rPr>
          <w:rStyle w:val="16"/>
        </w:rPr>
        <w:commentReference w:id="14"/>
      </w:r>
      <w:commentRangeEnd w:id="15"/>
      <w:r>
        <w:rPr>
          <w:rStyle w:val="16"/>
        </w:rPr>
        <w:commentReference w:id="15"/>
      </w:r>
      <w:r>
        <w:rPr>
          <w:rFonts w:ascii="Calibri Light" w:hAnsi="Calibri Light" w:cs="Calibri Light"/>
          <w:b/>
          <w:color w:val="A6A6A6"/>
          <w:sz w:val="24"/>
          <w:szCs w:val="24"/>
        </w:rPr>
        <w:t>(Calibri Light</w:t>
      </w:r>
      <w:r>
        <w:rPr>
          <w:rFonts w:ascii="Calibri Light" w:hAnsi="Calibri Light" w:cs="Calibri Light"/>
          <w:b/>
          <w:color w:val="A6A6A6"/>
          <w:sz w:val="24"/>
          <w:szCs w:val="24"/>
          <w:lang w:val="id-ID"/>
        </w:rPr>
        <w:t xml:space="preserve">, </w:t>
      </w:r>
      <w:r>
        <w:rPr>
          <w:rFonts w:ascii="Calibri Light" w:hAnsi="Calibri Light" w:cs="Calibri Light"/>
          <w:b/>
          <w:color w:val="A6A6A6"/>
          <w:sz w:val="24"/>
          <w:szCs w:val="24"/>
        </w:rPr>
        <w:t>12 BOLD)</w:t>
      </w:r>
    </w:p>
    <w:p w14:paraId="410DEC1C">
      <w:pPr>
        <w:spacing w:before="120" w:after="120"/>
        <w:ind w:left="426"/>
        <w:jc w:val="both"/>
        <w:rPr>
          <w:rFonts w:ascii="Calibri Light" w:hAnsi="Calibri Light" w:cs="Calibri Light"/>
          <w:sz w:val="24"/>
          <w:szCs w:val="24"/>
        </w:rPr>
      </w:pPr>
      <w:r>
        <w:rPr>
          <w:rFonts w:ascii="Calibri Light" w:hAnsi="Calibri Light" w:cs="Calibri Light"/>
          <w:sz w:val="24"/>
          <w:szCs w:val="24"/>
        </w:rPr>
        <w:t xml:space="preserve">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w:t>
      </w:r>
      <w:r>
        <w:rPr>
          <w:rFonts w:ascii="Calibri Light" w:hAnsi="Calibri Light" w:cs="Calibri Light"/>
          <w:sz w:val="24"/>
          <w:szCs w:val="24"/>
          <w:highlight w:val="yellow"/>
        </w:rPr>
        <w:t>In conducting this research, a normative legal research method was employed, utilizing a statutory and conceptual approach. The statutory approach examines relevant legal norms, particularly concerning the rights of Customary Law Communities (KMHA) and the institutional role of the Land Bank, while the conceptual approach explores the theoretical foundations of legal subjectivity and cooperation agreements in customary land utilization. The data collection technique includes literature review of legislation, legal doctrines, and relevant jurisprudence. This methodological framework is appropriate to analyze the legal basis and formulation of cooperation mechanisms between KMHA, the Land Bank, and investors.</w:t>
      </w:r>
      <w:r>
        <w:rPr>
          <w:rFonts w:ascii="Calibri Light" w:hAnsi="Calibri Light" w:cs="Calibri Light"/>
          <w:sz w:val="24"/>
          <w:szCs w:val="24"/>
        </w:rPr>
        <w:t xml:space="preserve"> The goal of this study is to investigate the legal connection that may be utilized as the foundation for the Customary Land Utilization Agreement between the Land Bank-KMHA-Investor.</w:t>
      </w:r>
    </w:p>
    <w:p w14:paraId="4E27D51F">
      <w:pPr>
        <w:ind w:left="426"/>
        <w:jc w:val="both"/>
        <w:rPr>
          <w:rFonts w:ascii="Calibri Light" w:hAnsi="Calibri Light" w:cs="Calibri Light"/>
          <w:color w:val="FF0000"/>
          <w:sz w:val="24"/>
          <w:szCs w:val="24"/>
          <w:lang w:val="id-ID"/>
        </w:rPr>
      </w:pPr>
    </w:p>
    <w:p w14:paraId="6927F621">
      <w:pPr>
        <w:spacing w:before="120" w:after="120"/>
        <w:rPr>
          <w:rFonts w:ascii="Calibri Light" w:hAnsi="Calibri Light" w:cs="Calibri Light"/>
          <w:b/>
          <w:sz w:val="24"/>
          <w:szCs w:val="24"/>
          <w:lang w:val="id-ID"/>
        </w:rPr>
      </w:pPr>
      <w:r>
        <w:rPr>
          <w:rFonts w:ascii="Calibri Light" w:hAnsi="Calibri Light" w:cs="Calibri Light"/>
          <w:b/>
          <w:sz w:val="24"/>
          <w:szCs w:val="24"/>
          <w:lang w:val="id-ID"/>
        </w:rPr>
        <w:t>I</w:t>
      </w:r>
      <w:r>
        <w:rPr>
          <w:rFonts w:ascii="Calibri Light" w:hAnsi="Calibri Light" w:cs="Calibri Light"/>
          <w:b/>
          <w:sz w:val="24"/>
          <w:szCs w:val="24"/>
        </w:rPr>
        <w:t>II</w:t>
      </w:r>
      <w:r>
        <w:rPr>
          <w:rFonts w:ascii="Calibri Light" w:hAnsi="Calibri Light" w:cs="Calibri Light"/>
          <w:b/>
          <w:sz w:val="24"/>
          <w:szCs w:val="24"/>
          <w:lang w:val="id-ID"/>
        </w:rPr>
        <w:t>.  RESULT AND DISCUSSION</w:t>
      </w:r>
      <w:r>
        <w:rPr>
          <w:rFonts w:ascii="Calibri Light" w:hAnsi="Calibri Light" w:cs="Calibri Light"/>
          <w:b/>
          <w:sz w:val="24"/>
          <w:szCs w:val="24"/>
        </w:rPr>
        <w:t xml:space="preserve"> </w:t>
      </w:r>
      <w:r>
        <w:rPr>
          <w:rFonts w:ascii="Calibri Light" w:hAnsi="Calibri Light" w:cs="Calibri Light"/>
          <w:b/>
          <w:color w:val="A6A6A6"/>
          <w:sz w:val="24"/>
          <w:szCs w:val="24"/>
        </w:rPr>
        <w:t>(Calibri Light</w:t>
      </w:r>
      <w:r>
        <w:rPr>
          <w:rFonts w:ascii="Calibri Light" w:hAnsi="Calibri Light" w:cs="Calibri Light"/>
          <w:b/>
          <w:color w:val="A6A6A6"/>
          <w:sz w:val="24"/>
          <w:szCs w:val="24"/>
          <w:lang w:val="id-ID"/>
        </w:rPr>
        <w:t xml:space="preserve">, </w:t>
      </w:r>
      <w:r>
        <w:rPr>
          <w:rFonts w:ascii="Calibri Light" w:hAnsi="Calibri Light" w:cs="Calibri Light"/>
          <w:b/>
          <w:color w:val="A6A6A6"/>
          <w:sz w:val="24"/>
          <w:szCs w:val="24"/>
        </w:rPr>
        <w:t>12 BOLD)</w:t>
      </w:r>
    </w:p>
    <w:p w14:paraId="3D1A3119">
      <w:pPr>
        <w:spacing w:before="120" w:after="120"/>
        <w:ind w:left="440" w:right="-1" w:hanging="14"/>
        <w:jc w:val="both"/>
        <w:rPr>
          <w:rFonts w:ascii="Calibri Light" w:hAnsi="Calibri Light" w:cs="Calibri Light"/>
          <w:sz w:val="24"/>
          <w:szCs w:val="24"/>
        </w:rPr>
      </w:pPr>
      <w:r>
        <w:rPr>
          <w:rFonts w:ascii="Calibri Light" w:hAnsi="Calibri Light" w:cs="Calibri Light"/>
          <w:b/>
          <w:bCs/>
          <w:i/>
          <w:iCs/>
          <w:sz w:val="24"/>
          <w:szCs w:val="24"/>
        </w:rPr>
        <w:t>Land Bank and its Authorities</w:t>
      </w:r>
    </w:p>
    <w:p w14:paraId="30DA4F25">
      <w:pPr>
        <w:spacing w:before="240"/>
        <w:ind w:left="426"/>
        <w:jc w:val="both"/>
        <w:rPr>
          <w:rFonts w:ascii="Calibri Light" w:hAnsi="Calibri Light" w:cs="Calibri Light"/>
          <w:sz w:val="24"/>
          <w:szCs w:val="24"/>
        </w:rPr>
      </w:pPr>
      <w:commentRangeStart w:id="16"/>
      <w:commentRangeStart w:id="17"/>
      <w:r>
        <w:rPr>
          <w:rFonts w:ascii="Calibri Light" w:hAnsi="Calibri Light" w:cs="Calibri Light"/>
          <w:sz w:val="24"/>
          <w:szCs w:val="24"/>
        </w:rPr>
        <w:t>The term Land Bank originates from two related concepts</w:t>
      </w:r>
      <w:commentRangeEnd w:id="16"/>
      <w:r>
        <w:rPr>
          <w:rStyle w:val="16"/>
        </w:rPr>
        <w:commentReference w:id="16"/>
      </w:r>
      <w:commentRangeEnd w:id="17"/>
      <w:r>
        <w:rPr>
          <w:rStyle w:val="16"/>
        </w:rPr>
        <w:commentReference w:id="17"/>
      </w:r>
      <w:r>
        <w:rPr>
          <w:rFonts w:ascii="Calibri Light" w:hAnsi="Calibri Light" w:cs="Calibri Light"/>
          <w:sz w:val="24"/>
          <w:szCs w:val="24"/>
        </w:rPr>
        <w:t xml:space="preserve">: </w:t>
      </w:r>
      <w:r>
        <w:rPr>
          <w:rFonts w:ascii="Calibri Light" w:hAnsi="Calibri Light" w:cs="Calibri Light"/>
          <w:i/>
          <w:iCs/>
          <w:sz w:val="24"/>
          <w:szCs w:val="24"/>
        </w:rPr>
        <w:t>land banking</w:t>
      </w:r>
      <w:r>
        <w:rPr>
          <w:rFonts w:ascii="Calibri Light" w:hAnsi="Calibri Light" w:cs="Calibri Light"/>
          <w:sz w:val="24"/>
          <w:szCs w:val="24"/>
        </w:rPr>
        <w:t xml:space="preserve"> and </w:t>
      </w:r>
      <w:r>
        <w:rPr>
          <w:rFonts w:ascii="Calibri Light" w:hAnsi="Calibri Light" w:cs="Calibri Light"/>
          <w:i/>
          <w:iCs/>
          <w:sz w:val="24"/>
          <w:szCs w:val="24"/>
        </w:rPr>
        <w:t>land banks</w:t>
      </w:r>
      <w:r>
        <w:rPr>
          <w:rFonts w:ascii="Calibri Light" w:hAnsi="Calibri Light" w:cs="Calibri Light"/>
          <w:sz w:val="24"/>
          <w:szCs w:val="24"/>
        </w:rPr>
        <w:t xml:space="preserve">. </w:t>
      </w:r>
      <w:r>
        <w:rPr>
          <w:rFonts w:ascii="Calibri Light" w:hAnsi="Calibri Light" w:cs="Calibri Light"/>
          <w:i/>
          <w:iCs/>
          <w:sz w:val="24"/>
          <w:szCs w:val="24"/>
        </w:rPr>
        <w:t xml:space="preserve">Land banking </w:t>
      </w:r>
      <w:r>
        <w:rPr>
          <w:rFonts w:ascii="Calibri Light" w:hAnsi="Calibri Light" w:cs="Calibri Light"/>
          <w:sz w:val="24"/>
          <w:szCs w:val="24"/>
        </w:rPr>
        <w:t xml:space="preserve">may often be transcribed into Indonesian as "perbankan tanah", and this serves to denote operations linked to land banks. At the same time, the word </w:t>
      </w:r>
      <w:r>
        <w:rPr>
          <w:rFonts w:ascii="Calibri Light" w:hAnsi="Calibri Light" w:cs="Calibri Light"/>
          <w:i/>
          <w:iCs/>
          <w:sz w:val="24"/>
          <w:szCs w:val="24"/>
        </w:rPr>
        <w:t>land banks</w:t>
      </w:r>
      <w:r>
        <w:rPr>
          <w:rFonts w:ascii="Calibri Light" w:hAnsi="Calibri Light" w:cs="Calibri Light"/>
          <w:sz w:val="24"/>
          <w:szCs w:val="24"/>
        </w:rPr>
        <w:t xml:space="preserve"> serves to characterize an organization or collaboration of entities which are engaged in the sector of land acquisitions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{"citationItems":[{"id":"ITEM-1","itemData":{"author":[{"dropping-particle":"Al","family":"Zahra","given":"Fatimah","non-dropping-particle":"","parse-names":false,"suffix":""}],"container-title":"Jurnal Ilmiah Administrasi Publik","id":"ITEM-1","issue":"2","issued":{"date-parts":[["2017"]]},"title":"Land Bank Regulation Idea to Realize Equitable Management of State Land Assets","type":"article-journal","volume":"3"},"uris":["http://www.mendeley.com/documents/?uuid=d6a194a2-8ab9-4601-8887-81e7a8cb589a","http://www.mendeley.com/documents/?uuid=e5d16944-406e-413d-bfa8-da0ed0e290a5"]}],"mendeley":{"formattedCitation":"(Zahra, 2017)","manualFormatting":"(Zahra, 2017:93)","plainTextFormattedCitation":"(Zahra, 2017)","previouslyFormattedCitation":"(Zahra, 2017)"},"properties":{"noteIndex":0},"schema":"https://github.com/citation-style-language/schema/raw/master/csl-citation.json"}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(Zahra, 2017:93)</w:t>
      </w:r>
      <w:r>
        <w:rPr>
          <w:rFonts w:ascii="Calibri Light" w:hAnsi="Calibri Light" w:cs="Calibri Light"/>
          <w:sz w:val="24"/>
          <w:szCs w:val="24"/>
        </w:rPr>
        <w:fldChar w:fldCharType="end"/>
      </w:r>
      <w:r>
        <w:rPr>
          <w:rFonts w:ascii="Calibri Light" w:hAnsi="Calibri Light" w:cs="Calibri Light"/>
          <w:sz w:val="24"/>
          <w:szCs w:val="24"/>
        </w:rPr>
        <w:t xml:space="preserve">. Land banking practices have been carried out in several countries, although with various names and methods adjusted to the needs of each country. The terms </w:t>
      </w:r>
      <w:r>
        <w:rPr>
          <w:rFonts w:ascii="Calibri Light" w:hAnsi="Calibri Light" w:cs="Calibri Light"/>
          <w:i/>
          <w:iCs/>
          <w:sz w:val="24"/>
          <w:szCs w:val="24"/>
        </w:rPr>
        <w:t>Land Readjustment</w:t>
      </w:r>
      <w:r>
        <w:rPr>
          <w:rFonts w:ascii="Calibri Light" w:hAnsi="Calibri Light" w:cs="Calibri Light"/>
          <w:sz w:val="24"/>
          <w:szCs w:val="24"/>
        </w:rPr>
        <w:t xml:space="preserve"> are used in Japan and Germany, </w:t>
      </w:r>
      <w:r>
        <w:rPr>
          <w:rFonts w:ascii="Calibri Light" w:hAnsi="Calibri Light" w:cs="Calibri Light"/>
          <w:i/>
          <w:iCs/>
          <w:sz w:val="24"/>
          <w:szCs w:val="24"/>
        </w:rPr>
        <w:t>Land Banking</w:t>
      </w:r>
      <w:r>
        <w:rPr>
          <w:rFonts w:ascii="Calibri Light" w:hAnsi="Calibri Light" w:cs="Calibri Light"/>
          <w:sz w:val="24"/>
          <w:szCs w:val="24"/>
        </w:rPr>
        <w:t xml:space="preserve"> in Taiwan, and </w:t>
      </w:r>
      <w:r>
        <w:rPr>
          <w:rFonts w:ascii="Calibri Light" w:hAnsi="Calibri Light" w:cs="Calibri Light"/>
          <w:i/>
          <w:iCs/>
          <w:sz w:val="24"/>
          <w:szCs w:val="24"/>
        </w:rPr>
        <w:t>Land Polling</w:t>
      </w:r>
      <w:r>
        <w:rPr>
          <w:rFonts w:ascii="Calibri Light" w:hAnsi="Calibri Light" w:cs="Calibri Light"/>
          <w:sz w:val="24"/>
          <w:szCs w:val="24"/>
        </w:rPr>
        <w:t xml:space="preserve"> in Australia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Development","type":"thesis"},"uris":["http://www.mendeley.com/documents/?uuid=90358441-5cd4-4da6-b982-06edc8360452","http://www.mendeley.com/documents/?uuid=2fc944f2-b796-4394-9e5c-1c5e35bcddc0"]}],"mendeley":{"formattedCitation":"(Nur, 2009)","manualFormatting":"(Nur, 2009:199)","plainTextFormattedCitation":"(Nur, 2009)","previouslyFormattedCitation":"(Nur, 2009)"},"properties":{"noteIndex":0},"schema":"https://github.com/citation-style-language/schema/raw/master/csl-citation.json"}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(Nur, 2009:199)</w:t>
      </w:r>
      <w:r>
        <w:rPr>
          <w:rFonts w:ascii="Calibri Light" w:hAnsi="Calibri Light" w:cs="Calibri Light"/>
          <w:sz w:val="24"/>
          <w:szCs w:val="24"/>
        </w:rPr>
        <w:fldChar w:fldCharType="end"/>
      </w:r>
      <w:r>
        <w:rPr>
          <w:rFonts w:ascii="Calibri Light" w:hAnsi="Calibri Light" w:cs="Calibri Light"/>
          <w:sz w:val="24"/>
          <w:szCs w:val="24"/>
        </w:rPr>
        <w:t xml:space="preserve">. </w:t>
      </w:r>
    </w:p>
    <w:p w14:paraId="421B07B9">
      <w:pPr>
        <w:spacing w:before="240"/>
        <w:ind w:left="426"/>
        <w:jc w:val="both"/>
        <w:rPr>
          <w:rFonts w:ascii="Calibri Light" w:hAnsi="Calibri Light" w:cs="Calibri Light"/>
          <w:sz w:val="24"/>
          <w:szCs w:val="24"/>
        </w:rPr>
      </w:pPr>
      <w:r>
        <w:rPr>
          <w:rFonts w:ascii="Calibri Light" w:hAnsi="Calibri Light" w:cs="Calibri Light"/>
          <w:sz w:val="24"/>
          <w:szCs w:val="24"/>
        </w:rPr>
        <w:t>The following are some definitions of land banks:</w:t>
      </w:r>
    </w:p>
    <w:p w14:paraId="22041069">
      <w:pPr>
        <w:pStyle w:val="48"/>
        <w:spacing w:before="240" w:line="240" w:lineRule="auto"/>
        <w:ind w:left="567"/>
        <w:jc w:val="both"/>
        <w:rPr>
          <w:rFonts w:ascii="Calibri Light" w:hAnsi="Calibri Light" w:cs="Calibri Light"/>
          <w:i/>
          <w:iCs/>
          <w:sz w:val="24"/>
          <w:szCs w:val="24"/>
        </w:rPr>
      </w:pPr>
      <w:r>
        <w:rPr>
          <w:rFonts w:ascii="Calibri Light" w:hAnsi="Calibri Light" w:cs="Calibri Light"/>
          <w:b/>
          <w:bCs/>
          <w:sz w:val="24"/>
          <w:szCs w:val="24"/>
        </w:rPr>
        <w:t xml:space="preserve">Frank S. </w:t>
      </w:r>
      <w:r>
        <w:rPr>
          <w:rFonts w:ascii="Calibri Light" w:hAnsi="Calibri Light" w:cs="Calibri Light"/>
          <w:b/>
          <w:bCs/>
          <w:sz w:val="24"/>
          <w:szCs w:val="24"/>
        </w:rPr>
        <w:fldChar w:fldCharType="begin" w:fldLock="1"/>
      </w:r>
      <w:r>
        <w:rPr>
          <w:rFonts w:ascii="Calibri Light" w:hAnsi="Calibri Light" w:cs="Calibri Light"/>
          <w:b/>
          <w:bCs/>
          <w:sz w:val="24"/>
          <w:szCs w:val="24"/>
        </w:rPr>
        <w:instrText xml:space="preserve">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Banking","type":"book"},"uris":["http://www.mendeley.com/documents/?uuid=9e11ac09-42a8-4a9b-9daa-97acabb3b75e","http://www.mendeley.com/documents/?uuid=fcee2d52-d069-47e3-88c1-a877fa00c4ab"]}],"mendeley":{"formattedCitation":"(Alexander, 2004)","manualFormatting":"Alexander (2004:1)","plainTextFormattedCitation":"(Alexander, 2004)","previouslyFormattedCitation":"(Alexander, 2004)"},"properties":{"noteIndex":0},"schema":"https://github.com/citation-style-language/schema/raw/master/csl-citation.json"}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
          <w:sz w:val="24"/>
          <w:szCs w:val="24"/>
        </w:rPr>
        <w:t>Alexander</w:t>
      </w:r>
      <w:r>
        <w:rPr>
          <w:rFonts w:ascii="Calibri Light" w:hAnsi="Calibri Light" w:cs="Calibri Light"/>
          <w:bCs/>
          <w:sz w:val="24"/>
          <w:szCs w:val="24"/>
        </w:rPr>
        <w:t xml:space="preserve"> (2004:1)</w:t>
      </w:r>
      <w:r>
        <w:rPr>
          <w:rFonts w:ascii="Calibri Light" w:hAnsi="Calibri Light" w:cs="Calibri Light"/>
          <w:b/>
          <w:bCs/>
          <w:sz w:val="24"/>
          <w:szCs w:val="24"/>
        </w:rPr>
        <w:fldChar w:fldCharType="end"/>
      </w:r>
      <w:r>
        <w:rPr>
          <w:rFonts w:ascii="Calibri Light" w:hAnsi="Calibri Light" w:cs="Calibri Light"/>
          <w:sz w:val="24"/>
          <w:szCs w:val="24"/>
        </w:rPr>
        <w:t>, “</w:t>
      </w:r>
      <w:r>
        <w:rPr>
          <w:rFonts w:ascii="Calibri Light" w:hAnsi="Calibri Light" w:cs="Calibri Light"/>
          <w:i/>
          <w:iCs/>
          <w:sz w:val="24"/>
          <w:szCs w:val="24"/>
        </w:rPr>
        <w:t>land banking is the process or policy by which local governs acquire surplus properties and convert to production use or hold the for long-term strategic public purposes. Land banks are public authorities or special purpose not-for-profit corporation that special in land banking activities, land banking can be undertaken by other public agencies, and not all communities need to create a separate land bank”</w:t>
      </w:r>
    </w:p>
    <w:p w14:paraId="10F65B92">
      <w:pPr>
        <w:pStyle w:val="48"/>
        <w:spacing w:before="240" w:line="240" w:lineRule="auto"/>
        <w:jc w:val="both"/>
        <w:rPr>
          <w:rFonts w:ascii="Calibri Light" w:hAnsi="Calibri Light" w:cs="Calibri Light"/>
          <w:sz w:val="24"/>
          <w:szCs w:val="24"/>
          <w:highlight w:val="yellow"/>
        </w:rPr>
      </w:pPr>
    </w:p>
    <w:p w14:paraId="5623B832">
      <w:pPr>
        <w:pStyle w:val="48"/>
        <w:spacing w:before="240" w:line="240" w:lineRule="auto"/>
        <w:ind w:left="567"/>
        <w:jc w:val="both"/>
        <w:rPr>
          <w:rFonts w:ascii="Calibri Light" w:hAnsi="Calibri Light" w:cs="Calibri Light"/>
          <w:sz w:val="24"/>
          <w:szCs w:val="24"/>
        </w:rPr>
      </w:pPr>
      <w:r>
        <w:rPr>
          <w:rFonts w:ascii="Calibri Light" w:hAnsi="Calibri Light" w:cs="Calibri Light"/>
          <w:b/>
          <w:bCs/>
          <w:sz w:val="24"/>
          <w:szCs w:val="24"/>
        </w:rPr>
        <w:t xml:space="preserve">Jack </w:t>
      </w:r>
      <w:r>
        <w:rPr>
          <w:rFonts w:ascii="Calibri Light" w:hAnsi="Calibri Light" w:cs="Calibri Light"/>
          <w:b/>
          <w:bCs/>
          <w:sz w:val="24"/>
          <w:szCs w:val="24"/>
        </w:rPr>
        <w:fldChar w:fldCharType="begin" w:fldLock="1"/>
      </w:r>
      <w:r>
        <w:rPr>
          <w:rFonts w:ascii="Calibri Light" w:hAnsi="Calibri Light" w:cs="Calibri Light"/>
          <w:b/>
          <w:bCs/>
          <w:sz w:val="24"/>
          <w:szCs w:val="24"/>
        </w:rPr>
        <w:instrText xml:space="preserve">ADDIN CSL_CITATION {"citationItems":[{"id":"ITEM-1","itemData":{"author":[{"dropping-particle":"","family":"Damen","given":"Jack","non-dropping-particle":"","parse-names":false,"suffix":""}],"container-title":"Danish Ministry of Agriculture-FOA (International Workshop in Tonder, Denmark, March 17-20, 2004)","id":"ITEM-1","issued":{"date-parts":[["2004"]]},"title":"Land Banking in The Nederlands in Context of Land Consolidation","type":"paper-conference"},"uris":["http://www.mendeley.com/documents/?uuid=8e5592c4-aa80-4d34-a716-ad49bfb5eebe","http://www.mendeley.com/documents/?uuid=16e9fbc0-9b43-47b2-b219-8b05e537d874"]}],"mendeley":{"formattedCitation":"(Damen, 2004)","manualFormatting":"Damen (2004:1)","plainTextFormattedCitation":"(Damen, 2004)","previouslyFormattedCitation":"(Damen, 2004)"},"properties":{"noteIndex":0},"schema":"https://github.com/citation-style-language/schema/raw/master/csl-citation.json"}</w:instrText>
      </w:r>
      <w:r>
        <w:rPr>
          <w:rFonts w:ascii="Calibri Light" w:hAnsi="Calibri Light" w:cs="Calibri Light"/>
          <w:b/>
          <w:bCs/>
          <w:sz w:val="24"/>
          <w:szCs w:val="24"/>
        </w:rPr>
        <w:fldChar w:fldCharType="separate"/>
      </w:r>
      <w:r>
        <w:rPr>
          <w:rFonts w:ascii="Calibri Light" w:hAnsi="Calibri Light" w:cs="Calibri Light"/>
          <w:b/>
          <w:sz w:val="24"/>
          <w:szCs w:val="24"/>
        </w:rPr>
        <w:t>Damen</w:t>
      </w:r>
      <w:r>
        <w:rPr>
          <w:rFonts w:ascii="Calibri Light" w:hAnsi="Calibri Light" w:cs="Calibri Light"/>
          <w:bCs/>
          <w:sz w:val="24"/>
          <w:szCs w:val="24"/>
        </w:rPr>
        <w:t xml:space="preserve"> (2004:1)</w:t>
      </w:r>
      <w:r>
        <w:rPr>
          <w:rFonts w:ascii="Calibri Light" w:hAnsi="Calibri Light" w:cs="Calibri Light"/>
          <w:b/>
          <w:bCs/>
          <w:sz w:val="24"/>
          <w:szCs w:val="24"/>
        </w:rPr>
        <w:fldChar w:fldCharType="end"/>
      </w:r>
      <w:r>
        <w:rPr>
          <w:rFonts w:ascii="Calibri Light" w:hAnsi="Calibri Light" w:cs="Calibri Light"/>
          <w:sz w:val="24"/>
          <w:szCs w:val="24"/>
        </w:rPr>
        <w:t>, “</w:t>
      </w:r>
      <w:r>
        <w:rPr>
          <w:rFonts w:ascii="Calibri Light" w:hAnsi="Calibri Light" w:cs="Calibri Light"/>
          <w:i/>
          <w:iCs/>
          <w:sz w:val="24"/>
          <w:szCs w:val="24"/>
        </w:rPr>
        <w:t>Land Banking is a structural acquisition and temporary management of land in rural areas by an impartial State agency, with the purposes redistribute and/or lease out this land with a view to improve the agricultural structure and/or to reallocate the land for other purposes with a general public interest</w:t>
      </w:r>
      <w:r>
        <w:rPr>
          <w:rFonts w:ascii="Calibri Light" w:hAnsi="Calibri Light" w:cs="Calibri Light"/>
          <w:sz w:val="24"/>
          <w:szCs w:val="24"/>
        </w:rPr>
        <w:t>.”</w:t>
      </w:r>
    </w:p>
    <w:p w14:paraId="335E2CEF">
      <w:pPr>
        <w:pStyle w:val="48"/>
        <w:spacing w:before="240" w:line="240" w:lineRule="auto"/>
        <w:ind w:left="993"/>
        <w:jc w:val="both"/>
        <w:rPr>
          <w:rFonts w:ascii="Calibri Light" w:hAnsi="Calibri Light" w:cs="Calibri Light"/>
          <w:sz w:val="24"/>
          <w:szCs w:val="24"/>
        </w:rPr>
      </w:pPr>
    </w:p>
    <w:p w14:paraId="3EEE8D56">
      <w:pPr>
        <w:pStyle w:val="48"/>
        <w:spacing w:before="240" w:after="0" w:line="240" w:lineRule="auto"/>
        <w:ind w:left="426"/>
        <w:jc w:val="both"/>
        <w:rPr>
          <w:rFonts w:ascii="Calibri Light" w:hAnsi="Calibri Light" w:cs="Calibri Light"/>
          <w:sz w:val="24"/>
          <w:szCs w:val="24"/>
        </w:rPr>
      </w:pPr>
      <w:r>
        <w:rPr>
          <w:rFonts w:ascii="Calibri Light" w:hAnsi="Calibri Light" w:cs="Calibri Light"/>
          <w:sz w:val="24"/>
          <w:szCs w:val="24"/>
        </w:rPr>
        <w:t xml:space="preserve">According to Sri Susyanti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Development","type":"thesis"},"uris":["http://www.mendeley.com/documents/?uuid=2fc944f2-b796-4394-9e5c-1c5e35bcddc0","http://www.mendeley.com/documents/?uuid=90358441-5cd4-4da6-b982-06edc8360452"]}],"mendeley":{"formattedCitation":"(Nur, 2009)","manualFormatting":"Nur (2009:205-206)","plainTextFormattedCitation":"(Nur, 2009)","previouslyFormattedCitation":"(Nur, 2009)"},"properties":{"noteIndex":0},"schema":"https://github.com/citation-style-language/schema/raw/master/csl-citation.json"}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Nur (2009:205-206)</w:t>
      </w:r>
      <w:r>
        <w:rPr>
          <w:rFonts w:ascii="Calibri Light" w:hAnsi="Calibri Light" w:cs="Calibri Light"/>
          <w:sz w:val="24"/>
          <w:szCs w:val="24"/>
        </w:rPr>
        <w:fldChar w:fldCharType="end"/>
      </w:r>
      <w:r>
        <w:rPr>
          <w:rFonts w:ascii="Calibri Light" w:hAnsi="Calibri Light" w:cs="Calibri Light"/>
          <w:sz w:val="24"/>
          <w:szCs w:val="24"/>
        </w:rPr>
        <w:t>, the definition and activities of a Land Bank can be:</w:t>
      </w:r>
    </w:p>
    <w:p w14:paraId="60B10524">
      <w:pPr>
        <w:pStyle w:val="48"/>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Land banks in the public domain as a governmental tool to deal with urban redevelopment, conserve natural areas, and maintain the value of land in select locations</w:t>
      </w:r>
      <w:r>
        <w:rPr>
          <w:rFonts w:ascii="Calibri Light" w:hAnsi="Calibri Light" w:cs="Calibri Light"/>
          <w:sz w:val="24"/>
          <w:szCs w:val="24"/>
        </w:rPr>
        <w:t>;</w:t>
      </w:r>
    </w:p>
    <w:p w14:paraId="021F1B4F">
      <w:pPr>
        <w:pStyle w:val="48"/>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In theory, land banking is the activity of buying or buying land in order to develop or improve it to satisfy potential growth requirements</w:t>
      </w:r>
      <w:r>
        <w:rPr>
          <w:rFonts w:ascii="Calibri Light" w:hAnsi="Calibri Light" w:cs="Calibri Light"/>
          <w:sz w:val="24"/>
          <w:szCs w:val="24"/>
        </w:rPr>
        <w:t>;</w:t>
      </w:r>
    </w:p>
    <w:p w14:paraId="7E676862">
      <w:pPr>
        <w:pStyle w:val="48"/>
        <w:numPr>
          <w:ilvl w:val="0"/>
          <w:numId w:val="3"/>
        </w:numPr>
        <w:spacing w:after="0" w:line="240" w:lineRule="auto"/>
        <w:ind w:left="851" w:hanging="284"/>
        <w:jc w:val="both"/>
        <w:rPr>
          <w:rFonts w:ascii="Calibri Light" w:hAnsi="Calibri Light" w:cs="Calibri Light"/>
          <w:sz w:val="24"/>
          <w:szCs w:val="24"/>
          <w:lang w:val="en-US"/>
        </w:rPr>
      </w:pPr>
      <w:r>
        <w:rPr>
          <w:rFonts w:ascii="Calibri Light" w:hAnsi="Calibri Light" w:cs="Calibri Light"/>
          <w:sz w:val="24"/>
          <w:szCs w:val="24"/>
          <w:lang w:val="en-US"/>
        </w:rPr>
        <w:t>Land banking is a notion connected to the access of land for the aim of offering public facilities for dwellings, industries with land management, controlling the land market, and avoiding land speculation</w:t>
      </w:r>
      <w:r>
        <w:rPr>
          <w:rFonts w:ascii="Calibri Light" w:hAnsi="Calibri Light" w:cs="Calibri Light"/>
          <w:sz w:val="24"/>
          <w:szCs w:val="24"/>
        </w:rPr>
        <w:t>.</w:t>
      </w:r>
    </w:p>
    <w:p w14:paraId="601C6AC4">
      <w:pPr>
        <w:pStyle w:val="48"/>
        <w:spacing w:before="240" w:line="240" w:lineRule="auto"/>
        <w:ind w:left="11" w:firstLine="425"/>
        <w:jc w:val="both"/>
        <w:rPr>
          <w:rFonts w:ascii="Calibri Light" w:hAnsi="Calibri Light" w:cs="Calibri Light"/>
          <w:sz w:val="24"/>
          <w:szCs w:val="24"/>
        </w:rPr>
      </w:pPr>
    </w:p>
    <w:p w14:paraId="48EA32F0">
      <w:pPr>
        <w:pStyle w:val="48"/>
        <w:spacing w:before="240" w:line="240" w:lineRule="auto"/>
        <w:ind w:left="425"/>
        <w:contextualSpacing w:val="0"/>
        <w:jc w:val="both"/>
        <w:rPr>
          <w:rFonts w:ascii="Calibri Light" w:hAnsi="Calibri Light" w:cs="Calibri Light"/>
          <w:sz w:val="24"/>
          <w:szCs w:val="24"/>
        </w:rPr>
      </w:pPr>
      <w:r>
        <w:rPr>
          <w:rFonts w:ascii="Calibri Light" w:hAnsi="Calibri Light" w:cs="Calibri Light"/>
          <w:sz w:val="24"/>
          <w:szCs w:val="24"/>
          <w:lang w:val="en-US"/>
        </w:rPr>
        <w:t xml:space="preserve">The Land Bank is granted particular authority to ensure accessibility of land in the context of an equal finances, for the public fascination, societal needs, national development preferences, equitable economic development, land combining, and agricultural reform </w:t>
      </w:r>
      <w:r>
        <w:rPr>
          <w:rFonts w:ascii="Calibri Light" w:hAnsi="Calibri Light" w:cs="Calibri Light"/>
          <w:sz w:val="24"/>
          <w:szCs w:val="24"/>
          <w:lang w:val="en-US"/>
        </w:rPr>
        <w:fldChar w:fldCharType="begin" w:fldLock="1"/>
      </w:r>
      <w:r>
        <w:rPr>
          <w:rFonts w:ascii="Calibri Light" w:hAnsi="Calibri Light" w:cs="Calibri Light"/>
          <w:sz w:val="24"/>
          <w:szCs w:val="24"/>
          <w:lang w:val="en-US"/>
        </w:rPr>
        <w:instrText xml:space="preserve">ADDIN CSL_CITATION {"citationItems":[{"id":"ITEM-1","itemData":{"DOI":"10.28946/lexl.v4i2.1894","abstract":"Tesis ini berjudul tentang bank tanah sebagai upaya menjamin ketersediaan tanah dalam rangka ekonomi berkeadilan berdasarkan Undang-Undang Nomor 11 Tahun 2020 tentang Cipta Kerja (selanjutnya disebut UU Cipta Kerja). Yang menarik dalam Undang-Undang ini adalah adanya kebijakan pertanahan dimana negara melalui Lembaga pemerintah maupun Lembaga Independen ditunjuk untuk memiliki kewenangan melakukan akuisisi terhadap tanah terlantar atau pula bermasalah yang mana tanah ini belum dikembangkan dan memiliki potensi untuk dikembangkan agar kemudian dapat didistribusikan kembali untuk kepentingan umum dalam rangka ekonomi berkeadilan sesuai program pemerintah. Metode penelitian yang digunakan adalah jenis penelitian normatif dengan pendekatan filsafat, perundangan, konseptual, futuristic, dan sistematika perbandingan hukum. Teknik penarikan kesimpulan menggunakan logika berfikir abduktive. Adapun hasil penelitian ini menunjukkan bahwa 1) Undang-Undang Pokok Agraria dalam Pasal 2 dan pasal 6 mengamanatkan adanya Badan Penguasaan Tanah yang mengelola tanah negara namun belum ada kebijakan pasti yang mengatur mengenai pembentukan bank tanah dalam Undang-Undang tersebut. 2) Pembentukan Bank Tanah dalam UU Cipta Kerja ini hanya berfokus pada konsep ekonomi semata dan kurang berfokus pada kepentingan rakyat (miskin). 3) Idealnya Bank Tanah yang harmonis dengan UUPA adalah dengan membentuk Bank Tanah sebagai badan hukum publik dengan prinsip dasar bahwa pemanfaatan tanah yang dikelola Lembaga tersebut harus memprioritaskan kepentingan umum dengan prinsip untuk mencapai kemammuran bagi rakyat yang sebesar-besarnya.","author":[{"dropping-particle":"","family":"Lestari","given":"Masayu Dewi Puspa","non-dropping-particle":"","parse-names":false,"suffix":""},{"dropping-particle":"","family":"Syaifuddin","given":"Muhammad","non-dropping-particle":"","parse-names":false,"suffix":""}],"container-title":"Lex LATA","id":"ITEM-1","issue":"2","issued":{"date-parts":[["2023"]]},"page":"181-197","title":"Bank Tanah Sebagai Upaya Menjamin Ketersediaan Tanah Dalam Rangka Ekonomi Berkeadilan Berdasarkan Undang Undang Nomor 11 Tahun 2020 Tentang Cipta Kerja","type":"article-journal","volume":"4"},"uris":["http://www.mendeley.com/documents/?uuid=14e44f55-cc07-4083-a038-2b02bbb711b1"]}],"mendeley":{"formattedCitation":"(Lestari &amp; Syaifuddin, 2023)","plainTextFormattedCitation":"(Lestari &amp; Syaifuddin, 2023)","previouslyFormattedCitation":"(Lestari &amp; Syaifuddin, 2023)"},"properties":{"noteIndex":0},"schema":"https://github.com/citation-style-language/schema/raw/master/csl-citation.json"}</w:instrText>
      </w:r>
      <w:r>
        <w:rPr>
          <w:rFonts w:ascii="Calibri Light" w:hAnsi="Calibri Light" w:cs="Calibri Light"/>
          <w:sz w:val="24"/>
          <w:szCs w:val="24"/>
          <w:lang w:val="en-US"/>
        </w:rPr>
        <w:fldChar w:fldCharType="separate"/>
      </w:r>
      <w:r>
        <w:rPr>
          <w:rFonts w:ascii="Calibri Light" w:hAnsi="Calibri Light" w:cs="Calibri Light"/>
          <w:sz w:val="24"/>
          <w:szCs w:val="24"/>
          <w:lang w:val="en-US"/>
        </w:rPr>
        <w:t>(Lestari &amp; Syaifuddin, 2023)</w:t>
      </w:r>
      <w:r>
        <w:rPr>
          <w:rFonts w:ascii="Calibri Light" w:hAnsi="Calibri Light" w:cs="Calibri Light"/>
          <w:sz w:val="24"/>
          <w:szCs w:val="24"/>
          <w:lang w:val="en-US"/>
        </w:rPr>
        <w:fldChar w:fldCharType="end"/>
      </w:r>
      <w:r>
        <w:rPr>
          <w:rFonts w:ascii="Calibri Light" w:hAnsi="Calibri Light" w:cs="Calibri Light"/>
          <w:sz w:val="24"/>
          <w:szCs w:val="24"/>
        </w:rPr>
        <w:t xml:space="preserve">. The presence of the land bank is expected to; 1) realize the objectives of Article 33 Paragraph (3) of the 1945 Constitution; 2) </w:t>
      </w:r>
      <w:r>
        <w:rPr>
          <w:rFonts w:ascii="Calibri Light" w:hAnsi="Calibri Light" w:cs="Calibri Light"/>
          <w:sz w:val="24"/>
          <w:szCs w:val="24"/>
          <w:lang w:val="en-US"/>
        </w:rPr>
        <w:t>be a tool that efficiently and effectively implements diverse land policies and supports regional development</w:t>
      </w:r>
      <w:r>
        <w:rPr>
          <w:rFonts w:ascii="Calibri Light" w:hAnsi="Calibri Light" w:cs="Calibri Light"/>
          <w:sz w:val="24"/>
          <w:szCs w:val="24"/>
        </w:rPr>
        <w:t xml:space="preserve">; 3) manage land acquisition, control and utilization fairly and reasonably in implementing development, and 4) overcome Indonesia's land-related problems, particularly the availability of land for investment purposes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people?”","type":"paper-conference"},"uris":["http://www.mendeley.com/documents/?uuid=b3221251-8fa2-47c8-b5ee-92025f9408ac","http://www.mendeley.com/documents/?uuid=81837d24-7127-4c4a-b6b2-b03b1e9d33dc"]}],"mendeley":{"formattedCitation":"(Setiadi, 2021)","plainTextFormattedCitation":"(Setiadi, 2021)","previouslyFormattedCitation":"(Setiadi,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(Setiadi, 2021)</w:t>
      </w:r>
      <w:r>
        <w:rPr>
          <w:rFonts w:ascii="Calibri Light" w:hAnsi="Calibri Light" w:cs="Calibri Light"/>
          <w:sz w:val="24"/>
          <w:szCs w:val="24"/>
        </w:rPr>
        <w:fldChar w:fldCharType="end"/>
      </w:r>
      <w:r>
        <w:rPr>
          <w:rFonts w:ascii="Calibri Light" w:hAnsi="Calibri Light" w:cs="Calibri Light"/>
          <w:sz w:val="24"/>
          <w:szCs w:val="24"/>
        </w:rPr>
        <w:t>.</w:t>
      </w:r>
    </w:p>
    <w:p w14:paraId="5BB0FBC6">
      <w:pPr>
        <w:pStyle w:val="48"/>
        <w:spacing w:before="240" w:line="240" w:lineRule="auto"/>
        <w:ind w:left="426"/>
        <w:jc w:val="both"/>
        <w:rPr>
          <w:rFonts w:ascii="Calibri Light" w:hAnsi="Calibri Light" w:cs="Calibri Light"/>
          <w:color w:val="141414"/>
          <w:sz w:val="24"/>
          <w:szCs w:val="24"/>
          <w:shd w:val="clear" w:color="auto" w:fill="F6F6F6"/>
        </w:rPr>
      </w:pPr>
      <w:r>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{"citationItems":[{"id":"ITEM-1","itemData":{"DOI":"https://doi.org/10.14710/nts.v17i3.56749","author":[{"dropping-particle":"","family":"Agustin","given":"Ika Shinta Utami Nur","non-dropping-particle":"","parse-names":false,"suffix":""},{"dropping-particle":"","family":"Mahfud","given":"Muh. Afif","non-dropping-particle":"","parse-names":false,"suffix":""}],"container-title":"Notarius","id":"ITEM-1","issue":"3","issued":{"date-parts":[["2024"]]},"page":"2073-2090","title":"Tinjauan Yuridis Normatif tentang Bank Tanah (Land Banking) Menurut Perpu Cipta Kerja","type":"article-journal","volume":"17"},"uris":["http://www.mendeley.com/documents/?uuid=668c0922-e0f4-4785-ae44-1660338927d2"]}],"mendeley":{"formattedCitation":"(Agustin &amp; Mahfud, 2024)","plainTextFormattedCitation":"(Agustin &amp; Mahfud, 2024)","previouslyFormattedCitation":"(Agustin &amp; Mahfud,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(Agustin &amp; Mahfud, 2024)</w:t>
      </w:r>
      <w:r>
        <w:rPr>
          <w:rFonts w:ascii="Calibri Light" w:hAnsi="Calibri Light" w:cs="Calibri Light"/>
          <w:sz w:val="24"/>
          <w:szCs w:val="24"/>
        </w:rPr>
        <w:fldChar w:fldCharType="end"/>
      </w:r>
      <w:r>
        <w:rPr>
          <w:rFonts w:ascii="Calibri Light" w:hAnsi="Calibri Light" w:cs="Calibri Light"/>
          <w:sz w:val="24"/>
          <w:szCs w:val="24"/>
        </w:rPr>
        <w:t xml:space="preserve">.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Rempang, Batam Island, and the police due to plans to build an industrial, service, and tourism area called Rempang Eco City on this customary land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Rights","type":"thesis"},"uris":["http://www.mendeley.com/documents/?uuid=3e7f13fd-e612-4e52-b1b2-ac86932645d7","http://www.mendeley.com/documents/?uuid=f1ffa094-18f9-401c-8131-df9687008dba"]}],"mendeley":{"formattedCitation":"(Anggraeni, 2024)","manualFormatting":"(Anggraeni, 2024:172)","plainTextFormattedCitation":"(Anggraeni, 2024)","previouslyFormattedCitation":"(Anggraeni,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(Anggraeni, 2024:172)</w:t>
      </w:r>
      <w:r>
        <w:rPr>
          <w:rFonts w:ascii="Calibri Light" w:hAnsi="Calibri Light" w:cs="Calibri Light"/>
          <w:sz w:val="24"/>
          <w:szCs w:val="24"/>
        </w:rPr>
        <w:fldChar w:fldCharType="end"/>
      </w:r>
      <w:r>
        <w:rPr>
          <w:rFonts w:ascii="Calibri Light" w:hAnsi="Calibri Light" w:cs="Calibri Light"/>
          <w:sz w:val="24"/>
          <w:szCs w:val="24"/>
        </w:rPr>
        <w:t>.</w:t>
      </w:r>
      <w:r>
        <w:rPr>
          <w:rFonts w:ascii="Calibri Light" w:hAnsi="Calibri Light" w:cs="Calibri Light"/>
          <w:color w:val="141414"/>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and more than 100 people experienced the destruction of their homes in the name of conservation </w:t>
      </w:r>
      <w:r>
        <w:rPr>
          <w:rFonts w:ascii="Calibri Light" w:hAnsi="Calibri Light" w:cs="Calibri Light"/>
          <w:color w:val="141414"/>
          <w:sz w:val="24"/>
          <w:szCs w:val="24"/>
        </w:rPr>
        <w:fldChar w:fldCharType="begin" w:fldLock="1"/>
      </w:r>
      <w:r>
        <w:rPr>
          <w:rFonts w:ascii="Calibri Light" w:hAnsi="Calibri Light" w:cs="Calibri Light"/>
          <w:color w:val="141414"/>
          <w:sz w:val="24"/>
          <w:szCs w:val="24"/>
        </w:rPr>
        <w:instrText xml:space="preserve">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Land","type":"webpage"},"uris":["http://www.mendeley.com/documents/?uuid=ffca4e99-388c-463c-8f62-91811d553b8a","http://www.mendeley.com/documents/?uuid=703967de-6713-4981-9c7a-9a4c66ee36bb"]}],"mendeley":{"formattedCitation":"(Sumardjono, 2024)","plainTextFormattedCitation":"(Sumardjono, 2024)","previouslyFormattedCitation":"(Sumardjono, 2024)"},"properties":{"noteIndex":0},"schema":"https://github.com/citation-style-language/schema/raw/master/csl-citation.json"}</w:instrText>
      </w:r>
      <w:r>
        <w:rPr>
          <w:rFonts w:ascii="Calibri Light" w:hAnsi="Calibri Light" w:cs="Calibri Light"/>
          <w:color w:val="141414"/>
          <w:sz w:val="24"/>
          <w:szCs w:val="24"/>
        </w:rPr>
        <w:fldChar w:fldCharType="separate"/>
      </w:r>
      <w:r>
        <w:rPr>
          <w:rFonts w:ascii="Calibri Light" w:hAnsi="Calibri Light" w:cs="Calibri Light"/>
          <w:color w:val="141414"/>
          <w:sz w:val="24"/>
          <w:szCs w:val="24"/>
        </w:rPr>
        <w:t>(Sumardjono, 2024)</w:t>
      </w:r>
      <w:r>
        <w:rPr>
          <w:rFonts w:ascii="Calibri Light" w:hAnsi="Calibri Light" w:cs="Calibri Light"/>
          <w:color w:val="141414"/>
          <w:sz w:val="24"/>
          <w:szCs w:val="24"/>
        </w:rPr>
        <w:fldChar w:fldCharType="end"/>
      </w:r>
      <w:r>
        <w:rPr>
          <w:rFonts w:ascii="Calibri Light" w:hAnsi="Calibri Light" w:cs="Calibri Light"/>
          <w:color w:val="141414"/>
          <w:sz w:val="24"/>
          <w:szCs w:val="24"/>
        </w:rPr>
        <w:t xml:space="preserve">. Saidunyi Nyuk, the Director of East Kalimantan AMAN, told VOA that there are still several issues related to the release of land for local communities and indigenous peoples in Penajam Paser Utara, East Kalimantan, in the Indonesian Capital City/IKN land case, regarding compensation for land cultivated by residents that has not been paid off </w:t>
      </w:r>
      <w:r>
        <w:rPr>
          <w:rFonts w:ascii="Calibri Light" w:hAnsi="Calibri Light" w:cs="Calibri Light"/>
          <w:color w:val="141414"/>
          <w:sz w:val="24"/>
          <w:szCs w:val="24"/>
        </w:rPr>
        <w:fldChar w:fldCharType="begin" w:fldLock="1"/>
      </w:r>
      <w:r>
        <w:rPr>
          <w:rFonts w:ascii="Calibri Light" w:hAnsi="Calibri Light" w:cs="Calibri Light"/>
          <w:color w:val="141414"/>
          <w:sz w:val="24"/>
          <w:szCs w:val="24"/>
        </w:rPr>
        <w:instrText xml:space="preserve">ADDIN CSL_CITATION {"citationItems":[{"id":"ITEM-1","itemData":{"author":[{"dropping-particle":"","family":"Intan","given":"Ghita","non-dropping-particle":"","parse-names":false,"suffix":""}],"container-title":"VOA Indonesia","id":"ITEM-1","issued":{"date-parts":[["2024"]]},"title":"Ahead of Jokowi's Retirement, Land Acquisition in IKN Not Yet Complete","type":"webpage"},"uris":["http://www.mendeley.com/documents/?uuid=dfe09c60-94da-42d3-b85f-73433277f276","http://www.mendeley.com/documents/?uuid=ef7f89ad-1e13-4d08-b8a5-df85e4fb6af4"]}],"mendeley":{"formattedCitation":"(Intan, 2024)","manualFormatting":"(Intan, 2024;","plainTextFormattedCitation":"(Intan, 2024)","previouslyFormattedCitation":"(Intan, 2024)"},"properties":{"noteIndex":0},"schema":"https://github.com/citation-style-language/schema/raw/master/csl-citation.json"}</w:instrText>
      </w:r>
      <w:r>
        <w:rPr>
          <w:rFonts w:ascii="Calibri Light" w:hAnsi="Calibri Light" w:cs="Calibri Light"/>
          <w:color w:val="141414"/>
          <w:sz w:val="24"/>
          <w:szCs w:val="24"/>
        </w:rPr>
        <w:fldChar w:fldCharType="separate"/>
      </w:r>
      <w:r>
        <w:rPr>
          <w:rFonts w:ascii="Calibri Light" w:hAnsi="Calibri Light" w:cs="Calibri Light"/>
          <w:color w:val="141414"/>
          <w:sz w:val="24"/>
          <w:szCs w:val="24"/>
        </w:rPr>
        <w:t>(Intan, 2024;</w:t>
      </w:r>
      <w:r>
        <w:rPr>
          <w:rFonts w:ascii="Calibri Light" w:hAnsi="Calibri Light" w:cs="Calibri Light"/>
          <w:color w:val="141414"/>
          <w:sz w:val="24"/>
          <w:szCs w:val="24"/>
        </w:rPr>
        <w:fldChar w:fldCharType="end"/>
      </w:r>
      <w:r>
        <w:rPr>
          <w:rFonts w:ascii="Calibri Light" w:hAnsi="Calibri Light" w:cs="Calibri Light"/>
          <w:color w:val="141414"/>
          <w:sz w:val="24"/>
          <w:szCs w:val="24"/>
          <w:shd w:val="clear" w:color="auto" w:fill="F6F6F6"/>
        </w:rPr>
        <w:t xml:space="preserve"> </w:t>
      </w:r>
      <w:r>
        <w:rPr>
          <w:rFonts w:ascii="Calibri Light" w:hAnsi="Calibri Light" w:cs="Calibri Light"/>
          <w:color w:val="333333"/>
          <w:sz w:val="24"/>
          <w:szCs w:val="24"/>
          <w:shd w:val="clear" w:color="auto" w:fill="FFFFFF"/>
        </w:rPr>
        <w:fldChar w:fldCharType="begin" w:fldLock="1"/>
      </w:r>
      <w:r>
        <w:rPr>
          <w:rFonts w:ascii="Calibri Light" w:hAnsi="Calibri Light" w:cs="Calibri Light"/>
          <w:color w:val="333333"/>
          <w:sz w:val="24"/>
          <w:szCs w:val="24"/>
          <w:shd w:val="clear" w:color="auto" w:fill="FFFFFF"/>
        </w:rPr>
        <w:instrText xml:space="preserve">ADDIN CSL_CITATION {"citationItems":[{"id":"ITEM-1","itemData":{"DOI":"10.14710/lr.v19i1.52926","ISSN":"2580-8508","author":[{"dropping-particle":"","family":"Mukhlis","given":"Muhammad Mutawalli","non-dropping-particle":"","parse-names":false,"suffix":""},{"dropping-particle":"","family":"Ayub","given":"Zainal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Reform","id":"ITEM-1","issue":"1","issued":{"date-parts":[["2023"]]},"page":"1-24","publisher":"PROGRAM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Governments","type":"article-journal","volume":"19"},"uris":["http://www.mendeley.com/documents/?uuid=98eea598-83d6-4557-be40-b38933978580"]}],"mendeley":{"formattedCitation":"(Mukhlis et al., 2023)","manualFormatting":"Mutawalli, Ayub, et al., 2023)","plainTextFormattedCitation":"(Mukhlis et al., 2023)","previouslyFormattedCitation":"(Mukhlis et al., 2023)"},"properties":{"noteIndex":0},"schema":"https://github.com/citation-style-language/schema/raw/master/csl-citation.json"}</w:instrText>
      </w:r>
      <w:r>
        <w:rPr>
          <w:rFonts w:ascii="Calibri Light" w:hAnsi="Calibri Light" w:cs="Calibri Light"/>
          <w:color w:val="333333"/>
          <w:sz w:val="24"/>
          <w:szCs w:val="24"/>
          <w:shd w:val="clear" w:color="auto" w:fill="FFFFFF"/>
        </w:rPr>
        <w:fldChar w:fldCharType="separate"/>
      </w:r>
      <w:r>
        <w:rPr>
          <w:rFonts w:ascii="Calibri Light" w:hAnsi="Calibri Light" w:cs="Calibri Light"/>
          <w:bCs/>
          <w:color w:val="333333"/>
          <w:sz w:val="24"/>
          <w:szCs w:val="24"/>
          <w:shd w:val="clear" w:color="auto" w:fill="FFFFFF"/>
        </w:rPr>
        <w:t>Mutawalli, Ayub, et al., 2023)</w:t>
      </w:r>
      <w:r>
        <w:rPr>
          <w:rFonts w:ascii="Calibri Light" w:hAnsi="Calibri Light" w:cs="Calibri Light"/>
          <w:color w:val="333333"/>
          <w:sz w:val="24"/>
          <w:szCs w:val="24"/>
          <w:shd w:val="clear" w:color="auto" w:fill="FFFFFF"/>
        </w:rPr>
        <w:fldChar w:fldCharType="end"/>
      </w:r>
      <w:r>
        <w:rPr>
          <w:rFonts w:ascii="Calibri Light" w:hAnsi="Calibri Light" w:cs="Calibri Light"/>
          <w:color w:val="333333"/>
          <w:sz w:val="24"/>
          <w:szCs w:val="24"/>
          <w:shd w:val="clear" w:color="auto" w:fill="FFFFFF"/>
        </w:rPr>
        <w:t>.</w:t>
      </w:r>
    </w:p>
    <w:p w14:paraId="2FB7CBEC">
      <w:pPr>
        <w:pStyle w:val="26"/>
        <w:shd w:val="clear" w:color="auto" w:fill="FFFFFF"/>
        <w:spacing w:before="0" w:beforeAutospacing="0" w:after="0" w:afterAutospacing="0"/>
        <w:ind w:left="426"/>
        <w:jc w:val="both"/>
        <w:rPr>
          <w:rFonts w:ascii="Calibri Light" w:hAnsi="Calibri Light" w:cs="Calibri Light"/>
          <w:color w:val="444444"/>
        </w:rPr>
      </w:pPr>
      <w:r>
        <w:rPr>
          <w:rFonts w:ascii="Calibri Light" w:hAnsi="Calibri Light" w:cs="Calibri Light"/>
        </w:rPr>
        <w:t xml:space="preserve">Land banks in managing land assets using the principles of transparency, accountability, and non-profit are regulated in Article 127 of the LJC, related to the function of land banks as regulated in Article 3 paragraph (1) GR 64/2021, namely: </w:t>
      </w:r>
    </w:p>
    <w:p w14:paraId="3916F347">
      <w:pPr>
        <w:pStyle w:val="26"/>
        <w:numPr>
          <w:ilvl w:val="0"/>
          <w:numId w:val="4"/>
        </w:numPr>
        <w:shd w:val="clear" w:color="auto" w:fill="FFFFFF"/>
        <w:spacing w:before="0" w:beforeAutospacing="0" w:after="0" w:afterAutospacing="0"/>
        <w:jc w:val="both"/>
        <w:rPr>
          <w:rFonts w:ascii="Calibri Light" w:hAnsi="Calibri Light" w:cs="Calibri Light"/>
          <w:color w:val="444444"/>
        </w:rPr>
      </w:pPr>
      <w:r>
        <w:rPr>
          <w:rFonts w:ascii="Calibri Light" w:hAnsi="Calibri Light" w:cs="Calibri Light"/>
          <w:color w:val="444444"/>
        </w:rPr>
        <w:t>Planning (Article 5 GR No.64/22021); The Land Bank carries out planning covering long-term (25 years), medium-term (5 years) and annual (1 year) activities.</w:t>
      </w:r>
    </w:p>
    <w:p w14:paraId="407FBCC4">
      <w:pPr>
        <w:pStyle w:val="26"/>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The Land Bank obtains land (Article 6 to Article 8 GR No.64/2021) originating from the results of Government and/or Other Party Determinations. </w:t>
      </w:r>
      <w:r>
        <w:rPr>
          <w:rFonts w:ascii="Calibri Light" w:hAnsi="Calibri Light" w:cs="Calibri Light"/>
          <w:color w:val="444444"/>
          <w:lang w:val="en-US"/>
        </w:rPr>
        <w:t>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w:t>
      </w:r>
      <w:r>
        <w:rPr>
          <w:rFonts w:ascii="Calibri Light" w:hAnsi="Calibri Light" w:cs="Calibri Light"/>
          <w:color w:val="444444"/>
        </w:rPr>
        <w:t xml:space="preserve">. </w:t>
      </w:r>
      <w:r>
        <w:rPr>
          <w:rFonts w:ascii="Calibri Light" w:hAnsi="Calibri Light" w:cs="Calibri Light"/>
          <w:color w:val="444444"/>
          <w:lang w:val="en-US"/>
        </w:rPr>
        <w:t>Land acquired by third parties gets carried by the process of acquiring, obtaining loans or gifts, swapping, relinquishing rights, and other authorized types of acquire</w:t>
      </w:r>
      <w:r>
        <w:rPr>
          <w:rFonts w:ascii="Calibri Light" w:hAnsi="Calibri Light" w:cs="Calibri Light"/>
          <w:color w:val="444444"/>
        </w:rPr>
        <w:t>. Land from Other Parties is the land originating from the Central Government, Regional Government, State-Owned Enterprises, Regional-Owned Enterprises, Business Entities, Legal Entities, and the Community.</w:t>
      </w:r>
    </w:p>
    <w:p w14:paraId="7F797A19">
      <w:pPr>
        <w:pStyle w:val="26"/>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Land Acquisition (Article 9 GR No. 64/2021); </w:t>
      </w:r>
      <w:r>
        <w:rPr>
          <w:rFonts w:ascii="Calibri Light" w:hAnsi="Calibri Light" w:cs="Calibri Light"/>
          <w:color w:val="444444"/>
          <w:lang w:val="en-US"/>
        </w:rPr>
        <w:t>The Land Bank conducts land purchase operations through the Land purchase stage method for advancement of the public concern, or direct land acquisition</w:t>
      </w:r>
      <w:r>
        <w:rPr>
          <w:rFonts w:ascii="Calibri Light" w:hAnsi="Calibri Light" w:cs="Calibri Light"/>
          <w:color w:val="444444"/>
        </w:rPr>
        <w:t xml:space="preserve">.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14:paraId="724E1B8C">
      <w:pPr>
        <w:pStyle w:val="26"/>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Land management (Article 10 to Article 13 GR No.64/2021); </w:t>
      </w:r>
      <w:r>
        <w:rPr>
          <w:rFonts w:ascii="Calibri Light" w:hAnsi="Calibri Light" w:cs="Calibri Light"/>
          <w:color w:val="444444"/>
          <w:lang w:val="en-US"/>
        </w:rPr>
        <w:t>The Land Bank manages land via operations such as expansion, repair, safety, and monitoring</w:t>
      </w:r>
      <w:r>
        <w:rPr>
          <w:rFonts w:ascii="Calibri Light" w:hAnsi="Calibri Light" w:cs="Calibri Light"/>
          <w:color w:val="444444"/>
        </w:rPr>
        <w:t xml:space="preserve">. </w:t>
      </w:r>
      <w:r>
        <w:rPr>
          <w:rFonts w:ascii="Calibri Light" w:hAnsi="Calibri Light" w:cs="Calibri Light"/>
          <w:color w:val="444444"/>
          <w:lang w:val="en-US"/>
        </w:rPr>
        <w:t>Land development is a process to maximize the benefits and utilization of land gained by the Land Bank for practical uses that can ideally satisfy the demands of life and commercial operations on the basis of social, economic, and physicall</w:t>
      </w:r>
      <w:r>
        <w:rPr>
          <w:rFonts w:ascii="Calibri Light" w:hAnsi="Calibri Light" w:cs="Calibri Light"/>
          <w:color w:val="444444"/>
        </w:rPr>
        <w:t xml:space="preserve">. </w:t>
      </w:r>
      <w:r>
        <w:rPr>
          <w:rFonts w:ascii="Calibri Light" w:hAnsi="Calibri Light" w:cs="Calibri Light"/>
          <w:color w:val="444444"/>
          <w:lang w:val="en-US"/>
        </w:rPr>
        <w:t>Land development operations take place out according to the adequacy of the territorial plan</w:t>
      </w:r>
      <w:r>
        <w:rPr>
          <w:rFonts w:ascii="Calibri Light" w:hAnsi="Calibri Light" w:cs="Calibri Light"/>
          <w:color w:val="444444"/>
        </w:rPr>
        <w:t xml:space="preserve">. </w:t>
      </w:r>
      <w:r>
        <w:rPr>
          <w:rFonts w:ascii="Calibri Light" w:hAnsi="Calibri Light" w:cs="Calibri Light"/>
          <w:color w:val="444444"/>
          <w:lang w:val="en-US"/>
        </w:rPr>
        <w:t>Land development may take advantage of developing infrastructure and amenities for industrial, tourist, agricultural, cultivation, unique economic regions, and additional economic areas which encourage the Land Bank's activities</w:t>
      </w:r>
      <w:r>
        <w:rPr>
          <w:rFonts w:ascii="Calibri Light" w:hAnsi="Calibri Light" w:cs="Calibri Light"/>
          <w:color w:val="444444"/>
        </w:rPr>
        <w:t xml:space="preserve">. </w:t>
      </w:r>
      <w:r>
        <w:rPr>
          <w:rFonts w:ascii="Calibri Light" w:hAnsi="Calibri Light" w:cs="Calibri Light"/>
          <w:color w:val="444444"/>
          <w:lang w:val="en-US"/>
        </w:rPr>
        <w:t>The Land Bank can develop infrastructure and amenities on its own or in conjunction with the government of the nation, regional governments, and various other partners.</w:t>
      </w:r>
    </w:p>
    <w:p w14:paraId="3983BD79">
      <w:pPr>
        <w:pStyle w:val="26"/>
        <w:numPr>
          <w:ilvl w:val="0"/>
          <w:numId w:val="4"/>
        </w:numPr>
        <w:shd w:val="clear" w:color="auto" w:fill="FFFFFF"/>
        <w:spacing w:before="0" w:beforeAutospacing="0" w:after="0" w:afterAutospacing="0"/>
        <w:jc w:val="both"/>
        <w:rPr>
          <w:rFonts w:ascii="Calibri Light" w:hAnsi="Calibri Light" w:cs="Calibri Light"/>
          <w:b/>
          <w:bCs/>
          <w:color w:val="444444"/>
          <w:lang w:val="en-US"/>
        </w:rPr>
      </w:pPr>
      <w:r>
        <w:rPr>
          <w:rFonts w:ascii="Calibri Light" w:hAnsi="Calibri Light" w:cs="Calibri Light"/>
          <w:color w:val="444444"/>
        </w:rPr>
        <w:t xml:space="preserve">Land utilization (Article 14 GR No. 64/2021); </w:t>
      </w:r>
      <w:r>
        <w:rPr>
          <w:rFonts w:ascii="Calibri Light" w:hAnsi="Calibri Light" w:cs="Calibri Light"/>
          <w:color w:val="444444"/>
          <w:lang w:val="en-US"/>
        </w:rPr>
        <w:t>The Land Bank utilizes land via collaboration with partners while maintaining its core values of advantage and prioritization</w:t>
      </w:r>
      <w:r>
        <w:rPr>
          <w:rFonts w:ascii="Calibri Light" w:hAnsi="Calibri Light" w:cs="Calibri Light"/>
          <w:color w:val="444444"/>
        </w:rPr>
        <w:t xml:space="preserve">. </w:t>
      </w:r>
      <w:r>
        <w:rPr>
          <w:rFonts w:ascii="Calibri Light" w:hAnsi="Calibri Light" w:cs="Calibri Light"/>
          <w:b/>
          <w:bCs/>
          <w:color w:val="444444"/>
          <w:lang w:val="en-US"/>
        </w:rPr>
        <w:t>The Land Bank's land usage collaboration with other parties might take the shape of purchasing and trading, leasing, commercial cooperation, grants, swaps, and other types of agreements agreed upon by the parties</w:t>
      </w:r>
      <w:r>
        <w:rPr>
          <w:rFonts w:ascii="Calibri Light" w:hAnsi="Calibri Light" w:cs="Calibri Light"/>
          <w:b/>
          <w:bCs/>
          <w:color w:val="444444"/>
        </w:rPr>
        <w:t>.</w:t>
      </w:r>
    </w:p>
    <w:p w14:paraId="0E08AF4A">
      <w:pPr>
        <w:pStyle w:val="26"/>
        <w:numPr>
          <w:ilvl w:val="0"/>
          <w:numId w:val="4"/>
        </w:numPr>
        <w:shd w:val="clear" w:color="auto" w:fill="FFFFFF"/>
        <w:spacing w:before="0" w:beforeAutospacing="0" w:after="0" w:afterAutospacing="0"/>
        <w:jc w:val="both"/>
        <w:rPr>
          <w:rFonts w:ascii="Calibri Light" w:hAnsi="Calibri Light" w:cs="Calibri Light"/>
          <w:color w:val="444444"/>
          <w:lang w:val="en-US"/>
        </w:rPr>
      </w:pPr>
      <w:r>
        <w:rPr>
          <w:rFonts w:ascii="Calibri Light" w:hAnsi="Calibri Light" w:cs="Calibri Light"/>
          <w:color w:val="444444"/>
        </w:rPr>
        <w:t xml:space="preserve">and distribution (Article 15 GR No.64/2021); Land distribution by the Land Bank consists of land provision and distribution activities. </w:t>
      </w:r>
      <w:r>
        <w:rPr>
          <w:rFonts w:ascii="Calibri Light" w:hAnsi="Calibri Light" w:cs="Calibri Light"/>
          <w:color w:val="444444"/>
          <w:lang w:val="en-US"/>
        </w:rPr>
        <w:t>Land provision serves the public concern, welfare, economic fairness, developmental concern, consolidated land concern, and reforming agriculture</w:t>
      </w:r>
      <w:r>
        <w:rPr>
          <w:rFonts w:ascii="Calibri Light" w:hAnsi="Calibri Light" w:cs="Calibri Light"/>
          <w:color w:val="444444"/>
        </w:rPr>
        <w:t xml:space="preserve">. Land distribution is in accordance with the provisions of laws and regulations. </w:t>
      </w:r>
      <w:r>
        <w:rPr>
          <w:rFonts w:ascii="Calibri Light" w:hAnsi="Calibri Light" w:cs="Calibri Light"/>
          <w:color w:val="444444"/>
          <w:lang w:val="en-US"/>
        </w:rPr>
        <w:t xml:space="preserve">Land distribution is meant to be adequate for ministries/institutions, local governments, cultural and religious groups, and community groups as defined by the federal government </w:t>
      </w:r>
      <w:r>
        <w:rPr>
          <w:rFonts w:ascii="Calibri Light" w:hAnsi="Calibri Light" w:cs="Calibri Light"/>
          <w:color w:val="444444"/>
          <w:lang w:val="en-US"/>
        </w:rPr>
        <w:fldChar w:fldCharType="begin" w:fldLock="1"/>
      </w:r>
      <w:r>
        <w:rPr>
          <w:rFonts w:ascii="Calibri Light" w:hAnsi="Calibri Light" w:cs="Calibri Light"/>
          <w:color w:val="444444"/>
          <w:lang w:val="en-US"/>
        </w:rPr>
        <w:instrText xml:space="preserve">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Rights","type":"thesis"},"uris":["http://www.mendeley.com/documents/?uuid=f1ffa094-18f9-401c-8131-df9687008dba","http://www.mendeley.com/documents/?uuid=3e7f13fd-e612-4e52-b1b2-ac86932645d7"]}],"mendeley":{"formattedCitation":"(Anggraeni, 2024)","manualFormatting":"(Anggraeni, 2024:80-84)","plainTextFormattedCitation":"(Anggraeni, 2024)","previouslyFormattedCitation":"(Anggraeni, 2024)"},"properties":{"noteIndex":0},"schema":"https://github.com/citation-style-language/schema/raw/master/csl-citation.json"}</w:instrText>
      </w:r>
      <w:r>
        <w:rPr>
          <w:rFonts w:ascii="Calibri Light" w:hAnsi="Calibri Light" w:cs="Calibri Light"/>
          <w:color w:val="444444"/>
          <w:lang w:val="en-US"/>
        </w:rPr>
        <w:fldChar w:fldCharType="separate"/>
      </w:r>
      <w:r>
        <w:rPr>
          <w:rFonts w:ascii="Calibri Light" w:hAnsi="Calibri Light" w:cs="Calibri Light"/>
          <w:color w:val="444444"/>
          <w:lang w:val="en-US"/>
        </w:rPr>
        <w:t>(Anggraeni, 2024:80-84)</w:t>
      </w:r>
      <w:r>
        <w:rPr>
          <w:rFonts w:ascii="Calibri Light" w:hAnsi="Calibri Light" w:cs="Calibri Light"/>
          <w:color w:val="444444"/>
          <w:lang w:val="en-US"/>
        </w:rPr>
        <w:fldChar w:fldCharType="end"/>
      </w:r>
      <w:r>
        <w:rPr>
          <w:rFonts w:ascii="Calibri Light" w:hAnsi="Calibri Light" w:cs="Calibri Light"/>
          <w:color w:val="444444"/>
        </w:rPr>
        <w:t>.</w:t>
      </w:r>
    </w:p>
    <w:p w14:paraId="4880F592">
      <w:pPr>
        <w:pStyle w:val="26"/>
        <w:shd w:val="clear" w:color="auto" w:fill="FFFFFF"/>
        <w:spacing w:before="24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According to Article 4 of Government Regulation No. 64 of 2021, the Land Bank Agency is mandated to operate transparently, accountably, and as a non-profit entity. This framework necessitates that the agency's performance be accessible for public scrutiny, particularly by communities impacted by land management decisions. As a non-profit entity endowed with public authority, the Land Bank Agency is authorized to engage in land utilization agreements that support national development and investment objectives through its specialized mandates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 xml:space="preserve">ADDIN CSL_CITATION {"citationItems":[{"id":"ITEM-1","itemData":{"DOI":"10.17358/jabm.10.1.275","ISSN":"24607819","abstract":"Terbatasnya ketersediaan tanah dan juga tingginya harga tanah membuat pemerintah saat ini mengalami kesulitan dalam melaksanakan pembangunan sektoral. Mengatasi permasalahan tersebut pemerintah pada tahun 2021 telah membentuk Badan Khusus (sui generis) Badan Bank Tanah. Tujuan penelitian ini adalah melakukan kajian regulasi dan badan-badan hukum pengelola penyediaan tanah dengan menggunakan metode Regulatory Impact Assessment (RIA). Ruang lingkup penelitian dibatasi pada peraturan-peraturan dan lembaga terkait pengelolaan penyediaan tanah, yaitu Perumnas, BP Batam, Badan Bank Tanah dan Badan Usaha Swasta. Hasil penelitian menunjukkan adanya keterbatasan peran kementerian ATR/BPN dan tidak optimalnya peran beberapa bentuk lembaga sebagai Land Manager Negara dalam pengelolaan penyediaan tanah, khususnya terkait tumpang tindih fungsi perolehan pada badan-badan yang telah ada. Kesimpulan penelitian ini adalah penelitian ini mengusulkan suatu kebijakan bahwa lembaga yang layak sebagai satu-satunya land manager negara adalah Badan Bank Tanah dikarenakan kekhususannya (Sui Generis) yang dapat menjalankan kepentingan publik dan privat pengelolaan penyediaan tanah secara fleksibel. Tetapi dalam pelaksanaannya, Badan ini perlu dukungan kewenangan untuk menjadi Land Manager Negara secara efektif, yaitu melalui kebijakan satu pintu untuk fungsi perolehan tanah dari pemerintah. Kata","author":[{"dropping-particle":"","family":"Sugoto","given":"Himawan Arief","non-dropping-particle":"","parse-names":false,"suffix":""},{"dropping-particle":"","family":"Maarif","given":"M. Syamsul","non-dropping-particle":"","parse-names":false,"suffix":""},{"dropping-particle":"","family":"Mulyanto","given":"Budi","non-dropping-particle":"","parse-names":false,"suffix":""},{"dropping-particle":"","family":"Harianto","given":"","non-dropping-particle":"","parse-names":false,"suffix":""}],"container-title":"Jurnal Aplikasi Bisnis dan Manajemen","id":"ITEM-1","issue":"1","issued":{"date-parts":[["2024"]]},"page":"275-287","title":"Optimalisasi Peran Pemerintah Melalui Badan Bank Tanah Sebagai Land Manager Negara Dalam Pengelolaan Penyediaan Tanah Bagi Kepentingan Pembangunan","type":"article-journal","volume":"10"},"uris":["http://www.mendeley.com/documents/?uuid=6eaba93e-8965-4bbd-9392-6fe4d65a69ea"]}],"mendeley":{"formattedCitation":"(Sugoto et al., 2024)","plainTextFormattedCitation":"(Sugoto et al., 2024)","previouslyFormattedCitation":"(Sugoto et al., 2024)"},"properties":{"noteIndex":0},"schema":"https://github.com/citation-style-language/schema/raw/master/csl-citation.json"}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(Sugoto et al., 2024)</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1659BE21">
      <w:pPr>
        <w:pStyle w:val="26"/>
        <w:shd w:val="clear" w:color="auto" w:fill="FFFFFF"/>
        <w:spacing w:before="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Internationally, various countries have adopted land bank models tailored to their unique legal and socio-economic contexts. In the United States, land banks are primarily established to address issues related to vacant, abandoned, and tax-delinquent properties. These entities acquire such properties to facilitate their rehabilitation and reintegration into productive use, thereby promoting neighborhood revitalization and economic development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 xml:space="preserve">ADDIN CSL_CITATION {"citationItems":[{"id":"ITEM-1","itemData":{"author":[{"dropping-particle":"","family":"Alexander","given":"Frank S","non-dropping-particle":"","parse-names":false,"suffix":""}],"edition":"2","id":"ITEM-1","issued":{"date-parts":[["2015"]]},"publisher":"Center for Community Progress","title":"Land Banks and Land Banking","type":"book"},"uris":["http://www.mendeley.com/documents/?uuid=0f832ad0-1002-4c4d-ab9d-fa6da9ae894f"]}],"mendeley":{"formattedCitation":"(Alexander, 2015)","plainTextFormattedCitation":"(Alexander, 2015)","previouslyFormattedCitation":"(Alexander, 2015)"},"properties":{"noteIndex":0},"schema":"https://github.com/citation-style-language/schema/raw/master/csl-citation.json"}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(Alexander, 2015)</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0BDFB489">
      <w:pPr>
        <w:pStyle w:val="26"/>
        <w:shd w:val="clear" w:color="auto" w:fill="FFFFFF"/>
        <w:spacing w:before="0" w:beforeAutospacing="0" w:after="240" w:afterAutospacing="0"/>
        <w:ind w:left="426"/>
        <w:jc w:val="both"/>
        <w:rPr>
          <w:rFonts w:ascii="Calibri Light" w:hAnsi="Calibri Light" w:cs="Calibri Light"/>
          <w:highlight w:val="yellow"/>
          <w:lang w:val="en-US"/>
        </w:rPr>
      </w:pPr>
      <w:r>
        <w:rPr>
          <w:rFonts w:ascii="Calibri Light" w:hAnsi="Calibri Light" w:cs="Calibri Light"/>
          <w:highlight w:val="yellow"/>
          <w:lang w:val="en-US"/>
        </w:rPr>
        <w:t xml:space="preserve">Conversely, the Netherlands employs a land banking system that is integrated with land consolidation efforts. Dutch land banks, often managed at the provincial level, acquire agricultural land to support spatial planning objectives, including nature conservation, infrastructure development, and rural restructuring. This approach emphasizes sustainable land use and environmental stewardship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 xml:space="preserve">ADDIN CSL_CITATION {"citationItems":[{"id":"ITEM-1","itemData":{"DOI":"10.4060/cb8307en","ISBN":"9789251356302","author":[{"dropping-particle":"","family":"Veršinskas","given":"Tomas","non-dropping-particle":"","parse-names":false,"suffix":""},{"dropping-particle":"","family":"Hartvigsen","given":"Morten","non-dropping-particle":"","parse-names":false,"suffix":""},{"dropping-particle":"","family":"Gorgan","given":"Maxim","non-dropping-particle":"","parse-names":false,"suffix":""}],"container-title":"FAO Regional Office for Europe and Central Asia","id":"ITEM-1","issued":{"date-parts":[["2022"]]},"publisher":"FAO Regional Office for Europe and Central Asia","publisher-place":"Budapest","title":"European good practices on land banking - FAO study and recommendations","type":"book"},"uris":["http://www.mendeley.com/documents/?uuid=ba347fac-3605-414b-b9ff-0f10a2d734af"]}],"mendeley":{"formattedCitation":"(Veršinskas et al., 2022)","plainTextFormattedCitation":"(Veršinskas et al., 2022)","previouslyFormattedCitation":"(Veršinskas et al., 2022)"},"properties":{"noteIndex":0},"schema":"https://github.com/citation-style-language/schema/raw/master/csl-citation.json"}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(Veršinskas et al., 2022)</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30F2002C">
      <w:pPr>
        <w:pStyle w:val="26"/>
        <w:shd w:val="clear" w:color="auto" w:fill="FFFFFF"/>
        <w:spacing w:before="0" w:beforeAutospacing="0" w:after="0" w:afterAutospacing="0"/>
        <w:ind w:left="426"/>
        <w:jc w:val="both"/>
        <w:rPr>
          <w:rFonts w:ascii="Calibri Light" w:hAnsi="Calibri Light" w:cs="Calibri Light"/>
        </w:rPr>
      </w:pPr>
      <w:r>
        <w:rPr>
          <w:rFonts w:ascii="Calibri Light" w:hAnsi="Calibri Light" w:cs="Calibri Light"/>
          <w:highlight w:val="yellow"/>
          <w:lang w:val="en-US"/>
        </w:rPr>
        <w:t xml:space="preserve">These international practices illustrate the diversity of land bank models, which can be broadly categorized into: (1) general-purpose land banks that support public needs such as infrastructure and social equity programs; and (2) special-purpose land banks designed for strategic partnerships with private or commercial sectors to facilitate land-based development </w:t>
      </w:r>
      <w:r>
        <w:rPr>
          <w:rFonts w:ascii="Calibri Light" w:hAnsi="Calibri Light" w:cs="Calibri Light"/>
          <w:highlight w:val="yellow"/>
          <w:lang w:val="en-US"/>
        </w:rPr>
        <w:fldChar w:fldCharType="begin" w:fldLock="1"/>
      </w:r>
      <w:r>
        <w:rPr>
          <w:rFonts w:ascii="Calibri Light" w:hAnsi="Calibri Light" w:cs="Calibri Light"/>
          <w:highlight w:val="yellow"/>
          <w:lang w:val="en-US"/>
        </w:rPr>
        <w:instrText xml:space="preserve">ADDIN CSL_CITATION {"citationItems":[{"id":"ITEM-1","itemData":{"author":[{"dropping-particle":"","family":"Busroh","given":"Firman Freaddy","non-dropping-particle":"","parse-names":false,"suffix":""},{"dropping-particle":"","family":"Santiago","given":"Faisal","non-dropping-particle":"","parse-names":false,"suffix":""}],"container-title":"International Journal of Civil Engineering and Technology (IJCIET)","id":"ITEM-1","issue":"11","issued":{"date-parts":[["2017"]]},"page":"720–732","title":"THE ESTABLISHMENT OF LAND BANK INSTITUTIONS FOR STRENGTHENING THE NATIONAL DEVELOPMENT","type":"article-journal","volume":"8"},"uris":["http://www.mendeley.com/documents/?uuid=f43dd4d7-20cd-4c54-a57f-641ebc68f138"]}],"mendeley":{"formattedCitation":"(Busroh &amp; Santiago, 2017)","plainTextFormattedCitation":"(Busroh &amp; Santiago, 2017)","previouslyFormattedCitation":"(Busroh &amp; Santiago, 2017)"},"properties":{"noteIndex":0},"schema":"https://github.com/citation-style-language/schema/raw/master/csl-citation.json"}</w:instrText>
      </w:r>
      <w:r>
        <w:rPr>
          <w:rFonts w:ascii="Calibri Light" w:hAnsi="Calibri Light" w:cs="Calibri Light"/>
          <w:highlight w:val="yellow"/>
          <w:lang w:val="en-US"/>
        </w:rPr>
        <w:fldChar w:fldCharType="separate"/>
      </w:r>
      <w:r>
        <w:rPr>
          <w:rFonts w:ascii="Calibri Light" w:hAnsi="Calibri Light" w:cs="Calibri Light"/>
          <w:highlight w:val="yellow"/>
          <w:lang w:val="en-US"/>
        </w:rPr>
        <w:t>(Busroh &amp; Santiago, 2017)</w:t>
      </w:r>
      <w:r>
        <w:rPr>
          <w:rFonts w:ascii="Calibri Light" w:hAnsi="Calibri Light" w:cs="Calibri Light"/>
          <w:highlight w:val="yellow"/>
          <w:lang w:val="en-US"/>
        </w:rPr>
        <w:fldChar w:fldCharType="end"/>
      </w:r>
      <w:r>
        <w:rPr>
          <w:rFonts w:ascii="Calibri Light" w:hAnsi="Calibri Light" w:cs="Calibri Light"/>
          <w:highlight w:val="yellow"/>
          <w:lang w:val="en-US"/>
        </w:rPr>
        <w:t>.</w:t>
      </w:r>
    </w:p>
    <w:p w14:paraId="4F2994D9">
      <w:pPr>
        <w:pStyle w:val="26"/>
        <w:shd w:val="clear" w:color="auto" w:fill="FFFFFF"/>
        <w:spacing w:before="240" w:beforeAutospacing="0" w:after="160" w:afterAutospacing="0"/>
        <w:ind w:left="426"/>
        <w:jc w:val="both"/>
        <w:rPr>
          <w:rFonts w:ascii="Calibri Light" w:hAnsi="Calibri Light" w:cs="Calibri Light"/>
          <w:color w:val="444444"/>
        </w:rPr>
      </w:pPr>
      <w:r>
        <w:rPr>
          <w:rFonts w:ascii="Calibri Light" w:hAnsi="Calibri Light" w:cs="Calibri Light"/>
          <w:color w:val="444444"/>
        </w:rPr>
        <w:t>The table below lists a number of regulations related to Land Banks, Management Rights, and Form of Cooperations:</w:t>
      </w:r>
    </w:p>
    <w:p w14:paraId="09403688">
      <w:pPr>
        <w:spacing w:before="120" w:after="120"/>
        <w:ind w:left="440" w:right="-1" w:hanging="14"/>
        <w:jc w:val="center"/>
        <w:rPr>
          <w:rFonts w:ascii="Calibri Light" w:hAnsi="Calibri Light" w:cs="Calibri Light"/>
          <w:color w:val="222222"/>
          <w:sz w:val="24"/>
          <w:szCs w:val="24"/>
        </w:rPr>
      </w:pPr>
      <w:r>
        <w:rPr>
          <w:rFonts w:ascii="Calibri Light" w:hAnsi="Calibri Light" w:cs="Calibri Light"/>
          <w:b/>
          <w:bCs/>
          <w:color w:val="222222"/>
          <w:sz w:val="24"/>
          <w:szCs w:val="24"/>
        </w:rPr>
        <w:t>Table 1.</w:t>
      </w:r>
      <w:r>
        <w:rPr>
          <w:rFonts w:ascii="Calibri Light" w:hAnsi="Calibri Light" w:cs="Calibri Light"/>
          <w:color w:val="222222"/>
          <w:sz w:val="24"/>
          <w:szCs w:val="24"/>
        </w:rPr>
        <w:t xml:space="preserve"> Regulations on Land Banks, Management Rights, and Forms of Cooperation</w:t>
      </w:r>
    </w:p>
    <w:tbl>
      <w:tblPr>
        <w:tblStyle w:val="28"/>
        <w:tblW w:w="0" w:type="auto"/>
        <w:tblInd w:w="534"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562"/>
        <w:gridCol w:w="1544"/>
        <w:gridCol w:w="2315"/>
        <w:gridCol w:w="2237"/>
        <w:gridCol w:w="2095"/>
      </w:tblGrid>
      <w:tr w14:paraId="31B1B46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567" w:type="dxa"/>
            <w:shd w:val="clear" w:color="auto" w:fill="D8D8D8" w:themeFill="background1" w:themeFillShade="D9"/>
          </w:tcPr>
          <w:p w14:paraId="7F78AFE2">
            <w:pPr>
              <w:jc w:val="both"/>
              <w:rPr>
                <w:rFonts w:ascii="Calibri Light" w:hAnsi="Calibri Light" w:cs="Calibri Light"/>
                <w:b/>
                <w:bCs/>
                <w:color w:val="222222"/>
                <w:sz w:val="24"/>
                <w:szCs w:val="24"/>
              </w:rPr>
            </w:pPr>
            <w:r>
              <w:rPr>
                <w:rFonts w:ascii="Calibri Light" w:hAnsi="Calibri Light" w:cs="Calibri Light"/>
                <w:b/>
                <w:bCs/>
                <w:color w:val="222222"/>
                <w:sz w:val="24"/>
                <w:szCs w:val="24"/>
              </w:rPr>
              <w:t>No.</w:t>
            </w:r>
          </w:p>
        </w:tc>
        <w:tc>
          <w:tcPr>
            <w:tcW w:w="1559" w:type="dxa"/>
            <w:shd w:val="clear" w:color="auto" w:fill="D8D8D8" w:themeFill="background1" w:themeFillShade="D9"/>
          </w:tcPr>
          <w:p w14:paraId="54005EF2">
            <w:pPr>
              <w:jc w:val="both"/>
              <w:rPr>
                <w:rFonts w:ascii="Calibri Light" w:hAnsi="Calibri Light" w:cs="Calibri Light"/>
                <w:b/>
                <w:bCs/>
                <w:color w:val="222222"/>
                <w:sz w:val="24"/>
                <w:szCs w:val="24"/>
              </w:rPr>
            </w:pPr>
            <w:r>
              <w:rPr>
                <w:rFonts w:ascii="Calibri Light" w:hAnsi="Calibri Light" w:cs="Calibri Light"/>
                <w:b/>
                <w:bCs/>
                <w:sz w:val="24"/>
                <w:szCs w:val="24"/>
              </w:rPr>
              <w:t>Regulation</w:t>
            </w:r>
          </w:p>
        </w:tc>
        <w:tc>
          <w:tcPr>
            <w:tcW w:w="2268" w:type="dxa"/>
            <w:shd w:val="clear" w:color="auto" w:fill="D8D8D8" w:themeFill="background1" w:themeFillShade="D9"/>
          </w:tcPr>
          <w:p w14:paraId="2D474ED8">
            <w:pPr>
              <w:jc w:val="both"/>
              <w:rPr>
                <w:rFonts w:ascii="Calibri Light" w:hAnsi="Calibri Light" w:cs="Calibri Light"/>
                <w:b/>
                <w:bCs/>
                <w:color w:val="222222"/>
                <w:sz w:val="24"/>
                <w:szCs w:val="24"/>
              </w:rPr>
            </w:pPr>
            <w:r>
              <w:rPr>
                <w:rFonts w:ascii="Calibri Light" w:hAnsi="Calibri Light" w:cs="Calibri Light"/>
                <w:b/>
                <w:bCs/>
                <w:sz w:val="24"/>
                <w:szCs w:val="24"/>
              </w:rPr>
              <w:t>Subject</w:t>
            </w:r>
          </w:p>
        </w:tc>
        <w:tc>
          <w:tcPr>
            <w:tcW w:w="2188" w:type="dxa"/>
            <w:shd w:val="clear" w:color="auto" w:fill="D8D8D8" w:themeFill="background1" w:themeFillShade="D9"/>
          </w:tcPr>
          <w:p w14:paraId="23A881A6">
            <w:pPr>
              <w:jc w:val="both"/>
              <w:rPr>
                <w:rFonts w:ascii="Calibri Light" w:hAnsi="Calibri Light" w:cs="Calibri Light"/>
                <w:b/>
                <w:bCs/>
                <w:color w:val="222222"/>
                <w:sz w:val="24"/>
                <w:szCs w:val="24"/>
              </w:rPr>
            </w:pPr>
            <w:r>
              <w:rPr>
                <w:rFonts w:ascii="Calibri Light" w:hAnsi="Calibri Light" w:cs="Calibri Light"/>
                <w:b/>
                <w:bCs/>
                <w:sz w:val="24"/>
                <w:szCs w:val="24"/>
              </w:rPr>
              <w:t>Object</w:t>
            </w:r>
          </w:p>
        </w:tc>
        <w:tc>
          <w:tcPr>
            <w:tcW w:w="2171" w:type="dxa"/>
            <w:shd w:val="clear" w:color="auto" w:fill="D8D8D8" w:themeFill="background1" w:themeFillShade="D9"/>
          </w:tcPr>
          <w:p w14:paraId="1282743B">
            <w:pPr>
              <w:jc w:val="both"/>
              <w:rPr>
                <w:rFonts w:ascii="Calibri Light" w:hAnsi="Calibri Light" w:cs="Calibri Light"/>
                <w:b/>
                <w:bCs/>
                <w:color w:val="222222"/>
                <w:sz w:val="24"/>
                <w:szCs w:val="24"/>
              </w:rPr>
            </w:pPr>
            <w:r>
              <w:rPr>
                <w:rFonts w:ascii="Calibri Light" w:hAnsi="Calibri Light" w:cs="Calibri Light"/>
                <w:b/>
                <w:bCs/>
                <w:sz w:val="24"/>
                <w:szCs w:val="24"/>
              </w:rPr>
              <w:t>Form of cooperation</w:t>
            </w:r>
          </w:p>
        </w:tc>
      </w:tr>
      <w:tr w14:paraId="7244E639">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567" w:type="dxa"/>
          </w:tcPr>
          <w:p w14:paraId="0961C8E1">
            <w:pPr>
              <w:jc w:val="both"/>
              <w:rPr>
                <w:rFonts w:ascii="Calibri Light" w:hAnsi="Calibri Light" w:cs="Calibri Light"/>
                <w:b/>
                <w:bCs/>
                <w:color w:val="222222"/>
                <w:sz w:val="24"/>
                <w:szCs w:val="24"/>
              </w:rPr>
            </w:pPr>
            <w:r>
              <w:rPr>
                <w:rFonts w:ascii="Calibri Light" w:hAnsi="Calibri Light" w:cs="Calibri Light"/>
                <w:b/>
                <w:bCs/>
                <w:color w:val="222222"/>
                <w:sz w:val="24"/>
                <w:szCs w:val="24"/>
              </w:rPr>
              <w:t>1.</w:t>
            </w:r>
          </w:p>
        </w:tc>
        <w:tc>
          <w:tcPr>
            <w:tcW w:w="1559" w:type="dxa"/>
          </w:tcPr>
          <w:p w14:paraId="076418D6">
            <w:pPr>
              <w:jc w:val="both"/>
              <w:rPr>
                <w:rFonts w:ascii="Calibri Light" w:hAnsi="Calibri Light" w:cs="Calibri Light"/>
                <w:color w:val="222222"/>
                <w:sz w:val="24"/>
                <w:szCs w:val="24"/>
              </w:rPr>
            </w:pPr>
            <w:r>
              <w:rPr>
                <w:rFonts w:ascii="Calibri Light" w:hAnsi="Calibri Light" w:cs="Calibri Light"/>
                <w:b/>
                <w:bCs/>
                <w:sz w:val="24"/>
                <w:szCs w:val="24"/>
              </w:rPr>
              <w:t>Law of Job Creation</w:t>
            </w:r>
          </w:p>
        </w:tc>
        <w:tc>
          <w:tcPr>
            <w:tcW w:w="2268" w:type="dxa"/>
          </w:tcPr>
          <w:p w14:paraId="26198CF4">
            <w:pPr>
              <w:rPr>
                <w:rFonts w:ascii="Calibri Light" w:hAnsi="Calibri Light" w:cs="Calibri Light"/>
                <w:b/>
                <w:bCs/>
                <w:sz w:val="24"/>
                <w:szCs w:val="24"/>
              </w:rPr>
            </w:pPr>
            <w:r>
              <w:rPr>
                <w:rFonts w:ascii="Calibri Light" w:hAnsi="Calibri Light" w:cs="Calibri Light"/>
                <w:b/>
                <w:bCs/>
                <w:sz w:val="24"/>
                <w:szCs w:val="24"/>
              </w:rPr>
              <w:t>Article 125 Paragraph (1)</w:t>
            </w:r>
          </w:p>
          <w:p w14:paraId="3D4143DC">
            <w:pPr>
              <w:rPr>
                <w:rFonts w:ascii="Calibri Light" w:hAnsi="Calibri Light" w:cs="Calibri Light"/>
                <w:sz w:val="24"/>
                <w:szCs w:val="24"/>
              </w:rPr>
            </w:pPr>
            <w:r>
              <w:rPr>
                <w:rFonts w:ascii="Calibri Light" w:hAnsi="Calibri Light" w:cs="Calibri Light"/>
                <w:sz w:val="24"/>
                <w:szCs w:val="24"/>
              </w:rPr>
              <w:t>The Central Government shall establish a land bank agency; Paragraph (2) The land bank agency, mentioned in paragraph (1), is a specific agency that oversees land.</w:t>
            </w:r>
          </w:p>
          <w:p w14:paraId="0BD512E3">
            <w:pPr>
              <w:rPr>
                <w:rFonts w:ascii="Calibri Light" w:hAnsi="Calibri Light" w:cs="Calibri Light"/>
                <w:sz w:val="24"/>
                <w:szCs w:val="24"/>
              </w:rPr>
            </w:pPr>
            <w:r>
              <w:rPr>
                <w:rFonts w:ascii="Calibri Light" w:hAnsi="Calibri Light" w:cs="Calibri Light"/>
                <w:sz w:val="24"/>
                <w:szCs w:val="24"/>
              </w:rPr>
              <w:t xml:space="preserve">Article 137 Paragraph (1) Part of the state's authority to control land in the form of land may be given management rights to: </w:t>
            </w:r>
          </w:p>
          <w:p w14:paraId="08423847">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Central government agencies</w:t>
            </w:r>
          </w:p>
          <w:p w14:paraId="6F75BCE7">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Regional governments;</w:t>
            </w:r>
          </w:p>
          <w:p w14:paraId="12DCE434">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Land bank agencies;</w:t>
            </w:r>
          </w:p>
          <w:p w14:paraId="3F2B6327">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State-owned/Regional-owned Enterprises</w:t>
            </w:r>
          </w:p>
          <w:p w14:paraId="7E8794D9">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State/Regional-owned Legal Entities; or</w:t>
            </w:r>
          </w:p>
          <w:p w14:paraId="32664630">
            <w:pPr>
              <w:pStyle w:val="48"/>
              <w:numPr>
                <w:ilvl w:val="1"/>
                <w:numId w:val="4"/>
              </w:numPr>
              <w:spacing w:after="0" w:line="240" w:lineRule="auto"/>
              <w:ind w:left="250" w:hanging="249"/>
              <w:rPr>
                <w:rFonts w:ascii="Calibri Light" w:hAnsi="Calibri Light" w:cs="Calibri Light"/>
                <w:sz w:val="24"/>
                <w:szCs w:val="24"/>
              </w:rPr>
            </w:pPr>
            <w:r>
              <w:rPr>
                <w:rFonts w:ascii="Calibri Light" w:hAnsi="Calibri Light" w:cs="Calibri Light"/>
                <w:sz w:val="24"/>
                <w:szCs w:val="24"/>
              </w:rPr>
              <w:t>Legal Entities appointed by the Central Government.</w:t>
            </w:r>
          </w:p>
        </w:tc>
        <w:tc>
          <w:tcPr>
            <w:tcW w:w="2188" w:type="dxa"/>
          </w:tcPr>
          <w:p w14:paraId="189F74EF">
            <w:pPr>
              <w:rPr>
                <w:rFonts w:ascii="Calibri Light" w:hAnsi="Calibri Light" w:cs="Calibri Light"/>
                <w:sz w:val="24"/>
                <w:szCs w:val="24"/>
              </w:rPr>
            </w:pPr>
            <w:r>
              <w:rPr>
                <w:rFonts w:ascii="Calibri Light" w:hAnsi="Calibri Light" w:cs="Calibri Light"/>
                <w:b/>
                <w:bCs/>
                <w:sz w:val="24"/>
                <w:szCs w:val="24"/>
              </w:rPr>
              <w:t>Article 129 Paragraph (1)</w:t>
            </w:r>
            <w:r>
              <w:rPr>
                <w:rFonts w:ascii="Calibri Light" w:hAnsi="Calibri Light" w:cs="Calibri Light"/>
                <w:sz w:val="24"/>
                <w:szCs w:val="24"/>
              </w:rPr>
              <w:t xml:space="preserve"> Land maintained by the land bank agency is granted management rights.</w:t>
            </w:r>
          </w:p>
          <w:p w14:paraId="3855B1F7">
            <w:pPr>
              <w:jc w:val="both"/>
              <w:rPr>
                <w:rFonts w:ascii="Calibri Light" w:hAnsi="Calibri Light" w:cs="Calibri Light"/>
                <w:color w:val="222222"/>
                <w:sz w:val="24"/>
                <w:szCs w:val="24"/>
              </w:rPr>
            </w:pPr>
            <w:r>
              <w:rPr>
                <w:rFonts w:ascii="Calibri Light" w:hAnsi="Calibri Light" w:cs="Calibri Light"/>
                <w:sz w:val="24"/>
                <w:szCs w:val="24"/>
              </w:rPr>
              <w:t>Article (2) Rights on land above the management rights as referred to paragraph (1) can be given Business Use Rights, Building Use Rights, and Use Rights.</w:t>
            </w:r>
          </w:p>
        </w:tc>
        <w:tc>
          <w:tcPr>
            <w:tcW w:w="2171" w:type="dxa"/>
          </w:tcPr>
          <w:p w14:paraId="4A9932F6">
            <w:pPr>
              <w:jc w:val="both"/>
              <w:rPr>
                <w:rFonts w:ascii="Calibri Light" w:hAnsi="Calibri Light" w:cs="Calibri Light"/>
                <w:color w:val="222222"/>
                <w:sz w:val="24"/>
                <w:szCs w:val="24"/>
              </w:rPr>
            </w:pPr>
            <w:r>
              <w:rPr>
                <w:rFonts w:ascii="Calibri Light" w:hAnsi="Calibri Light" w:cs="Calibri Light"/>
                <w:sz w:val="24"/>
                <w:szCs w:val="24"/>
                <w:shd w:val="clear" w:color="auto" w:fill="FFFFFF"/>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14:paraId="2279557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567" w:type="dxa"/>
          </w:tcPr>
          <w:p w14:paraId="58411742">
            <w:pPr>
              <w:jc w:val="both"/>
              <w:rPr>
                <w:rFonts w:ascii="Calibri Light" w:hAnsi="Calibri Light" w:cs="Calibri Light"/>
                <w:b/>
                <w:bCs/>
                <w:color w:val="222222"/>
                <w:sz w:val="24"/>
                <w:szCs w:val="24"/>
              </w:rPr>
            </w:pPr>
            <w:r>
              <w:rPr>
                <w:rFonts w:ascii="Calibri Light" w:hAnsi="Calibri Light" w:cs="Calibri Light"/>
                <w:b/>
                <w:bCs/>
                <w:color w:val="222222"/>
                <w:sz w:val="24"/>
                <w:szCs w:val="24"/>
              </w:rPr>
              <w:t>2.</w:t>
            </w:r>
          </w:p>
        </w:tc>
        <w:tc>
          <w:tcPr>
            <w:tcW w:w="1559" w:type="dxa"/>
          </w:tcPr>
          <w:p w14:paraId="5426373C">
            <w:pPr>
              <w:jc w:val="both"/>
              <w:rPr>
                <w:rFonts w:ascii="Calibri Light" w:hAnsi="Calibri Light" w:cs="Calibri Light"/>
                <w:color w:val="222222"/>
                <w:sz w:val="24"/>
                <w:szCs w:val="24"/>
              </w:rPr>
            </w:pPr>
            <w:r>
              <w:rPr>
                <w:rFonts w:ascii="Calibri Light" w:hAnsi="Calibri Light" w:cs="Calibri Light"/>
                <w:b/>
                <w:bCs/>
                <w:sz w:val="24"/>
                <w:szCs w:val="24"/>
              </w:rPr>
              <w:t>GR Land Banks</w:t>
            </w:r>
          </w:p>
        </w:tc>
        <w:tc>
          <w:tcPr>
            <w:tcW w:w="2268" w:type="dxa"/>
          </w:tcPr>
          <w:p w14:paraId="5921E717">
            <w:pPr>
              <w:jc w:val="both"/>
              <w:rPr>
                <w:rFonts w:ascii="Calibri Light" w:hAnsi="Calibri Light" w:cs="Calibri Light"/>
                <w:sz w:val="24"/>
                <w:szCs w:val="24"/>
              </w:rPr>
            </w:pPr>
            <w:r>
              <w:rPr>
                <w:rFonts w:ascii="Calibri Light" w:hAnsi="Calibri Light" w:cs="Calibri Light"/>
                <w:b/>
                <w:bCs/>
                <w:sz w:val="24"/>
                <w:szCs w:val="24"/>
              </w:rPr>
              <w:t xml:space="preserve">Article 2 Paragraph (1) </w:t>
            </w:r>
            <w:r>
              <w:rPr>
                <w:rFonts w:ascii="Calibri Light" w:hAnsi="Calibri Light" w:cs="Calibri Light"/>
                <w:sz w:val="24"/>
                <w:szCs w:val="24"/>
              </w:rPr>
              <w:t>This Government Regulation establishes a Land Bank.</w:t>
            </w:r>
          </w:p>
        </w:tc>
        <w:tc>
          <w:tcPr>
            <w:tcW w:w="2188" w:type="dxa"/>
          </w:tcPr>
          <w:p w14:paraId="04AB4596">
            <w:pPr>
              <w:pStyle w:val="48"/>
              <w:numPr>
                <w:ilvl w:val="0"/>
                <w:numId w:val="5"/>
              </w:numPr>
              <w:spacing w:after="0" w:line="240" w:lineRule="auto"/>
              <w:ind w:left="177" w:hanging="177"/>
              <w:rPr>
                <w:rFonts w:ascii="Calibri Light" w:hAnsi="Calibri Light" w:cs="Calibri Light"/>
                <w:sz w:val="24"/>
                <w:szCs w:val="24"/>
                <w:lang w:val="en-US"/>
              </w:rPr>
            </w:pPr>
            <w:r>
              <w:rPr>
                <w:rFonts w:ascii="Calibri Light" w:hAnsi="Calibri Light" w:cs="Calibri Light"/>
                <w:b/>
                <w:bCs/>
                <w:sz w:val="24"/>
                <w:szCs w:val="24"/>
              </w:rPr>
              <w:t>Article 40 Paragraph (1)</w:t>
            </w:r>
            <w:r>
              <w:rPr>
                <w:rFonts w:ascii="Calibri Light" w:hAnsi="Calibri Light" w:cs="Calibri Light"/>
                <w:sz w:val="24"/>
                <w:szCs w:val="24"/>
              </w:rPr>
              <w:t xml:space="preserve"> </w:t>
            </w:r>
            <w:r>
              <w:rPr>
                <w:rFonts w:ascii="Calibri Light" w:hAnsi="Calibri Light" w:cs="Calibri Light"/>
                <w:sz w:val="24"/>
                <w:szCs w:val="24"/>
                <w:lang w:val="en-US"/>
              </w:rPr>
              <w:t>Land administered by the Land Bank is assigned Management Rights in line with the stipulations of legislative rules.</w:t>
            </w:r>
          </w:p>
          <w:p w14:paraId="39993202">
            <w:pPr>
              <w:pStyle w:val="48"/>
              <w:numPr>
                <w:ilvl w:val="0"/>
                <w:numId w:val="6"/>
              </w:numPr>
              <w:spacing w:after="0" w:line="240" w:lineRule="auto"/>
              <w:ind w:left="204" w:hanging="204"/>
              <w:rPr>
                <w:rFonts w:ascii="Calibri Light" w:hAnsi="Calibri Light" w:cs="Calibri Light"/>
                <w:sz w:val="24"/>
                <w:szCs w:val="24"/>
              </w:rPr>
            </w:pPr>
            <w:r>
              <w:rPr>
                <w:rFonts w:ascii="Calibri Light" w:hAnsi="Calibri Light" w:cs="Calibri Light"/>
                <w:b/>
                <w:bCs/>
                <w:sz w:val="24"/>
                <w:szCs w:val="24"/>
              </w:rPr>
              <w:t>Article 8 Paragraph (1)</w:t>
            </w:r>
            <w:r>
              <w:rPr>
                <w:rFonts w:ascii="Calibri Light" w:hAnsi="Calibri Light" w:cs="Calibri Light"/>
                <w:sz w:val="24"/>
                <w:szCs w:val="24"/>
              </w:rPr>
              <w:t xml:space="preserve"> land from other parties as referred to Article 6 letter b comes from  </w:t>
            </w:r>
          </w:p>
          <w:p w14:paraId="45203824">
            <w:pPr>
              <w:pStyle w:val="48"/>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Central government;  </w:t>
            </w:r>
          </w:p>
          <w:p w14:paraId="00168683">
            <w:pPr>
              <w:pStyle w:val="48"/>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Regional government; </w:t>
            </w:r>
          </w:p>
          <w:p w14:paraId="7B33035D">
            <w:pPr>
              <w:pStyle w:val="48"/>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 xml:space="preserve">State-owned enterprises; </w:t>
            </w:r>
          </w:p>
          <w:p w14:paraId="6F14F454">
            <w:pPr>
              <w:pStyle w:val="48"/>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Reginal-owned enterprises;</w:t>
            </w:r>
          </w:p>
          <w:p w14:paraId="11EE3793">
            <w:pPr>
              <w:pStyle w:val="48"/>
              <w:numPr>
                <w:ilvl w:val="0"/>
                <w:numId w:val="7"/>
              </w:numPr>
              <w:spacing w:after="0" w:line="240" w:lineRule="auto"/>
              <w:ind w:left="347" w:hanging="168"/>
              <w:rPr>
                <w:rFonts w:ascii="Calibri Light" w:hAnsi="Calibri Light" w:cs="Calibri Light"/>
                <w:sz w:val="24"/>
                <w:szCs w:val="24"/>
              </w:rPr>
            </w:pPr>
            <w:r>
              <w:rPr>
                <w:rFonts w:ascii="Calibri Light" w:hAnsi="Calibri Light" w:cs="Calibri Light"/>
                <w:sz w:val="24"/>
                <w:szCs w:val="24"/>
              </w:rPr>
              <w:t xml:space="preserve">Business entities; </w:t>
            </w:r>
          </w:p>
          <w:p w14:paraId="7AD6BC05">
            <w:pPr>
              <w:pStyle w:val="48"/>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sz w:val="24"/>
                <w:szCs w:val="24"/>
              </w:rPr>
              <w:t xml:space="preserve">Legal entities; </w:t>
            </w:r>
          </w:p>
          <w:p w14:paraId="1AF7FFCF">
            <w:pPr>
              <w:pStyle w:val="48"/>
              <w:numPr>
                <w:ilvl w:val="0"/>
                <w:numId w:val="7"/>
              </w:numPr>
              <w:spacing w:after="0" w:line="240" w:lineRule="auto"/>
              <w:ind w:left="347" w:hanging="168"/>
              <w:rPr>
                <w:rFonts w:ascii="Calibri Light" w:hAnsi="Calibri Light" w:cs="Calibri Light"/>
                <w:b/>
                <w:bCs/>
                <w:sz w:val="24"/>
                <w:szCs w:val="24"/>
              </w:rPr>
            </w:pPr>
            <w:r>
              <w:rPr>
                <w:rFonts w:ascii="Calibri Light" w:hAnsi="Calibri Light" w:cs="Calibri Light"/>
                <w:b/>
                <w:bCs/>
                <w:sz w:val="24"/>
                <w:szCs w:val="24"/>
              </w:rPr>
              <w:t>Community</w:t>
            </w:r>
          </w:p>
          <w:p w14:paraId="371D6292">
            <w:pPr>
              <w:jc w:val="both"/>
              <w:rPr>
                <w:rFonts w:ascii="Calibri Light" w:hAnsi="Calibri Light" w:cs="Calibri Light"/>
                <w:color w:val="222222"/>
                <w:sz w:val="24"/>
                <w:szCs w:val="24"/>
              </w:rPr>
            </w:pPr>
          </w:p>
        </w:tc>
        <w:tc>
          <w:tcPr>
            <w:tcW w:w="2171" w:type="dxa"/>
          </w:tcPr>
          <w:p w14:paraId="7D5B419E">
            <w:pPr>
              <w:pStyle w:val="48"/>
              <w:numPr>
                <w:ilvl w:val="0"/>
                <w:numId w:val="8"/>
              </w:numPr>
              <w:spacing w:after="0" w:line="240" w:lineRule="auto"/>
              <w:ind w:left="173" w:hanging="142"/>
              <w:rPr>
                <w:rFonts w:ascii="Calibri Light" w:hAnsi="Calibri Light" w:cs="Calibri Light"/>
                <w:sz w:val="24"/>
                <w:szCs w:val="24"/>
              </w:rPr>
            </w:pPr>
            <w:r>
              <w:rPr>
                <w:rFonts w:ascii="Calibri Light" w:hAnsi="Calibri Light" w:cs="Calibri Light"/>
                <w:b/>
                <w:bCs/>
                <w:sz w:val="24"/>
                <w:szCs w:val="24"/>
              </w:rPr>
              <w:t>Article 2 letter e</w:t>
            </w:r>
            <w:r>
              <w:rPr>
                <w:rFonts w:ascii="Calibri Light" w:hAnsi="Calibri Light" w:cs="Calibri Light"/>
                <w:sz w:val="24"/>
                <w:szCs w:val="24"/>
              </w:rPr>
              <w:t>, the Land Bank has the task of utilizing land through utilization cooperation with other parties.</w:t>
            </w:r>
          </w:p>
          <w:p w14:paraId="30F14EA6">
            <w:pPr>
              <w:pStyle w:val="48"/>
              <w:numPr>
                <w:ilvl w:val="0"/>
                <w:numId w:val="8"/>
              </w:numPr>
              <w:spacing w:after="0" w:line="240" w:lineRule="auto"/>
              <w:ind w:left="170" w:hanging="139"/>
              <w:rPr>
                <w:rFonts w:ascii="Calibri Light" w:hAnsi="Calibri Light" w:cs="Calibri Light"/>
                <w:sz w:val="24"/>
                <w:szCs w:val="24"/>
              </w:rPr>
            </w:pPr>
            <w:r>
              <w:rPr>
                <w:rFonts w:ascii="Calibri Light" w:hAnsi="Calibri Light" w:cs="Calibri Light"/>
                <w:b/>
                <w:bCs/>
                <w:sz w:val="24"/>
                <w:szCs w:val="24"/>
              </w:rPr>
              <w:t xml:space="preserve">Article 14 Paragraph (2) </w:t>
            </w:r>
            <w:r>
              <w:rPr>
                <w:rFonts w:ascii="Calibri Light" w:hAnsi="Calibri Light" w:cs="Calibri Light"/>
                <w:sz w:val="24"/>
                <w:szCs w:val="24"/>
              </w:rPr>
              <w:t>cooperation on utilization with other parties as intended in paragraph (1) takes the form of: a. buy and sell; b. rent; c) business cooperation; d) grants; e. exchange; and other agreed forms.</w:t>
            </w:r>
          </w:p>
          <w:p w14:paraId="346300B6">
            <w:pPr>
              <w:pStyle w:val="48"/>
              <w:numPr>
                <w:ilvl w:val="0"/>
                <w:numId w:val="8"/>
              </w:numPr>
              <w:spacing w:after="0" w:line="240" w:lineRule="auto"/>
              <w:ind w:left="170" w:hanging="139"/>
              <w:rPr>
                <w:rFonts w:ascii="Calibri Light" w:hAnsi="Calibri Light" w:cs="Calibri Light"/>
                <w:sz w:val="24"/>
                <w:szCs w:val="24"/>
              </w:rPr>
            </w:pPr>
            <w:r>
              <w:rPr>
                <w:rFonts w:ascii="Calibri Light" w:hAnsi="Calibri Light" w:cs="Calibri Light"/>
                <w:b/>
                <w:bCs/>
                <w:sz w:val="24"/>
                <w:szCs w:val="24"/>
              </w:rPr>
              <w:t xml:space="preserve">Article 36 Paragraph (2) </w:t>
            </w:r>
            <w:r>
              <w:rPr>
                <w:rFonts w:ascii="Calibri Light" w:hAnsi="Calibri Light" w:cs="Calibri Light"/>
                <w:sz w:val="24"/>
                <w:szCs w:val="24"/>
              </w:rPr>
              <w:t>cooperation as referred to paragraph (1) may be carried out with the Central Government, Regional Government, State Institutions, State-Owned Enterprises, Regional-Owned Enterprises, Business Entities, State-Owned Legal Entities, State Legal Entities, Private Legal Entities, Communities, Cooperatives, and/or other legitimate parties.</w:t>
            </w:r>
          </w:p>
          <w:p w14:paraId="551F07C1">
            <w:pPr>
              <w:jc w:val="both"/>
              <w:rPr>
                <w:rFonts w:ascii="Calibri Light" w:hAnsi="Calibri Light" w:cs="Calibri Light"/>
                <w:sz w:val="24"/>
                <w:szCs w:val="24"/>
              </w:rPr>
            </w:pPr>
            <w:r>
              <w:rPr>
                <w:rFonts w:ascii="Calibri Light" w:hAnsi="Calibri Light" w:cs="Calibri Light"/>
                <w:sz w:val="24"/>
                <w:szCs w:val="24"/>
              </w:rPr>
              <w:t xml:space="preserve">Paragraph (3) In order to carry out the collaboration described in paragraph (2), </w:t>
            </w:r>
            <w:r>
              <w:rPr>
                <w:rFonts w:ascii="Calibri Light" w:hAnsi="Calibri Light" w:cs="Calibri Light"/>
                <w:b/>
                <w:bCs/>
                <w:sz w:val="24"/>
                <w:szCs w:val="24"/>
              </w:rPr>
              <w:t>the Land Bank can accept land as an investment and administer it through Business collaboration.</w:t>
            </w:r>
          </w:p>
        </w:tc>
      </w:tr>
      <w:tr w14:paraId="4F1B9A24">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567" w:type="dxa"/>
          </w:tcPr>
          <w:p w14:paraId="23CFEA8E">
            <w:pPr>
              <w:jc w:val="both"/>
              <w:rPr>
                <w:rFonts w:ascii="Calibri Light" w:hAnsi="Calibri Light" w:cs="Calibri Light"/>
                <w:b/>
                <w:bCs/>
                <w:color w:val="222222"/>
                <w:sz w:val="24"/>
                <w:szCs w:val="24"/>
              </w:rPr>
            </w:pPr>
            <w:r>
              <w:rPr>
                <w:rFonts w:ascii="Calibri Light" w:hAnsi="Calibri Light" w:cs="Calibri Light"/>
                <w:b/>
                <w:bCs/>
                <w:color w:val="222222"/>
                <w:sz w:val="24"/>
                <w:szCs w:val="24"/>
              </w:rPr>
              <w:t>3.</w:t>
            </w:r>
          </w:p>
        </w:tc>
        <w:tc>
          <w:tcPr>
            <w:tcW w:w="1559" w:type="dxa"/>
          </w:tcPr>
          <w:p w14:paraId="7A6611E3">
            <w:pPr>
              <w:jc w:val="both"/>
              <w:rPr>
                <w:rFonts w:ascii="Calibri Light" w:hAnsi="Calibri Light" w:cs="Calibri Light"/>
                <w:color w:val="222222"/>
                <w:sz w:val="24"/>
                <w:szCs w:val="24"/>
              </w:rPr>
            </w:pPr>
            <w:r>
              <w:rPr>
                <w:rFonts w:ascii="Calibri Light" w:hAnsi="Calibri Light" w:cs="Calibri Light"/>
                <w:b/>
                <w:bCs/>
                <w:sz w:val="24"/>
                <w:szCs w:val="24"/>
              </w:rPr>
              <w:t>GR Management Rights</w:t>
            </w:r>
            <w:r>
              <w:rPr>
                <w:rFonts w:ascii="Calibri Light" w:hAnsi="Calibri Light" w:cs="Calibri Light"/>
                <w:sz w:val="24"/>
                <w:szCs w:val="24"/>
              </w:rPr>
              <w:t>, Land Rights, Apartment Units, and Land Registration</w:t>
            </w:r>
          </w:p>
        </w:tc>
        <w:tc>
          <w:tcPr>
            <w:tcW w:w="2268" w:type="dxa"/>
          </w:tcPr>
          <w:p w14:paraId="38C93C88">
            <w:pPr>
              <w:jc w:val="both"/>
              <w:rPr>
                <w:rFonts w:ascii="Calibri Light" w:hAnsi="Calibri Light" w:cs="Calibri Light"/>
                <w:b/>
                <w:bCs/>
                <w:sz w:val="24"/>
                <w:szCs w:val="24"/>
              </w:rPr>
            </w:pPr>
            <w:r>
              <w:rPr>
                <w:rFonts w:ascii="Calibri Light" w:hAnsi="Calibri Light" w:cs="Calibri Light"/>
                <w:b/>
                <w:bCs/>
                <w:sz w:val="24"/>
                <w:szCs w:val="24"/>
              </w:rPr>
              <w:t>Article 5 Paragraph (1)</w:t>
            </w:r>
          </w:p>
          <w:p w14:paraId="1B240C0B">
            <w:pPr>
              <w:jc w:val="both"/>
              <w:rPr>
                <w:rFonts w:ascii="Calibri Light" w:hAnsi="Calibri Light" w:cs="Calibri Light"/>
                <w:sz w:val="24"/>
                <w:szCs w:val="24"/>
              </w:rPr>
            </w:pPr>
            <w:r>
              <w:rPr>
                <w:rFonts w:ascii="Calibri Light" w:hAnsi="Calibri Light" w:cs="Calibri Light"/>
                <w:sz w:val="24"/>
                <w:szCs w:val="24"/>
              </w:rPr>
              <w:t>Management rights derived from state property are awarded to:</w:t>
            </w:r>
          </w:p>
          <w:p w14:paraId="50EEC548">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Central government agencies;</w:t>
            </w:r>
          </w:p>
          <w:p w14:paraId="73133957">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Regional governments;</w:t>
            </w:r>
          </w:p>
          <w:p w14:paraId="438BA4CF">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State-owned enterprises/regional-owned enterprises;</w:t>
            </w:r>
          </w:p>
          <w:p w14:paraId="5F3E69BF">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State-owned legal entities/regional-owned legal entities;</w:t>
            </w:r>
          </w:p>
          <w:p w14:paraId="786BA857">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Land bank agencies;</w:t>
            </w:r>
          </w:p>
          <w:p w14:paraId="5525F748">
            <w:pPr>
              <w:pStyle w:val="48"/>
              <w:numPr>
                <w:ilvl w:val="0"/>
                <w:numId w:val="9"/>
              </w:numPr>
              <w:spacing w:after="0" w:line="240" w:lineRule="auto"/>
              <w:ind w:left="312" w:right="38" w:hanging="283"/>
              <w:rPr>
                <w:rFonts w:ascii="Calibri Light" w:hAnsi="Calibri Light" w:cs="Calibri Light"/>
                <w:sz w:val="24"/>
                <w:szCs w:val="24"/>
              </w:rPr>
            </w:pPr>
            <w:r>
              <w:rPr>
                <w:rFonts w:ascii="Calibri Light" w:hAnsi="Calibri Light" w:cs="Calibri Light"/>
                <w:sz w:val="24"/>
                <w:szCs w:val="24"/>
              </w:rPr>
              <w:t>Legal entities appointed by the central government.</w:t>
            </w:r>
          </w:p>
          <w:p w14:paraId="2C8C71BB">
            <w:pPr>
              <w:pStyle w:val="48"/>
              <w:spacing w:line="240" w:lineRule="auto"/>
              <w:ind w:left="312" w:right="38"/>
              <w:rPr>
                <w:rFonts w:ascii="Calibri Light" w:hAnsi="Calibri Light" w:cs="Calibri Light"/>
                <w:sz w:val="24"/>
                <w:szCs w:val="24"/>
              </w:rPr>
            </w:pPr>
          </w:p>
          <w:p w14:paraId="22F3CDFB">
            <w:pPr>
              <w:ind w:right="38"/>
              <w:rPr>
                <w:rFonts w:ascii="Calibri Light" w:hAnsi="Calibri Light" w:cs="Calibri Light"/>
                <w:b/>
                <w:bCs/>
                <w:sz w:val="24"/>
                <w:szCs w:val="24"/>
              </w:rPr>
            </w:pPr>
            <w:r>
              <w:rPr>
                <w:rFonts w:ascii="Calibri Light" w:hAnsi="Calibri Light" w:cs="Calibri Light"/>
                <w:b/>
                <w:bCs/>
                <w:sz w:val="24"/>
                <w:szCs w:val="24"/>
              </w:rPr>
              <w:t>Article 5 Paragraph (2)</w:t>
            </w:r>
          </w:p>
          <w:p w14:paraId="7E31CEC0">
            <w:pPr>
              <w:jc w:val="both"/>
              <w:rPr>
                <w:rFonts w:ascii="Calibri Light" w:hAnsi="Calibri Light" w:cs="Calibri Light"/>
                <w:sz w:val="24"/>
                <w:szCs w:val="24"/>
              </w:rPr>
            </w:pPr>
            <w:r>
              <w:rPr>
                <w:rFonts w:ascii="Calibri Light" w:hAnsi="Calibri Light" w:cs="Calibri Light"/>
                <w:sz w:val="24"/>
                <w:szCs w:val="24"/>
              </w:rPr>
              <w:t>Management rights related to customary land are granted to customary law groups.</w:t>
            </w:r>
          </w:p>
        </w:tc>
        <w:tc>
          <w:tcPr>
            <w:tcW w:w="2188" w:type="dxa"/>
          </w:tcPr>
          <w:p w14:paraId="57D5A145">
            <w:pPr>
              <w:rPr>
                <w:rFonts w:ascii="Calibri Light" w:hAnsi="Calibri Light" w:cs="Calibri Light"/>
                <w:sz w:val="24"/>
                <w:szCs w:val="24"/>
              </w:rPr>
            </w:pPr>
            <w:r>
              <w:rPr>
                <w:rFonts w:ascii="Calibri Light" w:hAnsi="Calibri Light" w:cs="Calibri Light"/>
                <w:b/>
                <w:bCs/>
                <w:sz w:val="24"/>
                <w:szCs w:val="24"/>
              </w:rPr>
              <w:t>Article 10 Paragraph (1)</w:t>
            </w:r>
          </w:p>
          <w:p w14:paraId="3998C848">
            <w:pPr>
              <w:rPr>
                <w:rFonts w:ascii="Calibri Light" w:hAnsi="Calibri Light" w:cs="Calibri Light"/>
                <w:sz w:val="24"/>
                <w:szCs w:val="24"/>
              </w:rPr>
            </w:pPr>
            <w:r>
              <w:rPr>
                <w:rFonts w:ascii="Calibri Light" w:hAnsi="Calibri Light" w:cs="Calibri Light"/>
                <w:sz w:val="24"/>
                <w:szCs w:val="24"/>
              </w:rPr>
              <w:t>A Ministerial Decree determines management rights on State Land or Customary Land.</w:t>
            </w:r>
          </w:p>
          <w:p w14:paraId="3548416E">
            <w:pPr>
              <w:rPr>
                <w:rFonts w:ascii="Calibri Light" w:hAnsi="Calibri Light" w:cs="Calibri Light"/>
                <w:sz w:val="24"/>
                <w:szCs w:val="24"/>
              </w:rPr>
            </w:pPr>
            <w:r>
              <w:rPr>
                <w:rFonts w:ascii="Calibri Light" w:hAnsi="Calibri Light" w:cs="Calibri Light"/>
                <w:b/>
                <w:bCs/>
                <w:sz w:val="24"/>
                <w:szCs w:val="24"/>
              </w:rPr>
              <w:t>Article 11 Paragraph (3)</w:t>
            </w:r>
            <w:r>
              <w:rPr>
                <w:rFonts w:ascii="Calibri Light" w:hAnsi="Calibri Light" w:cs="Calibri Light"/>
                <w:sz w:val="24"/>
                <w:szCs w:val="24"/>
              </w:rPr>
              <w:t xml:space="preserve"> Management Rights holders receive a certificate as confirmation of ownership.</w:t>
            </w:r>
          </w:p>
          <w:p w14:paraId="3002F98B">
            <w:pPr>
              <w:rPr>
                <w:rFonts w:ascii="Calibri Light" w:hAnsi="Calibri Light" w:cs="Calibri Light"/>
                <w:sz w:val="24"/>
                <w:szCs w:val="24"/>
              </w:rPr>
            </w:pPr>
          </w:p>
        </w:tc>
        <w:tc>
          <w:tcPr>
            <w:tcW w:w="2171" w:type="dxa"/>
          </w:tcPr>
          <w:p w14:paraId="7D2C2880">
            <w:pPr>
              <w:pStyle w:val="48"/>
              <w:numPr>
                <w:ilvl w:val="0"/>
                <w:numId w:val="10"/>
              </w:numPr>
              <w:spacing w:after="0" w:line="240" w:lineRule="auto"/>
              <w:ind w:left="211" w:hanging="211"/>
              <w:rPr>
                <w:rFonts w:ascii="Calibri Light" w:hAnsi="Calibri Light" w:cs="Calibri Light"/>
                <w:sz w:val="24"/>
                <w:szCs w:val="24"/>
                <w:lang w:val="en-US"/>
              </w:rPr>
            </w:pPr>
            <w:r>
              <w:rPr>
                <w:rFonts w:ascii="Calibri Light" w:hAnsi="Calibri Light" w:cs="Calibri Light"/>
                <w:b/>
                <w:bCs/>
                <w:sz w:val="24"/>
                <w:szCs w:val="24"/>
              </w:rPr>
              <w:t xml:space="preserve">Article 8 Paragraph (1) </w:t>
            </w:r>
            <w:r>
              <w:rPr>
                <w:rFonts w:ascii="Calibri Light" w:hAnsi="Calibri Light" w:cs="Calibri Light"/>
                <w:sz w:val="24"/>
                <w:szCs w:val="24"/>
                <w:lang w:val="en-US"/>
              </w:rPr>
              <w:t>Management rights where the occupancy and possession of all or part of the land is for private enjoyment or in partnership with another party as addressed to in Article 7 paragraph (1) letter b could be provided Business Use Rights, Building Use Rights, and/or Use Rights over authority in line with their purpose and operation, to:</w:t>
            </w:r>
          </w:p>
          <w:p w14:paraId="221AC2FE">
            <w:pPr>
              <w:pStyle w:val="48"/>
              <w:numPr>
                <w:ilvl w:val="1"/>
                <w:numId w:val="4"/>
              </w:numPr>
              <w:spacing w:after="0" w:line="240" w:lineRule="auto"/>
              <w:ind w:left="431" w:hanging="204"/>
              <w:rPr>
                <w:rFonts w:ascii="Calibri Light" w:hAnsi="Calibri Light" w:cs="Calibri Light"/>
                <w:sz w:val="24"/>
                <w:szCs w:val="24"/>
              </w:rPr>
            </w:pPr>
            <w:r>
              <w:rPr>
                <w:rFonts w:ascii="Calibri Light" w:hAnsi="Calibri Light" w:cs="Calibri Light"/>
                <w:sz w:val="24"/>
                <w:szCs w:val="24"/>
              </w:rPr>
              <w:t>Management Rights Holders as long as regulated in the Government Regulation;</w:t>
            </w:r>
          </w:p>
          <w:p w14:paraId="77B753ED">
            <w:pPr>
              <w:pStyle w:val="48"/>
              <w:numPr>
                <w:ilvl w:val="1"/>
                <w:numId w:val="4"/>
              </w:numPr>
              <w:spacing w:after="0" w:line="240" w:lineRule="auto"/>
              <w:ind w:left="431" w:hanging="204"/>
              <w:rPr>
                <w:rFonts w:ascii="Calibri Light" w:hAnsi="Calibri Light" w:cs="Calibri Light"/>
                <w:sz w:val="24"/>
                <w:szCs w:val="24"/>
                <w:lang w:val="en-US"/>
              </w:rPr>
            </w:pPr>
            <w:r>
              <w:rPr>
                <w:rFonts w:ascii="Calibri Light" w:hAnsi="Calibri Light" w:cs="Calibri Light"/>
                <w:sz w:val="24"/>
                <w:szCs w:val="24"/>
                <w:lang w:val="en-US"/>
              </w:rPr>
              <w:t>Further individuals, when the Management Rights land is part of a land usage contract.</w:t>
            </w:r>
          </w:p>
        </w:tc>
      </w:tr>
    </w:tbl>
    <w:p w14:paraId="70F53868">
      <w:pPr>
        <w:ind w:left="440" w:right="-1" w:hanging="14"/>
        <w:jc w:val="both"/>
        <w:rPr>
          <w:rFonts w:ascii="Calibri Light" w:hAnsi="Calibri Light" w:cs="Calibri Light"/>
          <w:sz w:val="24"/>
          <w:szCs w:val="24"/>
        </w:rPr>
      </w:pPr>
    </w:p>
    <w:p w14:paraId="0A81EC1D">
      <w:pPr>
        <w:spacing w:before="120" w:after="120"/>
        <w:ind w:left="440" w:right="-1" w:hanging="14"/>
        <w:jc w:val="both"/>
        <w:rPr>
          <w:rFonts w:ascii="Calibri Light" w:hAnsi="Calibri Light" w:cs="Calibri Light"/>
          <w:b/>
          <w:bCs/>
          <w:i/>
          <w:iCs/>
          <w:sz w:val="24"/>
          <w:szCs w:val="24"/>
        </w:rPr>
      </w:pPr>
      <w:r>
        <w:rPr>
          <w:rFonts w:ascii="Calibri Light" w:hAnsi="Calibri Light" w:cs="Calibri Light"/>
          <w:b/>
          <w:bCs/>
          <w:i/>
          <w:iCs/>
          <w:sz w:val="24"/>
          <w:szCs w:val="24"/>
        </w:rPr>
        <w:t>Customary Land Management Rights</w:t>
      </w:r>
    </w:p>
    <w:p w14:paraId="354BD19A">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word customary law community is a transliteration of the Dutch word </w:t>
      </w:r>
      <w:r>
        <w:rPr>
          <w:rFonts w:ascii="Calibri Light" w:hAnsi="Calibri Light" w:cs="Calibri Light"/>
          <w:i/>
          <w:iCs/>
          <w:sz w:val="24"/>
          <w:szCs w:val="24"/>
        </w:rPr>
        <w:t>rechtsgemeenchappen</w:t>
      </w:r>
      <w:r>
        <w:rPr>
          <w:rFonts w:ascii="Calibri Light" w:hAnsi="Calibri Light" w:cs="Calibri Light"/>
          <w:sz w:val="24"/>
          <w:szCs w:val="24"/>
        </w:rPr>
        <w:t>, and this was first employed by Ter Haar Bzn in his work title “</w:t>
      </w:r>
      <w:r>
        <w:rPr>
          <w:rFonts w:ascii="Calibri Light" w:hAnsi="Calibri Light" w:cs="Calibri Light"/>
          <w:i/>
          <w:iCs/>
          <w:sz w:val="24"/>
          <w:szCs w:val="24"/>
        </w:rPr>
        <w:t>Beginselen en Stelsel van Adat Recht</w:t>
      </w:r>
      <w:r>
        <w:rPr>
          <w:rFonts w:ascii="Calibri Light" w:hAnsi="Calibri Light" w:cs="Calibri Light"/>
          <w:sz w:val="24"/>
          <w:szCs w:val="24"/>
        </w:rPr>
        <w:t xml:space="preserve">”. </w:t>
      </w:r>
      <w:r>
        <w:rPr>
          <w:rFonts w:ascii="Calibri Light" w:hAnsi="Calibri Light" w:cs="Calibri Light"/>
          <w:sz w:val="24"/>
          <w:szCs w:val="24"/>
          <w:highlight w:val="yellow"/>
        </w:rPr>
        <w:t>The concept of customary law has been classically defined by Ter Haar Bzn, who viewed society (r</w:t>
      </w:r>
      <w:r>
        <w:rPr>
          <w:rFonts w:ascii="Calibri Light" w:hAnsi="Calibri Light" w:cs="Calibri Light"/>
          <w:i/>
          <w:iCs/>
          <w:sz w:val="24"/>
          <w:szCs w:val="24"/>
          <w:highlight w:val="yellow"/>
        </w:rPr>
        <w:t>echtsgemeenschap</w:t>
      </w:r>
      <w:r>
        <w:rPr>
          <w:rFonts w:ascii="Calibri Light" w:hAnsi="Calibri Light" w:cs="Calibri Light"/>
          <w:sz w:val="24"/>
          <w:szCs w:val="24"/>
          <w:highlight w:val="yellow"/>
        </w:rPr>
        <w:t>) as “a group of people who are organized, live in a particular territory, and possess their own authority as well as material and immaterial wealth.”</w:t>
      </w:r>
      <w:r>
        <w:rPr>
          <w:rFonts w:ascii="Calibri Light" w:hAnsi="Calibri Light" w:cs="Calibri Light"/>
          <w:sz w:val="24"/>
          <w:szCs w:val="24"/>
          <w:highlight w:val="yellow"/>
        </w:rPr>
        <w:fldChar w:fldCharType="begin" w:fldLock="1"/>
      </w:r>
      <w:r>
        <w:rPr>
          <w:rFonts w:ascii="Calibri Light" w:hAnsi="Calibri Light" w:cs="Calibri Light"/>
          <w:sz w:val="24"/>
          <w:szCs w:val="24"/>
          <w:highlight w:val="yellow"/>
        </w:rPr>
        <w:instrText xml:space="preserve">ADDIN CSL_CITATION {"citationItems":[{"id":"ITEM-1","itemData":{"DOI":"10.21143/jhp.vol44.no2.19","abstract":"Tulisan ini menjelaskan perdebatan konseptual tentang apa yang dimaksud sebagai Masyarakat Hukum Adat dalam konteks hukum Indonesia. Definisi tersebut telah diatur di dalam peraturan perundangan dan Undang-undang Dasar 1945 yang telah diamandemen. Batasan definisi tersebut masih mensyaratkan pengakuan Negara. Definisi atau konsep tentang masyarakat hukum adat menjadi penting untuk diatur dalam undang-undang, dalam rangka memberi penguatan terhadap pengakuan dan perlindungan atas hak-hak masyarakat hukum adat, terutama ketika mereka mengakses sumber daya alam.","author":[{"dropping-particle":"","family":"Sabardi","given":"Lalu","non-dropping-particle":"","parse-names":false,"suffix":""}],"container-title":"Jurnal Hukum &amp; Pembangunan","id":"ITEM-1","issue":"2","issued":{"date-parts":[["2016"]]},"page":"170-196","title":"KONSTRUKSI MAKNA YURIDIS MASYARAKAT HUKUM ADAT DALAM PASAL 18B UUDN RI TAHUN 1945 UNTUK IDENTIFIKASI ADANYA MASYARAKAT HUKUM ADAT Lalu Sabardi 1","type":"article-journal","volume":"44"},"uris":["http://www.mendeley.com/documents/?uuid=2a3d7852-64c7-4cee-b8aa-0271053f1bce"]}],"mendeley":{"formattedCitation":"(Sabardi, 2016)","plainTextFormattedCitation":"(Sabardi, 2016)","previouslyFormattedCitation":"(Sabardi, 2016)"},"properties":{"noteIndex":0},"schema":"https://github.com/citation-style-language/schema/raw/master/csl-citation.json"}</w:instrText>
      </w:r>
      <w:r>
        <w:rPr>
          <w:rFonts w:ascii="Calibri Light" w:hAnsi="Calibri Light" w:cs="Calibri Light"/>
          <w:sz w:val="24"/>
          <w:szCs w:val="24"/>
          <w:highlight w:val="yellow"/>
        </w:rPr>
        <w:fldChar w:fldCharType="separate"/>
      </w:r>
      <w:r>
        <w:rPr>
          <w:rFonts w:ascii="Calibri Light" w:hAnsi="Calibri Light" w:cs="Calibri Light"/>
          <w:sz w:val="24"/>
          <w:szCs w:val="24"/>
          <w:highlight w:val="yellow"/>
        </w:rPr>
        <w:t>(Sabardi, 2016)</w:t>
      </w:r>
      <w:r>
        <w:rPr>
          <w:rFonts w:ascii="Calibri Light" w:hAnsi="Calibri Light" w:cs="Calibri Light"/>
          <w:sz w:val="24"/>
          <w:szCs w:val="24"/>
          <w:highlight w:val="yellow"/>
        </w:rPr>
        <w:fldChar w:fldCharType="end"/>
      </w:r>
      <w:r>
        <w:rPr>
          <w:rFonts w:ascii="Calibri Light" w:hAnsi="Calibri Light" w:cs="Calibri Light"/>
          <w:sz w:val="24"/>
          <w:szCs w:val="24"/>
          <w:highlight w:val="yellow"/>
        </w:rPr>
        <w:t>. According to this view, members of such communities experience legal norms as a natural part of life, without any inclination to dissolve the social ties that bind them</w:t>
      </w:r>
      <w:r>
        <w:rPr>
          <w:rFonts w:ascii="Calibri Light" w:hAnsi="Calibri Light" w:cs="Calibri Light"/>
          <w:sz w:val="24"/>
          <w:szCs w:val="24"/>
        </w:rPr>
        <w:t xml:space="preserve"> </w:t>
      </w:r>
      <w:commentRangeStart w:id="18"/>
      <w:commentRangeStart w:id="19"/>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{"citationItems":[{"id":"ITEM-1","itemData":{"author":[{"dropping-particle":"","family":"Alting","given":"Husen","non-dropping-particle":"","parse-names":false,"suffix":""}],"id":"ITEM-1","issued":{"date-parts":[["2010"]]},"publisher":"Yogyakarta: Laksbang Pressindo","title":"Legal Dynamics in the Recognition and Protection of Customary Law Communities' Rights to Land","type":"book"},"uris":["http://www.mendeley.com/documents/?uuid=94b14a69-45e8-4ad9-a61b-dcdb30a07615","http://www.mendeley.com/documents/?uuid=52654248-d58e-44b9-8521-24d58be8ed2d"]}],"mendeley":{"formattedCitation":"(Alting, 2010)","manualFormatting":"(Alting, 2010:31)","plainTextFormattedCitation":"(Alting, 2010)","previouslyFormattedCitation":"(Alting, 2010)"},"properties":{"noteIndex":0},"schema":"https://github.com/citation-style-language/schema/raw/master/csl-citation.json"}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(Alting, 2010:31)</w:t>
      </w:r>
      <w:r>
        <w:rPr>
          <w:rFonts w:ascii="Calibri Light" w:hAnsi="Calibri Light" w:cs="Calibri Light"/>
          <w:sz w:val="24"/>
          <w:szCs w:val="24"/>
        </w:rPr>
        <w:fldChar w:fldCharType="end"/>
      </w:r>
      <w:commentRangeEnd w:id="18"/>
      <w:r>
        <w:rPr>
          <w:rStyle w:val="16"/>
        </w:rPr>
        <w:commentReference w:id="18"/>
      </w:r>
      <w:commentRangeEnd w:id="19"/>
      <w:r>
        <w:rPr>
          <w:rStyle w:val="16"/>
        </w:rPr>
        <w:commentReference w:id="19"/>
      </w:r>
      <w:r>
        <w:rPr>
          <w:rFonts w:ascii="Calibri Light" w:hAnsi="Calibri Light" w:cs="Calibri Light"/>
          <w:sz w:val="24"/>
          <w:szCs w:val="24"/>
        </w:rPr>
        <w:t xml:space="preserve">. </w:t>
      </w:r>
      <w:r>
        <w:rPr>
          <w:rFonts w:ascii="Calibri Light" w:hAnsi="Calibri Light" w:cs="Calibri Light"/>
          <w:sz w:val="24"/>
          <w:szCs w:val="24"/>
          <w:highlight w:val="yellow"/>
        </w:rPr>
        <w:t>Although this definition originates from earlier scholarly work, it remains relevant today in understanding the social fabric of indigenous communities in Indonesia, where customary law continues to regulate communal relations and resource governance in ways that state law may not fully capture.</w:t>
      </w:r>
    </w:p>
    <w:p w14:paraId="224DAE19">
      <w:pPr>
        <w:spacing w:before="240"/>
        <w:ind w:left="426"/>
        <w:jc w:val="both"/>
        <w:rPr>
          <w:rFonts w:ascii="Calibri Light" w:hAnsi="Calibri Light" w:cs="Calibri Light"/>
          <w:highlight w:val="green"/>
          <w:lang w:val="zh-CN"/>
        </w:rPr>
      </w:pPr>
      <w:r>
        <w:rPr>
          <w:rFonts w:ascii="Calibri Light" w:hAnsi="Calibri Light" w:cs="Calibri Light"/>
          <w:sz w:val="24"/>
          <w:szCs w:val="24"/>
        </w:rPr>
        <w:t>As subjects of customary land law, customary law communities have the nature of  “</w:t>
      </w:r>
      <w:commentRangeStart w:id="20"/>
      <w:commentRangeStart w:id="21"/>
      <w:r>
        <w:rPr>
          <w:rFonts w:ascii="Calibri Light" w:hAnsi="Calibri Light" w:cs="Calibri Light"/>
          <w:i/>
          <w:iCs/>
          <w:sz w:val="24"/>
          <w:szCs w:val="24"/>
        </w:rPr>
        <w:t>Gemeenschaap</w:t>
      </w:r>
      <w:commentRangeEnd w:id="20"/>
      <w:r>
        <w:rPr>
          <w:rStyle w:val="16"/>
        </w:rPr>
        <w:commentReference w:id="20"/>
      </w:r>
      <w:commentRangeEnd w:id="21"/>
      <w:r>
        <w:rPr>
          <w:rStyle w:val="16"/>
        </w:rPr>
        <w:commentReference w:id="21"/>
      </w:r>
      <w:r>
        <w:rPr>
          <w:rFonts w:ascii="Calibri Light" w:hAnsi="Calibri Light" w:cs="Calibri Light"/>
          <w:sz w:val="24"/>
          <w:szCs w:val="24"/>
        </w:rPr>
        <w:t xml:space="preserve">”, associations formed naturally due to genealogical and territorial elements. </w:t>
      </w:r>
      <w:r>
        <w:rPr>
          <w:rFonts w:ascii="Calibri Light" w:hAnsi="Calibri Light" w:cs="Calibri Light"/>
          <w:sz w:val="24"/>
          <w:szCs w:val="24"/>
          <w:highlight w:val="green"/>
          <w:lang w:val="zh-CN"/>
        </w:rPr>
        <w:t xml:space="preserve">Sociologically, these elements encompass the deep-rooted relationships based on shared ancestry (genealogy) and the connection to specific territories that these communities inhabit, which shapes their identity, practices, and social organization </w:t>
      </w:r>
      <w:r>
        <w:rPr>
          <w:rFonts w:ascii="Calibri Light" w:hAnsi="Calibri Light" w:cs="Calibri Light"/>
          <w:sz w:val="24"/>
          <w:szCs w:val="24"/>
          <w:highlight w:val="green"/>
          <w:lang w:val="zh-CN"/>
        </w:rPr>
        <w:fldChar w:fldCharType="begin" w:fldLock="1"/>
      </w:r>
      <w:r>
        <w:rPr>
          <w:rFonts w:ascii="Calibri Light" w:hAnsi="Calibri Light" w:cs="Calibri Light"/>
          <w:sz w:val="24"/>
          <w:szCs w:val="24"/>
          <w:highlight w:val="green"/>
          <w:lang w:val="zh-CN"/>
        </w:rPr>
        <w:instrText xml:space="preserve">ADDIN CSL_CITATION {"citationItems":[{"id":"ITEM-1","itemData":{"DOI":"10.26418/j-psh.v15i2.86530","author":[{"dropping-particle":"","family":"Titaley","given":"Elsina","non-dropping-particle":"","parse-names":false,"suffix":""},{"dropping-particle":"","family":"Alfons","given":"Christwyn R.","non-dropping-particle":"","parse-names":false,"suffix":""}],"container-title":"JURNAL PENDIDIKAN SOSIOLOGI DAN HUMANIORA","id":"ITEM-1","issue":"2","issued":{"date-parts":[["2024"]]},"page":"614-629","title":"The Existence of Local Culture of Indigenous Peoples of Negeri Lohiatala in the Modernization Era","type":"article-journal","volume":"15"},"uris":["http://www.mendeley.com/documents/?uuid=01262906-0059-4c07-8a75-49982d5e22fb"]}],"mendeley":{"formattedCitation":"(Titaley &amp; Alfons, 2024)","plainTextFormattedCitation":"(Titaley &amp; Alfons, 2024)","previouslyFormattedCitation":"(Titaley &amp; Alfons, 2024)"},"properties":{"noteIndex":0},"schema":"https://github.com/citation-style-language/schema/raw/master/csl-citation.json"}</w:instrText>
      </w:r>
      <w:r>
        <w:rPr>
          <w:rFonts w:ascii="Calibri Light" w:hAnsi="Calibri Light" w:cs="Calibri Light"/>
          <w:sz w:val="24"/>
          <w:szCs w:val="24"/>
          <w:highlight w:val="green"/>
          <w:lang w:val="zh-CN"/>
        </w:rPr>
        <w:fldChar w:fldCharType="separate"/>
      </w:r>
      <w:r>
        <w:rPr>
          <w:rFonts w:ascii="Calibri Light" w:hAnsi="Calibri Light" w:cs="Calibri Light"/>
          <w:sz w:val="24"/>
          <w:szCs w:val="24"/>
          <w:highlight w:val="green"/>
          <w:lang w:val="zh-CN"/>
        </w:rPr>
        <w:t>(Titaley &amp; Alfons, 2024)</w:t>
      </w:r>
      <w:r>
        <w:rPr>
          <w:rFonts w:ascii="Calibri Light" w:hAnsi="Calibri Light" w:cs="Calibri Light"/>
          <w:sz w:val="24"/>
          <w:szCs w:val="24"/>
          <w:highlight w:val="green"/>
          <w:lang w:val="zh-CN"/>
        </w:rPr>
        <w:fldChar w:fldCharType="end"/>
      </w:r>
      <w:r>
        <w:rPr>
          <w:rFonts w:ascii="Calibri Light" w:hAnsi="Calibri Light" w:cs="Calibri Light"/>
          <w:sz w:val="24"/>
          <w:szCs w:val="24"/>
          <w:highlight w:val="green"/>
          <w:lang w:val="zh-CN"/>
        </w:rPr>
        <w:t xml:space="preserve">. </w:t>
      </w:r>
      <w:r>
        <w:rPr>
          <w:rFonts w:ascii="Calibri Light" w:hAnsi="Calibri Light" w:cs="Calibri Light"/>
          <w:sz w:val="24"/>
          <w:szCs w:val="24"/>
          <w:highlight w:val="green"/>
        </w:rPr>
        <w:t xml:space="preserve">According to Soepomo, the essence of Indonesian customary law is rooted in the principle of kinship (asas kekeluargaan), which manifests in communal ownership and the collective relationship between individuals and their communities. In this perspective, land and other resources are not viewed as private property but are managed collectively by the community as a social unit bound by ancestral ties and territorial cohesion </w:t>
      </w:r>
      <w:r>
        <w:rPr>
          <w:rFonts w:ascii="Calibri Light" w:hAnsi="Calibri Light" w:cs="Calibri Light"/>
          <w:sz w:val="24"/>
          <w:szCs w:val="24"/>
          <w:highlight w:val="green"/>
        </w:rPr>
        <w:fldChar w:fldCharType="begin" w:fldLock="1"/>
      </w:r>
      <w:r>
        <w:rPr>
          <w:rFonts w:ascii="Calibri Light" w:hAnsi="Calibri Light" w:cs="Calibri Light"/>
          <w:sz w:val="24"/>
          <w:szCs w:val="24"/>
          <w:highlight w:val="green"/>
        </w:rPr>
        <w:instrText xml:space="preserve">ADDIN CSL_CITATION {"citationItems":[{"id":"ITEM-1","itemData":{"DOI":"10.23887/jkh.v7i1.31465","ISSN":"2356-4164","abstract":"Theft is related to the possession of other property without the permission of the owner, with various ways and modes of operation. The role of customary law in the settlement of criminal theft (livestock) is the implementation of state duties in combating criminal acts. This is a manifestation of Article 2 paragraph (3) and Article 59 paragraph (4) of the RDTL Constitution. The application of customary law in the Alas District (Posto Administrativo) is a positive response to the high desire of the community about a peaceful and serene life in their environment. Therefore, the term law enforcement is closely related to the idea of the rule of law or legal principles as the supreme power in the rule of law and democracy in East Timor.","author":[{"dropping-particle":"","family":"Vassalo","given":"Acacio Fernandes","non-dropping-particle":"","parse-names":false,"suffix":""}],"container-title":"Jurnal Komunikasi Hukum (JKH)","id":"ITEM-1","issue":"1","issued":{"date-parts":[["2021"]]},"page":"143-157","title":"Penyelesaian Tindak Pidana Pencurian Hewan Ternak Menurut Hukum Adat Masyarakat Kecamatan Alas Kota Madya Manufahi","type":"article-journal","volume":"7"},"uris":["http://www.mendeley.com/documents/?uuid=6d2b13e1-1eb6-4856-97a4-4970ffcf2e3f"]}],"mendeley":{"formattedCitation":"(Vassalo, 2021)","plainTextFormattedCitation":"(Vassalo, 2021)","previouslyFormattedCitation":"(Vassalo, 2021)"},"properties":{"noteIndex":0},"schema":"https://github.com/citation-style-language/schema/raw/master/csl-citation.json"}</w:instrText>
      </w:r>
      <w:r>
        <w:rPr>
          <w:rFonts w:ascii="Calibri Light" w:hAnsi="Calibri Light" w:cs="Calibri Light"/>
          <w:sz w:val="24"/>
          <w:szCs w:val="24"/>
          <w:highlight w:val="green"/>
        </w:rPr>
        <w:fldChar w:fldCharType="separate"/>
      </w:r>
      <w:r>
        <w:rPr>
          <w:rFonts w:ascii="Calibri Light" w:hAnsi="Calibri Light" w:cs="Calibri Light"/>
          <w:sz w:val="24"/>
          <w:szCs w:val="24"/>
          <w:highlight w:val="green"/>
        </w:rPr>
        <w:t>(Vassalo, 2021)</w:t>
      </w:r>
      <w:r>
        <w:rPr>
          <w:rFonts w:ascii="Calibri Light" w:hAnsi="Calibri Light" w:cs="Calibri Light"/>
          <w:sz w:val="24"/>
          <w:szCs w:val="24"/>
          <w:highlight w:val="green"/>
        </w:rPr>
        <w:fldChar w:fldCharType="end"/>
      </w:r>
      <w:r>
        <w:rPr>
          <w:rFonts w:ascii="Calibri Light" w:hAnsi="Calibri Light" w:cs="Calibri Light"/>
          <w:sz w:val="24"/>
          <w:szCs w:val="24"/>
          <w:highlight w:val="green"/>
        </w:rPr>
        <w:t>.</w:t>
      </w:r>
      <w:r>
        <w:rPr>
          <w:rFonts w:ascii="Calibri Light" w:hAnsi="Calibri Light" w:cs="Calibri Light"/>
          <w:sz w:val="24"/>
          <w:szCs w:val="24"/>
          <w:highlight w:val="green"/>
          <w:lang w:val="zh-CN"/>
        </w:rPr>
        <w:t xml:space="preserve"> Similarly, Van vollenhoven, in its concept of </w:t>
      </w:r>
      <w:r>
        <w:rPr>
          <w:rFonts w:ascii="Calibri Light" w:hAnsi="Calibri Light" w:cs="Calibri Light"/>
          <w:i/>
          <w:iCs/>
          <w:sz w:val="24"/>
          <w:szCs w:val="24"/>
          <w:highlight w:val="green"/>
          <w:lang w:val="zh-CN"/>
        </w:rPr>
        <w:t>rechtsgemeenschappen</w:t>
      </w:r>
      <w:r>
        <w:rPr>
          <w:rFonts w:ascii="Calibri Light" w:hAnsi="Calibri Light" w:cs="Calibri Light"/>
          <w:sz w:val="24"/>
          <w:szCs w:val="24"/>
          <w:highlight w:val="green"/>
          <w:lang w:val="zh-CN"/>
        </w:rPr>
        <w:t xml:space="preserve"> (jurisdiction), emphasized that the unity of indigenous peoples was formed on the basis of permanent territorial relations and kinship strengthened by collective ownership of land and joint property (</w:t>
      </w:r>
      <w:r>
        <w:rPr>
          <w:rFonts w:ascii="Calibri Light" w:hAnsi="Calibri Light" w:cs="Calibri Light"/>
          <w:i/>
          <w:iCs/>
          <w:sz w:val="24"/>
          <w:szCs w:val="24"/>
          <w:highlight w:val="green"/>
          <w:lang w:val="zh-CN"/>
        </w:rPr>
        <w:t>beschikkingsrecht</w:t>
      </w:r>
      <w:r>
        <w:rPr>
          <w:rFonts w:ascii="Calibri Light" w:hAnsi="Calibri Light" w:cs="Calibri Light"/>
          <w:sz w:val="24"/>
          <w:szCs w:val="24"/>
          <w:highlight w:val="green"/>
          <w:lang w:val="zh-CN"/>
        </w:rPr>
        <w:t xml:space="preserve">), which is the core of the customary legal system </w:t>
      </w:r>
      <w:r>
        <w:rPr>
          <w:rFonts w:ascii="Calibri Light" w:hAnsi="Calibri Light" w:cs="Calibri Light"/>
          <w:sz w:val="24"/>
          <w:szCs w:val="24"/>
          <w:highlight w:val="green"/>
          <w:lang w:val="zh-CN"/>
        </w:rPr>
        <w:fldChar w:fldCharType="begin" w:fldLock="1"/>
      </w:r>
      <w:r>
        <w:rPr>
          <w:rFonts w:ascii="Calibri Light" w:hAnsi="Calibri Light" w:cs="Calibri Light"/>
          <w:sz w:val="24"/>
          <w:szCs w:val="24"/>
          <w:highlight w:val="green"/>
          <w:lang w:val="zh-CN"/>
        </w:rPr>
        <w:instrText xml:space="preserve">ADDIN CSL_CITATION {"citationItems":[{"id":"ITEM-1","itemData":{"author":[{"dropping-particle":"","family":"Wendry","given":"Yunaldi","non-dropping-particle":"","parse-names":false,"suffix":""}],"edition":"1","id":"ITEM-1","issued":{"date-parts":[["2021"]]},"publisher":"Penerbit Jual Buku Sastra","publisher-place":"Yogyakarta","title":"Nagari dan Negara: Perspektif Otentik Kesatuan Masyarakat Hukum Adat dalam Ketatanegaraan Indonesia","type":"book"},"uris":["http://www.mendeley.com/documents/?uuid=3e4f0358-09f9-43cc-a774-66b58588ce2c"]}],"mendeley":{"formattedCitation":"(Wendry, 2021)","plainTextFormattedCitation":"(Wendry, 2021)","previouslyFormattedCitation":"(Wendry, 2021)"},"properties":{"noteIndex":0},"schema":"https://github.com/citation-style-language/schema/raw/master/csl-citation.json"}</w:instrText>
      </w:r>
      <w:r>
        <w:rPr>
          <w:rFonts w:ascii="Calibri Light" w:hAnsi="Calibri Light" w:cs="Calibri Light"/>
          <w:sz w:val="24"/>
          <w:szCs w:val="24"/>
          <w:highlight w:val="green"/>
          <w:lang w:val="zh-CN"/>
        </w:rPr>
        <w:fldChar w:fldCharType="separate"/>
      </w:r>
      <w:r>
        <w:rPr>
          <w:rFonts w:ascii="Calibri Light" w:hAnsi="Calibri Light" w:cs="Calibri Light"/>
          <w:sz w:val="24"/>
          <w:szCs w:val="24"/>
          <w:highlight w:val="green"/>
          <w:lang w:val="zh-CN"/>
        </w:rPr>
        <w:t>(Wendry, 2021)</w:t>
      </w:r>
      <w:r>
        <w:rPr>
          <w:rFonts w:ascii="Calibri Light" w:hAnsi="Calibri Light" w:cs="Calibri Light"/>
          <w:sz w:val="24"/>
          <w:szCs w:val="24"/>
          <w:highlight w:val="green"/>
          <w:lang w:val="zh-CN"/>
        </w:rPr>
        <w:fldChar w:fldCharType="end"/>
      </w:r>
      <w:r>
        <w:rPr>
          <w:rFonts w:ascii="Calibri Light" w:hAnsi="Calibri Light" w:cs="Calibri Light"/>
          <w:sz w:val="24"/>
          <w:szCs w:val="24"/>
          <w:highlight w:val="green"/>
          <w:lang w:val="zh-CN"/>
        </w:rPr>
        <w:t>.</w:t>
      </w:r>
    </w:p>
    <w:p w14:paraId="38B4DC35">
      <w:pPr>
        <w:spacing w:before="240"/>
        <w:ind w:left="426"/>
        <w:jc w:val="both"/>
        <w:rPr>
          <w:rFonts w:ascii="Calibri Light" w:hAnsi="Calibri Light" w:cs="Calibri Light"/>
          <w:sz w:val="24"/>
          <w:szCs w:val="24"/>
        </w:rPr>
      </w:pPr>
      <w:r>
        <w:rPr>
          <w:rFonts w:ascii="Calibri Light" w:hAnsi="Calibri Light" w:cs="Calibri Light"/>
          <w:sz w:val="24"/>
          <w:szCs w:val="24"/>
          <w:highlight w:val="green"/>
        </w:rPr>
        <w:t>The constitutional recognition of Customary Law Communities is enshrined in Article 18B Paragraph (2) of the 1945 Constitution, which declares that the state acknowledges and upholds the existence of Customary Law Communities and their customary rights, as long as they are still alive and aligned with community development and the unitary state of the Republic of Indonesia. This recognition reflects the broader socio-political context in which customary communities are integrated into the national legal system.</w:t>
      </w:r>
      <w:r>
        <w:rPr>
          <w:rFonts w:ascii="Calibri Light" w:hAnsi="Calibri Light" w:cs="Calibri Light"/>
          <w:sz w:val="24"/>
          <w:szCs w:val="24"/>
        </w:rPr>
        <w:t xml:space="preserve"> The provisions of Article 18 B paragraph (2) 1945 are strengthened by the provisions of Article 28 I paragraph (3) of the 1945 Law that cultural and traditional community identities are respected in line with developments in the era and civilization.</w:t>
      </w:r>
    </w:p>
    <w:p w14:paraId="0D70C03D">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with its traditional rights based on special original rights including its authority over the territory and natural resources contained therein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{"citationItems":[{"id":"ITEM-1","itemData":{"DOI":"10.35965/ijlf.v5i1.1911","abstract":"Penelitian ini bertujuan untuk mengetahui Menggali hak-hak masyarakat hukum adat Ammato Kajang atas hutan adat di Kabupaten Bulukumba, memahami sejauh mana hak-hak masyarakat sampai sejauh mana hukum adat Ammatoa Kajang dilindungi oleh hukum nasional. hukum dan adat. Metode penelitian yang digunakan adalah penelitian hukum. Hasil penelitian menunjukkan bahwa Pelaksanaan hak-hak masyarakat adat Ammatoa Kajang dilakukan di bawah kewenangan Ammatoa atas dasar “pasangan rikajang” yang merupakan sumber hukum untuk mengatur segala aspek kehidupan masyarakat. masyarakat adat Ammatoa Kajang berhubungan dengan Tuhan (Turiek Arakna). Hukum Adat Ammatoa Kajang sangat bergantung pada “Pasang Rikajang”, pertimbangan ini efektif menyelesaikan permasalahan dan hasil musyawarah yang menjadi sumber Perda 9 Tahun 2015 oleh Bupati Birkumba tentang pengukuhan, pengakuan hak dan perlindungan hak masyarakat hukum adat Ammatoa Kajang dan SK Menteri Lingkungan Hidup dan Kehutanan No: SK.67 6/MENLHKPSKL/KUM.1 Desember 2016 tentang Penetapan Hutan Adat Ammatoa Kajang. This study aims to find out: To find out the implementation of the rights of the Ammato Kajang Indigenous Peoples towards Customary Forests in Bulukumba Regency To find out how far the rights of the Ammatoa Kajang Customary Law Communi tiesare protectedby national law and customary law.The research method used informative law research. The results of the study show The implementation of the rights of the Ammatoa Kajang indigenous community is carried out under the authority of Ammatoa based \"pair of rikajang\" which is the source of the law to regulate all aspects of the life of the Ammatoa Kajang indigenous people that are related to God (Turiek Arakna). Ammatoa Kajang customary law is very dependent on “Pasang Rikajang”, this deliberation effectively resolves problems, and the results of the deliberation became the source of the Birkumba Regency Regional Regulation Number 9 of 2015 concerning Inauguration, Recognition of Rights, and Protection of the Rights of the Ammatoa Kajang Indigenous Peoples and Ministerial Decrees.","author":[{"dropping-particle":"","family":"Gunawan","given":"Sahrul","non-dropping-particle":"","parse-names":false,"suffix":""},{"dropping-particle":"","family":"Madiong","given":"Baso","non-dropping-particle":"","parse-names":false,"suffix":""},{"dropping-particle":"","family":"Makkawaru","given":"Zulkifli","non-dropping-particle":"","parse-names":false,"suffix":""}],"container-title":"Indonesian Journal of Legality of Law","id":"ITEM-1","issue":"1","issued":{"date-parts":[["2022"]]},"page":"69-74","title":"Analisis Hukum Hak Masyarakat Hukum Adat Ammatoa Terhadap Hutan Adat Di Kabupaten Bulukumba","type":"article-journal","volume":"5"},"uris":["http://www.mendeley.com/documents/?uuid=40ea6a92-8bec-4a9f-a338-7dedb3280b5e"]}],"mendeley":{"formattedCitation":"(Gunawan et al., 2022)","plainTextFormattedCitation":"(Gunawan et al., 2022)","previouslyFormattedCitation":"(Gunawan et al.,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(Gunawan et al., 2022)</w:t>
      </w:r>
      <w:r>
        <w:rPr>
          <w:rFonts w:ascii="Calibri Light" w:hAnsi="Calibri Light" w:cs="Calibri Light"/>
          <w:sz w:val="24"/>
          <w:szCs w:val="24"/>
        </w:rPr>
        <w:fldChar w:fldCharType="end"/>
      </w:r>
      <w:r>
        <w:rPr>
          <w:rFonts w:ascii="Calibri Light" w:hAnsi="Calibri Light" w:cs="Calibri Light"/>
          <w:sz w:val="24"/>
          <w:szCs w:val="24"/>
        </w:rPr>
        <w:t xml:space="preserve">. Constitutionally, its existence must meet the legal requirements, namely: </w:t>
      </w:r>
    </w:p>
    <w:p w14:paraId="398B959D">
      <w:pPr>
        <w:pStyle w:val="48"/>
        <w:numPr>
          <w:ilvl w:val="0"/>
          <w:numId w:val="11"/>
        </w:numPr>
        <w:spacing w:after="160" w:line="240" w:lineRule="auto"/>
        <w:jc w:val="both"/>
        <w:rPr>
          <w:rFonts w:ascii="Calibri Light" w:hAnsi="Calibri Light" w:cs="Calibri Light"/>
          <w:sz w:val="24"/>
          <w:szCs w:val="24"/>
        </w:rPr>
      </w:pPr>
      <w:r>
        <w:rPr>
          <w:rFonts w:ascii="Calibri Light" w:hAnsi="Calibri Light" w:cs="Calibri Light"/>
          <w:sz w:val="24"/>
          <w:szCs w:val="24"/>
        </w:rPr>
        <w:t>As long as it still exist</w:t>
      </w:r>
    </w:p>
    <w:p w14:paraId="3AF77D61">
      <w:pPr>
        <w:pStyle w:val="48"/>
        <w:numPr>
          <w:ilvl w:val="0"/>
          <w:numId w:val="11"/>
        </w:numPr>
        <w:spacing w:after="160" w:line="240" w:lineRule="auto"/>
        <w:rPr>
          <w:rFonts w:ascii="Calibri Light" w:hAnsi="Calibri Light" w:cs="Calibri Light"/>
          <w:sz w:val="24"/>
          <w:szCs w:val="24"/>
          <w:lang w:val="en-US"/>
        </w:rPr>
      </w:pPr>
      <w:r>
        <w:rPr>
          <w:rFonts w:ascii="Calibri Light" w:hAnsi="Calibri Light" w:cs="Calibri Light"/>
          <w:sz w:val="24"/>
          <w:szCs w:val="24"/>
          <w:lang w:val="en-US"/>
        </w:rPr>
        <w:t>According to the evolution of history and humanity</w:t>
      </w:r>
    </w:p>
    <w:p w14:paraId="4391C7CE">
      <w:pPr>
        <w:pStyle w:val="48"/>
        <w:numPr>
          <w:ilvl w:val="0"/>
          <w:numId w:val="11"/>
        </w:numPr>
        <w:spacing w:after="160" w:line="240" w:lineRule="auto"/>
        <w:jc w:val="both"/>
        <w:rPr>
          <w:rFonts w:ascii="Calibri Light" w:hAnsi="Calibri Light" w:cs="Calibri Light"/>
          <w:sz w:val="24"/>
          <w:szCs w:val="24"/>
          <w:lang w:val="en-US"/>
        </w:rPr>
      </w:pPr>
      <w:r>
        <w:rPr>
          <w:rFonts w:ascii="Calibri Light" w:hAnsi="Calibri Light" w:cs="Calibri Light"/>
          <w:sz w:val="24"/>
          <w:szCs w:val="24"/>
        </w:rPr>
        <w:t>In</w:t>
      </w:r>
      <w:r>
        <w:rPr>
          <w:rFonts w:ascii="Calibri Light" w:hAnsi="Calibri Light" w:cs="Calibri Light"/>
          <w:sz w:val="24"/>
          <w:szCs w:val="24"/>
          <w:lang w:val="en-US"/>
        </w:rPr>
        <w:t xml:space="preserve"> line with the ideals</w:t>
      </w:r>
      <w:r>
        <w:rPr>
          <w:rFonts w:ascii="Calibri Light" w:hAnsi="Calibri Light" w:cs="Calibri Light"/>
          <w:sz w:val="24"/>
          <w:szCs w:val="24"/>
        </w:rPr>
        <w:t xml:space="preserve"> of the unitary state of the Republic of Indonesia;</w:t>
      </w:r>
    </w:p>
    <w:p w14:paraId="4AAB144F">
      <w:pPr>
        <w:pStyle w:val="48"/>
        <w:numPr>
          <w:ilvl w:val="0"/>
          <w:numId w:val="11"/>
        </w:numPr>
        <w:spacing w:after="160" w:line="240" w:lineRule="auto"/>
        <w:jc w:val="both"/>
        <w:rPr>
          <w:rFonts w:ascii="Calibri Light" w:hAnsi="Calibri Light" w:cs="Calibri Light"/>
          <w:sz w:val="24"/>
          <w:szCs w:val="24"/>
        </w:rPr>
      </w:pPr>
      <w:r>
        <w:rPr>
          <w:rFonts w:ascii="Calibri Light" w:hAnsi="Calibri Light" w:cs="Calibri Light"/>
          <w:sz w:val="24"/>
          <w:szCs w:val="24"/>
        </w:rPr>
        <w:t>governed by law</w:t>
      </w:r>
    </w:p>
    <w:p w14:paraId="2036F8D0">
      <w:pPr>
        <w:spacing w:before="240"/>
        <w:ind w:left="426"/>
        <w:jc w:val="both"/>
        <w:rPr>
          <w:rFonts w:ascii="Calibri Light" w:hAnsi="Calibri Light" w:cs="Calibri Light"/>
          <w:sz w:val="24"/>
          <w:szCs w:val="24"/>
        </w:rPr>
      </w:pPr>
      <w:r>
        <w:rPr>
          <w:rFonts w:ascii="Calibri Light" w:hAnsi="Calibri Light" w:cs="Calibri Light"/>
          <w:sz w:val="24"/>
          <w:szCs w:val="24"/>
        </w:rPr>
        <w:t>Table 2 below lists the current rules regarding the recognition of Customary Law Community Units/KMHA and their customary land:</w:t>
      </w:r>
    </w:p>
    <w:p w14:paraId="77F3FC6E">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Table 2.</w:t>
      </w:r>
      <w:r>
        <w:rPr>
          <w:rFonts w:ascii="Calibri Light" w:hAnsi="Calibri Light" w:cs="Calibri Light"/>
          <w:sz w:val="24"/>
          <w:szCs w:val="24"/>
        </w:rPr>
        <w:t xml:space="preserve"> Regulations on Customary Law Communities and Customary Land</w:t>
      </w:r>
    </w:p>
    <w:tbl>
      <w:tblPr>
        <w:tblStyle w:val="28"/>
        <w:tblW w:w="0" w:type="auto"/>
        <w:tblInd w:w="534"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95"/>
        <w:gridCol w:w="2109"/>
        <w:gridCol w:w="1861"/>
        <w:gridCol w:w="1905"/>
        <w:gridCol w:w="2383"/>
      </w:tblGrid>
      <w:tr w14:paraId="16A80215">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25" w:type="dxa"/>
            <w:shd w:val="clear" w:color="auto" w:fill="D8D8D8" w:themeFill="background1" w:themeFillShade="D9"/>
          </w:tcPr>
          <w:p w14:paraId="662802FE">
            <w:pPr>
              <w:jc w:val="both"/>
              <w:rPr>
                <w:rFonts w:ascii="Calibri Light" w:hAnsi="Calibri Light" w:cs="Calibri Light"/>
                <w:b/>
                <w:bCs/>
                <w:sz w:val="24"/>
                <w:szCs w:val="24"/>
              </w:rPr>
            </w:pPr>
            <w:r>
              <w:rPr>
                <w:rFonts w:ascii="Calibri Light" w:hAnsi="Calibri Light" w:cs="Calibri Light"/>
                <w:b/>
                <w:bCs/>
                <w:sz w:val="24"/>
                <w:szCs w:val="24"/>
              </w:rPr>
              <w:t>No</w:t>
            </w:r>
          </w:p>
        </w:tc>
        <w:tc>
          <w:tcPr>
            <w:tcW w:w="2126" w:type="dxa"/>
            <w:shd w:val="clear" w:color="auto" w:fill="D8D8D8" w:themeFill="background1" w:themeFillShade="D9"/>
          </w:tcPr>
          <w:p w14:paraId="2807AE01">
            <w:pPr>
              <w:jc w:val="both"/>
              <w:rPr>
                <w:rFonts w:ascii="Calibri Light" w:hAnsi="Calibri Light" w:cs="Calibri Light"/>
                <w:b/>
                <w:bCs/>
                <w:sz w:val="24"/>
                <w:szCs w:val="24"/>
              </w:rPr>
            </w:pPr>
            <w:r>
              <w:rPr>
                <w:rFonts w:ascii="Calibri Light" w:hAnsi="Calibri Light" w:cs="Calibri Light"/>
                <w:b/>
                <w:bCs/>
                <w:sz w:val="24"/>
                <w:szCs w:val="24"/>
              </w:rPr>
              <w:t xml:space="preserve">Regulation </w:t>
            </w:r>
          </w:p>
        </w:tc>
        <w:tc>
          <w:tcPr>
            <w:tcW w:w="1877" w:type="dxa"/>
            <w:shd w:val="clear" w:color="auto" w:fill="D8D8D8" w:themeFill="background1" w:themeFillShade="D9"/>
          </w:tcPr>
          <w:p w14:paraId="49AB2D23">
            <w:pPr>
              <w:jc w:val="both"/>
              <w:rPr>
                <w:rFonts w:ascii="Calibri Light" w:hAnsi="Calibri Light" w:cs="Calibri Light"/>
                <w:b/>
                <w:bCs/>
                <w:sz w:val="24"/>
                <w:szCs w:val="24"/>
              </w:rPr>
            </w:pPr>
            <w:r>
              <w:rPr>
                <w:rFonts w:ascii="Calibri Light" w:hAnsi="Calibri Light" w:cs="Calibri Light"/>
                <w:b/>
                <w:bCs/>
                <w:sz w:val="24"/>
                <w:szCs w:val="24"/>
              </w:rPr>
              <w:t>Subject</w:t>
            </w:r>
          </w:p>
        </w:tc>
        <w:tc>
          <w:tcPr>
            <w:tcW w:w="1916" w:type="dxa"/>
            <w:shd w:val="clear" w:color="auto" w:fill="D8D8D8" w:themeFill="background1" w:themeFillShade="D9"/>
          </w:tcPr>
          <w:p w14:paraId="46EF6A36">
            <w:pPr>
              <w:jc w:val="both"/>
              <w:rPr>
                <w:rFonts w:ascii="Calibri Light" w:hAnsi="Calibri Light" w:cs="Calibri Light"/>
                <w:b/>
                <w:bCs/>
                <w:sz w:val="24"/>
                <w:szCs w:val="24"/>
              </w:rPr>
            </w:pPr>
            <w:r>
              <w:rPr>
                <w:rFonts w:ascii="Calibri Light" w:hAnsi="Calibri Light" w:cs="Calibri Light"/>
                <w:b/>
                <w:bCs/>
                <w:sz w:val="24"/>
                <w:szCs w:val="24"/>
              </w:rPr>
              <w:t>Object</w:t>
            </w:r>
          </w:p>
        </w:tc>
        <w:tc>
          <w:tcPr>
            <w:tcW w:w="2409" w:type="dxa"/>
            <w:shd w:val="clear" w:color="auto" w:fill="D8D8D8" w:themeFill="background1" w:themeFillShade="D9"/>
          </w:tcPr>
          <w:p w14:paraId="69CA72EE">
            <w:pPr>
              <w:jc w:val="both"/>
              <w:rPr>
                <w:rFonts w:ascii="Calibri Light" w:hAnsi="Calibri Light" w:cs="Calibri Light"/>
                <w:b/>
                <w:bCs/>
                <w:sz w:val="24"/>
                <w:szCs w:val="24"/>
              </w:rPr>
            </w:pPr>
            <w:r>
              <w:rPr>
                <w:rFonts w:ascii="Calibri Light" w:hAnsi="Calibri Light" w:cs="Calibri Light"/>
                <w:b/>
                <w:bCs/>
                <w:sz w:val="24"/>
                <w:szCs w:val="24"/>
              </w:rPr>
              <w:t>Implementation</w:t>
            </w:r>
          </w:p>
        </w:tc>
      </w:tr>
      <w:tr w14:paraId="63D5DAB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25" w:type="dxa"/>
          </w:tcPr>
          <w:p w14:paraId="4664AF81">
            <w:pPr>
              <w:jc w:val="both"/>
              <w:rPr>
                <w:rFonts w:ascii="Calibri Light" w:hAnsi="Calibri Light" w:cs="Calibri Light"/>
                <w:b/>
                <w:bCs/>
                <w:sz w:val="24"/>
                <w:szCs w:val="24"/>
              </w:rPr>
            </w:pPr>
            <w:r>
              <w:rPr>
                <w:rFonts w:ascii="Calibri Light" w:hAnsi="Calibri Light" w:cs="Calibri Light"/>
                <w:b/>
                <w:bCs/>
                <w:sz w:val="24"/>
                <w:szCs w:val="24"/>
              </w:rPr>
              <w:t>1.</w:t>
            </w:r>
          </w:p>
        </w:tc>
        <w:tc>
          <w:tcPr>
            <w:tcW w:w="2126" w:type="dxa"/>
          </w:tcPr>
          <w:p w14:paraId="1FADB378">
            <w:pPr>
              <w:rPr>
                <w:rFonts w:ascii="Calibri Light" w:hAnsi="Calibri Light" w:cs="Calibri Light"/>
                <w:b/>
                <w:bCs/>
                <w:sz w:val="24"/>
                <w:szCs w:val="24"/>
              </w:rPr>
            </w:pPr>
            <w:r>
              <w:rPr>
                <w:rFonts w:ascii="Calibri Light" w:hAnsi="Calibri Light" w:cs="Calibri Light"/>
                <w:b/>
                <w:bCs/>
                <w:sz w:val="24"/>
                <w:szCs w:val="24"/>
              </w:rPr>
              <w:t>Regulation of Minister of Home Affairs No. 52 of 2014 concerning Guidelines for the Recognition and Protection of Customary Law Communities</w:t>
            </w:r>
          </w:p>
        </w:tc>
        <w:tc>
          <w:tcPr>
            <w:tcW w:w="1877" w:type="dxa"/>
          </w:tcPr>
          <w:p w14:paraId="65CAC0A2">
            <w:pPr>
              <w:pStyle w:val="48"/>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 xml:space="preserve">Article 1 Number 1 </w:t>
            </w:r>
            <w:r>
              <w:rPr>
                <w:rFonts w:ascii="Calibri Light" w:hAnsi="Calibri Light" w:cs="Calibri Light"/>
                <w:sz w:val="24"/>
                <w:szCs w:val="24"/>
              </w:rPr>
              <w:t xml:space="preserve">Customary Law Communities are Indonesian Citizens who have unique characteristics, live in groups harmoniously </w:t>
            </w:r>
            <w:r>
              <w:rPr>
                <w:rFonts w:ascii="Calibri Light" w:hAnsi="Calibri Light" w:cs="Calibri Light"/>
                <w:sz w:val="24"/>
                <w:szCs w:val="24"/>
                <w:lang w:val="en-US"/>
              </w:rPr>
              <w:t>Customary Law Communities tend to be Indonesian citizens who possess particular features, belong to harmonious groups in accordance with customary laws, possess connections with ancestors roots and/or prevalent residency, possess a close connection to land and their surroundings, and have a system of values that governs financial, social, political, culturally, and judicial structures, as well as how a specific area is used to subsequent generations to generation.</w:t>
            </w:r>
          </w:p>
          <w:p w14:paraId="2E4CEFFA">
            <w:pPr>
              <w:pStyle w:val="48"/>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Article 2</w:t>
            </w:r>
            <w:r>
              <w:rPr>
                <w:rFonts w:ascii="Calibri Light" w:hAnsi="Calibri Light" w:cs="Calibri Light"/>
                <w:sz w:val="24"/>
                <w:szCs w:val="24"/>
              </w:rPr>
              <w:t xml:space="preserve"> </w:t>
            </w:r>
            <w:r>
              <w:rPr>
                <w:rFonts w:ascii="Calibri Light" w:hAnsi="Calibri Light" w:cs="Calibri Light"/>
                <w:sz w:val="24"/>
                <w:szCs w:val="24"/>
                <w:lang w:val="en-US"/>
              </w:rPr>
              <w:t>Governors, regents, and mayors respect and safeguard customary law communities.</w:t>
            </w:r>
          </w:p>
        </w:tc>
        <w:tc>
          <w:tcPr>
            <w:tcW w:w="1916" w:type="dxa"/>
          </w:tcPr>
          <w:p w14:paraId="589F1D97">
            <w:pPr>
              <w:rPr>
                <w:rFonts w:ascii="Calibri Light" w:hAnsi="Calibri Light" w:cs="Calibri Light"/>
                <w:sz w:val="24"/>
                <w:szCs w:val="24"/>
              </w:rPr>
            </w:pPr>
            <w:r>
              <w:rPr>
                <w:rFonts w:ascii="Calibri Light" w:hAnsi="Calibri Light" w:cs="Calibri Light"/>
                <w:sz w:val="24"/>
                <w:szCs w:val="24"/>
              </w:rPr>
              <w:t xml:space="preserve">Customary Territory is customary land in the form of land, water and/or waterbody along with the natural resources contained therein with certain boundaries, owned, Customary Territory is a surface area and/or body of water with particular borders that is owned, used, and maintained in an inherited and environmentally friendly way to meet the requirements of the community by inheriting to previous generations or asserts for control in the manner of </w:t>
            </w:r>
            <w:r>
              <w:rPr>
                <w:rFonts w:ascii="Calibri Light" w:hAnsi="Calibri Light" w:cs="Calibri Light"/>
                <w:b/>
                <w:bCs/>
                <w:sz w:val="24"/>
                <w:szCs w:val="24"/>
              </w:rPr>
              <w:t>customary land</w:t>
            </w:r>
            <w:r>
              <w:rPr>
                <w:rFonts w:ascii="Calibri Light" w:hAnsi="Calibri Light" w:cs="Calibri Light"/>
                <w:sz w:val="24"/>
                <w:szCs w:val="24"/>
              </w:rPr>
              <w:t xml:space="preserve"> or customary forests.</w:t>
            </w:r>
          </w:p>
        </w:tc>
        <w:tc>
          <w:tcPr>
            <w:tcW w:w="2409" w:type="dxa"/>
          </w:tcPr>
          <w:p w14:paraId="6B3F068A">
            <w:pPr>
              <w:rPr>
                <w:rFonts w:ascii="Calibri Light" w:hAnsi="Calibri Light" w:cs="Calibri Light"/>
                <w:sz w:val="24"/>
                <w:szCs w:val="24"/>
              </w:rPr>
            </w:pPr>
            <w:r>
              <w:rPr>
                <w:rFonts w:ascii="Calibri Light" w:hAnsi="Calibri Light" w:cs="Calibri Light"/>
                <w:b/>
                <w:bCs/>
                <w:sz w:val="24"/>
                <w:szCs w:val="24"/>
              </w:rPr>
              <w:t>Article 5 Paragraph (2)</w:t>
            </w:r>
            <w:r>
              <w:rPr>
                <w:rFonts w:ascii="Calibri Light" w:hAnsi="Calibri Light" w:cs="Calibri Light"/>
                <w:sz w:val="24"/>
                <w:szCs w:val="24"/>
              </w:rPr>
              <w:t xml:space="preserve"> Indentification as referred to in paragraph  (1) is carried out by examining:</w:t>
            </w:r>
          </w:p>
          <w:p w14:paraId="6BEAD06B">
            <w:pPr>
              <w:pStyle w:val="48"/>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The history of the Customary Law Community; </w:t>
            </w:r>
          </w:p>
          <w:p w14:paraId="2A4A957A">
            <w:pPr>
              <w:pStyle w:val="48"/>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Customary territory; </w:t>
            </w:r>
          </w:p>
          <w:p w14:paraId="0A5545DC">
            <w:pPr>
              <w:pStyle w:val="48"/>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Customary law; </w:t>
            </w:r>
          </w:p>
          <w:p w14:paraId="0465C8EA">
            <w:pPr>
              <w:pStyle w:val="48"/>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 xml:space="preserve">Wealth and/or customary object; </w:t>
            </w:r>
          </w:p>
          <w:p w14:paraId="4FD97121">
            <w:pPr>
              <w:pStyle w:val="48"/>
              <w:numPr>
                <w:ilvl w:val="0"/>
                <w:numId w:val="13"/>
              </w:numPr>
              <w:spacing w:after="0" w:line="240" w:lineRule="auto"/>
              <w:ind w:left="346"/>
              <w:rPr>
                <w:rFonts w:ascii="Calibri Light" w:hAnsi="Calibri Light" w:cs="Calibri Light"/>
                <w:sz w:val="24"/>
                <w:szCs w:val="24"/>
              </w:rPr>
            </w:pPr>
            <w:r>
              <w:rPr>
                <w:rFonts w:ascii="Calibri Light" w:hAnsi="Calibri Light" w:cs="Calibri Light"/>
                <w:sz w:val="24"/>
                <w:szCs w:val="24"/>
              </w:rPr>
              <w:t>Customary government institutions/system</w:t>
            </w:r>
          </w:p>
        </w:tc>
      </w:tr>
      <w:tr w14:paraId="3CFEFDC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25" w:type="dxa"/>
          </w:tcPr>
          <w:p w14:paraId="1E33EB75">
            <w:pPr>
              <w:jc w:val="both"/>
              <w:rPr>
                <w:rFonts w:ascii="Calibri Light" w:hAnsi="Calibri Light" w:cs="Calibri Light"/>
                <w:b/>
                <w:bCs/>
                <w:sz w:val="24"/>
                <w:szCs w:val="24"/>
              </w:rPr>
            </w:pPr>
            <w:r>
              <w:rPr>
                <w:rFonts w:ascii="Calibri Light" w:hAnsi="Calibri Light" w:cs="Calibri Light"/>
                <w:b/>
                <w:bCs/>
                <w:sz w:val="24"/>
                <w:szCs w:val="24"/>
              </w:rPr>
              <w:t>2.</w:t>
            </w:r>
          </w:p>
        </w:tc>
        <w:tc>
          <w:tcPr>
            <w:tcW w:w="2126" w:type="dxa"/>
            <w:shd w:val="clear" w:color="auto" w:fill="FFFFFF" w:themeFill="background1"/>
          </w:tcPr>
          <w:p w14:paraId="48DCA698">
            <w:pPr>
              <w:rPr>
                <w:rFonts w:ascii="Calibri Light" w:hAnsi="Calibri Light" w:cs="Calibri Light"/>
                <w:b/>
                <w:bCs/>
                <w:sz w:val="24"/>
                <w:szCs w:val="24"/>
              </w:rPr>
            </w:pPr>
            <w:r>
              <w:rPr>
                <w:rFonts w:ascii="Calibri Light" w:hAnsi="Calibri Light" w:cs="Calibri Light"/>
                <w:color w:val="000000"/>
                <w:sz w:val="24"/>
                <w:szCs w:val="24"/>
                <w:shd w:val="clear" w:color="auto" w:fill="F5F5F5"/>
              </w:rPr>
              <w:t>Regulation of the Minister of Agrarian Affairs and Spatial Planning/National Land Agency of the Republic of Indonesia Number 14 of 2024 concerning the Implementation of Land Administration and Registration of Customary Land Rights of Indigenous Communities</w:t>
            </w:r>
          </w:p>
        </w:tc>
        <w:tc>
          <w:tcPr>
            <w:tcW w:w="1877" w:type="dxa"/>
          </w:tcPr>
          <w:p w14:paraId="53EFECCF">
            <w:pPr>
              <w:rPr>
                <w:rFonts w:ascii="Calibri Light" w:hAnsi="Calibri Light" w:cs="Calibri Light"/>
                <w:sz w:val="24"/>
                <w:szCs w:val="24"/>
              </w:rPr>
            </w:pPr>
            <w:r>
              <w:rPr>
                <w:rFonts w:ascii="Calibri Light" w:hAnsi="Calibri Light" w:cs="Calibri Light"/>
                <w:b/>
                <w:bCs/>
                <w:sz w:val="24"/>
                <w:szCs w:val="24"/>
              </w:rPr>
              <w:t>Article 1 Paragraph (2)</w:t>
            </w:r>
            <w:r>
              <w:rPr>
                <w:rFonts w:ascii="Calibri Light" w:hAnsi="Calibri Light" w:cs="Calibri Light"/>
                <w:sz w:val="24"/>
                <w:szCs w:val="24"/>
              </w:rPr>
              <w:t xml:space="preserve"> A Customary Law Community Unit/KMHA is an assortment of individuals whose are obligated by their customary legal system as joint citizens of a juridical entity because to a prevalent place location or ancestry, who also possess typical organizations, resources, and/or typical items that are collectively held, in addition to a system of values defining customary institutions and guidelines.</w:t>
            </w:r>
          </w:p>
        </w:tc>
        <w:tc>
          <w:tcPr>
            <w:tcW w:w="1916" w:type="dxa"/>
          </w:tcPr>
          <w:p w14:paraId="365CA800">
            <w:pPr>
              <w:pStyle w:val="48"/>
              <w:numPr>
                <w:ilvl w:val="0"/>
                <w:numId w:val="12"/>
              </w:numPr>
              <w:shd w:val="clear" w:color="auto" w:fill="FFFFFF" w:themeFill="background1"/>
              <w:spacing w:after="0" w:line="240" w:lineRule="auto"/>
              <w:ind w:left="171" w:hanging="142"/>
              <w:rPr>
                <w:rFonts w:ascii="Calibri Light" w:hAnsi="Calibri Light" w:cs="Calibri Light"/>
                <w:color w:val="000000"/>
                <w:sz w:val="24"/>
                <w:szCs w:val="24"/>
                <w:shd w:val="clear" w:color="auto" w:fill="F5F5F5"/>
                <w:lang w:val="en-US"/>
              </w:rPr>
            </w:pPr>
            <w:r>
              <w:rPr>
                <w:rFonts w:ascii="Calibri Light" w:hAnsi="Calibri Light" w:cs="Calibri Light"/>
                <w:b/>
                <w:bCs/>
                <w:color w:val="000000"/>
                <w:sz w:val="24"/>
                <w:szCs w:val="24"/>
                <w:shd w:val="clear" w:color="auto" w:fill="FFFFFF" w:themeFill="background1"/>
              </w:rPr>
              <w:t xml:space="preserve">Article 1 Paragraph (4) </w:t>
            </w:r>
            <w:r>
              <w:rPr>
                <w:rFonts w:ascii="Calibri Light" w:hAnsi="Calibri Light" w:cs="Calibri Light"/>
                <w:color w:val="000000"/>
                <w:sz w:val="24"/>
                <w:szCs w:val="24"/>
                <w:shd w:val="clear" w:color="auto" w:fill="FFFFFF" w:themeFill="background1"/>
                <w:lang w:val="en-US"/>
              </w:rPr>
              <w:t>Customary Land Rights of Customary Law Communities, or whatever is known by a different name and subsequently known to as Customary Land, is land which occurs in the region ruled by customary law communities that in actuality continues to exist and is not tied to specific land rights</w:t>
            </w:r>
            <w:r>
              <w:rPr>
                <w:rFonts w:ascii="Calibri Light" w:hAnsi="Calibri Light" w:cs="Calibri Light"/>
                <w:color w:val="000000"/>
                <w:sz w:val="24"/>
                <w:szCs w:val="24"/>
                <w:shd w:val="clear" w:color="auto" w:fill="FFFFFF" w:themeFill="background1"/>
              </w:rPr>
              <w:t>.</w:t>
            </w:r>
          </w:p>
          <w:p w14:paraId="1BA5E9EF">
            <w:pPr>
              <w:rPr>
                <w:rFonts w:ascii="Calibri Light" w:hAnsi="Calibri Light" w:cs="Calibri Light"/>
                <w:b/>
                <w:bCs/>
                <w:color w:val="000000"/>
                <w:sz w:val="24"/>
                <w:szCs w:val="24"/>
                <w:shd w:val="clear" w:color="auto" w:fill="F5F5F5"/>
              </w:rPr>
            </w:pPr>
          </w:p>
          <w:p w14:paraId="470C38CF">
            <w:pPr>
              <w:pStyle w:val="48"/>
              <w:numPr>
                <w:ilvl w:val="0"/>
                <w:numId w:val="12"/>
              </w:numPr>
              <w:spacing w:after="0" w:line="240" w:lineRule="auto"/>
              <w:ind w:left="171" w:hanging="142"/>
              <w:rPr>
                <w:rFonts w:ascii="Calibri Light" w:hAnsi="Calibri Light" w:cs="Calibri Light"/>
                <w:sz w:val="24"/>
                <w:szCs w:val="24"/>
                <w:lang w:val="en-US"/>
              </w:rPr>
            </w:pPr>
            <w:r>
              <w:rPr>
                <w:rFonts w:ascii="Calibri Light" w:hAnsi="Calibri Light" w:cs="Calibri Light"/>
                <w:b/>
                <w:bCs/>
                <w:sz w:val="24"/>
                <w:szCs w:val="24"/>
              </w:rPr>
              <w:t>Article 15 (I)</w:t>
            </w:r>
            <w:r>
              <w:rPr>
                <w:rFonts w:ascii="Calibri Light" w:hAnsi="Calibri Light" w:cs="Calibri Light"/>
                <w:sz w:val="24"/>
                <w:szCs w:val="24"/>
              </w:rPr>
              <w:t xml:space="preserve"> Customary Land Areas that have been recorded in the List of Customary Lands as referred to in Article 13 paragraph (1) may be submitted for management rights by the Customary Legal </w:t>
            </w:r>
            <w:r>
              <w:rPr>
                <w:rFonts w:ascii="Calibri Light" w:hAnsi="Calibri Light" w:cs="Calibri Light"/>
                <w:sz w:val="24"/>
                <w:szCs w:val="24"/>
                <w:lang w:val="en-US"/>
              </w:rPr>
              <w:t>The Customary Legal Community Unit may apply to the Minister for management rights over Customary Land Areas that were previously documented in the List of Customary Lands related to in Article 13 paragraph (1).</w:t>
            </w:r>
          </w:p>
        </w:tc>
        <w:tc>
          <w:tcPr>
            <w:tcW w:w="2409" w:type="dxa"/>
          </w:tcPr>
          <w:p w14:paraId="3AEC45E0">
            <w:pPr>
              <w:rPr>
                <w:rFonts w:ascii="Calibri Light" w:hAnsi="Calibri Light" w:cs="Calibri Light"/>
                <w:b/>
                <w:bCs/>
                <w:sz w:val="24"/>
                <w:szCs w:val="24"/>
              </w:rPr>
            </w:pPr>
            <w:r>
              <w:rPr>
                <w:rFonts w:ascii="Calibri Light" w:hAnsi="Calibri Light" w:cs="Calibri Light"/>
                <w:b/>
                <w:bCs/>
                <w:sz w:val="24"/>
                <w:szCs w:val="24"/>
              </w:rPr>
              <w:t xml:space="preserve">Article 4 </w:t>
            </w:r>
          </w:p>
          <w:p w14:paraId="154172B3">
            <w:pPr>
              <w:pStyle w:val="48"/>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Paragraph (1) Administration of Customary Land Rights shall be carried out as long as they still exist as referred to in Article 2 paragraph (1)</w:t>
            </w:r>
          </w:p>
          <w:p w14:paraId="0ADA0C15">
            <w:pPr>
              <w:pStyle w:val="48"/>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Paragraph (2)</w:t>
            </w:r>
          </w:p>
          <w:p w14:paraId="6A0E26F1">
            <w:pPr>
              <w:pStyle w:val="48"/>
              <w:spacing w:line="240" w:lineRule="auto"/>
              <w:ind w:left="248"/>
              <w:rPr>
                <w:rFonts w:ascii="Calibri Light" w:hAnsi="Calibri Light" w:cs="Calibri Light"/>
                <w:sz w:val="24"/>
                <w:szCs w:val="24"/>
              </w:rPr>
            </w:pPr>
            <w:r>
              <w:rPr>
                <w:rFonts w:ascii="Calibri Light" w:hAnsi="Calibri Light" w:cs="Calibri Light"/>
                <w:sz w:val="24"/>
                <w:szCs w:val="24"/>
              </w:rPr>
              <w:t>Administration of Customary Land Rights as referred to in paragraph (1) shall be carried out to record Customary Land in the List of Customary Land.</w:t>
            </w:r>
          </w:p>
          <w:p w14:paraId="3BF8D6EC">
            <w:pPr>
              <w:pStyle w:val="48"/>
              <w:numPr>
                <w:ilvl w:val="0"/>
                <w:numId w:val="14"/>
              </w:numPr>
              <w:spacing w:after="0" w:line="240" w:lineRule="auto"/>
              <w:ind w:left="248" w:hanging="248"/>
              <w:rPr>
                <w:rFonts w:ascii="Calibri Light" w:hAnsi="Calibri Light" w:cs="Calibri Light"/>
                <w:b/>
                <w:bCs/>
                <w:sz w:val="24"/>
                <w:szCs w:val="24"/>
              </w:rPr>
            </w:pPr>
            <w:r>
              <w:rPr>
                <w:rFonts w:ascii="Calibri Light" w:hAnsi="Calibri Light" w:cs="Calibri Light"/>
                <w:sz w:val="24"/>
                <w:szCs w:val="24"/>
              </w:rPr>
              <w:t xml:space="preserve">Paragraph (3) </w:t>
            </w:r>
          </w:p>
          <w:p w14:paraId="545A00BD">
            <w:pPr>
              <w:pStyle w:val="48"/>
              <w:spacing w:line="240" w:lineRule="auto"/>
              <w:ind w:left="248"/>
              <w:rPr>
                <w:rFonts w:ascii="Calibri Light" w:hAnsi="Calibri Light" w:cs="Calibri Light"/>
                <w:sz w:val="24"/>
                <w:szCs w:val="24"/>
              </w:rPr>
            </w:pPr>
            <w:r>
              <w:rPr>
                <w:rFonts w:ascii="Calibri Light" w:hAnsi="Calibri Light" w:cs="Calibri Light"/>
                <w:sz w:val="24"/>
                <w:szCs w:val="24"/>
              </w:rPr>
              <w:t xml:space="preserve">Stages of land administration for Customary Land include: </w:t>
            </w:r>
          </w:p>
          <w:p w14:paraId="1BDB26CF">
            <w:pPr>
              <w:pStyle w:val="48"/>
              <w:numPr>
                <w:ilvl w:val="0"/>
                <w:numId w:val="15"/>
              </w:numPr>
              <w:spacing w:after="0" w:line="240" w:lineRule="auto"/>
              <w:ind w:left="531" w:hanging="283"/>
              <w:rPr>
                <w:rFonts w:ascii="Calibri Light" w:hAnsi="Calibri Light" w:cs="Calibri Light"/>
                <w:sz w:val="24"/>
                <w:szCs w:val="24"/>
              </w:rPr>
            </w:pPr>
            <w:r>
              <w:rPr>
                <w:rFonts w:ascii="Calibri Light" w:hAnsi="Calibri Light" w:cs="Calibri Light"/>
                <w:sz w:val="24"/>
                <w:szCs w:val="24"/>
              </w:rPr>
              <w:t xml:space="preserve">Inventory and identification; </w:t>
            </w:r>
          </w:p>
          <w:p w14:paraId="416C8600">
            <w:pPr>
              <w:pStyle w:val="48"/>
              <w:numPr>
                <w:ilvl w:val="0"/>
                <w:numId w:val="15"/>
              </w:numPr>
              <w:spacing w:after="0" w:line="240" w:lineRule="auto"/>
              <w:ind w:left="531" w:hanging="283"/>
              <w:rPr>
                <w:rFonts w:ascii="Calibri Light" w:hAnsi="Calibri Light" w:cs="Calibri Light"/>
                <w:sz w:val="24"/>
                <w:szCs w:val="24"/>
              </w:rPr>
            </w:pPr>
            <w:r>
              <w:rPr>
                <w:rFonts w:ascii="Calibri Light" w:hAnsi="Calibri Light" w:cs="Calibri Light"/>
                <w:sz w:val="24"/>
                <w:szCs w:val="24"/>
              </w:rPr>
              <w:t>Measurement and mapping; and</w:t>
            </w:r>
          </w:p>
          <w:p w14:paraId="7B5D8DAE">
            <w:pPr>
              <w:pStyle w:val="48"/>
              <w:numPr>
                <w:ilvl w:val="0"/>
                <w:numId w:val="15"/>
              </w:numPr>
              <w:spacing w:after="0" w:line="240" w:lineRule="auto"/>
              <w:ind w:left="531" w:hanging="283"/>
              <w:rPr>
                <w:rFonts w:ascii="Calibri Light" w:hAnsi="Calibri Light" w:cs="Calibri Light"/>
                <w:b/>
                <w:bCs/>
                <w:sz w:val="24"/>
                <w:szCs w:val="24"/>
              </w:rPr>
            </w:pPr>
            <w:r>
              <w:rPr>
                <w:rFonts w:ascii="Calibri Light" w:hAnsi="Calibri Light" w:cs="Calibri Light"/>
                <w:sz w:val="24"/>
                <w:szCs w:val="24"/>
              </w:rPr>
              <w:t>Recording of The List of Customary Land.</w:t>
            </w:r>
          </w:p>
          <w:p w14:paraId="4F114AB0">
            <w:pPr>
              <w:rPr>
                <w:rFonts w:ascii="Calibri Light" w:hAnsi="Calibri Light" w:cs="Calibri Light"/>
                <w:b/>
                <w:bCs/>
                <w:sz w:val="24"/>
                <w:szCs w:val="24"/>
              </w:rPr>
            </w:pPr>
          </w:p>
          <w:p w14:paraId="656B3327">
            <w:pPr>
              <w:rPr>
                <w:rFonts w:ascii="Calibri Light" w:hAnsi="Calibri Light" w:cs="Calibri Light"/>
                <w:b/>
                <w:bCs/>
                <w:sz w:val="24"/>
                <w:szCs w:val="24"/>
              </w:rPr>
            </w:pPr>
            <w:r>
              <w:rPr>
                <w:rFonts w:ascii="Calibri Light" w:hAnsi="Calibri Light" w:cs="Calibri Light"/>
                <w:b/>
                <w:bCs/>
                <w:sz w:val="24"/>
                <w:szCs w:val="24"/>
              </w:rPr>
              <w:t>Article 16</w:t>
            </w:r>
          </w:p>
          <w:p w14:paraId="5C964A9D">
            <w:pPr>
              <w:pStyle w:val="48"/>
              <w:numPr>
                <w:ilvl w:val="0"/>
                <w:numId w:val="16"/>
              </w:numPr>
              <w:spacing w:after="0" w:line="240" w:lineRule="auto"/>
              <w:ind w:left="248" w:hanging="248"/>
              <w:rPr>
                <w:rFonts w:ascii="Calibri Light" w:hAnsi="Calibri Light" w:cs="Calibri Light"/>
                <w:sz w:val="24"/>
                <w:szCs w:val="24"/>
              </w:rPr>
            </w:pPr>
            <w:r>
              <w:rPr>
                <w:rFonts w:ascii="Calibri Light" w:hAnsi="Calibri Light" w:cs="Calibri Light"/>
                <w:b/>
                <w:bCs/>
                <w:sz w:val="24"/>
                <w:szCs w:val="24"/>
              </w:rPr>
              <w:t>Paragraph (1)</w:t>
            </w:r>
            <w:r>
              <w:rPr>
                <w:rFonts w:ascii="Calibri Light" w:hAnsi="Calibri Light" w:cs="Calibri Light"/>
                <w:sz w:val="24"/>
                <w:szCs w:val="24"/>
              </w:rPr>
              <w:t xml:space="preserve"> Customary Land Areas without submitted confirmation of management rights by the Customary Law Community Unit/KMHA shall continue to have the status of Customary Land.</w:t>
            </w:r>
          </w:p>
          <w:p w14:paraId="0CB95503">
            <w:pPr>
              <w:pStyle w:val="48"/>
              <w:numPr>
                <w:ilvl w:val="0"/>
                <w:numId w:val="16"/>
              </w:numPr>
              <w:spacing w:after="0" w:line="240" w:lineRule="auto"/>
              <w:ind w:left="248" w:hanging="248"/>
              <w:rPr>
                <w:rFonts w:ascii="Calibri Light" w:hAnsi="Calibri Light" w:cs="Calibri Light"/>
                <w:sz w:val="24"/>
                <w:szCs w:val="24"/>
              </w:rPr>
            </w:pPr>
            <w:r>
              <w:rPr>
                <w:rFonts w:ascii="Calibri Light" w:hAnsi="Calibri Light" w:cs="Calibri Light"/>
                <w:b/>
                <w:bCs/>
                <w:sz w:val="24"/>
                <w:szCs w:val="24"/>
              </w:rPr>
              <w:t>Paragraph (2)</w:t>
            </w:r>
            <w:r>
              <w:rPr>
                <w:rFonts w:ascii="Calibri Light" w:hAnsi="Calibri Light" w:cs="Calibri Light"/>
                <w:sz w:val="24"/>
                <w:szCs w:val="24"/>
              </w:rPr>
              <w:t xml:space="preserve"> with the regard to Customary Land as referred to in Paragraph (1), </w:t>
            </w:r>
            <w:r>
              <w:rPr>
                <w:rFonts w:ascii="Calibri Light" w:hAnsi="Calibri Light" w:cs="Calibri Light"/>
                <w:b/>
                <w:bCs/>
                <w:sz w:val="24"/>
                <w:szCs w:val="24"/>
              </w:rPr>
              <w:t xml:space="preserve">the Customary Law Community Unit/KMHA may cooperate with third parties based on an agreement </w:t>
            </w:r>
            <w:r>
              <w:rPr>
                <w:rFonts w:ascii="Calibri Light" w:hAnsi="Calibri Light" w:cs="Calibri Light"/>
                <w:sz w:val="24"/>
                <w:szCs w:val="24"/>
              </w:rPr>
              <w:t>in accordance with the provisions of law and regulations.</w:t>
            </w:r>
          </w:p>
        </w:tc>
      </w:tr>
    </w:tbl>
    <w:p w14:paraId="1D59884B">
      <w:pPr>
        <w:ind w:left="440" w:right="-1" w:hanging="14"/>
        <w:jc w:val="both"/>
        <w:rPr>
          <w:rFonts w:ascii="Calibri Light" w:hAnsi="Calibri Light" w:cs="Calibri Light"/>
          <w:sz w:val="24"/>
          <w:szCs w:val="24"/>
        </w:rPr>
      </w:pPr>
    </w:p>
    <w:p w14:paraId="0ECE5B0C">
      <w:pPr>
        <w:spacing w:before="240"/>
        <w:ind w:left="426"/>
        <w:jc w:val="both"/>
        <w:rPr>
          <w:rFonts w:ascii="Calibri Light" w:hAnsi="Calibri Light" w:cs="Calibri Light"/>
          <w:sz w:val="24"/>
          <w:szCs w:val="24"/>
        </w:rPr>
      </w:pPr>
      <w:r>
        <w:rPr>
          <w:rFonts w:ascii="Calibri Light" w:hAnsi="Calibri Light" w:cs="Calibri Light"/>
          <w:sz w:val="24"/>
          <w:szCs w:val="24"/>
        </w:rPr>
        <w:t xml:space="preserve">The administration and registration of customary land have been started since 2024, carried out in several provinces, including West Sumatra, Kalimantan, Bali, and Papua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{"citationItems":[{"id":"ITEM-1","itemData":{"DOI":"10.36526/js.v3i2.4485","author":[{"dropping-particle":"","family":"Sumilat","given":"Rohyani Rigen Is","non-dropping-particle":"","parse-names":false,"suffix":""}],"container-title":"Santhet: Jurnal Sejarah, Pendidikan Dan Humaniora","id":"ITEM-1","issue":"2","issued":{"date-parts":[["2024"]]},"page":"1832-1841","title":"IMPLEMENTATION OF THE REGULATION OF THE MINISTER OF ATR/BPN NO. 14 OF 2024 IN THE REGISTRATION OF CUSTOMARY LAND RIGHTS OF CUSTOMARY LAW COMMUNITIES","type":"article-journal","volume":"8"},"uris":["http://www.mendeley.com/documents/?uuid=c3392998-072e-4645-a1c2-04cb412d8ab4"]}],"mendeley":{"formattedCitation":"(Sumilat, 2024)","plainTextFormattedCitation":"(Sumilat, 2024)","previouslyFormattedCitation":"(Sumilat,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(Sumilat, 2024)</w:t>
      </w:r>
      <w:r>
        <w:rPr>
          <w:rFonts w:ascii="Calibri Light" w:hAnsi="Calibri Light" w:cs="Calibri Light"/>
          <w:sz w:val="24"/>
          <w:szCs w:val="24"/>
        </w:rPr>
        <w:fldChar w:fldCharType="end"/>
      </w:r>
      <w:r>
        <w:rPr>
          <w:rFonts w:ascii="Calibri Light" w:hAnsi="Calibri Light" w:cs="Calibri Light"/>
          <w:sz w:val="24"/>
          <w:szCs w:val="24"/>
        </w:rPr>
        <w:t xml:space="preserve">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{"citationItems":[{"id":"ITEM-1","itemData":{"DOI":"10.24843/ac.2019.v04.i02.p11","ISSN":"2502-8960","abstract":"PTSL dilaksanakan berdasarkan Peraturan Menteri Agraria Dan Tata Ruang/Kepala Badan Pertanahan Nasional Nomar 35 Tahun 2016 tentang Percepatan Pendaftaran Tanah Sistematis Lengkap. Pendafaran tanah sendiri diamanatkan oleh Undang-Undang Nomor 5 Tahun 1960 tentang Peraturan Dasar Pokok-Pokok Agraria (UUPA), yang pada Pasal 19 ayat (1)-nya menegaskan bahwa untuk menjamin kepastian hukum, oleh Pemerintah diadakan pendaftaran tanah di seluruh wilayah Republik Indonesia menurut ketentuan-ketentuan yang diatur dengan Peraturan Pemerintah, Berdasarkan pemaparan di atas, penting dilakukannya penelitian mengenai : a. Bagaimanakah sistem pendaftaran  hak atas tanah di Bali setelah adanya program Pendafaran Tanah Sistematis Lengkap (PTSL) ?  b. Bagaimanakah proses serta peran Notaris/PPAT di dalamnya ?. Jenis penelitian ini merupakan penelitian hukum empiris yang meneliti data sekunder di awal penelitian dan dilanjutkan dengan meneliti data primer di lapangan, yaitu responden dari masyarakat secara langsung.  Data primer dapat diperoleh secara langsung oleh peneliti dari sumber pertama. Sedangkan, data sekunder dapat diperoleh dari bahan–bahan kepustakaan, arsip–arsip, dokumen–dokumen yang terdiri dari bahan hukum primer dan bahan hukum sekunder yaitu karya ilmiah, hasil penelitian terdahulu, hasil karya dari praktisi hukum dan sejenisnya. Dari penelitian ini diperoleh hasil dan kseimpulan sebagai berikut : 1. Sistim negatif pendaftaran tanah adat di Bali dapat memberikan kepastian hukum bagi pemegang hak yang terdaftar di dalam daftar umum apabila Proses penyelidikan riwayat penguasaan tanah pada pendaftaran hak pertama kali mendapat bantuan masyarakat, diadakan kodifikasi mengenai lembaga kadaluwarsaTanah-tanah hak adat di Bali maupun hak-hak atas tanah adat secara umum dengan nama apapun, sebagaimana halnya hak-hak atas tanah lainnya, adalah merupakan obyek pendaftaran tanah, baik secara sistematis/sistematis lengkap, maupun secara sporadik. 2. Dalam proses pensertipikatan hak atas tanah adat (termasuk hak atas tanah adat di Bali) melalui pendaftaran tanah sistematis/ sistematis lengkap maupun sporadik, tidak ada peranan Notaris/PPAT didalamnya, sebab tidak diperlukan akta yang dibuat dihadapan/oleh Notaris/PPAT, kecuali untuk mengesahkan fotokopi dokumen sesuai dengan aslinya untuk fotokopi dokumen pendukung yang diperlukan atau untuk perbuatan hukum berupa pemberian hak guna bangunan atau hak pakai atas tanah hak milik. Terdapat adanya peranan PPAT dalam seti…","author":[{"dropping-particle":"","family":"Pratama","given":"I Gede Angga","non-dropping-particle":"","parse-names":false,"suffix":""}],"container-title":"Acta Comitas","id":"ITEM-1","issue":"2","issued":{"date-parts":[["2019"]]},"page":"284-295","title":"Peran PPAT Dalam Sistem Pendaftaran Tanah Adat di Bali","type":"article-journal","volume":"4"},"uris":["http://www.mendeley.com/documents/?uuid=96814a86-9f2b-413a-bfbd-87e2c09b888a"]}],"mendeley":{"formattedCitation":"(Pratama, 2019)","plainTextFormattedCitation":"(Pratama, 2019)","previouslyFormattedCitation":"(Pratama, 2019)"},"properties":{"noteIndex":0},"schema":"https://github.com/citation-style-language/schema/raw/master/csl-citation.json"}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(Pratama, 2019)</w:t>
      </w:r>
      <w:r>
        <w:rPr>
          <w:rFonts w:ascii="Calibri Light" w:hAnsi="Calibri Light" w:cs="Calibri Light"/>
          <w:sz w:val="24"/>
          <w:szCs w:val="24"/>
        </w:rPr>
        <w:fldChar w:fldCharType="end"/>
      </w:r>
      <w:r>
        <w:rPr>
          <w:rFonts w:ascii="Calibri Light" w:hAnsi="Calibri Light" w:cs="Calibri Light"/>
          <w:sz w:val="24"/>
          <w:szCs w:val="24"/>
        </w:rPr>
        <w:t xml:space="preserve">. The administration and registration of customary land began with research to determine the Customary Law Community as regulated in the Regulation of the Minister of Home Affairs Number 52 of 2014 (Pemendagri 52/2014) concerning Guidelines for the Recognition and Protection of Customary Law Communities. Based on Article 4 of Permendagri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14:paraId="1D879EDF">
      <w:pPr>
        <w:spacing w:before="240"/>
        <w:ind w:left="426"/>
        <w:jc w:val="both"/>
        <w:rPr>
          <w:rFonts w:ascii="Calibri Light" w:hAnsi="Calibri Light" w:cs="Calibri Light"/>
          <w:sz w:val="24"/>
          <w:szCs w:val="24"/>
        </w:rPr>
      </w:pPr>
      <w:r>
        <w:rPr>
          <w:rFonts w:ascii="Calibri Light" w:hAnsi="Calibri Light" w:cs="Calibri Light"/>
          <w:sz w:val="24"/>
          <w:szCs w:val="24"/>
        </w:rPr>
        <w:t>The results of the above activities are as follows according to Article 5:</w:t>
      </w:r>
    </w:p>
    <w:p w14:paraId="76E69DBC">
      <w:pPr>
        <w:ind w:left="1134" w:hanging="567"/>
        <w:jc w:val="both"/>
        <w:rPr>
          <w:rFonts w:ascii="Calibri Light" w:hAnsi="Calibri Light" w:cs="Calibri Light"/>
          <w:sz w:val="24"/>
          <w:szCs w:val="24"/>
        </w:rPr>
      </w:pPr>
      <w:r>
        <w:rPr>
          <w:rFonts w:ascii="Calibri Light" w:hAnsi="Calibri Light" w:cs="Calibri Light"/>
          <w:sz w:val="24"/>
          <w:szCs w:val="24"/>
        </w:rPr>
        <w:t xml:space="preserve"> (1) </w:t>
      </w:r>
      <w:r>
        <w:rPr>
          <w:rFonts w:ascii="Calibri Light" w:hAnsi="Calibri Light" w:cs="Calibri Light"/>
          <w:sz w:val="24"/>
          <w:szCs w:val="24"/>
        </w:rPr>
        <w:tab/>
      </w:r>
      <w:r>
        <w:rPr>
          <w:rFonts w:ascii="Calibri Light" w:hAnsi="Calibri Light" w:cs="Calibri Light"/>
          <w:sz w:val="24"/>
          <w:szCs w:val="24"/>
        </w:rPr>
        <w:t>Regent/Mayor through the Sub-district Head or other equivalent position carries out identification as referred to in Article 3 letter a by involving customary law communities or community groups.</w:t>
      </w:r>
    </w:p>
    <w:p w14:paraId="083E3581">
      <w:pPr>
        <w:ind w:left="1701" w:hanging="1134"/>
        <w:jc w:val="both"/>
        <w:rPr>
          <w:rFonts w:ascii="Calibri Light" w:hAnsi="Calibri Light" w:cs="Calibri Light"/>
          <w:sz w:val="24"/>
          <w:szCs w:val="24"/>
        </w:rPr>
      </w:pPr>
      <w:r>
        <w:rPr>
          <w:rFonts w:ascii="Calibri Light" w:hAnsi="Calibri Light" w:cs="Calibri Light"/>
          <w:sz w:val="24"/>
          <w:szCs w:val="24"/>
        </w:rPr>
        <w:t xml:space="preserve"> (2)   Identification as referred to in paragraph (1) is carried out by examining carefully: </w:t>
      </w:r>
    </w:p>
    <w:p w14:paraId="5597413F">
      <w:pPr>
        <w:ind w:left="1570" w:hanging="436"/>
        <w:jc w:val="both"/>
        <w:rPr>
          <w:rFonts w:ascii="Calibri Light" w:hAnsi="Calibri Light" w:cs="Calibri Light"/>
          <w:sz w:val="24"/>
          <w:szCs w:val="24"/>
        </w:rPr>
      </w:pPr>
      <w:r>
        <w:rPr>
          <w:rFonts w:ascii="Calibri Light" w:hAnsi="Calibri Light" w:cs="Calibri Light"/>
          <w:sz w:val="24"/>
          <w:szCs w:val="24"/>
        </w:rPr>
        <w:t>a. History of Customary Law Communities;</w:t>
      </w:r>
    </w:p>
    <w:p w14:paraId="26AEEE3F">
      <w:pPr>
        <w:ind w:left="1570" w:hanging="436"/>
        <w:jc w:val="both"/>
        <w:rPr>
          <w:rFonts w:ascii="Calibri Light" w:hAnsi="Calibri Light" w:cs="Calibri Light"/>
          <w:sz w:val="24"/>
          <w:szCs w:val="24"/>
        </w:rPr>
      </w:pPr>
      <w:r>
        <w:rPr>
          <w:rFonts w:ascii="Calibri Light" w:hAnsi="Calibri Light" w:cs="Calibri Light"/>
          <w:sz w:val="24"/>
          <w:szCs w:val="24"/>
        </w:rPr>
        <w:t>b. Customary territory;</w:t>
      </w:r>
    </w:p>
    <w:p w14:paraId="1FF6B0FE">
      <w:pPr>
        <w:ind w:left="1570" w:hanging="436"/>
        <w:jc w:val="both"/>
        <w:rPr>
          <w:rFonts w:ascii="Calibri Light" w:hAnsi="Calibri Light" w:cs="Calibri Light"/>
          <w:sz w:val="24"/>
          <w:szCs w:val="24"/>
        </w:rPr>
      </w:pPr>
      <w:r>
        <w:rPr>
          <w:rFonts w:ascii="Calibri Light" w:hAnsi="Calibri Light" w:cs="Calibri Light"/>
          <w:sz w:val="24"/>
          <w:szCs w:val="24"/>
        </w:rPr>
        <w:t xml:space="preserve">c. Customary law; </w:t>
      </w:r>
    </w:p>
    <w:p w14:paraId="55F0CC66">
      <w:pPr>
        <w:ind w:left="1570" w:hanging="436"/>
        <w:jc w:val="both"/>
        <w:rPr>
          <w:rFonts w:ascii="Calibri Light" w:hAnsi="Calibri Light" w:cs="Calibri Light"/>
          <w:sz w:val="24"/>
          <w:szCs w:val="24"/>
        </w:rPr>
      </w:pPr>
      <w:r>
        <w:rPr>
          <w:rFonts w:ascii="Calibri Light" w:hAnsi="Calibri Light" w:cs="Calibri Light"/>
          <w:sz w:val="24"/>
          <w:szCs w:val="24"/>
        </w:rPr>
        <w:t xml:space="preserve">d. Customary wealth and/or objects; dan </w:t>
      </w:r>
    </w:p>
    <w:p w14:paraId="11DE53E0">
      <w:pPr>
        <w:ind w:left="1570" w:hanging="436"/>
        <w:jc w:val="both"/>
        <w:rPr>
          <w:rFonts w:ascii="Calibri Light" w:hAnsi="Calibri Light" w:cs="Calibri Light"/>
          <w:sz w:val="24"/>
          <w:szCs w:val="24"/>
        </w:rPr>
      </w:pPr>
      <w:r>
        <w:rPr>
          <w:rFonts w:ascii="Calibri Light" w:hAnsi="Calibri Light" w:cs="Calibri Light"/>
          <w:sz w:val="24"/>
          <w:szCs w:val="24"/>
        </w:rPr>
        <w:t>e. Customary government institutions/systems</w:t>
      </w:r>
    </w:p>
    <w:p w14:paraId="194484A8">
      <w:pPr>
        <w:spacing w:before="240"/>
        <w:ind w:left="426"/>
        <w:jc w:val="both"/>
        <w:rPr>
          <w:rFonts w:ascii="Calibri Light" w:hAnsi="Calibri Light" w:cs="Calibri Light"/>
          <w:sz w:val="24"/>
          <w:szCs w:val="24"/>
        </w:rPr>
      </w:pPr>
      <w:r>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{"citationItems":[{"id":"ITEM-1","itemData":{"author":[{"dropping-particle":"","family":"Asian Indigenous Women","given":"","non-dropping-particle":"","parse-names":false,"suffix":""}],"id":"ITEM-1","issued":{"date-parts":[["2024"]]},"title":"UN Declaration on the Rights of Indigenous Peoples","type":"webpage"},"uris":["http://www.mendeley.com/documents/?uuid=ed95801d-5414-4f34-9d1a-3a70d5dfcbe1","http://www.mendeley.com/documents/?uuid=6015579d-e52d-470c-adb1-1331509fd9ff"]}],"mendeley":{"formattedCitation":"(Asian Indigenous Women, 2024)","plainTextFormattedCitation":"(Asian Indigenous Women, 2024)","previouslyFormattedCitation":"(Asian Indigenous Women,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(Asian Indigenous Women, 2024)</w:t>
      </w:r>
      <w:r>
        <w:rPr>
          <w:rFonts w:ascii="Calibri Light" w:hAnsi="Calibri Light" w:cs="Calibri Light"/>
          <w:sz w:val="24"/>
          <w:szCs w:val="24"/>
        </w:rPr>
        <w:fldChar w:fldCharType="end"/>
      </w:r>
      <w:r>
        <w:rPr>
          <w:rFonts w:ascii="Calibri Light" w:hAnsi="Calibri Light" w:cs="Calibri Light"/>
          <w:sz w:val="24"/>
          <w:szCs w:val="24"/>
        </w:rPr>
        <w:t xml:space="preserve">: </w:t>
      </w:r>
    </w:p>
    <w:p w14:paraId="74A1D10F">
      <w:pPr>
        <w:pStyle w:val="48"/>
        <w:numPr>
          <w:ilvl w:val="0"/>
          <w:numId w:val="17"/>
        </w:numPr>
        <w:spacing w:after="160" w:line="240" w:lineRule="auto"/>
        <w:rPr>
          <w:rFonts w:ascii="Calibri Light" w:hAnsi="Calibri Light" w:cs="Calibri Light"/>
          <w:sz w:val="24"/>
          <w:szCs w:val="24"/>
          <w:lang w:val="en-US"/>
        </w:rPr>
      </w:pPr>
      <w:r>
        <w:rPr>
          <w:rFonts w:ascii="Calibri Light" w:hAnsi="Calibri Light" w:cs="Calibri Light"/>
          <w:sz w:val="24"/>
          <w:szCs w:val="24"/>
          <w:lang w:val="en-US"/>
        </w:rPr>
        <w:t>Indigenous cultures subsequently claims to the land, areas, and assets that they hold or inhabit historically, as well as the land, areas, and assets that they have utilized or obtained</w:t>
      </w:r>
      <w:r>
        <w:rPr>
          <w:rFonts w:ascii="Calibri Light" w:hAnsi="Calibri Light" w:cs="Calibri Light"/>
          <w:sz w:val="24"/>
          <w:szCs w:val="24"/>
        </w:rPr>
        <w:t>;</w:t>
      </w:r>
    </w:p>
    <w:p w14:paraId="7EDE16D8">
      <w:pPr>
        <w:pStyle w:val="48"/>
        <w:numPr>
          <w:ilvl w:val="0"/>
          <w:numId w:val="17"/>
        </w:numPr>
        <w:spacing w:after="160" w:line="240" w:lineRule="auto"/>
        <w:rPr>
          <w:rFonts w:ascii="Calibri Light" w:hAnsi="Calibri Light" w:cs="Calibri Light"/>
          <w:sz w:val="24"/>
          <w:szCs w:val="24"/>
          <w:lang w:val="en-US"/>
        </w:rPr>
      </w:pPr>
      <w:r>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14:paraId="291F59FA">
      <w:pPr>
        <w:pStyle w:val="48"/>
        <w:spacing w:after="160" w:line="240" w:lineRule="auto"/>
        <w:ind w:left="426"/>
        <w:jc w:val="both"/>
        <w:rPr>
          <w:rFonts w:ascii="Calibri Light" w:hAnsi="Calibri Light" w:cs="Calibri Light"/>
          <w:b/>
          <w:bCs/>
          <w:i/>
          <w:iCs/>
          <w:sz w:val="24"/>
          <w:szCs w:val="24"/>
        </w:rPr>
      </w:pPr>
    </w:p>
    <w:p w14:paraId="32CB88E3">
      <w:pPr>
        <w:pStyle w:val="48"/>
        <w:spacing w:after="160" w:line="240" w:lineRule="auto"/>
        <w:ind w:left="426"/>
        <w:jc w:val="both"/>
        <w:rPr>
          <w:rFonts w:ascii="Calibri Light" w:hAnsi="Calibri Light" w:cs="Calibri Light"/>
          <w:i/>
          <w:iCs/>
          <w:sz w:val="24"/>
          <w:szCs w:val="24"/>
          <w:lang w:val="en-US"/>
        </w:rPr>
      </w:pPr>
      <w:r>
        <w:rPr>
          <w:rFonts w:ascii="Calibri Light" w:hAnsi="Calibri Light" w:cs="Calibri Light"/>
          <w:b/>
          <w:bCs/>
          <w:i/>
          <w:iCs/>
          <w:sz w:val="24"/>
          <w:szCs w:val="24"/>
        </w:rPr>
        <w:t>The Role of Land Banks in the Customary Land Management Rights of Customary Law Community Units/KMHA</w:t>
      </w:r>
    </w:p>
    <w:p w14:paraId="454F47BA">
      <w:pPr>
        <w:spacing w:before="240"/>
        <w:ind w:left="426"/>
        <w:jc w:val="both"/>
        <w:rPr>
          <w:rFonts w:ascii="Calibri Light" w:hAnsi="Calibri Light" w:cs="Calibri Light"/>
          <w:sz w:val="24"/>
          <w:szCs w:val="24"/>
        </w:rPr>
      </w:pPr>
      <w:r>
        <w:rPr>
          <w:rFonts w:ascii="Calibri Light" w:hAnsi="Calibri Light" w:cs="Calibri Light"/>
          <w:sz w:val="24"/>
          <w:szCs w:val="24"/>
        </w:rPr>
        <w:t xml:space="preserve">Management Rights are not regulated in Law No. 5 of 1960 concerning Basic Agrarian Regulations (UUPA)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In essence, management rights are granted on state land, so land rights must first be released to the state in order to become state land, therefore management rights can only be granted to lands that are directly controlled by the state (state land). </w:t>
      </w:r>
    </w:p>
    <w:p w14:paraId="0D7F8D8E">
      <w:pPr>
        <w:spacing w:before="240"/>
        <w:ind w:left="426" w:right="38"/>
        <w:jc w:val="both"/>
        <w:rPr>
          <w:rFonts w:ascii="Calibri Light" w:hAnsi="Calibri Light" w:cs="Calibri Light"/>
          <w:sz w:val="24"/>
          <w:szCs w:val="24"/>
        </w:rPr>
      </w:pPr>
      <w:commentRangeStart w:id="22"/>
      <w:commentRangeStart w:id="23"/>
      <w:r>
        <w:rPr>
          <w:rFonts w:ascii="Calibri Light" w:hAnsi="Calibri Light" w:cs="Calibri Light"/>
          <w:sz w:val="24"/>
          <w:szCs w:val="24"/>
        </w:rPr>
        <w:t>Although the Job Creation Law does not explicitly regulate the source of management rights from customary land, Government Regulation (GR) No. 18/2021 as its implementing regulation stipulates in Article 5 paragraph (2) that “Management rights originating from customary land are assigned to the customary law community.” This creates a potential conflict of norms, because under the legal principle of lex superior derogat legi inferiori, a government regulation may not introduce new legal norms that are not authorized or mandated by the parent law. Therefore, the inclusion of customary land as a source of management rights in the GR, without an explicit mandate in the Job Creation Law, raises concerns about exceeding the delegated legislative authority.</w:t>
      </w:r>
      <w:commentRangeEnd w:id="22"/>
      <w:r>
        <w:rPr>
          <w:rStyle w:val="16"/>
        </w:rPr>
        <w:commentReference w:id="22"/>
      </w:r>
      <w:commentRangeEnd w:id="23"/>
      <w:r>
        <w:rPr>
          <w:rStyle w:val="16"/>
        </w:rPr>
        <w:commentReference w:id="23"/>
      </w:r>
      <w:r>
        <w:rPr>
          <w:rFonts w:ascii="Calibri Light" w:hAnsi="Calibri Light" w:cs="Calibri Light"/>
          <w:sz w:val="24"/>
          <w:szCs w:val="24"/>
        </w:rPr>
        <w:t xml:space="preserve"> According to Irawan Soerodjo, the addition of management rights objects from the customary rights of Customary Law Communities is not appropriate because the essence of granting Management Rights comes from the State's Right to Control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{"citationItems":[{"id":"ITEM-1","itemData":{"author":[{"dropping-particle":"","family":"Soerodjo","given":"Irawan","non-dropping-particle":"","parse-names":false,"suffix":""}],"id":"ITEM-1","issued":{"date-parts":[["2021"]]},"publisher":"Yogyakarta: LaksBang Mediatama","title":"Land Law of Land Management Rights (MR): Existence, Regulation and Practice","type":"book"},"uris":["http://www.mendeley.com/documents/?uuid=f2d65f3a-9da7-4432-b947-78e1fd0a01c3","http://www.mendeley.com/documents/?uuid=310aa14e-6eed-4f6d-ad6d-ecb949af8091"]}],"mendeley":{"formattedCitation":"(Soerodjo, 2021)","manualFormatting":"(Soerodjo, 2021:41)","plainTextFormattedCitation":"(Soerodjo, 2021)","previouslyFormattedCitation":"(Soerodjo, 2021)"},"properties":{"noteIndex":0},"schema":"https://github.com/citation-style-language/schema/raw/master/csl-citation.json"}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(Soerodjo, 2021:41)</w:t>
      </w:r>
      <w:r>
        <w:rPr>
          <w:rFonts w:ascii="Calibri Light" w:hAnsi="Calibri Light" w:cs="Calibri Light"/>
          <w:sz w:val="24"/>
          <w:szCs w:val="24"/>
        </w:rPr>
        <w:fldChar w:fldCharType="end"/>
      </w:r>
      <w:r>
        <w:rPr>
          <w:rFonts w:ascii="Calibri Light" w:hAnsi="Calibri Light" w:cs="Calibri Light"/>
          <w:sz w:val="24"/>
          <w:szCs w:val="24"/>
        </w:rPr>
        <w:t xml:space="preserve">. Therefore, GR 18/2021 adds norms that are not regulated in the Job Creation Law. According to Maria SW. Sumardjono,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 Maria SW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{"citationItems":[{"id":"ITEM-1","itemData":{"author":[{"dropping-particle":"","family":"Sumardjono","given":"Maria SW","non-dropping-particle":"","parse-names":false,"suffix":""}],"container-title":"Kompas","id":"ITEM-1","issued":{"date-parts":[["2024"]]},"title":"Administration and Registration of Customary Land","type":"webpage"},"uris":["http://www.mendeley.com/documents/?uuid=ffca4e99-388c-463c-8f62-91811d553b8a","http://www.mendeley.com/documents/?uuid=703967de-6713-4981-9c7a-9a4c66ee36bb"]}],"mendeley":{"formattedCitation":"(Sumardjono,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Sumardjono (2024)</w:t>
      </w:r>
      <w:r>
        <w:rPr>
          <w:rFonts w:ascii="Calibri Light" w:hAnsi="Calibri Light" w:cs="Calibri Light"/>
          <w:sz w:val="24"/>
          <w:szCs w:val="24"/>
        </w:rPr>
        <w:fldChar w:fldCharType="end"/>
      </w:r>
      <w:r>
        <w:rPr>
          <w:rFonts w:ascii="Calibri Light" w:hAnsi="Calibri Light" w:cs="Calibri Light"/>
          <w:sz w:val="24"/>
          <w:szCs w:val="24"/>
        </w:rPr>
        <w:t>, there are several corrections to GR 18/2021 as homework for the government, namely:</w:t>
      </w:r>
    </w:p>
    <w:p w14:paraId="71663209">
      <w:pPr>
        <w:pStyle w:val="48"/>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Change the wording of Article 5 GR 18/2021 by adding the word "can" so that it is as follows: MR originating from customary land can be assigned to the Customary Law Community;</w:t>
      </w:r>
    </w:p>
    <w:p w14:paraId="789A7EF9">
      <w:pPr>
        <w:pStyle w:val="48"/>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2. It is necessary to formulate the authority of the KMHA as the holder of management rights whose character is different from other MR subjects, according to Article 5 Paragraph (1) GR 18/2021. The authority of MR holders as regulated in Article 7 is not compatible to be assigned for the KMHA;</w:t>
      </w:r>
    </w:p>
    <w:p w14:paraId="5A061276">
      <w:pPr>
        <w:pStyle w:val="48"/>
        <w:numPr>
          <w:ilvl w:val="0"/>
          <w:numId w:val="18"/>
        </w:numPr>
        <w:spacing w:after="160" w:line="240" w:lineRule="auto"/>
        <w:ind w:left="851" w:right="38" w:hanging="284"/>
        <w:jc w:val="both"/>
        <w:rPr>
          <w:rFonts w:ascii="Calibri Light" w:hAnsi="Calibri Light" w:cs="Calibri Light"/>
          <w:sz w:val="24"/>
          <w:szCs w:val="24"/>
        </w:rPr>
      </w:pPr>
      <w:r>
        <w:rPr>
          <w:rFonts w:ascii="Calibri Light" w:hAnsi="Calibri Light" w:cs="Calibri Light"/>
          <w:sz w:val="24"/>
          <w:szCs w:val="24"/>
        </w:rPr>
        <w:t xml:space="preserve">The granting of MR Certificates for KMHA is not done automatically, </w:t>
      </w:r>
      <w:r>
        <w:rPr>
          <w:rFonts w:ascii="Calibri Light" w:hAnsi="Calibri Light" w:cs="Calibri Light"/>
          <w:b/>
          <w:bCs/>
          <w:sz w:val="24"/>
          <w:szCs w:val="24"/>
        </w:rPr>
        <w:t xml:space="preserve">but only </w:t>
      </w:r>
      <w:r>
        <w:rPr>
          <w:rFonts w:ascii="Calibri Light" w:hAnsi="Calibri Light" w:cs="Calibri Light"/>
          <w:b/>
          <w:bCs/>
          <w:color w:val="333333"/>
          <w:sz w:val="24"/>
          <w:szCs w:val="24"/>
        </w:rPr>
        <w:t>based on the application of KMHA who have a thorough understanding of management rights</w:t>
      </w:r>
      <w:r>
        <w:rPr>
          <w:rFonts w:ascii="Calibri Light" w:hAnsi="Calibri Light" w:cs="Calibri Light"/>
          <w:color w:val="333333"/>
          <w:sz w:val="24"/>
          <w:szCs w:val="24"/>
        </w:rPr>
        <w:t>.</w:t>
      </w:r>
    </w:p>
    <w:p w14:paraId="35FF2A62">
      <w:pPr>
        <w:spacing w:before="240"/>
        <w:ind w:left="426" w:right="38"/>
        <w:jc w:val="both"/>
        <w:rPr>
          <w:rFonts w:ascii="Calibri Light" w:hAnsi="Calibri Light" w:cs="Calibri Light"/>
          <w:sz w:val="24"/>
          <w:szCs w:val="24"/>
        </w:rPr>
      </w:pPr>
      <w:r>
        <w:rPr>
          <w:rFonts w:ascii="Calibri Light" w:hAnsi="Calibri Light" w:cs="Calibri Light"/>
          <w:sz w:val="24"/>
          <w:szCs w:val="24"/>
        </w:rPr>
        <w:t xml:space="preserve">Considering the two statements above, it should be emphasized that Management Rights are not physical land rights, it is only legal in nature. Land rights must be applied to control and use the land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{"citationItems":[{"id":"ITEM-1","itemData":{"DOI":"10.55324/josr.v2i6.903","ISSN":"2827-9832","abstract":"Law No. 5 of 1960. This law explains that land law in Indonesia is Unofficial. This means that all issues, status, and legal basis of land in Indonesia must refer to UUPA No. 5 of 1960. Actually, this UUPA is a land nationalization project in Indonesia. So that land is properly owned and enjoyed by Indonesian citizens so that foreign nationals do not have the right to land in Indonesia except Hak Pakai. This control is not meant to be Hak Milik, but the state controls land in the sense that the State is given the right to manage land in Indonesia for the prosperity of the Indonesian people themselves. There is recognition of customary law rights, especially in the land sector which is famous for the existence of Customary Rights. The UUPA itself provides recognition of Customary Land Rights. The concept of customary rights is in line with Article 6 of the UUPA that land must have a social function. This means that the function of land is not only for personal interests, but more importantly for the benefit of the wider community or for the common good. Individual rights to land also receive recognition from the UUPA such as Hak Milik (HM), Hak Guna Usaha (HGU), Hak Guna Bangunan (HGB), Hak Pakai (HP), Waqf and Land Security Rights. So it is clear that the Indonesian land law system is indeed based on the noble values of the Indonesian nation itself such as togetherness, justice, prosperity and kinship in land control and utilization while adhering to the principle that land must have a social function.","author":[{"dropping-particle":"","family":"Suartining","given":"Ni Ketut","non-dropping-particle":"","parse-names":false,"suffix":""},{"dropping-particle":"","family":"Djaja","given":"Benny","non-dropping-particle":"","parse-names":false,"suffix":""}],"container-title":"Journal of Social Research","id":"ITEM-1","issue":"6","issued":{"date-parts":[["2023"]]},"page":"1775-1785","title":"Land Rights in the Land Law System in Indonesia According to the Basic Agrarian Law Number 5 of 1960","type":"article-journal","volume":"2"},"uris":["http://www.mendeley.com/documents/?uuid=cef91891-cb86-4c83-92a0-0918ba8c5d0d"]}],"mendeley":{"formattedCitation":"(Suartining &amp; Djaja, 2023)","plainTextFormattedCitation":"(Suartining &amp; Djaja, 2023)","previouslyFormattedCitation":"(Suartining &amp; Djaja, 2023)"},"properties":{"noteIndex":0},"schema":"https://github.com/citation-style-language/schema/raw/master/csl-citation.json"}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(Suartining &amp; Djaja, 2023)</w:t>
      </w:r>
      <w:r>
        <w:rPr>
          <w:rFonts w:ascii="Calibri Light" w:hAnsi="Calibri Light" w:cs="Calibri Light"/>
          <w:sz w:val="24"/>
          <w:szCs w:val="24"/>
        </w:rPr>
        <w:fldChar w:fldCharType="end"/>
      </w:r>
      <w:r>
        <w:rPr>
          <w:rFonts w:ascii="Calibri Light" w:hAnsi="Calibri Light" w:cs="Calibri Light"/>
          <w:sz w:val="24"/>
          <w:szCs w:val="24"/>
        </w:rPr>
        <w:t xml:space="preserve">. Before using its customary land or collaborating with a third party, KMHA must first apply for land rights. The third party should also apply for land rights to use part of the Management Rights land according to its designation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{"citationItems":[{"id":"ITEM-1","itemData":{"DOI":"10.14710/gk.2020.9579","ISSN":"0852-0011","abstract":"Salah satu wewenang pemegang Hak Pengelolaan adalah berhak dan dapat menyerahkan bagian-bagian tanah Hak Pengelolaan kepada pihak ketiga. Bukan berarti pemegang Hak Pengelolaan dapat melakukan hal-hal yang dapat merugikan, bahkan hingga sewenang-wenang kepada pemegang hak atas tanah yang tanahnya berada di atas Hak Pengelolaan tersebut. Permasalahan yang diteliti adalah bagaimana upaya bagi pemegang hak atas tanah yang tanahnya berada di atas Hak Pengelolaan supaya mendapat perlindungan hukum.Upaya yang dapat ditempuh diantaranya pemegang Hak Pengelolaan berkewajiban mendaftarkan tanahnya ke Kantor Pertanahan Kabupaten/Kota yang wilayah kerjanya meliputi letak tanah yang bersangkutan hingga memperoleh sertipikat Hak Pengelolaan. Selanjutnya membuat perjanjian penggunaan tanah antara pemegang Hak Pengelolaan dan pihak ketiga, sehingga lahir hak, kewajiban, dan larangan yang harus dipatuhi bersama, serta bagi pemegang hak atas tanah yang berada di atas tanah Hak Pengelolaan tersebut mendaftarkan haknya hingga memperoleh sertipikat hak atas tanah. Dengan demikian, bagi kedua belah pihak mendapat perlindungan hukum, dan dapat dicegah hal-hal yang dapat merugikan, bahkan tindakan sewenang-wenang khususnya bagi pihak ketiga yang tanahnya berdiri di atas Hak Pengelolaan.","author":[{"dropping-particle":"","family":"Ardani","given":"Mira Novana","non-dropping-particle":"","parse-names":false,"suffix":""},{"dropping-particle":"","family":"Dewi","given":"IGA Gangga Santi","non-dropping-particle":"","parse-names":false,"suffix":""}],"container-title":"Gema Keadilan","id":"ITEM-1","issue":"3","issued":{"date-parts":[["2020"]]},"page":"195-220","title":"Perlindungan Hukum bagi Pemegang Hak Atas Tanah yang Tanahnya Berada di Atas Hak Pengelolaan","type":"article-journal","volume":"7"},"uris":["http://www.mendeley.com/documents/?uuid=9d27070a-30ad-433e-a63e-7447f3fb8768"]}],"mendeley":{"formattedCitation":"(Ardani &amp; Dewi, 2020)","plainTextFormattedCitation":"(Ardani &amp; Dewi, 2020)","previouslyFormattedCitation":"(Ardani &amp; Dewi, 2020)"},"properties":{"noteIndex":0},"schema":"https://github.com/citation-style-language/schema/raw/master/csl-citation.json"}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(Ardani &amp; Dewi, 2020)</w:t>
      </w:r>
      <w:r>
        <w:rPr>
          <w:rFonts w:ascii="Calibri Light" w:hAnsi="Calibri Light" w:cs="Calibri Light"/>
          <w:sz w:val="24"/>
          <w:szCs w:val="24"/>
        </w:rPr>
        <w:fldChar w:fldCharType="end"/>
      </w:r>
      <w:r>
        <w:rPr>
          <w:rFonts w:ascii="Calibri Light" w:hAnsi="Calibri Light" w:cs="Calibri Light"/>
          <w:sz w:val="24"/>
          <w:szCs w:val="24"/>
        </w:rPr>
        <w:t xml:space="preserve">. The use of land that can be granted to a third party can be in the form of Cultivation Rights, Building Rights, and Usage Rights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{"citationItems":[{"id":"ITEM-1","itemData":{"author":[{"dropping-particle":"","family":"Kurniawan","given":"Triadi","non-dropping-particle":"","parse-names":false,"suffix":""}],"container-title":"Jurnal Fakultas Hukum Universitas Tulang Bawang","id":"ITEM-1","issue":"1","issued":{"date-parts":[["2020"]]},"page":"70-84","title":"PEMBERIAN HAK GUNA BANGUNAN DI ATAS BAGIAN TANAH HAK PENGELOLAAN","type":"article-journal","volume":"18"},"uris":["http://www.mendeley.com/documents/?uuid=d56dbc91-a16e-4251-a1b6-71eecb8b2be8"]}],"mendeley":{"formattedCitation":"(Kurniawan, 2020)","plainTextFormattedCitation":"(Kurniawan, 2020)","previouslyFormattedCitation":"(Kurniawan, 2020)"},"properties":{"noteIndex":0},"schema":"https://github.com/citation-style-language/schema/raw/master/csl-citation.json"}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(Kurniawan, 2020)</w:t>
      </w:r>
      <w:r>
        <w:rPr>
          <w:rFonts w:ascii="Calibri Light" w:hAnsi="Calibri Light" w:cs="Calibri Light"/>
          <w:sz w:val="24"/>
          <w:szCs w:val="24"/>
        </w:rPr>
        <w:fldChar w:fldCharType="end"/>
      </w:r>
      <w:r>
        <w:rPr>
          <w:rFonts w:ascii="Calibri Light" w:hAnsi="Calibri Light" w:cs="Calibri Light"/>
          <w:sz w:val="24"/>
          <w:szCs w:val="24"/>
        </w:rPr>
        <w:t xml:space="preserve">. In this case, KMHA as the holder of the management rights can directly perform land use agreements with another party. </w:t>
      </w:r>
      <w:commentRangeStart w:id="24"/>
      <w:commentRangeStart w:id="25"/>
      <w:r>
        <w:rPr>
          <w:rFonts w:ascii="Calibri Light" w:hAnsi="Calibri Light" w:cs="Calibri Light"/>
          <w:sz w:val="24"/>
          <w:szCs w:val="24"/>
          <w:highlight w:val="green"/>
        </w:rPr>
        <w:t xml:space="preserve">However, considering that these management rights have only been formally implemented starting in 2024 through the Regulation of the Minister of Agrarian Affairs and Spatial Planning/Head of the National Land Agency No. 18 of 2023 on Procedures for the Determination of Communal Land Rights and Management Rights of Indigenous Peoples, KMHA should be assisted by the government in this transition. This assistance can involve the role of the land bank to facilitate the administrative and legal adaptation process. Furthermore, this change may significantly impact KMHA who have long managed land based on customary law without formal recognition, potentially causing uncertainty or conflict in overlapping claims. Therefore, proactive support is crucial to ensure that the formalization of management rights strengthens, rather than undermines, traditional land governance. </w:t>
      </w:r>
      <w:commentRangeEnd w:id="24"/>
      <w:r>
        <w:rPr>
          <w:rStyle w:val="16"/>
          <w:highlight w:val="green"/>
        </w:rPr>
        <w:commentReference w:id="24"/>
      </w:r>
      <w:commentRangeEnd w:id="25"/>
      <w:r>
        <w:rPr>
          <w:rStyle w:val="16"/>
          <w:highlight w:val="green"/>
        </w:rPr>
        <w:commentReference w:id="25"/>
      </w:r>
    </w:p>
    <w:p w14:paraId="1909D290">
      <w:pPr>
        <w:spacing w:before="240"/>
        <w:ind w:left="426" w:right="38"/>
        <w:jc w:val="both"/>
        <w:rPr>
          <w:rFonts w:ascii="Calibri Light" w:hAnsi="Calibri Light" w:cs="Calibri Light"/>
          <w:sz w:val="24"/>
          <w:szCs w:val="24"/>
        </w:rPr>
      </w:pPr>
      <w:r>
        <w:rPr>
          <w:rFonts w:ascii="Calibri Light" w:hAnsi="Calibri Light" w:cs="Calibri Light"/>
          <w:sz w:val="24"/>
          <w:szCs w:val="24"/>
        </w:rPr>
        <w:t xml:space="preserve">Land banks play a crucial role in providing land, to be distributed to the third parties based on land utilization agreements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{"citationItems":[{"id":"ITEM-1","itemData":{"ISSN":"2289-1552","abstract":"Land Banks are one of several forms of government regulation which allocate land for community development. The issuance of Law No. 11 of 2020 concerning Job Creation, which mandates the formation of a Land Bank, is a significant step forward in resolving issues associated with land purchase in development. Conceptually, the implementation of a land bank must incorporate suggestions for optimizing land use and earnings. The significance of implementing a land bank in Indonesia must be based on the idea of collaboration, as one of the functions of a land bank is the provision of land parcels by the government or the private sector for both development and investment or investment objectives. Regarding the characteristics of the principle of togetherness in the implementation of the Land Bank and the accomplishment of community welfare in Indonesia through the principle of togetherness in the Land Bank, the formulation of the problem may very well be described as follows. The research methodology used is normative juridical research, which involves classifying and further dissecting legal documents using a statutory and conceptual approach. The Land Bank is intended to provide justice for those seeking land ownership rights.","author":[{"dropping-particle":"","family":"Tejawati","given":"Desy Nurkristia","non-dropping-particle":"","parse-names":false,"suffix":""},{"dropping-particle":"","family":"Salviana","given":"Fries Melia","non-dropping-particle":"","parse-names":false,"suffix":""},{"dropping-particle":"","family":"Wulandari","given":"Shanti","non-dropping-particle":"","parse-names":false,"suffix":""}],"container-title":"International Journal of Business, Economics and Law","id":"ITEM-1","issue":"1","issued":{"date-parts":[["2022"]]},"page":"85-89","title":"the Principle of Togetherness in the Application of Land Banks in Indonesia for the Welfare of the Community","type":"article-journal","volume":"27"},"uris":["http://www.mendeley.com/documents/?uuid=c9214ade-6882-4379-95c0-cd43bdf74f6e"]}],"mendeley":{"formattedCitation":"(Tejawati et al., 2022)","plainTextFormattedCitation":"(Tejawati et al., 2022)","previouslyFormattedCitation":"(Tejawati et al.,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(Tejawati et al., 2022)</w:t>
      </w:r>
      <w:r>
        <w:rPr>
          <w:rFonts w:ascii="Calibri Light" w:hAnsi="Calibri Light" w:cs="Calibri Light"/>
          <w:sz w:val="24"/>
          <w:szCs w:val="24"/>
        </w:rPr>
        <w:fldChar w:fldCharType="end"/>
      </w:r>
      <w:r>
        <w:rPr>
          <w:rFonts w:ascii="Calibri Light" w:hAnsi="Calibri Light" w:cs="Calibri Light"/>
          <w:sz w:val="24"/>
          <w:szCs w:val="24"/>
        </w:rPr>
        <w:t xml:space="preserve">. Land banks can only manage state land and land from other parties, such as the community (Article 8 Paragraph (1) GR 64/2021), then Article 14 Paragraph (2) states that </w:t>
      </w:r>
      <w:r>
        <w:rPr>
          <w:rFonts w:ascii="Calibri Light" w:hAnsi="Calibri Light" w:cs="Calibri Light"/>
          <w:b/>
          <w:bCs/>
          <w:sz w:val="24"/>
          <w:szCs w:val="24"/>
        </w:rPr>
        <w:t>cooperation in utilization with other parties can be in other forms agreed upon</w:t>
      </w:r>
      <w:r>
        <w:rPr>
          <w:rFonts w:ascii="Calibri Light" w:hAnsi="Calibri Light" w:cs="Calibri Light"/>
          <w:sz w:val="24"/>
          <w:szCs w:val="24"/>
        </w:rPr>
        <w:t xml:space="preserve"> such as stated in Article 36 Paragraph (3) that “</w:t>
      </w:r>
      <w:r>
        <w:rPr>
          <w:rFonts w:ascii="Calibri Light" w:hAnsi="Calibri Light" w:cs="Calibri Light"/>
          <w:b/>
          <w:bCs/>
          <w:sz w:val="24"/>
          <w:szCs w:val="24"/>
        </w:rPr>
        <w:t>in carrying out cooperation, the Land Bank can accept deposits in the form of business cooperation</w:t>
      </w:r>
      <w:r>
        <w:rPr>
          <w:rFonts w:ascii="Calibri Light" w:hAnsi="Calibri Light" w:cs="Calibri Light"/>
          <w:sz w:val="24"/>
          <w:szCs w:val="24"/>
        </w:rPr>
        <w:t xml:space="preserve">”. </w:t>
      </w:r>
    </w:p>
    <w:p w14:paraId="28DF9370">
      <w:pPr>
        <w:spacing w:before="240"/>
        <w:ind w:left="426" w:right="38"/>
        <w:jc w:val="both"/>
        <w:rPr>
          <w:rFonts w:asciiTheme="minorHAnsi" w:hAnsiTheme="minorHAnsi" w:cstheme="minorHAnsi"/>
          <w:sz w:val="24"/>
          <w:szCs w:val="24"/>
        </w:rPr>
      </w:pPr>
      <w:r>
        <w:rPr>
          <w:rFonts w:ascii="Calibri Light" w:hAnsi="Calibri Light" w:cs="Calibri Light"/>
          <w:sz w:val="24"/>
          <w:szCs w:val="24"/>
        </w:rPr>
        <w:t xml:space="preserve">Land use by a third party must be preceded by a land transfer agreement between the applicant and the holder of the management rights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{"citationItems":[{"id":"ITEM-1","itemData":{"DOI":"10.22212/jnh.v5i1.212","abstract":"Land Management Rights is not a type of land rights set forth in the UUPA. Regulation of Land Management Rights has improved significantly, especially in terms of the authority possessed by the holder of the right hand over the management to the land to a third parties. It is interesting to study, given that concessionaires may include government agencies, local governments, state-owned enterprises and civil rights given to hand over management of usage rights granted by the state to third parties through an agreement. By using the statute approach supported the data in the field, the results of this study indicate that the use of land management rights by a third parties based on the provisions of the Regulation of the Minister of Agrarian No. 9/1965 on the Implementation of the Conversion Rights and the State Land Master Furthermore Wisdom and amendments. Use of Land Management Rights over Building Rights and Use of Rights based on land use agreements made between institutions holders of land rights with third parties who will use the land. Agreement made on the basis of agreements between the parties with reference to the provisions of laws and regulations governing the management rights over the land. The lack of supervision led to the implementation of this arrangement potentially fraud.","author":[{"dropping-particle":"","family":"Rongiyati","given":"Sulasi","non-dropping-particle":"","parse-names":false,"suffix":""}],"container-title":"Jurnal Negara Hukum","id":"ITEM-1","issue":"1","issued":{"date-parts":[["2014"]]},"page":"77-89","title":"Pemanfaatan Hak Pengelolaan Atas Tanah Oleh Pihak Ketiga","type":"article-journal","volume":"5"},"uris":["http://www.mendeley.com/documents/?uuid=136cf601-4f97-4dc4-a53d-d962b1c9b824"]}],"mendeley":{"formattedCitation":"(Rongiyati, 2014)","plainTextFormattedCitation":"(Rongiyati, 2014)","previouslyFormattedCitation":"(Rongiyati, 2014)"},"properties":{"noteIndex":0},"schema":"https://github.com/citation-style-language/schema/raw/master/csl-citation.json"}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(Rongiyati, 2014)</w:t>
      </w:r>
      <w:r>
        <w:rPr>
          <w:rFonts w:ascii="Calibri Light" w:hAnsi="Calibri Light" w:cs="Calibri Light"/>
          <w:sz w:val="24"/>
          <w:szCs w:val="24"/>
        </w:rPr>
        <w:fldChar w:fldCharType="end"/>
      </w:r>
      <w:r>
        <w:rPr>
          <w:rFonts w:ascii="Calibri Light" w:hAnsi="Calibri Light" w:cs="Calibri Light"/>
          <w:sz w:val="24"/>
          <w:szCs w:val="24"/>
        </w:rPr>
        <w:t xml:space="preserve">. Making a written agreement is important for both parties because it contains the rights and obligations of each party. </w:t>
      </w:r>
      <w:commentRangeStart w:id="26"/>
      <w:commentRangeStart w:id="27"/>
      <w:r>
        <w:rPr>
          <w:rFonts w:ascii="Calibri Light" w:hAnsi="Calibri Light" w:cs="Calibri Light"/>
          <w:sz w:val="24"/>
          <w:szCs w:val="24"/>
        </w:rPr>
        <w:t xml:space="preserve">Although agreements on the use of customary land can be made directly by Indigenous Peoples' Communities (Komunitas Masyarakat Hukum Adat, or KMHA), it is essential to emphasize that KMHA must be recognized as legal subjects with full legal capacity to engage in both public and private agreements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{"citationItems":[{"id":"ITEM-1","itemData":{"DOI":"10.47134/jcl.v1i2.2457","abstract":"Tanah merupakan salah satu aspek penting dalam kehidupan manusia mengingat begitu banyak kegunaan dan manfaat yang dihadirkannya yang dapat menunjang kehidupan manusia. Dalam penulisan artikel ini akan dipaparkan mengenai bagaimana konsep kepemilikan hak atas tanah apabila ditinjau melalui perspektif hukum adat dan hukum Islam di Indonesia. Kajian ini ditulis menggunakan metode penelitian hukum normatif dengan tujuan untuk mengetahui bagaimana konsep kepemilikan hak atas tanah berdasarkan hukum adat dan hukum Islam di Indonesia. Isi dari segala peraturan mengenai kepemilikan tanah dari kedua hukum tersebut pasti memiliki dasar atau sumber yang menghasilkan terciptanya aturan hukum tersebut dengan segala ketentuan dan sanksi yang mengikat. Hasil dari penelitian ini untuk menjelaskan konsep kepemilikan hak atas tanah menurut hukum adat dan hukum Islam di Indonesia, yang meliputi hak ulayat dalam hukum adat serta prinsip bahwa tanah adalah milik Allah SWT dan manusia memiliki tanggung jawab untuk mengelolanya dengan baik menurut hukum Islam.","author":[{"dropping-particle":"","family":"Ayunanda","given":"Lathifa","non-dropping-particle":"","parse-names":false,"suffix":""},{"dropping-particle":"","family":"Lidya M","given":"Benita","non-dropping-particle":"","parse-names":false,"suffix":""},{"dropping-particle":"","family":"Intania P","given":"Safira","non-dropping-particle":"","parse-names":false,"suffix":""},{"dropping-particle":"","family":"Saputra","given":"Dimas Adi","non-dropping-particle":"","parse-names":false,"suffix":""}],"container-title":"Journal Customary Law","id":"ITEM-1","issue":"2","issued":{"date-parts":[["2024"]]},"page":"10","title":"Konsep Kepemilikan Hak Atas Tanah Menurut Perspektif Hukum Adat dan Hukum Islam di Indonesia","type":"article-journal","volume":"1"},"uris":["http://www.mendeley.com/documents/?uuid=9c01c0c9-5f57-486c-bfbe-868a81734355"]}],"mendeley":{"formattedCitation":"(Ayunanda et al., 2024)","plainTextFormattedCitation":"(Ayunanda et al., 2024)","previouslyFormattedCitation":"(Ayunanda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(Ayunanda et al., 2024)</w:t>
      </w:r>
      <w:r>
        <w:rPr>
          <w:rFonts w:ascii="Calibri Light" w:hAnsi="Calibri Light" w:cs="Calibri Light"/>
          <w:sz w:val="24"/>
          <w:szCs w:val="24"/>
        </w:rPr>
        <w:fldChar w:fldCharType="end"/>
      </w:r>
      <w:r>
        <w:rPr>
          <w:rFonts w:ascii="Calibri Light" w:hAnsi="Calibri Light" w:cs="Calibri Light"/>
          <w:sz w:val="24"/>
          <w:szCs w:val="24"/>
        </w:rPr>
        <w:t xml:space="preserve">. Such legal recognition is a prerequisite for ensuring that any agreement entered into is valid and legally binding. In practice, KMHA may be assisted by the government or by specific institutions such as the Land Bank, which may act as a facilitator, catalyst, or administrative supporter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{"citationItems":[{"id":"ITEM-1","itemData":{"DOI":"10.34007/jehss.v7i1.2246","author":[{"dropping-particle":"","family":"Winanda","given":"Fadila Anggi","non-dropping-particle":"","parse-names":false,"suffix":""},{"dropping-particle":"","family":"Yamin","given":"Muhammad","non-dropping-particle":"","parse-names":false,"suffix":""},{"dropping-particle":"","family":"Kaban","given":"Maria","non-dropping-particle":"","parse-names":false,"suffix":""}],"container-title":"Journal of Education, Humaniora and Social Sciences (JEHSS)","id":"ITEM-1","issue":"1","issued":{"date-parts":[["2024"]]},"page":"43-52","title":"Peran Bank Tanah dalam Penanganan dan Pengembangan Tanah Terlantar","type":"article-journal","volume":"7"},"uris":["http://www.mendeley.com/documents/?uuid=521c75d4-fe4c-47cf-b117-921ba640882c"]}],"mendeley":{"formattedCitation":"(Winanda et al., 2024)","plainTextFormattedCitation":"(Winanda et al., 2024)","previouslyFormattedCitation":"(Winanda et al., 2024)"},"properties":{"noteIndex":0},"schema":"https://github.com/citation-style-language/schema/raw/master/csl-citation.json"}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(Winanda et al., 2024)</w:t>
      </w:r>
      <w:r>
        <w:rPr>
          <w:rFonts w:ascii="Calibri Light" w:hAnsi="Calibri Light" w:cs="Calibri Light"/>
          <w:sz w:val="24"/>
          <w:szCs w:val="24"/>
        </w:rPr>
        <w:fldChar w:fldCharType="end"/>
      </w:r>
      <w:r>
        <w:rPr>
          <w:rFonts w:ascii="Calibri Light" w:hAnsi="Calibri Light" w:cs="Calibri Light"/>
          <w:sz w:val="24"/>
          <w:szCs w:val="24"/>
        </w:rPr>
        <w:t>. However, this assistance should not diminish the legal standing of KMHA as the principal party in the agreement; instead, it should reinforce their legal autonomy and their right to manage and utilize their customary land based on customary law.</w:t>
      </w:r>
      <w:r>
        <w:rPr>
          <w:rFonts w:asciiTheme="minorHAnsi" w:hAnsiTheme="minorHAnsi" w:cstheme="minorHAnsi"/>
          <w:sz w:val="24"/>
          <w:szCs w:val="24"/>
        </w:rPr>
        <w:t xml:space="preserve"> </w:t>
      </w:r>
      <w:commentRangeEnd w:id="26"/>
      <w:r>
        <w:rPr>
          <w:rStyle w:val="16"/>
          <w:rFonts w:asciiTheme="minorHAnsi" w:hAnsiTheme="minorHAnsi" w:cstheme="minorHAnsi"/>
        </w:rPr>
        <w:commentReference w:id="26"/>
      </w:r>
      <w:commentRangeEnd w:id="27"/>
      <w:r>
        <w:rPr>
          <w:rStyle w:val="16"/>
        </w:rPr>
        <w:commentReference w:id="27"/>
      </w:r>
    </w:p>
    <w:p w14:paraId="24280136">
      <w:pPr>
        <w:spacing w:before="240"/>
        <w:ind w:left="426" w:right="38"/>
        <w:jc w:val="both"/>
        <w:rPr>
          <w:rFonts w:ascii="Calibri Light" w:hAnsi="Calibri Light" w:cs="Calibri Light"/>
          <w:sz w:val="24"/>
          <w:szCs w:val="24"/>
        </w:rPr>
      </w:pPr>
      <w:r>
        <w:rPr>
          <w:rFonts w:ascii="Calibri Light" w:hAnsi="Calibri Light" w:cs="Calibri Light"/>
          <w:sz w:val="24"/>
          <w:szCs w:val="24"/>
        </w:rPr>
        <w:t>The role of the Land Bank can be described as follows:</w:t>
      </w:r>
    </w:p>
    <w:p w14:paraId="2DC34012">
      <w:pPr>
        <w:pStyle w:val="48"/>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Dynamizer</w:t>
      </w:r>
      <w:r>
        <w:rPr>
          <w:rFonts w:ascii="Calibri Light" w:hAnsi="Calibri Light" w:cs="Calibri Light"/>
          <w:sz w:val="24"/>
          <w:szCs w:val="24"/>
        </w:rPr>
        <w:t xml:space="preserve">; as a driving force in increasing the empowerment capacity of KMHA, increasing innovation and utilization of technology, and increasing community capacity in managing customary land as agricultural or plantation land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{"citationItems":[{"id":"ITEM-1","itemData":{"DOI":"10.47492/jip.v2i9.1277","ISBN":"9788490225370","abstract":"This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inequality.","author":[{"dropping-particle":"","family":"Arnowo","given":"Hadi","non-dropping-particle":"","parse-names":false,"suffix":""}],"container-title":"Jurnal Inovasi Penelitian","id":"ITEM-1","issue":"9","issued":{"date-parts":[["2022"]]},"page":"3077-3088","title":"Peran Bank Tanah dalam Pengaturan Penyediaan Tanah","type":"article-journal","volume":"2"},"uris":["http://www.mendeley.com/documents/?uuid=5f4a23eb-8a7b-4275-984a-2051a64ceb10"]}],"mendeley":{"formattedCitation":"(Arnowo, 2022)","plainTextFormattedCitation":"(Arnowo, 2022)","previouslyFormattedCitation":"(Arnowo, 2022)"},"properties":{"noteIndex":0},"schema":"https://github.com/citation-style-language/schema/raw/master/csl-citation.json"}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(Arnowo, 2022)</w:t>
      </w:r>
      <w:r>
        <w:rPr>
          <w:rFonts w:ascii="Calibri Light" w:hAnsi="Calibri Light" w:cs="Calibri Light"/>
          <w:sz w:val="24"/>
          <w:szCs w:val="24"/>
        </w:rPr>
        <w:fldChar w:fldCharType="end"/>
      </w:r>
      <w:r>
        <w:rPr>
          <w:rFonts w:ascii="Calibri Light" w:hAnsi="Calibri Light" w:cs="Calibri Light"/>
          <w:sz w:val="24"/>
          <w:szCs w:val="24"/>
        </w:rPr>
        <w:t xml:space="preserve">. </w:t>
      </w:r>
    </w:p>
    <w:p w14:paraId="367DC902">
      <w:pPr>
        <w:pStyle w:val="48"/>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Facilitator</w:t>
      </w:r>
      <w:r>
        <w:rPr>
          <w:rFonts w:ascii="Calibri Light" w:hAnsi="Calibri Light" w:cs="Calibri Light"/>
          <w:sz w:val="24"/>
          <w:szCs w:val="24"/>
        </w:rPr>
        <w:t>; providing facilities and infrastructure, implementing education and training, counseling and mentoring, and providing technical skills</w:t>
      </w:r>
      <w:r>
        <w:rPr>
          <w:rFonts w:ascii="Calibri Light" w:hAnsi="Calibri Light" w:cs="Calibri Light"/>
          <w:spacing w:val="-5"/>
          <w:sz w:val="24"/>
          <w:szCs w:val="24"/>
          <w:lang w:eastAsia="zh-CN"/>
        </w:rPr>
        <w:t>;</w:t>
      </w:r>
    </w:p>
    <w:p w14:paraId="12951CBC">
      <w:pPr>
        <w:pStyle w:val="48"/>
        <w:numPr>
          <w:ilvl w:val="0"/>
          <w:numId w:val="19"/>
        </w:numPr>
        <w:spacing w:after="160" w:line="240" w:lineRule="auto"/>
        <w:ind w:right="38"/>
        <w:jc w:val="both"/>
        <w:rPr>
          <w:rFonts w:ascii="Calibri Light" w:hAnsi="Calibri Light" w:cs="Calibri Light"/>
          <w:sz w:val="24"/>
          <w:szCs w:val="24"/>
        </w:rPr>
      </w:pPr>
      <w:r>
        <w:rPr>
          <w:rFonts w:ascii="Calibri Light" w:hAnsi="Calibri Light" w:cs="Calibri Light"/>
          <w:b/>
          <w:bCs/>
          <w:sz w:val="24"/>
          <w:szCs w:val="24"/>
        </w:rPr>
        <w:t>Catalyst</w:t>
      </w:r>
      <w:r>
        <w:rPr>
          <w:rFonts w:ascii="Calibri Light" w:hAnsi="Calibri Light" w:cs="Calibri Light"/>
          <w:sz w:val="24"/>
          <w:szCs w:val="24"/>
        </w:rPr>
        <w:t xml:space="preserve">; carry out coordination, improve performance so that Community Units can independently manage customary land as an asset for investment to improve shared welfare </w:t>
      </w:r>
      <w:r>
        <w:rPr>
          <w:rFonts w:ascii="Calibri Light" w:hAnsi="Calibri Light" w:cs="Calibri Light"/>
          <w:sz w:val="24"/>
          <w:szCs w:val="24"/>
        </w:rPr>
        <w:fldChar w:fldCharType="begin" w:fldLock="1"/>
      </w:r>
      <w:r>
        <w:rPr>
          <w:rFonts w:ascii="Calibri Light" w:hAnsi="Calibri Light" w:cs="Calibri Light"/>
          <w:sz w:val="24"/>
          <w:szCs w:val="24"/>
        </w:rPr>
        <w:instrText xml:space="preserve">ADDIN CSL_CITATION {"citationItems":[{"id":"ITEM-1","itemData":{"DOI":"https://doi.org/10.20885/JCGS.vol1.iss2.art2","ISBN":"0009000589423","author":[{"dropping-particle":"","family":"Putrazta","given":"Satriya Aldi","non-dropping-particle":"","parse-names":false,"suffix":""},{"dropping-particle":"","family":"Putra","given":"Mochammad Abiansyach Pradipta","non-dropping-particle":"","parse-names":false,"suffix":""},{"dropping-particle":"","family":"Amelia","given":"Novantia Putri","non-dropping-particle":"","parse-names":false,"suffix":""}],"container-title":"JOURNAL OF CONSTITUTIONAL AND GOVERNANCE STUDIES","id":"ITEM-1","issue":"2","issued":{"date-parts":[["2025"]]},"page":"130-151","title":"Land Grabbing Potential : Land Bank Policy Towards Land Rights Of Indonesian Indegenous People Mochammad Abiansyach Pradipta Putra Novantia Putri Amelia The development of human distribution continues to increase every year , followed by the need for land","type":"article-journal","volume":"1"},"uris":["http://www.mendeley.com/documents/?uuid=9d54e614-f50f-422a-a1c4-725fe8d1cd55"]}],"mendeley":{"formattedCitation":"(Putrazta et al., 2025)","plainTextFormattedCitation":"(Putrazta et al., 2025)","previouslyFormattedCitation":"(Putrazta et al., 2025)"},"properties":{"noteIndex":0},"schema":"https://github.com/citation-style-language/schema/raw/master/csl-citation.json"}</w:instrText>
      </w:r>
      <w:r>
        <w:rPr>
          <w:rFonts w:ascii="Calibri Light" w:hAnsi="Calibri Light" w:cs="Calibri Light"/>
          <w:sz w:val="24"/>
          <w:szCs w:val="24"/>
        </w:rPr>
        <w:fldChar w:fldCharType="separate"/>
      </w:r>
      <w:r>
        <w:rPr>
          <w:rFonts w:ascii="Calibri Light" w:hAnsi="Calibri Light" w:cs="Calibri Light"/>
          <w:sz w:val="24"/>
          <w:szCs w:val="24"/>
        </w:rPr>
        <w:t>(Putrazta et al., 2025)</w:t>
      </w:r>
      <w:r>
        <w:rPr>
          <w:rFonts w:ascii="Calibri Light" w:hAnsi="Calibri Light" w:cs="Calibri Light"/>
          <w:sz w:val="24"/>
          <w:szCs w:val="24"/>
        </w:rPr>
        <w:fldChar w:fldCharType="end"/>
      </w:r>
      <w:r>
        <w:rPr>
          <w:rFonts w:ascii="Calibri Light" w:hAnsi="Calibri Light" w:cs="Calibri Light"/>
          <w:spacing w:val="-5"/>
          <w:sz w:val="24"/>
          <w:szCs w:val="24"/>
          <w:lang w:eastAsia="zh-CN"/>
        </w:rPr>
        <w:t>.</w:t>
      </w:r>
    </w:p>
    <w:p w14:paraId="0FC73D72">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shd w:val="clear" w:color="auto" w:fill="FFFFFF"/>
        </w:rPr>
        <w:t xml:space="preserve">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w:t>
      </w:r>
      <w:r>
        <w:rPr>
          <w:rFonts w:ascii="Calibri Light" w:hAnsi="Calibri Light" w:cs="Calibri Light"/>
          <w:sz w:val="24"/>
          <w:szCs w:val="24"/>
          <w:shd w:val="clear" w:color="auto" w:fill="FFFFFF"/>
        </w:rPr>
        <w:fldChar w:fldCharType="begin" w:fldLock="1"/>
      </w:r>
      <w:r>
        <w:rPr>
          <w:rFonts w:ascii="Calibri Light" w:hAnsi="Calibri Light" w:cs="Calibri Light"/>
          <w:sz w:val="24"/>
          <w:szCs w:val="24"/>
          <w:shd w:val="clear" w:color="auto" w:fill="FFFFFF"/>
        </w:rPr>
        <w:instrText xml:space="preserve">ADDIN CSL_CITATION {"citationItems":[{"id":"ITEM-1","itemData":{"DOI":"https://doi.org/10.24970/bhl.v7i3.352 MEKANISME","abstract":"Sebagai land manager, Bank Tanah bertugas untuk menyelenggarakan pengadaan tanah untuk kepentingan umum di Indonesia. Tugas ini dilatar belakangi oleh beberapa program Pemerintah seperti; pembangunan infrastruktur, energi, pengembangan kota baru, program 1 juta rumah untuk MBR, penyediaan tanah, dan pembangunan tenaga listrik 35.000 megawatt. Tujuan dari penelitian ini adalah untuk memperoleh gambaran tentang mekanisme pengadaan tanah melalui Bank Tanah dalam mendukung pembangunan untuk kepentingan umum. Tugas ini tergolong baru dalam pelaksanaan pengadaan tanah di Indonesia, maka dari itu artikel ini akan membahas bagaimana mekanisme pengadaan tanah melalui Bank Tanah dalam menyelenggarakan pengadaan tanah. Metode yang dipakai dalam penelitian adalah metode yuridis normatif melalui pendekatan yuridis kualitatif. Hasil penelitian menunjukkan tidak terdapat perbedaan mekanisme pengadaan tanah dengan lembaga lain. Serta peran sebagai pihak penyedia tanah untuk pengadaan tanah pihak ketiga dirasa kurang efektif apabila diterapkan dalam praktik. Hal itu karena Bank Tanah dapat melakukan kerja sama dalam bentuk pemanfaatan tanah dengan pihak yang membutuhkan tanah.","author":[{"dropping-particle":"","family":"Muqtarib","given":"","non-dropping-particle":"","parse-names":false,"suffix":""},{"dropping-particle":"","family":"Pujiwanti","given":"Yani","non-dropping-particle":"","parse-names":false,"suffix":""},{"dropping-particle":"","family":"Rubiati","given":"Betty","non-dropping-particle":"","parse-names":false,"suffix":""}],"container-title":"Bina Hukum Lingkungan","id":"ITEM-1","issue":"3","issued":{"date-parts":[["2023"]]},"page":"311-333","title":"Mekanisme Pengadaan Tanah Melalui Bank Tanah Dalam Mendukung Pembangunan Untuk Kepentingan Umum","type":"article-journal","volume":"7"},"uris":["http://www.mendeley.com/documents/?uuid=ac0702fe-3553-424f-a8e0-ca3edee120a1"]}],"mendeley":{"formattedCitation":"(Muqtarib et al., 2023)","plainTextFormattedCitation":"(Muqtarib et al., 2023)","previouslyFormattedCitation":"(Muqtarib et al., 2023)"},"properties":{"noteIndex":0},"schema":"https://github.com/citation-style-language/schema/raw/master/csl-citation.json"}</w:instrText>
      </w:r>
      <w:r>
        <w:rPr>
          <w:rFonts w:ascii="Calibri Light" w:hAnsi="Calibri Light" w:cs="Calibri Light"/>
          <w:sz w:val="24"/>
          <w:szCs w:val="24"/>
          <w:shd w:val="clear" w:color="auto" w:fill="FFFFFF"/>
        </w:rPr>
        <w:fldChar w:fldCharType="separate"/>
      </w:r>
      <w:r>
        <w:rPr>
          <w:rFonts w:ascii="Calibri Light" w:hAnsi="Calibri Light" w:cs="Calibri Light"/>
          <w:sz w:val="24"/>
          <w:szCs w:val="24"/>
          <w:shd w:val="clear" w:color="auto" w:fill="FFFFFF"/>
        </w:rPr>
        <w:t>(Muqtarib et al., 2023)</w:t>
      </w:r>
      <w:r>
        <w:rPr>
          <w:rFonts w:ascii="Calibri Light" w:hAnsi="Calibri Light" w:cs="Calibri Light"/>
          <w:sz w:val="24"/>
          <w:szCs w:val="24"/>
          <w:shd w:val="clear" w:color="auto" w:fill="FFFFFF"/>
        </w:rPr>
        <w:fldChar w:fldCharType="end"/>
      </w:r>
      <w:r>
        <w:rPr>
          <w:rFonts w:ascii="Calibri Light" w:hAnsi="Calibri Light" w:cs="Calibri Light"/>
          <w:sz w:val="24"/>
          <w:szCs w:val="24"/>
          <w:shd w:val="clear" w:color="auto" w:fill="FFFFFF"/>
        </w:rPr>
        <w:t>, so that it can become an object in the land utilization agreement with third parties, and if the term of the land rights has expired, the customary land will return to the KMHA as an asset in the customary area. The goal of this legal partnership is to benefit the KMHA so that it can eventually be run independently by the KMHA</w:t>
      </w:r>
      <w:r>
        <w:rPr>
          <w:rFonts w:ascii="Calibri Light" w:hAnsi="Calibri Light" w:cs="Calibri Light"/>
          <w:color w:val="444444"/>
          <w:sz w:val="24"/>
          <w:szCs w:val="24"/>
        </w:rPr>
        <w:t>.</w:t>
      </w:r>
    </w:p>
    <w:p w14:paraId="698D0811">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69504" behindDoc="0" locked="0" layoutInCell="1" allowOverlap="1">
                <wp:simplePos x="0" y="0"/>
                <wp:positionH relativeFrom="column">
                  <wp:posOffset>4000500</wp:posOffset>
                </wp:positionH>
                <wp:positionV relativeFrom="paragraph">
                  <wp:posOffset>59055</wp:posOffset>
                </wp:positionV>
                <wp:extent cx="1828800" cy="1152525"/>
                <wp:effectExtent l="0" t="0" r="19050" b="28575"/>
                <wp:wrapNone/>
                <wp:docPr id="990360843" name="Rectangle 13"/>
                <wp:cNvGraphicFramePr/>
                <a:graphic xmlns:a="http://schemas.openxmlformats.org/drawingml/2006/main">
                  <a:graphicData uri="http://schemas.microsoft.com/office/word/2010/wordprocessingShape">
                    <wps:wsp>
                      <wps:cNvSpPr/>
                      <wps:spPr>
                        <a:xfrm>
                          <a:off x="0" y="0"/>
                          <a:ext cx="1828800" cy="1152525"/>
                        </a:xfrm>
                        <a:prstGeom prst="rect">
                          <a:avLst/>
                        </a:prstGeom>
                        <a:noFill/>
                      </wps:spPr>
                      <wps:style>
                        <a:lnRef idx="2">
                          <a:schemeClr val="accent1"/>
                        </a:lnRef>
                        <a:fillRef idx="1">
                          <a:schemeClr val="lt1"/>
                        </a:fillRef>
                        <a:effectRef idx="0">
                          <a:schemeClr val="accent1"/>
                        </a:effectRef>
                        <a:fontRef idx="minor">
                          <a:schemeClr val="dk1"/>
                        </a:fontRef>
                      </wps:style>
                      <wps:txbx>
                        <w:txbxContent>
                          <w:p w14:paraId="696FC04F">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Management Right of the Customary Law Community Unit/KMHA</w:t>
                            </w:r>
                          </w:p>
                          <w:p w14:paraId="7F31775A">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as assets entrusted to Land Bank</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315pt;margin-top:4.65pt;height:90.75pt;width:144pt;z-index:251669504;v-text-anchor:middle;mso-width-relative:page;mso-height-relative:page;" filled="f" stroked="t" coordsize="21600,21600" o:gfxdata="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ChQeonUAAAACQEAAA8AAAAAAAAAAQAgAAAAIgAAAGRycy9kb3ducmV2LnhtbFBLAQIUABQAAAAI&#10;AIdO4kAy6+HaYwIAAMwEAAAOAAAAAAAAAAEAIAAAACMBAABkcnMvZTJvRG9jLnhtbFBLBQYAAAAA&#10;BgAGAFkBAAD4BQAAAAA=&#10;">
                <v:fill on="f" focussize="0,0"/>
                <v:stroke weight="2pt" color="#4F81BD [3204]" joinstyle="round"/>
                <v:imagedata o:title=""/>
                <o:lock v:ext="edit" aspectratio="f"/>
                <v:textbox>
                  <w:txbxContent>
                    <w:p w14:paraId="696FC04F">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Management Right of the Customary Law Community Unit/KMHA</w:t>
                      </w:r>
                    </w:p>
                    <w:p w14:paraId="7F31775A">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Customary Land as assets entrusted to Land Bank</w:t>
                      </w:r>
                    </w:p>
                  </w:txbxContent>
                </v:textbox>
              </v:rect>
            </w:pict>
          </mc:Fallback>
        </mc:AlternateContent>
      </w:r>
      <w:r>
        <w:rPr>
          <w:rFonts w:ascii="Calibri Light" w:hAnsi="Calibri Light" w:cs="Calibri Light"/>
          <w:b/>
          <w:bCs/>
          <w:sz w:val="24"/>
          <w:szCs w:val="24"/>
        </w:rPr>
        <mc:AlternateContent>
          <mc:Choice Requires="wps">
            <w:drawing>
              <wp:anchor distT="0" distB="0" distL="114300" distR="114300" simplePos="0" relativeHeight="251668480" behindDoc="0" locked="0" layoutInCell="1" allowOverlap="1">
                <wp:simplePos x="0" y="0"/>
                <wp:positionH relativeFrom="column">
                  <wp:posOffset>2127885</wp:posOffset>
                </wp:positionH>
                <wp:positionV relativeFrom="paragraph">
                  <wp:posOffset>57785</wp:posOffset>
                </wp:positionV>
                <wp:extent cx="1788795" cy="1104900"/>
                <wp:effectExtent l="0" t="0" r="20955" b="19050"/>
                <wp:wrapNone/>
                <wp:docPr id="1470787854" name="Arrow: Left-Right 14"/>
                <wp:cNvGraphicFramePr/>
                <a:graphic xmlns:a="http://schemas.openxmlformats.org/drawingml/2006/main">
                  <a:graphicData uri="http://schemas.microsoft.com/office/word/2010/wordprocessingShape">
                    <wps:wsp>
                      <wps:cNvSpPr/>
                      <wps:spPr>
                        <a:xfrm>
                          <a:off x="0" y="0"/>
                          <a:ext cx="1789043" cy="1104900"/>
                        </a:xfrm>
                        <a:prstGeom prst="leftRightArrow">
                          <a:avLst>
                            <a:gd name="adj1" fmla="val 64354"/>
                            <a:gd name="adj2" fmla="val 25296"/>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FB96F5B">
                            <w:pPr>
                              <w:ind w:left="-142" w:right="-182"/>
                              <w:jc w:val="center"/>
                            </w:pPr>
                            <w:r>
                              <w:t>Availability of designated customary land for business collaboration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Arrow: Left-Right 14" o:spid="_x0000_s1026" o:spt="69" type="#_x0000_t69" style="position:absolute;left:0pt;margin-left:167.55pt;margin-top:4.55pt;height:87pt;width:140.85pt;z-index:251668480;v-text-anchor:middle;mso-width-relative:page;mso-height-relative:page;" fillcolor="#FFFFFF [3201]" filled="t" stroked="t" coordsize="21600,21600" o:gfxdata="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ZaAjWtgAAAAJAQAADwAAAAAAAAABACAAAAAiAAAAZHJzL2Rvd25yZXYueG1sUEsBAhQAFAAAAAgA&#10;h07iQCHJIPyXAgAAWQUAAA4AAAAAAAAAAQAgAAAAJwEAAGRycy9lMm9Eb2MueG1sUEsFBgAAAAAG&#10;AAYAWQEAADAGAAAAAA==&#10;" adj="3374,3849">
                <v:fill on="t" focussize="0,0"/>
                <v:stroke weight="2pt" color="#000000 [3213]" joinstyle="round"/>
                <v:imagedata o:title=""/>
                <o:lock v:ext="edit" aspectratio="f"/>
                <v:textbox>
                  <w:txbxContent>
                    <w:p w14:paraId="0FB96F5B">
                      <w:pPr>
                        <w:ind w:left="-142" w:right="-182"/>
                        <w:jc w:val="center"/>
                      </w:pPr>
                      <w:r>
                        <w:t>Availability of designated customary land for business collaboration</w:t>
                      </w:r>
                    </w:p>
                  </w:txbxContent>
                </v:textbox>
              </v:shape>
            </w:pict>
          </mc:Fallback>
        </mc:AlternateContent>
      </w:r>
      <w:r>
        <w:rPr>
          <w:rFonts w:ascii="Calibri Light" w:hAnsi="Calibri Light" w:cs="Calibri Light"/>
          <w:b/>
          <w:bCs/>
          <w:sz w:val="24"/>
          <w:szCs w:val="24"/>
        </w:rPr>
        <mc:AlternateContent>
          <mc:Choice Requires="wps">
            <w:drawing>
              <wp:anchor distT="0" distB="0" distL="114300" distR="114300" simplePos="0" relativeHeight="251666432" behindDoc="0" locked="0" layoutInCell="1" allowOverlap="1">
                <wp:simplePos x="0" y="0"/>
                <wp:positionH relativeFrom="column">
                  <wp:posOffset>228600</wp:posOffset>
                </wp:positionH>
                <wp:positionV relativeFrom="paragraph">
                  <wp:posOffset>57785</wp:posOffset>
                </wp:positionV>
                <wp:extent cx="1828800" cy="1153160"/>
                <wp:effectExtent l="0" t="0" r="19050" b="28575"/>
                <wp:wrapNone/>
                <wp:docPr id="277187162" name="Rectangle 13"/>
                <wp:cNvGraphicFramePr/>
                <a:graphic xmlns:a="http://schemas.openxmlformats.org/drawingml/2006/main">
                  <a:graphicData uri="http://schemas.microsoft.com/office/word/2010/wordprocessingShape">
                    <wps:wsp>
                      <wps:cNvSpPr/>
                      <wps:spPr>
                        <a:xfrm>
                          <a:off x="0" y="0"/>
                          <a:ext cx="1828800" cy="115293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BABADD4">
                            <w:pPr>
                              <w:pStyle w:val="48"/>
                              <w:numPr>
                                <w:ilvl w:val="0"/>
                                <w:numId w:val="20"/>
                              </w:numPr>
                              <w:spacing w:line="240" w:lineRule="auto"/>
                              <w:ind w:left="142" w:hanging="142"/>
                              <w:jc w:val="both"/>
                              <w:rPr>
                                <w:rFonts w:ascii="Times New Roman" w:hAnsi="Times New Roman"/>
                                <w:sz w:val="20"/>
                                <w:szCs w:val="18"/>
                              </w:rPr>
                            </w:pPr>
                            <w:r>
                              <w:rPr>
                                <w:rFonts w:ascii="Times New Roman" w:hAnsi="Times New Roman"/>
                                <w:sz w:val="20"/>
                                <w:szCs w:val="18"/>
                              </w:rPr>
                              <w:t>Land Bank in Land Management &amp; Development Function</w:t>
                            </w:r>
                          </w:p>
                          <w:p w14:paraId="34389574">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Bank as an Assistant plays the role of: Dynamizer, Facilitator, &amp; Catalyst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18pt;margin-top:4.55pt;height:90.8pt;width:144pt;z-index:251666432;v-text-anchor:middle;mso-width-relative:page;mso-height-relative:page;" fillcolor="#FFFFFF [3201]" filled="t" stroked="t" coordsize="21600,21600" o:gfxdata="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l1ZjTWAAAACAEAAA8AAAAAAAAAAQAgAAAAIgAAAGRycy9kb3ducmV2LnhtbFBLAQIU&#10;ABQAAAAIAIdO4kDm5uyEZwIAAPUEAAAOAAAAAAAAAAEAIAAAACUBAABkcnMvZTJvRG9jLnhtbFBL&#10;BQYAAAAABgAGAFkBAAD+BQAAAAA=&#10;">
                <v:fill on="t" focussize="0,0"/>
                <v:stroke weight="2pt" color="#000000 [3213]" joinstyle="round"/>
                <v:imagedata o:title=""/>
                <o:lock v:ext="edit" aspectratio="f"/>
                <v:textbox>
                  <w:txbxContent>
                    <w:p w14:paraId="6BABADD4">
                      <w:pPr>
                        <w:pStyle w:val="48"/>
                        <w:numPr>
                          <w:ilvl w:val="0"/>
                          <w:numId w:val="20"/>
                        </w:numPr>
                        <w:spacing w:line="240" w:lineRule="auto"/>
                        <w:ind w:left="142" w:hanging="142"/>
                        <w:jc w:val="both"/>
                        <w:rPr>
                          <w:rFonts w:ascii="Times New Roman" w:hAnsi="Times New Roman"/>
                          <w:sz w:val="20"/>
                          <w:szCs w:val="18"/>
                        </w:rPr>
                      </w:pPr>
                      <w:r>
                        <w:rPr>
                          <w:rFonts w:ascii="Times New Roman" w:hAnsi="Times New Roman"/>
                          <w:sz w:val="20"/>
                          <w:szCs w:val="18"/>
                        </w:rPr>
                        <w:t>Land Bank in Land Management &amp; Development Function</w:t>
                      </w:r>
                    </w:p>
                    <w:p w14:paraId="34389574">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Bank as an Assistant plays the role of: Dynamizer, Facilitator, &amp; Catalyst</w:t>
                      </w:r>
                    </w:p>
                  </w:txbxContent>
                </v:textbox>
              </v:rect>
            </w:pict>
          </mc:Fallback>
        </mc:AlternateContent>
      </w:r>
      <w:commentRangeStart w:id="28"/>
      <w:commentRangeStart w:id="29"/>
    </w:p>
    <w:p w14:paraId="627B6338">
      <w:pPr>
        <w:spacing w:before="120" w:after="120"/>
        <w:ind w:left="440" w:right="-1" w:hanging="14"/>
        <w:jc w:val="center"/>
        <w:rPr>
          <w:rFonts w:ascii="Calibri Light" w:hAnsi="Calibri Light" w:cs="Calibri Light"/>
          <w:b/>
          <w:bCs/>
          <w:sz w:val="24"/>
          <w:szCs w:val="24"/>
        </w:rPr>
      </w:pPr>
    </w:p>
    <w:p w14:paraId="329A3C87">
      <w:pPr>
        <w:spacing w:before="120" w:after="120"/>
        <w:ind w:left="440" w:right="-1" w:hanging="14"/>
        <w:jc w:val="center"/>
        <w:rPr>
          <w:rFonts w:ascii="Calibri Light" w:hAnsi="Calibri Light" w:cs="Calibri Light"/>
          <w:b/>
          <w:bCs/>
          <w:sz w:val="24"/>
          <w:szCs w:val="24"/>
        </w:rPr>
      </w:pPr>
    </w:p>
    <w:p w14:paraId="6210D112">
      <w:pPr>
        <w:spacing w:before="120" w:after="120"/>
        <w:ind w:left="440" w:right="-1" w:hanging="14"/>
        <w:jc w:val="center"/>
        <w:rPr>
          <w:rFonts w:ascii="Calibri Light" w:hAnsi="Calibri Light" w:cs="Calibri Light"/>
          <w:b/>
          <w:bCs/>
          <w:sz w:val="24"/>
          <w:szCs w:val="24"/>
        </w:rPr>
      </w:pPr>
    </w:p>
    <w:p w14:paraId="3A318B10">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67456" behindDoc="0" locked="0" layoutInCell="1" allowOverlap="1">
                <wp:simplePos x="0" y="0"/>
                <wp:positionH relativeFrom="column">
                  <wp:posOffset>471805</wp:posOffset>
                </wp:positionH>
                <wp:positionV relativeFrom="paragraph">
                  <wp:posOffset>241935</wp:posOffset>
                </wp:positionV>
                <wp:extent cx="1359535" cy="436880"/>
                <wp:effectExtent l="0" t="0" r="12065" b="20320"/>
                <wp:wrapNone/>
                <wp:docPr id="76299560" name="Rectangle 13"/>
                <wp:cNvGraphicFramePr/>
                <a:graphic xmlns:a="http://schemas.openxmlformats.org/drawingml/2006/main">
                  <a:graphicData uri="http://schemas.microsoft.com/office/word/2010/wordprocessingShape">
                    <wps:wsp>
                      <wps:cNvSpPr/>
                      <wps:spPr>
                        <a:xfrm>
                          <a:off x="0" y="0"/>
                          <a:ext cx="1359535" cy="4368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B77960">
                            <w:pPr>
                              <w:pStyle w:val="48"/>
                              <w:spacing w:after="0" w:line="240" w:lineRule="auto"/>
                              <w:ind w:left="142"/>
                              <w:jc w:val="center"/>
                              <w:rPr>
                                <w:rFonts w:ascii="Times New Roman" w:hAnsi="Times New Roman"/>
                                <w:sz w:val="20"/>
                                <w:szCs w:val="18"/>
                              </w:rPr>
                            </w:pPr>
                            <w:r>
                              <w:rPr>
                                <w:rFonts w:ascii="Times New Roman" w:hAnsi="Times New Roman"/>
                                <w:sz w:val="20"/>
                                <w:szCs w:val="18"/>
                              </w:rPr>
                              <w:t>Land Bank Public/Government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37.15pt;margin-top:19.05pt;height:34.4pt;width:107.05pt;z-index:251667456;v-text-anchor:middle;mso-width-relative:page;mso-height-relative:page;" fillcolor="#FFFFFF [3201]" filled="t" stroked="t" coordsize="21600,21600" o:gfxdata="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FrQP67YAAAACQEAAA8AAAAAAAAAAQAgAAAAIgAAAGRycy9kb3ducmV2LnhtbFBL&#10;AQIUABQAAAAIAIdO4kA58E7caAIAAPMEAAAOAAAAAAAAAAEAIAAAACcBAABkcnMvZTJvRG9jLnht&#10;bFBLBQYAAAAABgAGAFkBAAABBgAAAAA=&#10;">
                <v:fill on="t" focussize="0,0"/>
                <v:stroke weight="2pt" color="#000000 [3213]" joinstyle="round"/>
                <v:imagedata o:title=""/>
                <o:lock v:ext="edit" aspectratio="f"/>
                <v:textbox>
                  <w:txbxContent>
                    <w:p w14:paraId="60B77960">
                      <w:pPr>
                        <w:pStyle w:val="48"/>
                        <w:spacing w:after="0" w:line="240" w:lineRule="auto"/>
                        <w:ind w:left="142"/>
                        <w:jc w:val="center"/>
                        <w:rPr>
                          <w:rFonts w:ascii="Times New Roman" w:hAnsi="Times New Roman"/>
                          <w:sz w:val="20"/>
                          <w:szCs w:val="18"/>
                        </w:rPr>
                      </w:pPr>
                      <w:r>
                        <w:rPr>
                          <w:rFonts w:ascii="Times New Roman" w:hAnsi="Times New Roman"/>
                          <w:sz w:val="20"/>
                          <w:szCs w:val="18"/>
                        </w:rPr>
                        <w:t>Land Bank Public/Government</w:t>
                      </w:r>
                    </w:p>
                  </w:txbxContent>
                </v:textbox>
              </v:rect>
            </w:pict>
          </mc:Fallback>
        </mc:AlternateContent>
      </w:r>
      <w:r>
        <w:rPr>
          <w:rFonts w:ascii="Calibri Light" w:hAnsi="Calibri Light" w:cs="Calibri Light"/>
          <w:b/>
          <w:bCs/>
          <w:sz w:val="24"/>
          <w:szCs w:val="24"/>
        </w:rPr>
        <mc:AlternateContent>
          <mc:Choice Requires="wps">
            <w:drawing>
              <wp:anchor distT="0" distB="0" distL="114300" distR="114300" simplePos="0" relativeHeight="251670528" behindDoc="0" locked="0" layoutInCell="1" allowOverlap="1">
                <wp:simplePos x="0" y="0"/>
                <wp:positionH relativeFrom="column">
                  <wp:posOffset>4234815</wp:posOffset>
                </wp:positionH>
                <wp:positionV relativeFrom="paragraph">
                  <wp:posOffset>233680</wp:posOffset>
                </wp:positionV>
                <wp:extent cx="1359535" cy="779145"/>
                <wp:effectExtent l="0" t="0" r="12065" b="20955"/>
                <wp:wrapNone/>
                <wp:docPr id="1486037217" name="Rectangle 13"/>
                <wp:cNvGraphicFramePr/>
                <a:graphic xmlns:a="http://schemas.openxmlformats.org/drawingml/2006/main">
                  <a:graphicData uri="http://schemas.microsoft.com/office/word/2010/wordprocessingShape">
                    <wps:wsp>
                      <wps:cNvSpPr/>
                      <wps:spPr>
                        <a:xfrm>
                          <a:off x="0" y="0"/>
                          <a:ext cx="1359674" cy="77922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C51F464">
                            <w:pPr>
                              <w:pStyle w:val="48"/>
                              <w:spacing w:after="0" w:line="240" w:lineRule="auto"/>
                              <w:ind w:left="0"/>
                              <w:jc w:val="center"/>
                              <w:rPr>
                                <w:rFonts w:ascii="Times New Roman" w:hAnsi="Times New Roman"/>
                                <w:sz w:val="20"/>
                                <w:szCs w:val="18"/>
                              </w:rPr>
                            </w:pPr>
                            <w:r>
                              <w:rPr>
                                <w:rFonts w:ascii="Times New Roman" w:hAnsi="Times New Roman"/>
                                <w:sz w:val="20"/>
                                <w:szCs w:val="18"/>
                              </w:rPr>
                              <w:t>Customary land availability as land for agricultural collaboration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333.45pt;margin-top:18.4pt;height:61.35pt;width:107.05pt;z-index:251670528;v-text-anchor:middle;mso-width-relative:page;mso-height-relative:page;" fillcolor="#FFFFFF [3201]" filled="t" stroked="t" coordsize="21600,21600" o:gfxdata="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9H4V82AAAAAoBAAAPAAAAAAAAAAEAIAAAACIAAABkcnMvZG93bnJldi54bWxQ&#10;SwECFAAUAAAACACHTuJA6o6OYmkCAAD1BAAADgAAAAAAAAABACAAAAAnAQAAZHJzL2Uyb0RvYy54&#10;bWxQSwUGAAAAAAYABgBZAQAAAgYAAAAA&#10;">
                <v:fill on="t" focussize="0,0"/>
                <v:stroke weight="2pt" color="#000000 [3213]" joinstyle="round"/>
                <v:imagedata o:title=""/>
                <o:lock v:ext="edit" aspectratio="f"/>
                <v:textbox>
                  <w:txbxContent>
                    <w:p w14:paraId="2C51F464">
                      <w:pPr>
                        <w:pStyle w:val="48"/>
                        <w:spacing w:after="0" w:line="240" w:lineRule="auto"/>
                        <w:ind w:left="0"/>
                        <w:jc w:val="center"/>
                        <w:rPr>
                          <w:rFonts w:ascii="Times New Roman" w:hAnsi="Times New Roman"/>
                          <w:sz w:val="20"/>
                          <w:szCs w:val="18"/>
                        </w:rPr>
                      </w:pPr>
                      <w:r>
                        <w:rPr>
                          <w:rFonts w:ascii="Times New Roman" w:hAnsi="Times New Roman"/>
                          <w:sz w:val="20"/>
                          <w:szCs w:val="18"/>
                        </w:rPr>
                        <w:t>Customary land availability as land for agricultural collaboration</w:t>
                      </w:r>
                    </w:p>
                  </w:txbxContent>
                </v:textbox>
              </v:rect>
            </w:pict>
          </mc:Fallback>
        </mc:AlternateContent>
      </w:r>
    </w:p>
    <w:p w14:paraId="19B0B164">
      <w:pPr>
        <w:spacing w:before="120" w:after="120"/>
        <w:ind w:left="440" w:right="-1" w:hanging="14"/>
        <w:jc w:val="center"/>
        <w:rPr>
          <w:rFonts w:ascii="Calibri Light" w:hAnsi="Calibri Light" w:cs="Calibri Light"/>
          <w:b/>
          <w:bCs/>
          <w:sz w:val="24"/>
          <w:szCs w:val="24"/>
        </w:rPr>
      </w:pPr>
    </w:p>
    <w:p w14:paraId="2A92153B">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73600" behindDoc="0" locked="0" layoutInCell="1" allowOverlap="1">
                <wp:simplePos x="0" y="0"/>
                <wp:positionH relativeFrom="column">
                  <wp:posOffset>946150</wp:posOffset>
                </wp:positionH>
                <wp:positionV relativeFrom="paragraph">
                  <wp:posOffset>233680</wp:posOffset>
                </wp:positionV>
                <wp:extent cx="452755" cy="556260"/>
                <wp:effectExtent l="19050" t="0" r="42545" b="34290"/>
                <wp:wrapNone/>
                <wp:docPr id="1644994603" name="Arrow: Down 15"/>
                <wp:cNvGraphicFramePr/>
                <a:graphic xmlns:a="http://schemas.openxmlformats.org/drawingml/2006/main">
                  <a:graphicData uri="http://schemas.microsoft.com/office/word/2010/wordprocessingShape">
                    <wps:wsp>
                      <wps:cNvSpPr/>
                      <wps:spPr>
                        <a:xfrm>
                          <a:off x="0" y="0"/>
                          <a:ext cx="452755" cy="55626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Arrow: Down 15" o:spid="_x0000_s1026" o:spt="67" type="#_x0000_t67" style="position:absolute;left:0pt;margin-left:74.5pt;margin-top:18.4pt;height:43.8pt;width:35.65pt;z-index:251673600;v-text-anchor:middle;mso-width-relative:page;mso-height-relative:page;" fillcolor="#FFFFFF [3201]" filled="t" stroked="t" coordsize="21600,21600" o:gfxdata="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DbvlQ7YAAAACgEAAA8AAAAAAAAAAQAgAAAAIgAAAGRycy9kb3ducmV2LnhtbFBLAQIU&#10;ABQAAAAIAIdO4kD9i1cIZQIAAPAEAAAOAAAAAAAAAAEAIAAAACcBAABkcnMvZTJvRG9jLnhtbFBL&#10;BQYAAAAABgAGAFkBAAD+BQAAAAA=&#10;" adj="12810,5400">
                <v:fill on="t" focussize="0,0"/>
                <v:stroke weight="2pt" color="#000000 [3213]" joinstyle="round"/>
                <v:imagedata o:title=""/>
                <o:lock v:ext="edit" aspectratio="f"/>
              </v:shape>
            </w:pict>
          </mc:Fallback>
        </mc:AlternateContent>
      </w:r>
    </w:p>
    <w:p w14:paraId="41455259">
      <w:pPr>
        <w:spacing w:before="120" w:after="120"/>
        <w:ind w:left="440" w:right="-1" w:hanging="14"/>
        <w:jc w:val="center"/>
        <w:rPr>
          <w:rFonts w:ascii="Calibri Light" w:hAnsi="Calibri Light" w:cs="Calibri Light"/>
          <w:b/>
          <w:bCs/>
          <w:sz w:val="24"/>
          <w:szCs w:val="24"/>
        </w:rPr>
      </w:pPr>
    </w:p>
    <w:p w14:paraId="1B74F8FA">
      <w:pPr>
        <w:spacing w:before="120" w:after="120"/>
        <w:ind w:left="440" w:right="-1" w:hanging="14"/>
        <w:jc w:val="center"/>
        <w:rPr>
          <w:rFonts w:ascii="Calibri Light" w:hAnsi="Calibri Light" w:cs="Calibri Light"/>
          <w:b/>
          <w:bCs/>
          <w:sz w:val="24"/>
          <w:szCs w:val="24"/>
        </w:rPr>
      </w:pPr>
    </w:p>
    <w:p w14:paraId="71803DB9">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72576" behindDoc="0" locked="0" layoutInCell="1" allowOverlap="1">
                <wp:simplePos x="0" y="0"/>
                <wp:positionH relativeFrom="column">
                  <wp:posOffset>299085</wp:posOffset>
                </wp:positionH>
                <wp:positionV relativeFrom="paragraph">
                  <wp:posOffset>114935</wp:posOffset>
                </wp:positionV>
                <wp:extent cx="1828800" cy="739775"/>
                <wp:effectExtent l="0" t="0" r="19050" b="22860"/>
                <wp:wrapNone/>
                <wp:docPr id="290767816" name="Rectangle 13"/>
                <wp:cNvGraphicFramePr/>
                <a:graphic xmlns:a="http://schemas.openxmlformats.org/drawingml/2006/main">
                  <a:graphicData uri="http://schemas.microsoft.com/office/word/2010/wordprocessingShape">
                    <wps:wsp>
                      <wps:cNvSpPr/>
                      <wps:spPr>
                        <a:xfrm>
                          <a:off x="0" y="0"/>
                          <a:ext cx="1828800" cy="739471"/>
                        </a:xfrm>
                        <a:prstGeom prst="rect">
                          <a:avLst/>
                        </a:prstGeom>
                        <a:noFill/>
                      </wps:spPr>
                      <wps:style>
                        <a:lnRef idx="2">
                          <a:schemeClr val="accent1"/>
                        </a:lnRef>
                        <a:fillRef idx="1">
                          <a:schemeClr val="lt1"/>
                        </a:fillRef>
                        <a:effectRef idx="0">
                          <a:schemeClr val="accent1"/>
                        </a:effectRef>
                        <a:fontRef idx="minor">
                          <a:schemeClr val="dk1"/>
                        </a:fontRef>
                      </wps:style>
                      <wps:txbx>
                        <w:txbxContent>
                          <w:p w14:paraId="6FEF0F9A">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The granting of Right to Business Use, Right to Build, Right to Use</w:t>
                            </w:r>
                          </w:p>
                          <w:p w14:paraId="41366AD3">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Utilization Agreement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23.55pt;margin-top:9.05pt;height:58.25pt;width:144pt;z-index:251672576;v-text-anchor:middle;mso-width-relative:page;mso-height-relative:page;" filled="f" stroked="t" coordsize="21600,21600" o:gfxdata="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wRhkW9QAAAAJAQAADwAAAAAAAAABACAAAAAiAAAAZHJzL2Rvd25yZXYueG1sUEsBAhQAFAAAAAgA&#10;h07iQIckJqBiAgAAywQAAA4AAAAAAAAAAQAgAAAAIwEAAGRycy9lMm9Eb2MueG1sUEsFBgAAAAAG&#10;AAYAWQEAAPcFAAAAAA==&#10;">
                <v:fill on="f" focussize="0,0"/>
                <v:stroke weight="2pt" color="#4F81BD [3204]" joinstyle="round"/>
                <v:imagedata o:title=""/>
                <o:lock v:ext="edit" aspectratio="f"/>
                <v:textbox>
                  <w:txbxContent>
                    <w:p w14:paraId="6FEF0F9A">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The granting of Right to Business Use, Right to Build, Right to Use</w:t>
                      </w:r>
                    </w:p>
                    <w:p w14:paraId="41366AD3">
                      <w:pPr>
                        <w:pStyle w:val="48"/>
                        <w:numPr>
                          <w:ilvl w:val="0"/>
                          <w:numId w:val="20"/>
                        </w:numPr>
                        <w:spacing w:after="0" w:line="240" w:lineRule="auto"/>
                        <w:ind w:left="142" w:hanging="142"/>
                        <w:jc w:val="both"/>
                        <w:rPr>
                          <w:rFonts w:ascii="Times New Roman" w:hAnsi="Times New Roman"/>
                          <w:sz w:val="20"/>
                          <w:szCs w:val="18"/>
                        </w:rPr>
                      </w:pPr>
                      <w:r>
                        <w:rPr>
                          <w:rFonts w:ascii="Times New Roman" w:hAnsi="Times New Roman"/>
                          <w:sz w:val="20"/>
                          <w:szCs w:val="18"/>
                        </w:rPr>
                        <w:t>Land Utilization Agreement</w:t>
                      </w:r>
                    </w:p>
                  </w:txbxContent>
                </v:textbox>
              </v:rect>
            </w:pict>
          </mc:Fallback>
        </mc:AlternateContent>
      </w:r>
    </w:p>
    <w:p w14:paraId="5FCCD72B">
      <w:pPr>
        <w:spacing w:before="120" w:after="120"/>
        <w:ind w:left="440" w:right="-1" w:hanging="14"/>
        <w:jc w:val="center"/>
        <w:rPr>
          <w:rFonts w:ascii="Calibri Light" w:hAnsi="Calibri Light" w:cs="Calibri Light"/>
          <w:b/>
          <w:bCs/>
          <w:sz w:val="24"/>
          <w:szCs w:val="24"/>
        </w:rPr>
      </w:pPr>
    </w:p>
    <w:p w14:paraId="50677B4A">
      <w:pPr>
        <w:spacing w:before="120" w:after="120"/>
        <w:ind w:left="440" w:right="-1" w:hanging="14"/>
        <w:jc w:val="center"/>
        <w:rPr>
          <w:rFonts w:ascii="Calibri Light" w:hAnsi="Calibri Light" w:cs="Calibri Light"/>
          <w:b/>
          <w:bCs/>
          <w:sz w:val="24"/>
          <w:szCs w:val="24"/>
        </w:rPr>
      </w:pPr>
    </w:p>
    <w:p w14:paraId="2CF1AA97">
      <w:pPr>
        <w:spacing w:before="120" w:after="120"/>
        <w:ind w:left="440" w:right="-1" w:hanging="14"/>
        <w:jc w:val="center"/>
        <w:rPr>
          <w:rFonts w:ascii="Calibri Light" w:hAnsi="Calibri Light" w:cs="Calibri Light"/>
          <w:b/>
          <w:bCs/>
          <w:sz w:val="24"/>
          <w:szCs w:val="24"/>
        </w:rPr>
      </w:pPr>
      <w:r>
        <w:rPr>
          <w:rFonts w:ascii="Calibri Light" w:hAnsi="Calibri Light" w:cs="Calibri Light"/>
          <w:b/>
          <w:bCs/>
          <w:sz w:val="24"/>
          <w:szCs w:val="24"/>
        </w:rPr>
        <mc:AlternateContent>
          <mc:Choice Requires="wps">
            <w:drawing>
              <wp:anchor distT="0" distB="0" distL="114300" distR="114300" simplePos="0" relativeHeight="251671552" behindDoc="0" locked="0" layoutInCell="1" allowOverlap="1">
                <wp:simplePos x="0" y="0"/>
                <wp:positionH relativeFrom="column">
                  <wp:posOffset>535940</wp:posOffset>
                </wp:positionH>
                <wp:positionV relativeFrom="paragraph">
                  <wp:posOffset>131445</wp:posOffset>
                </wp:positionV>
                <wp:extent cx="1359535" cy="437515"/>
                <wp:effectExtent l="0" t="0" r="12065" b="20320"/>
                <wp:wrapNone/>
                <wp:docPr id="2029853971" name="Rectangle 13"/>
                <wp:cNvGraphicFramePr/>
                <a:graphic xmlns:a="http://schemas.openxmlformats.org/drawingml/2006/main">
                  <a:graphicData uri="http://schemas.microsoft.com/office/word/2010/wordprocessingShape">
                    <wps:wsp>
                      <wps:cNvSpPr/>
                      <wps:spPr>
                        <a:xfrm>
                          <a:off x="0" y="0"/>
                          <a:ext cx="1359674" cy="43732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AD03CEA">
                            <w:pPr>
                              <w:pStyle w:val="48"/>
                              <w:spacing w:after="0" w:line="240" w:lineRule="auto"/>
                              <w:ind w:left="142"/>
                              <w:jc w:val="center"/>
                              <w:rPr>
                                <w:rFonts w:ascii="Times New Roman" w:hAnsi="Times New Roman"/>
                                <w:sz w:val="20"/>
                                <w:szCs w:val="18"/>
                              </w:rPr>
                            </w:pPr>
                            <w:r>
                              <w:rPr>
                                <w:rFonts w:ascii="Times New Roman" w:hAnsi="Times New Roman"/>
                                <w:sz w:val="20"/>
                                <w:szCs w:val="18"/>
                              </w:rPr>
                              <w:t>Third party/investor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26" o:spt="1" style="position:absolute;left:0pt;margin-left:42.2pt;margin-top:10.35pt;height:34.45pt;width:107.05pt;z-index:251671552;v-text-anchor:middle;mso-width-relative:page;mso-height-relative:page;" fillcolor="#FFFFFF [3201]" filled="t" stroked="t" coordsize="21600,21600" o:gfxdata="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R0KGE9cAAAAIAQAADwAAAAAAAAABACAAAAAiAAAAZHJzL2Rvd25yZXYueG1sUEsB&#10;AhQAFAAAAAgAh07iQEjaZDhoAgAA9QQAAA4AAAAAAAAAAQAgAAAAJgEAAGRycy9lMm9Eb2MueG1s&#10;UEsFBgAAAAAGAAYAWQEAAAAGAAAAAA==&#10;">
                <v:fill on="t" focussize="0,0"/>
                <v:stroke weight="2pt" color="#000000 [3213]" joinstyle="round"/>
                <v:imagedata o:title=""/>
                <o:lock v:ext="edit" aspectratio="f"/>
                <v:textbox>
                  <w:txbxContent>
                    <w:p w14:paraId="0AD03CEA">
                      <w:pPr>
                        <w:pStyle w:val="48"/>
                        <w:spacing w:after="0" w:line="240" w:lineRule="auto"/>
                        <w:ind w:left="142"/>
                        <w:jc w:val="center"/>
                        <w:rPr>
                          <w:rFonts w:ascii="Times New Roman" w:hAnsi="Times New Roman"/>
                          <w:sz w:val="20"/>
                          <w:szCs w:val="18"/>
                        </w:rPr>
                      </w:pPr>
                      <w:r>
                        <w:rPr>
                          <w:rFonts w:ascii="Times New Roman" w:hAnsi="Times New Roman"/>
                          <w:sz w:val="20"/>
                          <w:szCs w:val="18"/>
                        </w:rPr>
                        <w:t>Third party/investor</w:t>
                      </w:r>
                    </w:p>
                  </w:txbxContent>
                </v:textbox>
              </v:rect>
            </w:pict>
          </mc:Fallback>
        </mc:AlternateContent>
      </w:r>
    </w:p>
    <w:p w14:paraId="4E2A1B20">
      <w:pPr>
        <w:spacing w:before="120" w:after="120"/>
        <w:ind w:left="440" w:right="-1" w:hanging="14"/>
        <w:jc w:val="center"/>
        <w:rPr>
          <w:rFonts w:ascii="Calibri Light" w:hAnsi="Calibri Light" w:cs="Calibri Light"/>
          <w:b/>
          <w:bCs/>
          <w:sz w:val="24"/>
          <w:szCs w:val="24"/>
        </w:rPr>
      </w:pPr>
    </w:p>
    <w:p w14:paraId="405F8446">
      <w:pPr>
        <w:spacing w:before="120" w:after="120"/>
        <w:ind w:right="-1"/>
        <w:rPr>
          <w:rFonts w:ascii="Calibri Light" w:hAnsi="Calibri Light" w:cs="Calibri Light"/>
          <w:b/>
          <w:bCs/>
          <w:sz w:val="24"/>
          <w:szCs w:val="24"/>
        </w:rPr>
      </w:pPr>
    </w:p>
    <w:p w14:paraId="2B624F9E">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Figure 1.</w:t>
      </w:r>
      <w:r>
        <w:rPr>
          <w:rFonts w:ascii="Calibri Light" w:hAnsi="Calibri Light" w:cs="Calibri Light"/>
          <w:sz w:val="24"/>
          <w:szCs w:val="24"/>
        </w:rPr>
        <w:t xml:space="preserve"> Legal Relationship of the Role of Land Banks over KMHA Customary Land Management Right</w:t>
      </w:r>
      <w:commentRangeEnd w:id="28"/>
      <w:r>
        <w:rPr>
          <w:rStyle w:val="16"/>
        </w:rPr>
        <w:commentReference w:id="28"/>
      </w:r>
      <w:commentRangeEnd w:id="29"/>
      <w:r>
        <w:rPr>
          <w:rStyle w:val="16"/>
        </w:rPr>
        <w:commentReference w:id="29"/>
      </w:r>
    </w:p>
    <w:p w14:paraId="02E083E4">
      <w:pPr>
        <w:spacing w:before="120" w:after="120"/>
        <w:ind w:left="440" w:right="-1" w:hanging="14"/>
        <w:jc w:val="both"/>
        <w:rPr>
          <w:rFonts w:ascii="Calibri Light" w:hAnsi="Calibri Light" w:cs="Calibri Light"/>
          <w:color w:val="FF0000"/>
          <w:sz w:val="24"/>
          <w:szCs w:val="24"/>
        </w:rPr>
      </w:pPr>
    </w:p>
    <w:p w14:paraId="422F5871">
      <w:pPr>
        <w:spacing w:before="120" w:after="120"/>
        <w:ind w:left="440" w:right="-1" w:hanging="14"/>
        <w:jc w:val="both"/>
        <w:rPr>
          <w:rFonts w:ascii="Calibri Light" w:hAnsi="Calibri Light" w:cs="Calibri Light"/>
          <w:color w:val="FF0000"/>
          <w:sz w:val="24"/>
          <w:szCs w:val="24"/>
        </w:rPr>
      </w:pPr>
    </w:p>
    <w:p w14:paraId="730B858D">
      <w:pPr>
        <w:spacing w:before="120" w:after="120"/>
        <w:ind w:left="440" w:right="-1" w:hanging="14"/>
        <w:jc w:val="both"/>
        <w:rPr>
          <w:rFonts w:ascii="Calibri Light" w:hAnsi="Calibri Light" w:cs="Calibri Light"/>
          <w:color w:val="FF0000"/>
          <w:sz w:val="24"/>
          <w:szCs w:val="24"/>
        </w:rPr>
      </w:pPr>
    </w:p>
    <w:p w14:paraId="7A3070A8">
      <w:pPr>
        <w:numPr>
          <w:ilvl w:val="0"/>
          <w:numId w:val="21"/>
        </w:numPr>
        <w:autoSpaceDE/>
        <w:autoSpaceDN/>
        <w:spacing w:line="240" w:lineRule="atLeast"/>
        <w:ind w:left="426" w:hanging="426"/>
        <w:rPr>
          <w:rFonts w:ascii="Calibri Light" w:hAnsi="Calibri Light" w:cs="Calibri Light"/>
          <w:b/>
          <w:color w:val="A6A6A6"/>
          <w:sz w:val="24"/>
          <w:szCs w:val="24"/>
        </w:rPr>
      </w:pPr>
      <w:r>
        <w:rPr>
          <w:rFonts w:ascii="Calibri Light" w:hAnsi="Calibri Light" w:cs="Calibri Light"/>
          <w:b/>
          <w:sz w:val="24"/>
          <w:szCs w:val="24"/>
        </w:rPr>
        <w:t>CONCLUSION</w:t>
      </w:r>
    </w:p>
    <w:p w14:paraId="4865C162">
      <w:pPr>
        <w:pStyle w:val="48"/>
        <w:spacing w:before="240"/>
        <w:ind w:left="426"/>
        <w:jc w:val="both"/>
        <w:rPr>
          <w:rFonts w:ascii="Calibri Light" w:hAnsi="Calibri Light" w:cs="Calibri Light"/>
          <w:sz w:val="24"/>
          <w:szCs w:val="22"/>
          <w:lang w:val="zh-CN"/>
        </w:rPr>
      </w:pPr>
      <w:commentRangeStart w:id="30"/>
      <w:commentRangeStart w:id="31"/>
      <w:r>
        <w:rPr>
          <w:rFonts w:ascii="Calibri Light" w:hAnsi="Calibri Light" w:cs="Calibri Light"/>
          <w:sz w:val="24"/>
          <w:szCs w:val="22"/>
          <w:lang w:val="zh-CN"/>
        </w:rPr>
        <w:t>The Land Bank is a sui generis institution under the central government, currently regulated under positive law, with the legal authority to manage state land and land from other parties based on Management Rights (MR). This paper presents both a factual and normative position: factually, the Land Bank has begun to assist Customary Law Community Units (KMHA) under the current legal framework; normatively, it aspires to strengthen KMHA's role as equal partners in managing and utilizing their customary land.</w:t>
      </w:r>
    </w:p>
    <w:p w14:paraId="0A6E2079">
      <w:pPr>
        <w:pStyle w:val="48"/>
        <w:spacing w:before="240"/>
        <w:ind w:left="426"/>
        <w:jc w:val="both"/>
        <w:rPr>
          <w:rFonts w:ascii="Calibri Light" w:hAnsi="Calibri Light" w:cs="Calibri Light"/>
          <w:sz w:val="24"/>
          <w:szCs w:val="24"/>
          <w:lang w:val="en-US"/>
        </w:rPr>
      </w:pPr>
      <w:r>
        <w:rPr>
          <w:rFonts w:ascii="Calibri Light" w:hAnsi="Calibri Light" w:cs="Calibri Light"/>
          <w:sz w:val="24"/>
          <w:szCs w:val="24"/>
          <w:lang w:val="en-US"/>
        </w:rPr>
        <w:t xml:space="preserve">The collaboration mechanism, through business cooperation, positions the Land Bank not only as an asset manager but also as a </w:t>
      </w:r>
      <w:r>
        <w:rPr>
          <w:rFonts w:ascii="Calibri Light" w:hAnsi="Calibri Light" w:cs="Calibri Light"/>
          <w:i/>
          <w:iCs/>
          <w:sz w:val="24"/>
          <w:szCs w:val="24"/>
          <w:lang w:val="en-US"/>
        </w:rPr>
        <w:t>dynamizer</w:t>
      </w:r>
      <w:r>
        <w:rPr>
          <w:rFonts w:ascii="Calibri Light" w:hAnsi="Calibri Light" w:cs="Calibri Light"/>
          <w:sz w:val="24"/>
          <w:szCs w:val="24"/>
          <w:lang w:val="en-US"/>
        </w:rPr>
        <w:t xml:space="preserve">, </w:t>
      </w:r>
      <w:r>
        <w:rPr>
          <w:rFonts w:ascii="Calibri Light" w:hAnsi="Calibri Light" w:cs="Calibri Light"/>
          <w:i/>
          <w:iCs/>
          <w:sz w:val="24"/>
          <w:szCs w:val="24"/>
          <w:lang w:val="en-US"/>
        </w:rPr>
        <w:t>facilitator</w:t>
      </w:r>
      <w:r>
        <w:rPr>
          <w:rFonts w:ascii="Calibri Light" w:hAnsi="Calibri Light" w:cs="Calibri Light"/>
          <w:sz w:val="24"/>
          <w:szCs w:val="24"/>
          <w:lang w:val="en-US"/>
        </w:rPr>
        <w:t xml:space="preserve">, and </w:t>
      </w:r>
      <w:r>
        <w:rPr>
          <w:rFonts w:ascii="Calibri Light" w:hAnsi="Calibri Light" w:cs="Calibri Light"/>
          <w:i/>
          <w:iCs/>
          <w:sz w:val="24"/>
          <w:szCs w:val="24"/>
          <w:lang w:val="en-US"/>
        </w:rPr>
        <w:t>catalyst</w:t>
      </w:r>
      <w:r>
        <w:rPr>
          <w:rFonts w:ascii="Calibri Light" w:hAnsi="Calibri Light" w:cs="Calibri Light"/>
          <w:sz w:val="24"/>
          <w:szCs w:val="24"/>
          <w:lang w:val="en-US"/>
        </w:rPr>
        <w:t xml:space="preserve"> to empower KMHA in asserting their legal subjectivity and land rights. This study affirms that the involvement of the Land Bank must be accompanied by safeguards to prevent domination and ensure that customary land remains within the communal ownership of KMHA. Therefore, the affirmation of KMHA as full legal subjects and equal partners in cooperation agreements must be institutionalized to achieve sustainable and equitable land governance</w:t>
      </w:r>
      <w:r>
        <w:rPr>
          <w:rFonts w:ascii="Calibri Light" w:hAnsi="Calibri Light" w:cs="Calibri Light"/>
          <w:sz w:val="24"/>
          <w:szCs w:val="24"/>
        </w:rPr>
        <w:t>.</w:t>
      </w:r>
      <w:commentRangeEnd w:id="30"/>
      <w:r>
        <w:rPr>
          <w:rStyle w:val="16"/>
          <w:rFonts w:ascii="Times New Roman" w:hAnsi="Times New Roman"/>
          <w:lang w:val="en-US" w:eastAsia="en-GB"/>
        </w:rPr>
        <w:commentReference w:id="30"/>
      </w:r>
      <w:commentRangeEnd w:id="31"/>
      <w:r>
        <w:rPr>
          <w:rStyle w:val="16"/>
          <w:rFonts w:ascii="Times New Roman" w:hAnsi="Times New Roman"/>
          <w:lang w:val="en-US" w:eastAsia="en-GB"/>
        </w:rPr>
        <w:commentReference w:id="31"/>
      </w:r>
    </w:p>
    <w:p w14:paraId="3DE070F0">
      <w:pPr>
        <w:pStyle w:val="48"/>
        <w:spacing w:before="120" w:after="120" w:line="240" w:lineRule="auto"/>
        <w:ind w:left="0" w:right="-1"/>
        <w:contextualSpacing w:val="0"/>
        <w:jc w:val="both"/>
        <w:rPr>
          <w:rFonts w:ascii="Calibri Light" w:hAnsi="Calibri Light" w:cs="Calibri Light"/>
          <w:color w:val="FF0000"/>
          <w:sz w:val="23"/>
        </w:rPr>
      </w:pPr>
    </w:p>
    <w:p w14:paraId="66597CC1">
      <w:pPr>
        <w:spacing w:line="240" w:lineRule="atLeast"/>
        <w:jc w:val="both"/>
        <w:rPr>
          <w:rFonts w:ascii="Calibri Light" w:hAnsi="Calibri Light" w:cs="Calibri Light"/>
          <w:b/>
          <w:color w:val="A6A6A6"/>
          <w:sz w:val="24"/>
          <w:szCs w:val="24"/>
          <w:lang w:val="id-ID"/>
        </w:rPr>
      </w:pPr>
      <w:r>
        <w:rPr>
          <w:rFonts w:ascii="Calibri Light" w:hAnsi="Calibri Light" w:cs="Calibri Light"/>
          <w:b/>
          <w:sz w:val="24"/>
          <w:szCs w:val="24"/>
          <w:lang w:val="id-ID"/>
        </w:rPr>
        <w:t xml:space="preserve">VI. </w:t>
      </w:r>
      <w:commentRangeStart w:id="32"/>
      <w:commentRangeStart w:id="33"/>
      <w:r>
        <w:rPr>
          <w:rFonts w:ascii="Calibri Light" w:hAnsi="Calibri Light" w:cs="Calibri Light"/>
          <w:b/>
          <w:sz w:val="24"/>
          <w:szCs w:val="24"/>
        </w:rPr>
        <w:t>REFERENCES</w:t>
      </w:r>
      <w:commentRangeEnd w:id="32"/>
      <w:r>
        <w:rPr>
          <w:rStyle w:val="16"/>
        </w:rPr>
        <w:commentReference w:id="32"/>
      </w:r>
      <w:commentRangeEnd w:id="33"/>
      <w:r>
        <w:rPr>
          <w:rStyle w:val="16"/>
        </w:rPr>
        <w:commentReference w:id="33"/>
      </w:r>
    </w:p>
    <w:p w14:paraId="4156D8E3">
      <w:pPr>
        <w:widowControl w:val="0"/>
        <w:adjustRightInd w:val="0"/>
        <w:spacing w:before="120" w:after="120"/>
        <w:ind w:left="480" w:hanging="480"/>
        <w:rPr>
          <w:rFonts w:ascii="Calibri Light" w:hAnsi="Calibri Light" w:cs="Calibri Light"/>
          <w:sz w:val="24"/>
        </w:rPr>
      </w:pPr>
      <w:r>
        <w:rPr>
          <w:rFonts w:ascii="Calibri Light" w:hAnsi="Calibri Light" w:cs="Calibri Light"/>
          <w:color w:val="A6A6A6"/>
          <w:sz w:val="24"/>
          <w:szCs w:val="24"/>
        </w:rPr>
        <w:t xml:space="preserve">  </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Pr>
          <w:rFonts w:ascii="Calibri Light" w:hAnsi="Calibri Light" w:cs="Calibri Light"/>
          <w:sz w:val="24"/>
        </w:rPr>
        <w:t xml:space="preserve">Agustin, I. S. U. N., &amp; Mahfud, M. A. (2024). Tinjauan Yuridis Normatif tentang Bank Tanah (Land Banking) Menurut Perpu Cipta Kerja. </w:t>
      </w:r>
      <w:r>
        <w:rPr>
          <w:rFonts w:ascii="Calibri Light" w:hAnsi="Calibri Light" w:cs="Calibri Light"/>
          <w:i/>
          <w:iCs/>
          <w:sz w:val="24"/>
        </w:rPr>
        <w:t>Notarius</w:t>
      </w:r>
      <w:r>
        <w:rPr>
          <w:rFonts w:ascii="Calibri Light" w:hAnsi="Calibri Light" w:cs="Calibri Light"/>
          <w:sz w:val="24"/>
        </w:rPr>
        <w:t xml:space="preserve">, </w:t>
      </w:r>
      <w:r>
        <w:rPr>
          <w:rFonts w:ascii="Calibri Light" w:hAnsi="Calibri Light" w:cs="Calibri Light"/>
          <w:i/>
          <w:iCs/>
          <w:sz w:val="24"/>
        </w:rPr>
        <w:t>17</w:t>
      </w:r>
      <w:r>
        <w:rPr>
          <w:rFonts w:ascii="Calibri Light" w:hAnsi="Calibri Light" w:cs="Calibri Light"/>
          <w:sz w:val="24"/>
        </w:rPr>
        <w:t>(3), 2073–2090. https://doi.org/https://doi.org/10.14710/nts.v17i3.56749</w:t>
      </w:r>
    </w:p>
    <w:p w14:paraId="3BCB527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Alexander, F. S. (2004). </w:t>
      </w:r>
      <w:r>
        <w:rPr>
          <w:rFonts w:ascii="Calibri Light" w:hAnsi="Calibri Light" w:cs="Calibri Light"/>
          <w:i/>
          <w:iCs/>
          <w:sz w:val="24"/>
        </w:rPr>
        <w:t>Land Banks and Land Banking</w:t>
      </w:r>
      <w:r>
        <w:rPr>
          <w:rFonts w:ascii="Calibri Light" w:hAnsi="Calibri Light" w:cs="Calibri Light"/>
          <w:sz w:val="24"/>
        </w:rPr>
        <w:t>. Washington, DC: Center for Community Progress.</w:t>
      </w:r>
    </w:p>
    <w:p w14:paraId="0228269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Alexander, F. S. (2015). </w:t>
      </w:r>
      <w:r>
        <w:rPr>
          <w:rFonts w:ascii="Calibri Light" w:hAnsi="Calibri Light" w:cs="Calibri Light"/>
          <w:i/>
          <w:iCs/>
          <w:sz w:val="24"/>
        </w:rPr>
        <w:t>Land Banks and Land Banking</w:t>
      </w:r>
      <w:r>
        <w:rPr>
          <w:rFonts w:ascii="Calibri Light" w:hAnsi="Calibri Light" w:cs="Calibri Light"/>
          <w:sz w:val="24"/>
        </w:rPr>
        <w:t xml:space="preserve"> (2nd ed.). Center for Community Progress.</w:t>
      </w:r>
    </w:p>
    <w:p w14:paraId="595DCDB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Alting, H. (2010). </w:t>
      </w:r>
      <w:r>
        <w:rPr>
          <w:rFonts w:ascii="Calibri Light" w:hAnsi="Calibri Light" w:cs="Calibri Light"/>
          <w:i/>
          <w:iCs/>
          <w:sz w:val="24"/>
        </w:rPr>
        <w:t>Legal Dynamics in the Recognition and Protection of Customary Law Communities’ Rights to Land</w:t>
      </w:r>
      <w:r>
        <w:rPr>
          <w:rFonts w:ascii="Calibri Light" w:hAnsi="Calibri Light" w:cs="Calibri Light"/>
          <w:sz w:val="24"/>
        </w:rPr>
        <w:t>. Yogyakarta: Laksbang Pressindo.</w:t>
      </w:r>
    </w:p>
    <w:p w14:paraId="7EA8E0C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Anggraeni, A. E. (2024). </w:t>
      </w:r>
      <w:r>
        <w:rPr>
          <w:rFonts w:ascii="Calibri Light" w:hAnsi="Calibri Light" w:cs="Calibri Light"/>
          <w:i/>
          <w:iCs/>
          <w:sz w:val="24"/>
        </w:rPr>
        <w:t>The Essence of Land Banks in Land Management of Former Land Rights</w:t>
      </w:r>
      <w:r>
        <w:rPr>
          <w:rFonts w:ascii="Calibri Light" w:hAnsi="Calibri Light" w:cs="Calibri Light"/>
          <w:sz w:val="24"/>
        </w:rPr>
        <w:t>. Universitas Hasanuddin, Makassar.</w:t>
      </w:r>
    </w:p>
    <w:p w14:paraId="2FC45590">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Ardani, M. N., &amp; Dewi, I. G. S. (2020). Perlindungan Hukum bagi Pemegang Hak Atas Tanah yang Tanahnya Berada di Atas Hak Pengelolaan. </w:t>
      </w:r>
      <w:r>
        <w:rPr>
          <w:rFonts w:ascii="Calibri Light" w:hAnsi="Calibri Light" w:cs="Calibri Light"/>
          <w:i/>
          <w:iCs/>
          <w:sz w:val="24"/>
        </w:rPr>
        <w:t>Gema Keadilan</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(3), 195–220. https://doi.org/10.14710/gk.2020.9579</w:t>
      </w:r>
    </w:p>
    <w:p w14:paraId="1A13475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Arnowo, H. (2022). Peran Bank Tanah dalam Pengaturan Penyediaan Tanah. </w:t>
      </w:r>
      <w:r>
        <w:rPr>
          <w:rFonts w:ascii="Calibri Light" w:hAnsi="Calibri Light" w:cs="Calibri Light"/>
          <w:i/>
          <w:iCs/>
          <w:sz w:val="24"/>
        </w:rPr>
        <w:t>Jurnal Inovasi Penelitian</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(9), 3077–3088. https://doi.org/10.47492/jip.v2i9.1277</w:t>
      </w:r>
    </w:p>
    <w:p w14:paraId="70A56A4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Asian Indigenous Women. (2024). </w:t>
      </w:r>
      <w:r>
        <w:rPr>
          <w:rFonts w:ascii="Calibri Light" w:hAnsi="Calibri Light" w:cs="Calibri Light"/>
          <w:i/>
          <w:iCs/>
          <w:sz w:val="24"/>
        </w:rPr>
        <w:t>UN Declaration on the Rights of Indigenous Peoples</w:t>
      </w:r>
      <w:r>
        <w:rPr>
          <w:rFonts w:ascii="Calibri Light" w:hAnsi="Calibri Light" w:cs="Calibri Light"/>
          <w:sz w:val="24"/>
        </w:rPr>
        <w:t>.</w:t>
      </w:r>
    </w:p>
    <w:p w14:paraId="14EB78D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Ayunanda, L., Lidya M, B., Intania P, S., &amp; Saputra, D. A. (2024). Konsep Kepemilikan Hak Atas Tanah Menurut Perspektif Hukum Adat dan Hukum Islam di Indonesia. </w:t>
      </w:r>
      <w:r>
        <w:rPr>
          <w:rFonts w:ascii="Calibri Light" w:hAnsi="Calibri Light" w:cs="Calibri Light"/>
          <w:i/>
          <w:iCs/>
          <w:sz w:val="24"/>
        </w:rPr>
        <w:t>Journal Customary Law</w:t>
      </w:r>
      <w:r>
        <w:rPr>
          <w:rFonts w:ascii="Calibri Light" w:hAnsi="Calibri Light" w:cs="Calibri Light"/>
          <w:sz w:val="24"/>
        </w:rPr>
        <w:t xml:space="preserve">, </w:t>
      </w:r>
      <w:r>
        <w:rPr>
          <w:rFonts w:ascii="Calibri Light" w:hAnsi="Calibri Light" w:cs="Calibri Light"/>
          <w:i/>
          <w:iCs/>
          <w:sz w:val="24"/>
        </w:rPr>
        <w:t>1</w:t>
      </w:r>
      <w:r>
        <w:rPr>
          <w:rFonts w:ascii="Calibri Light" w:hAnsi="Calibri Light" w:cs="Calibri Light"/>
          <w:sz w:val="24"/>
        </w:rPr>
        <w:t>(2), 10. https://doi.org/10.47134/jcl.v1i2.2457</w:t>
      </w:r>
    </w:p>
    <w:p w14:paraId="2888AA5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Busroh, F. F., &amp; Santiago, F. (2017). THE ESTABLISHMENT OF LAND BANK INSTITUTIONS FOR STRENGTHENING THE NATIONAL DEVELOPMENT. </w:t>
      </w:r>
      <w:r>
        <w:rPr>
          <w:rFonts w:ascii="Calibri Light" w:hAnsi="Calibri Light" w:cs="Calibri Light"/>
          <w:i/>
          <w:iCs/>
          <w:sz w:val="24"/>
        </w:rPr>
        <w:t>International Journal of Civil Engineering and Technology (IJCIET)</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(11), 720–732.</w:t>
      </w:r>
    </w:p>
    <w:p w14:paraId="1DFC000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Damen, J. (2004). Land Banking in The Nederlands in Context of Land Consolidation. </w:t>
      </w:r>
      <w:r>
        <w:rPr>
          <w:rFonts w:ascii="Calibri Light" w:hAnsi="Calibri Light" w:cs="Calibri Light"/>
          <w:i/>
          <w:iCs/>
          <w:sz w:val="24"/>
        </w:rPr>
        <w:t>Danish Ministry of Agriculture-FOA (International Workshop in Tonder, Denmark, March 17-20, 2004)</w:t>
      </w:r>
      <w:r>
        <w:rPr>
          <w:rFonts w:ascii="Calibri Light" w:hAnsi="Calibri Light" w:cs="Calibri Light"/>
          <w:sz w:val="24"/>
        </w:rPr>
        <w:t>.</w:t>
      </w:r>
    </w:p>
    <w:p w14:paraId="679A1BBB">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Devita, S. M. (2021). Perkembangan Hak Pengelolaan Atas Tanah Sebelum Dan Sesudah Peraturan Pemerintah Nomor 18 Tahun 2021 Tentang Hak Pengelolaan, Hak Atas Tanah, Satuan Rumah Susun, Dan Pendaftaran Tanah. </w:t>
      </w:r>
      <w:r>
        <w:rPr>
          <w:rFonts w:ascii="Calibri Light" w:hAnsi="Calibri Light" w:cs="Calibri Light"/>
          <w:i/>
          <w:iCs/>
          <w:sz w:val="24"/>
        </w:rPr>
        <w:t>Jurnal Hukum Lex Generalis</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(9), 870–888. https://doi.org/https://doi.org/10.56370/jhlg.v2i9.130</w:t>
      </w:r>
    </w:p>
    <w:p w14:paraId="1E26B33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Gunawan, S., Madiong, B., &amp; Makkawaru, Z. (2022). Analisis Hukum Hak Masyarakat Hukum Adat Ammatoa Terhadap Hutan Adat Di Kabupaten Bulukumba. </w:t>
      </w:r>
      <w:r>
        <w:rPr>
          <w:rFonts w:ascii="Calibri Light" w:hAnsi="Calibri Light" w:cs="Calibri Light"/>
          <w:i/>
          <w:iCs/>
          <w:sz w:val="24"/>
        </w:rPr>
        <w:t>Indonesian Journal of Legality of Law</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(1), 69–74. https://doi.org/10.35965/ijlf.v5i1.1911</w:t>
      </w:r>
    </w:p>
    <w:p w14:paraId="4DB54BF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Guntur, I. G. N. (2023). Ragam pengakuan formal terhadap penguasaan tanah adat di Indonesia. </w:t>
      </w:r>
      <w:r>
        <w:rPr>
          <w:rFonts w:ascii="Calibri Light" w:hAnsi="Calibri Light" w:cs="Calibri Light"/>
          <w:i/>
          <w:iCs/>
          <w:sz w:val="24"/>
        </w:rPr>
        <w:t>Tunas Agraria</w:t>
      </w:r>
      <w:r>
        <w:rPr>
          <w:rFonts w:ascii="Calibri Light" w:hAnsi="Calibri Light" w:cs="Calibri Light"/>
          <w:sz w:val="24"/>
        </w:rPr>
        <w:t xml:space="preserve">, </w:t>
      </w:r>
      <w:r>
        <w:rPr>
          <w:rFonts w:ascii="Calibri Light" w:hAnsi="Calibri Light" w:cs="Calibri Light"/>
          <w:i/>
          <w:iCs/>
          <w:sz w:val="24"/>
        </w:rPr>
        <w:t>6</w:t>
      </w:r>
      <w:r>
        <w:rPr>
          <w:rFonts w:ascii="Calibri Light" w:hAnsi="Calibri Light" w:cs="Calibri Light"/>
          <w:sz w:val="24"/>
        </w:rPr>
        <w:t>(2), 93–109. https://doi.org/10.31292/jta.v6i2.215</w:t>
      </w:r>
    </w:p>
    <w:p w14:paraId="3F305BE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Hanim, I. G., Shanti, N. K. A. P., &amp; Hutajulu, T. M. (2025). Perlindungan Hukum Pemegang Hak Guna Bangunan di Atas Hak Pengelolaan. </w:t>
      </w:r>
      <w:r>
        <w:rPr>
          <w:rFonts w:ascii="Calibri Light" w:hAnsi="Calibri Light" w:cs="Calibri Light"/>
          <w:i/>
          <w:iCs/>
          <w:sz w:val="24"/>
        </w:rPr>
        <w:t>JIHHP: Jurnal Ilmu Hukum, Humaniora Dan Politik</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(3), 1933–1940. https://doi.org/https://doi.org/10.38035/jihhp.v5i3.3668</w:t>
      </w:r>
    </w:p>
    <w:p w14:paraId="3D41D16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Intan, G. (2024). </w:t>
      </w:r>
      <w:r>
        <w:rPr>
          <w:rFonts w:ascii="Calibri Light" w:hAnsi="Calibri Light" w:cs="Calibri Light"/>
          <w:i/>
          <w:iCs/>
          <w:sz w:val="24"/>
        </w:rPr>
        <w:t>Ahead of Jokowi’s Retirement, Land Acquisition in IKN Not Yet Complete</w:t>
      </w:r>
      <w:r>
        <w:rPr>
          <w:rFonts w:ascii="Calibri Light" w:hAnsi="Calibri Light" w:cs="Calibri Light"/>
          <w:sz w:val="24"/>
        </w:rPr>
        <w:t>. VOA Indonesia.</w:t>
      </w:r>
    </w:p>
    <w:p w14:paraId="210C4B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Kurniawan, T. (2020). PEMBERIAN HAK GUNA BANGUNAN DI ATAS BAGIAN TANAH HAK PENGELOLAAN. </w:t>
      </w:r>
      <w:r>
        <w:rPr>
          <w:rFonts w:ascii="Calibri Light" w:hAnsi="Calibri Light" w:cs="Calibri Light"/>
          <w:i/>
          <w:iCs/>
          <w:sz w:val="24"/>
        </w:rPr>
        <w:t>Jurnal Fakultas Hukum Universitas Tulang Bawang</w:t>
      </w:r>
      <w:r>
        <w:rPr>
          <w:rFonts w:ascii="Calibri Light" w:hAnsi="Calibri Light" w:cs="Calibri Light"/>
          <w:sz w:val="24"/>
        </w:rPr>
        <w:t xml:space="preserve">, </w:t>
      </w:r>
      <w:r>
        <w:rPr>
          <w:rFonts w:ascii="Calibri Light" w:hAnsi="Calibri Light" w:cs="Calibri Light"/>
          <w:i/>
          <w:iCs/>
          <w:sz w:val="24"/>
        </w:rPr>
        <w:t>18</w:t>
      </w:r>
      <w:r>
        <w:rPr>
          <w:rFonts w:ascii="Calibri Light" w:hAnsi="Calibri Light" w:cs="Calibri Light"/>
          <w:sz w:val="24"/>
        </w:rPr>
        <w:t>(1), 70–84. https://media.neliti.com/media/publications/337801-pemberian-hak-guna-bangunan-di-atas-bagi-740030aa.pdf</w:t>
      </w:r>
    </w:p>
    <w:p w14:paraId="6FAA95C9">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Lestari, M. D. P., &amp; Syaifuddin, M. (2023). Bank Tanah Sebagai Upaya Menjamin Ketersediaan Tanah Dalam Rangka Ekonomi Berkeadilan Berdasarkan Undang Undang Nomor 11 Tahun 2020 Tentang Cipta Kerja. </w:t>
      </w:r>
      <w:r>
        <w:rPr>
          <w:rFonts w:ascii="Calibri Light" w:hAnsi="Calibri Light" w:cs="Calibri Light"/>
          <w:i/>
          <w:iCs/>
          <w:sz w:val="24"/>
        </w:rPr>
        <w:t>Lex LATA</w:t>
      </w:r>
      <w:r>
        <w:rPr>
          <w:rFonts w:ascii="Calibri Light" w:hAnsi="Calibri Light" w:cs="Calibri Light"/>
          <w:sz w:val="24"/>
        </w:rPr>
        <w:t xml:space="preserve">, </w:t>
      </w:r>
      <w:r>
        <w:rPr>
          <w:rFonts w:ascii="Calibri Light" w:hAnsi="Calibri Light" w:cs="Calibri Light"/>
          <w:i/>
          <w:iCs/>
          <w:sz w:val="24"/>
        </w:rPr>
        <w:t>4</w:t>
      </w:r>
      <w:r>
        <w:rPr>
          <w:rFonts w:ascii="Calibri Light" w:hAnsi="Calibri Light" w:cs="Calibri Light"/>
          <w:sz w:val="24"/>
        </w:rPr>
        <w:t>(2), 181–197. https://doi.org/10.28946/lexl.v4i2.1894</w:t>
      </w:r>
    </w:p>
    <w:p w14:paraId="7E4142B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Lubis, I., Siregar, T., Lubis, D. I. S., Adawiyah, R., &amp; Lubis, A. H. (2025). Integrasi Hukum Adat dalam Sistem Hukum Agraria Nasional: Tantangan dan Solusi dalam Pengakuan Hak Ulayat. </w:t>
      </w:r>
      <w:r>
        <w:rPr>
          <w:rFonts w:ascii="Calibri Light" w:hAnsi="Calibri Light" w:cs="Calibri Light"/>
          <w:i/>
          <w:iCs/>
          <w:sz w:val="24"/>
        </w:rPr>
        <w:t>Tunas Agraria</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(2), 143–158. https://doi.org/https://doi.org/10.31292/jta.v8i2.401</w:t>
      </w:r>
    </w:p>
    <w:p w14:paraId="28A8781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(2021). Tanggung Jawab Negara Terhadap Dikawasan Pesisir Pantai. </w:t>
      </w:r>
      <w:r>
        <w:rPr>
          <w:rFonts w:ascii="Calibri Light" w:hAnsi="Calibri Light" w:cs="Calibri Light"/>
          <w:i/>
          <w:iCs/>
          <w:sz w:val="24"/>
        </w:rPr>
        <w:t>YUDISIA : JURNAL PEMIKIRAN HUKUM DAN HUKUM ISLAM</w:t>
      </w:r>
      <w:r>
        <w:rPr>
          <w:rFonts w:ascii="Calibri Light" w:hAnsi="Calibri Light" w:cs="Calibri Light"/>
          <w:sz w:val="24"/>
        </w:rPr>
        <w:t xml:space="preserve">, </w:t>
      </w:r>
      <w:r>
        <w:rPr>
          <w:rFonts w:ascii="Calibri Light" w:hAnsi="Calibri Light" w:cs="Calibri Light"/>
          <w:i/>
          <w:iCs/>
          <w:sz w:val="24"/>
        </w:rPr>
        <w:t>12</w:t>
      </w:r>
      <w:r>
        <w:rPr>
          <w:rFonts w:ascii="Calibri Light" w:hAnsi="Calibri Light" w:cs="Calibri Light"/>
          <w:sz w:val="24"/>
        </w:rPr>
        <w:t>(1), 1–16.</w:t>
      </w:r>
    </w:p>
    <w:p w14:paraId="6214B51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Ayub, Z. A., Maskun, M., &amp; Napang, M. (2023). The Conference of Parties-27 (COP-27) Agreement as an Instrument of State Policy in Handling Deforestation: A Comparative Study of Sweden and Indonesian Governments. </w:t>
      </w:r>
      <w:r>
        <w:rPr>
          <w:rFonts w:ascii="Calibri Light" w:hAnsi="Calibri Light" w:cs="Calibri Light"/>
          <w:i/>
          <w:iCs/>
          <w:sz w:val="24"/>
        </w:rPr>
        <w:t>Law Reform</w:t>
      </w:r>
      <w:r>
        <w:rPr>
          <w:rFonts w:ascii="Calibri Light" w:hAnsi="Calibri Light" w:cs="Calibri Light"/>
          <w:sz w:val="24"/>
        </w:rPr>
        <w:t xml:space="preserve">, </w:t>
      </w:r>
      <w:r>
        <w:rPr>
          <w:rFonts w:ascii="Calibri Light" w:hAnsi="Calibri Light" w:cs="Calibri Light"/>
          <w:i/>
          <w:iCs/>
          <w:sz w:val="24"/>
        </w:rPr>
        <w:t>19</w:t>
      </w:r>
      <w:r>
        <w:rPr>
          <w:rFonts w:ascii="Calibri Light" w:hAnsi="Calibri Light" w:cs="Calibri Light"/>
          <w:sz w:val="24"/>
        </w:rPr>
        <w:t>(1), 1–24. https://doi.org/10.14710/lr.v19i1.52926</w:t>
      </w:r>
    </w:p>
    <w:p w14:paraId="4F743B4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Mukhlis, M. M., Maskun, Tajuddin, M. S., &amp; Paidi, Z. (2024). Regional government according to the 1945 constitution: ideas refinements and law reform. </w:t>
      </w:r>
      <w:r>
        <w:rPr>
          <w:rFonts w:ascii="Calibri Light" w:hAnsi="Calibri Light" w:cs="Calibri Light"/>
          <w:i/>
          <w:iCs/>
          <w:sz w:val="24"/>
        </w:rPr>
        <w:t>Journal of Law and Legal Reform</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(2), 485–530.</w:t>
      </w:r>
    </w:p>
    <w:p w14:paraId="3912D94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Muqtarib, Pujiwanti, Y., &amp; Rubiati, B. (2023). Mekanisme Pengadaan Tanah Melalui Bank Tanah Dalam Mendukung Pembangunan Untuk Kepentingan Umum. </w:t>
      </w:r>
      <w:r>
        <w:rPr>
          <w:rFonts w:ascii="Calibri Light" w:hAnsi="Calibri Light" w:cs="Calibri Light"/>
          <w:i/>
          <w:iCs/>
          <w:sz w:val="24"/>
        </w:rPr>
        <w:t>Bina Hukum Lingkungan</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(3), 311–333. https://doi.org/https://doi.org/10.24970/bhl.v7i3.352 MEKANISME</w:t>
      </w:r>
    </w:p>
    <w:p w14:paraId="232735E4">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Mutawalli, M. (2023). </w:t>
      </w:r>
      <w:r>
        <w:rPr>
          <w:rFonts w:ascii="Calibri Light" w:hAnsi="Calibri Light" w:cs="Calibri Light"/>
          <w:i/>
          <w:iCs/>
          <w:sz w:val="24"/>
        </w:rPr>
        <w:t>NEGARA HUKUM KEDAULATAN DAN DEMOKRASI (Konsepsi Teori dan Perkembangannya)</w:t>
      </w:r>
      <w:r>
        <w:rPr>
          <w:rFonts w:ascii="Calibri Light" w:hAnsi="Calibri Light" w:cs="Calibri Light"/>
          <w:sz w:val="24"/>
        </w:rPr>
        <w:t>. Repository STAIN Majene.</w:t>
      </w:r>
    </w:p>
    <w:p w14:paraId="324B3A47">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Mutawalli, M., Maskun, M., Wahab, H. A., &amp; Yeyeng, A. T. (2023). Implementation of FLEGT Licensing Scheme in Deforestation Law Enforcement: Improvements and Handling in Indonesia. </w:t>
      </w:r>
      <w:r>
        <w:rPr>
          <w:rFonts w:ascii="Calibri Light" w:hAnsi="Calibri Light" w:cs="Calibri Light"/>
          <w:i/>
          <w:iCs/>
          <w:sz w:val="24"/>
        </w:rPr>
        <w:t>Jurnal Hukum Unissula</w:t>
      </w:r>
      <w:r>
        <w:rPr>
          <w:rFonts w:ascii="Calibri Light" w:hAnsi="Calibri Light" w:cs="Calibri Light"/>
          <w:sz w:val="24"/>
        </w:rPr>
        <w:t xml:space="preserve">, </w:t>
      </w:r>
      <w:r>
        <w:rPr>
          <w:rFonts w:ascii="Calibri Light" w:hAnsi="Calibri Light" w:cs="Calibri Light"/>
          <w:i/>
          <w:iCs/>
          <w:sz w:val="24"/>
        </w:rPr>
        <w:t>39</w:t>
      </w:r>
      <w:r>
        <w:rPr>
          <w:rFonts w:ascii="Calibri Light" w:hAnsi="Calibri Light" w:cs="Calibri Light"/>
          <w:sz w:val="24"/>
        </w:rPr>
        <w:t>(2), 130–156. https://doi.org/10.26532/jh.v39i2.32210</w:t>
      </w:r>
    </w:p>
    <w:p w14:paraId="0B079674">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Nur, S. S. (2009). </w:t>
      </w:r>
      <w:r>
        <w:rPr>
          <w:rFonts w:ascii="Calibri Light" w:hAnsi="Calibri Light" w:cs="Calibri Light"/>
          <w:i/>
          <w:iCs/>
          <w:sz w:val="24"/>
        </w:rPr>
        <w:t>Legal Aspects of Urban Land Provision in the Form of Land Banks to Support Sustainable Urban Development</w:t>
      </w:r>
      <w:r>
        <w:rPr>
          <w:rFonts w:ascii="Calibri Light" w:hAnsi="Calibri Light" w:cs="Calibri Light"/>
          <w:sz w:val="24"/>
        </w:rPr>
        <w:t>. Universitas Hasanuddin, Makassar.</w:t>
      </w:r>
    </w:p>
    <w:p w14:paraId="3D239FC1">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Pranawa, G. G., &amp; Hamid, I. (2023). Non-Violence Movement: Gerakan Masyarakat Laman Kinipan Mempertahankan Hutan Adat. </w:t>
      </w:r>
      <w:r>
        <w:rPr>
          <w:rFonts w:ascii="Calibri Light" w:hAnsi="Calibri Light" w:cs="Calibri Light"/>
          <w:i/>
          <w:iCs/>
          <w:sz w:val="24"/>
        </w:rPr>
        <w:t>Huma: Jurnal Sosiologi</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(1), 10–19. https://doi.org/10.20527/h-js.v2i1.33</w:t>
      </w:r>
    </w:p>
    <w:p w14:paraId="1AB491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Pratama, I. G. A. (2019). Peran PPAT Dalam Sistem Pendaftaran Tanah Adat di Bali. </w:t>
      </w:r>
      <w:r>
        <w:rPr>
          <w:rFonts w:ascii="Calibri Light" w:hAnsi="Calibri Light" w:cs="Calibri Light"/>
          <w:i/>
          <w:iCs/>
          <w:sz w:val="24"/>
        </w:rPr>
        <w:t>Acta Comitas</w:t>
      </w:r>
      <w:r>
        <w:rPr>
          <w:rFonts w:ascii="Calibri Light" w:hAnsi="Calibri Light" w:cs="Calibri Light"/>
          <w:sz w:val="24"/>
        </w:rPr>
        <w:t xml:space="preserve">, </w:t>
      </w:r>
      <w:r>
        <w:rPr>
          <w:rFonts w:ascii="Calibri Light" w:hAnsi="Calibri Light" w:cs="Calibri Light"/>
          <w:i/>
          <w:iCs/>
          <w:sz w:val="24"/>
        </w:rPr>
        <w:t>4</w:t>
      </w:r>
      <w:r>
        <w:rPr>
          <w:rFonts w:ascii="Calibri Light" w:hAnsi="Calibri Light" w:cs="Calibri Light"/>
          <w:sz w:val="24"/>
        </w:rPr>
        <w:t>(2), 284–295. https://doi.org/10.24843/ac.2019.v04.i02.p11</w:t>
      </w:r>
    </w:p>
    <w:p w14:paraId="1C301C3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Putrazta, S. A., Putra, M. A. P., &amp; Amelia, N. P. (2025). Land Grabbing Potential : Land Bank Policy Towards Land Rights Of Indonesian Indegenous People Mochammad Abiansyach Pradipta Putra Novantia Putri Amelia The development of human distribution continues to increase every year , followed by the need for land. </w:t>
      </w:r>
      <w:r>
        <w:rPr>
          <w:rFonts w:ascii="Calibri Light" w:hAnsi="Calibri Light" w:cs="Calibri Light"/>
          <w:i/>
          <w:iCs/>
          <w:sz w:val="24"/>
        </w:rPr>
        <w:t>JOURNAL OF CONSTITUTIONAL AND GOVERNANCE STUDIES</w:t>
      </w:r>
      <w:r>
        <w:rPr>
          <w:rFonts w:ascii="Calibri Light" w:hAnsi="Calibri Light" w:cs="Calibri Light"/>
          <w:sz w:val="24"/>
        </w:rPr>
        <w:t xml:space="preserve">, </w:t>
      </w:r>
      <w:r>
        <w:rPr>
          <w:rFonts w:ascii="Calibri Light" w:hAnsi="Calibri Light" w:cs="Calibri Light"/>
          <w:i/>
          <w:iCs/>
          <w:sz w:val="24"/>
        </w:rPr>
        <w:t>1</w:t>
      </w:r>
      <w:r>
        <w:rPr>
          <w:rFonts w:ascii="Calibri Light" w:hAnsi="Calibri Light" w:cs="Calibri Light"/>
          <w:sz w:val="24"/>
        </w:rPr>
        <w:t>(2), 130–151. https://doi.org/https://doi.org/10.20885/JCGS.vol1.iss2.art2</w:t>
      </w:r>
    </w:p>
    <w:p w14:paraId="7CB74E8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Rongiyati, S. (2014). Pemanfaatan Hak Pengelolaan Atas Tanah Oleh Pihak Ketiga. </w:t>
      </w:r>
      <w:r>
        <w:rPr>
          <w:rFonts w:ascii="Calibri Light" w:hAnsi="Calibri Light" w:cs="Calibri Light"/>
          <w:i/>
          <w:iCs/>
          <w:sz w:val="24"/>
        </w:rPr>
        <w:t>Jurnal Negara Hukum</w:t>
      </w:r>
      <w:r>
        <w:rPr>
          <w:rFonts w:ascii="Calibri Light" w:hAnsi="Calibri Light" w:cs="Calibri Light"/>
          <w:sz w:val="24"/>
        </w:rPr>
        <w:t xml:space="preserve">, </w:t>
      </w:r>
      <w:r>
        <w:rPr>
          <w:rFonts w:ascii="Calibri Light" w:hAnsi="Calibri Light" w:cs="Calibri Light"/>
          <w:i/>
          <w:iCs/>
          <w:sz w:val="24"/>
        </w:rPr>
        <w:t>5</w:t>
      </w:r>
      <w:r>
        <w:rPr>
          <w:rFonts w:ascii="Calibri Light" w:hAnsi="Calibri Light" w:cs="Calibri Light"/>
          <w:sz w:val="24"/>
        </w:rPr>
        <w:t>(1), 77–89. https://doi.org/10.22212/jnh.v5i1.212</w:t>
      </w:r>
    </w:p>
    <w:p w14:paraId="1F4CAE78">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Ronthi, I. N. P. W., Kasih, D. P. D., &amp; Darmadha, I. N. (2019). Kekuatan Hukum Peralihan Hak Atas Tanah Melalui Hibah Yang Dibebankan Hak Tanggungan. </w:t>
      </w:r>
      <w:r>
        <w:rPr>
          <w:rFonts w:ascii="Calibri Light" w:hAnsi="Calibri Light" w:cs="Calibri Light"/>
          <w:i/>
          <w:iCs/>
          <w:sz w:val="24"/>
        </w:rPr>
        <w:t>Kertha Semaya: Journal Ilmu Hukum</w:t>
      </w:r>
      <w:r>
        <w:rPr>
          <w:rFonts w:ascii="Calibri Light" w:hAnsi="Calibri Light" w:cs="Calibri Light"/>
          <w:sz w:val="24"/>
        </w:rPr>
        <w:t xml:space="preserve">, </w:t>
      </w:r>
      <w:r>
        <w:rPr>
          <w:rFonts w:ascii="Calibri Light" w:hAnsi="Calibri Light" w:cs="Calibri Light"/>
          <w:i/>
          <w:iCs/>
          <w:sz w:val="24"/>
        </w:rPr>
        <w:t>6</w:t>
      </w:r>
      <w:r>
        <w:rPr>
          <w:rFonts w:ascii="Calibri Light" w:hAnsi="Calibri Light" w:cs="Calibri Light"/>
          <w:sz w:val="24"/>
        </w:rPr>
        <w:t>(4), 1–14. https://jurnal.harianregional.com/kerthasemaya/id-54203.</w:t>
      </w:r>
    </w:p>
    <w:p w14:paraId="5BCDFD3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Roosanti, N. G. (2022). </w:t>
      </w:r>
      <w:r>
        <w:rPr>
          <w:rFonts w:ascii="Calibri Light" w:hAnsi="Calibri Light" w:cs="Calibri Light"/>
          <w:i/>
          <w:iCs/>
          <w:sz w:val="24"/>
        </w:rPr>
        <w:t>ASPEK KEADILAN DALAM KEMITRAAN KEHUTANAN ANTARA LEMBAGA MASYARAKAT DESA HUTAN (LMDH) BANYURIP LESTARI DENGAN KESATUAN PEMANGKU HUTAN (KPH) SURAKARTA</w:t>
      </w:r>
      <w:r>
        <w:rPr>
          <w:rFonts w:ascii="Calibri Light" w:hAnsi="Calibri Light" w:cs="Calibri Light"/>
          <w:sz w:val="24"/>
        </w:rPr>
        <w:t xml:space="preserve"> [Universitas Negeri Semarang]. https://digilib.uns.ac.id/dokumen/detail/95712/ASPEK-KEADILAN-DALAM-KEMITRAAN-KEHUTANAN-ANTARA-LEMBAGA-MASYARAKAT-DESA-HUTAN-LMDH-BANYURIP-LESTARI-DENGAN-KESATUAN-PEMANGKU-HUTAN-KPH-SURAKARTA</w:t>
      </w:r>
    </w:p>
    <w:p w14:paraId="08774B92">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Sabardi, L. (2016). KONSTRUKSI MAKNA YURIDIS MASYARAKAT HUKUM ADAT DALAM PASAL 18B UUDN RI TAHUN 1945 UNTUK IDENTIFIKASI ADANYA MASYARAKAT HUKUM ADAT Lalu Sabardi 1. </w:t>
      </w:r>
      <w:r>
        <w:rPr>
          <w:rFonts w:ascii="Calibri Light" w:hAnsi="Calibri Light" w:cs="Calibri Light"/>
          <w:i/>
          <w:iCs/>
          <w:sz w:val="24"/>
        </w:rPr>
        <w:t>Jurnal Hukum &amp; Pembangunan</w:t>
      </w:r>
      <w:r>
        <w:rPr>
          <w:rFonts w:ascii="Calibri Light" w:hAnsi="Calibri Light" w:cs="Calibri Light"/>
          <w:sz w:val="24"/>
        </w:rPr>
        <w:t xml:space="preserve">, </w:t>
      </w:r>
      <w:r>
        <w:rPr>
          <w:rFonts w:ascii="Calibri Light" w:hAnsi="Calibri Light" w:cs="Calibri Light"/>
          <w:i/>
          <w:iCs/>
          <w:sz w:val="24"/>
        </w:rPr>
        <w:t>44</w:t>
      </w:r>
      <w:r>
        <w:rPr>
          <w:rFonts w:ascii="Calibri Light" w:hAnsi="Calibri Light" w:cs="Calibri Light"/>
          <w:sz w:val="24"/>
        </w:rPr>
        <w:t>(2), 170–196. https://doi.org/10.21143/jhp.vol44.no2.19</w:t>
      </w:r>
    </w:p>
    <w:p w14:paraId="639AE2C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Saputri, B. A., Rato, D., &amp; Anggraini, R. . R. (2024). RATIO LEGIS PEMBERIAN HAK PENGELOLAAN TANAH ULAYAT TERHADAP MASYARAKAT HUKUM ADAT DI INDONESIA. </w:t>
      </w:r>
      <w:r>
        <w:rPr>
          <w:rFonts w:ascii="Calibri Light" w:hAnsi="Calibri Light" w:cs="Calibri Light"/>
          <w:i/>
          <w:iCs/>
          <w:sz w:val="24"/>
        </w:rPr>
        <w:t>Jurnal Kertha Semaya</w:t>
      </w:r>
      <w:r>
        <w:rPr>
          <w:rFonts w:ascii="Calibri Light" w:hAnsi="Calibri Light" w:cs="Calibri Light"/>
          <w:sz w:val="24"/>
        </w:rPr>
        <w:t xml:space="preserve">, </w:t>
      </w:r>
      <w:r>
        <w:rPr>
          <w:rFonts w:ascii="Calibri Light" w:hAnsi="Calibri Light" w:cs="Calibri Light"/>
          <w:i/>
          <w:iCs/>
          <w:sz w:val="24"/>
        </w:rPr>
        <w:t>12</w:t>
      </w:r>
      <w:r>
        <w:rPr>
          <w:rFonts w:ascii="Calibri Light" w:hAnsi="Calibri Light" w:cs="Calibri Light"/>
          <w:sz w:val="24"/>
        </w:rPr>
        <w:t>(11), 2816–2826. https://doi.org/https://doi.org/10.24843/KS.2024.v12.i11.p06</w:t>
      </w:r>
    </w:p>
    <w:p w14:paraId="47FBA63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Scott, D. (2020). Extraction Contracting: The Struggle for Control of Indigenous Lands. </w:t>
      </w:r>
      <w:r>
        <w:rPr>
          <w:rFonts w:ascii="Calibri Light" w:hAnsi="Calibri Light" w:cs="Calibri Light"/>
          <w:i/>
          <w:iCs/>
          <w:sz w:val="24"/>
        </w:rPr>
        <w:t>South Atlantic Quarterly</w:t>
      </w:r>
      <w:r>
        <w:rPr>
          <w:rFonts w:ascii="Calibri Light" w:hAnsi="Calibri Light" w:cs="Calibri Light"/>
          <w:sz w:val="24"/>
        </w:rPr>
        <w:t xml:space="preserve">, </w:t>
      </w:r>
      <w:r>
        <w:rPr>
          <w:rFonts w:ascii="Calibri Light" w:hAnsi="Calibri Light" w:cs="Calibri Light"/>
          <w:i/>
          <w:iCs/>
          <w:sz w:val="24"/>
        </w:rPr>
        <w:t>119</w:t>
      </w:r>
      <w:r>
        <w:rPr>
          <w:rFonts w:ascii="Calibri Light" w:hAnsi="Calibri Light" w:cs="Calibri Light"/>
          <w:sz w:val="24"/>
        </w:rPr>
        <w:t>(2), 269–299. https://doi.org/10.1215/00382876-8177759</w:t>
      </w:r>
    </w:p>
    <w:p w14:paraId="1C25753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Setiadi, E. (2021). Land Bank in Law No. 11 of 2020 Concerning Job Creation "What are the Benefits for the Community, ask the willingness of the people?”. </w:t>
      </w:r>
      <w:r>
        <w:rPr>
          <w:rFonts w:ascii="Calibri Light" w:hAnsi="Calibri Light" w:cs="Calibri Light"/>
          <w:i/>
          <w:iCs/>
          <w:sz w:val="24"/>
        </w:rPr>
        <w:t>Papers on Webinar in Faculty of Law, Christian University of Indonesia, Wednesday, July 7, 2021</w:t>
      </w:r>
      <w:r>
        <w:rPr>
          <w:rFonts w:ascii="Calibri Light" w:hAnsi="Calibri Light" w:cs="Calibri Light"/>
          <w:sz w:val="24"/>
        </w:rPr>
        <w:t>.</w:t>
      </w:r>
    </w:p>
    <w:p w14:paraId="640E668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Soerodjo, I. (2021). </w:t>
      </w:r>
      <w:r>
        <w:rPr>
          <w:rFonts w:ascii="Calibri Light" w:hAnsi="Calibri Light" w:cs="Calibri Light"/>
          <w:i/>
          <w:iCs/>
          <w:sz w:val="24"/>
        </w:rPr>
        <w:t>Land Law of Land Management Rights (MR): Existence, Regulation and Practice</w:t>
      </w:r>
      <w:r>
        <w:rPr>
          <w:rFonts w:ascii="Calibri Light" w:hAnsi="Calibri Light" w:cs="Calibri Light"/>
          <w:sz w:val="24"/>
        </w:rPr>
        <w:t>. Yogyakarta: LaksBang Mediatama.</w:t>
      </w:r>
    </w:p>
    <w:p w14:paraId="1780B8BE">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Suartining, N. K., &amp; Djaja, B. (2023). Land Rights in the Land Law System in Indonesia According to the Basic Agrarian Law Number 5 of 1960. </w:t>
      </w:r>
      <w:r>
        <w:rPr>
          <w:rFonts w:ascii="Calibri Light" w:hAnsi="Calibri Light" w:cs="Calibri Light"/>
          <w:i/>
          <w:iCs/>
          <w:sz w:val="24"/>
        </w:rPr>
        <w:t>Journal of Social Research</w:t>
      </w:r>
      <w:r>
        <w:rPr>
          <w:rFonts w:ascii="Calibri Light" w:hAnsi="Calibri Light" w:cs="Calibri Light"/>
          <w:sz w:val="24"/>
        </w:rPr>
        <w:t xml:space="preserve">, </w:t>
      </w:r>
      <w:r>
        <w:rPr>
          <w:rFonts w:ascii="Calibri Light" w:hAnsi="Calibri Light" w:cs="Calibri Light"/>
          <w:i/>
          <w:iCs/>
          <w:sz w:val="24"/>
        </w:rPr>
        <w:t>2</w:t>
      </w:r>
      <w:r>
        <w:rPr>
          <w:rFonts w:ascii="Calibri Light" w:hAnsi="Calibri Light" w:cs="Calibri Light"/>
          <w:sz w:val="24"/>
        </w:rPr>
        <w:t>(6), 1775–1785. https://doi.org/10.55324/josr.v2i6.903</w:t>
      </w:r>
    </w:p>
    <w:p w14:paraId="403C071F">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Sugoto, H. A., Maarif, M. S., Mulyanto, B., &amp; Harianto. (2024). Optimalisasi Peran Pemerintah Melalui Badan Bank Tanah Sebagai Land Manager Negara Dalam Pengelolaan Penyediaan Tanah Bagi Kepentingan Pembangunan. </w:t>
      </w:r>
      <w:r>
        <w:rPr>
          <w:rFonts w:ascii="Calibri Light" w:hAnsi="Calibri Light" w:cs="Calibri Light"/>
          <w:i/>
          <w:iCs/>
          <w:sz w:val="24"/>
        </w:rPr>
        <w:t>Jurnal Aplikasi Bisnis Dan Manajemen</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(1), 275–287. https://doi.org/10.17358/jabm.10.1.275</w:t>
      </w:r>
    </w:p>
    <w:p w14:paraId="59EA0FA5">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Sumardjono, M. S. (2024). </w:t>
      </w:r>
      <w:r>
        <w:rPr>
          <w:rFonts w:ascii="Calibri Light" w:hAnsi="Calibri Light" w:cs="Calibri Light"/>
          <w:i/>
          <w:iCs/>
          <w:sz w:val="24"/>
        </w:rPr>
        <w:t>Administration and Registration of Customary Land</w:t>
      </w:r>
      <w:r>
        <w:rPr>
          <w:rFonts w:ascii="Calibri Light" w:hAnsi="Calibri Light" w:cs="Calibri Light"/>
          <w:sz w:val="24"/>
        </w:rPr>
        <w:t>. Kompas.</w:t>
      </w:r>
    </w:p>
    <w:p w14:paraId="03670F8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Sumilat, R. R. I. (2024). IMPLEMENTATION OF THE REGULATION OF THE MINISTER OF ATR/BPN NO. 14 OF 2024 IN THE REGISTRATION OF CUSTOMARY LAND RIGHTS OF CUSTOMARY LAW COMMUNITIES. </w:t>
      </w:r>
      <w:r>
        <w:rPr>
          <w:rFonts w:ascii="Calibri Light" w:hAnsi="Calibri Light" w:cs="Calibri Light"/>
          <w:i/>
          <w:iCs/>
          <w:sz w:val="24"/>
        </w:rPr>
        <w:t>Santhet: Jurnal Sejarah, Pendidikan Dan Humaniora</w:t>
      </w:r>
      <w:r>
        <w:rPr>
          <w:rFonts w:ascii="Calibri Light" w:hAnsi="Calibri Light" w:cs="Calibri Light"/>
          <w:sz w:val="24"/>
        </w:rPr>
        <w:t xml:space="preserve">, </w:t>
      </w:r>
      <w:r>
        <w:rPr>
          <w:rFonts w:ascii="Calibri Light" w:hAnsi="Calibri Light" w:cs="Calibri Light"/>
          <w:i/>
          <w:iCs/>
          <w:sz w:val="24"/>
        </w:rPr>
        <w:t>8</w:t>
      </w:r>
      <w:r>
        <w:rPr>
          <w:rFonts w:ascii="Calibri Light" w:hAnsi="Calibri Light" w:cs="Calibri Light"/>
          <w:sz w:val="24"/>
        </w:rPr>
        <w:t>(2), 1832–1841. https://doi.org/10.36526/js.v3i2.4485</w:t>
      </w:r>
    </w:p>
    <w:p w14:paraId="23CC4933">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Tampi, C. G. (2021). Pembentukan Bank Tanah Berdasarkan Undang-Undang No 11 Tahun 2020 Dalam Rangka Menjamin Kesejahteraan Masyarakat. </w:t>
      </w:r>
      <w:r>
        <w:rPr>
          <w:rFonts w:ascii="Calibri Light" w:hAnsi="Calibri Light" w:cs="Calibri Light"/>
          <w:i/>
          <w:iCs/>
          <w:sz w:val="24"/>
        </w:rPr>
        <w:t>Jurnal Lex Crimen</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(11), 123–132. https://ejournal.unsrat.ac.id/v3/index.php/lexcrimen/article/view/38410</w:t>
      </w:r>
    </w:p>
    <w:p w14:paraId="6F20ED1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Tejawati, D. N., Salviana, F. M., &amp; Wulandari, S. (2022). the Principle of Togetherness in the Application of Land Banks in Indonesia for the Welfare of the Community. </w:t>
      </w:r>
      <w:r>
        <w:rPr>
          <w:rFonts w:ascii="Calibri Light" w:hAnsi="Calibri Light" w:cs="Calibri Light"/>
          <w:i/>
          <w:iCs/>
          <w:sz w:val="24"/>
        </w:rPr>
        <w:t>International Journal of Business, Economics and Law</w:t>
      </w:r>
      <w:r>
        <w:rPr>
          <w:rFonts w:ascii="Calibri Light" w:hAnsi="Calibri Light" w:cs="Calibri Light"/>
          <w:sz w:val="24"/>
        </w:rPr>
        <w:t xml:space="preserve">, </w:t>
      </w:r>
      <w:r>
        <w:rPr>
          <w:rFonts w:ascii="Calibri Light" w:hAnsi="Calibri Light" w:cs="Calibri Light"/>
          <w:i/>
          <w:iCs/>
          <w:sz w:val="24"/>
        </w:rPr>
        <w:t>27</w:t>
      </w:r>
      <w:r>
        <w:rPr>
          <w:rFonts w:ascii="Calibri Light" w:hAnsi="Calibri Light" w:cs="Calibri Light"/>
          <w:sz w:val="24"/>
        </w:rPr>
        <w:t>(1), 85–89. https://www.ijbel.com/wp-content/uploads/2022/10/IJBEL27.ISU1_234.pdf</w:t>
      </w:r>
    </w:p>
    <w:p w14:paraId="5D35453B">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Titaley, E., &amp; Alfons, C. R. (2024). The Existence of Local Culture of Indigenous Peoples of Negeri Lohiatala in the Modernization Era. </w:t>
      </w:r>
      <w:r>
        <w:rPr>
          <w:rFonts w:ascii="Calibri Light" w:hAnsi="Calibri Light" w:cs="Calibri Light"/>
          <w:i/>
          <w:iCs/>
          <w:sz w:val="24"/>
        </w:rPr>
        <w:t>JURNAL PENDIDIKAN SOSIOLOGI DAN HUMANIORA</w:t>
      </w:r>
      <w:r>
        <w:rPr>
          <w:rFonts w:ascii="Calibri Light" w:hAnsi="Calibri Light" w:cs="Calibri Light"/>
          <w:sz w:val="24"/>
        </w:rPr>
        <w:t xml:space="preserve">, </w:t>
      </w:r>
      <w:r>
        <w:rPr>
          <w:rFonts w:ascii="Calibri Light" w:hAnsi="Calibri Light" w:cs="Calibri Light"/>
          <w:i/>
          <w:iCs/>
          <w:sz w:val="24"/>
        </w:rPr>
        <w:t>15</w:t>
      </w:r>
      <w:r>
        <w:rPr>
          <w:rFonts w:ascii="Calibri Light" w:hAnsi="Calibri Light" w:cs="Calibri Light"/>
          <w:sz w:val="24"/>
        </w:rPr>
        <w:t>(2), 614–629. https://doi.org/10.26418/j-psh.v15i2.86530</w:t>
      </w:r>
    </w:p>
    <w:p w14:paraId="5FADBE3A">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Tobroni, F. (2016). Menguatkan Hak Masyarakat Adat Atas Hutan Adat (Studi Putusan MK Nomor 35/ PUU-X/2012). </w:t>
      </w:r>
      <w:r>
        <w:rPr>
          <w:rFonts w:ascii="Calibri Light" w:hAnsi="Calibri Light" w:cs="Calibri Light"/>
          <w:i/>
          <w:iCs/>
          <w:sz w:val="24"/>
        </w:rPr>
        <w:t>Jurnal Konstitusi</w:t>
      </w:r>
      <w:r>
        <w:rPr>
          <w:rFonts w:ascii="Calibri Light" w:hAnsi="Calibri Light" w:cs="Calibri Light"/>
          <w:sz w:val="24"/>
        </w:rPr>
        <w:t xml:space="preserve">, </w:t>
      </w:r>
      <w:r>
        <w:rPr>
          <w:rFonts w:ascii="Calibri Light" w:hAnsi="Calibri Light" w:cs="Calibri Light"/>
          <w:i/>
          <w:iCs/>
          <w:sz w:val="24"/>
        </w:rPr>
        <w:t>10</w:t>
      </w:r>
      <w:r>
        <w:rPr>
          <w:rFonts w:ascii="Calibri Light" w:hAnsi="Calibri Light" w:cs="Calibri Light"/>
          <w:sz w:val="24"/>
        </w:rPr>
        <w:t>(3), 461–482. https://doi.org/10.31078/jk1035</w:t>
      </w:r>
    </w:p>
    <w:p w14:paraId="27679016">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Vassalo, A. F. (2021). Penyelesaian Tindak Pidana Pencurian Hewan Ternak Menurut Hukum Adat Masyarakat Kecamatan Alas Kota Madya Manufahi. </w:t>
      </w:r>
      <w:r>
        <w:rPr>
          <w:rFonts w:ascii="Calibri Light" w:hAnsi="Calibri Light" w:cs="Calibri Light"/>
          <w:i/>
          <w:iCs/>
          <w:sz w:val="24"/>
        </w:rPr>
        <w:t>Jurnal Komunikasi Hukum (JKH)</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(1), 143–157. https://doi.org/10.23887/jkh.v7i1.31465</w:t>
      </w:r>
    </w:p>
    <w:p w14:paraId="4B0F6DB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Veršinskas, T., Hartvigsen, M., &amp; Gorgan, M. (2022). European good practices on land banking - FAO study and recommendations. In </w:t>
      </w:r>
      <w:r>
        <w:rPr>
          <w:rFonts w:ascii="Calibri Light" w:hAnsi="Calibri Light" w:cs="Calibri Light"/>
          <w:i/>
          <w:iCs/>
          <w:sz w:val="24"/>
        </w:rPr>
        <w:t>FAO Regional Office for Europe and Central Asia</w:t>
      </w:r>
      <w:r>
        <w:rPr>
          <w:rFonts w:ascii="Calibri Light" w:hAnsi="Calibri Light" w:cs="Calibri Light"/>
          <w:sz w:val="24"/>
        </w:rPr>
        <w:t>. FAO Regional Office for Europe and Central Asia. https://doi.org/10.4060/cb8307en</w:t>
      </w:r>
    </w:p>
    <w:p w14:paraId="29F1CC05">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Wendry, Y. (2021). </w:t>
      </w:r>
      <w:r>
        <w:rPr>
          <w:rFonts w:ascii="Calibri Light" w:hAnsi="Calibri Light" w:cs="Calibri Light"/>
          <w:i/>
          <w:iCs/>
          <w:sz w:val="24"/>
        </w:rPr>
        <w:t>Nagari dan Negara: Perspektif Otentik Kesatuan Masyarakat Hukum Adat dalam Ketatanegaraan Indonesia</w:t>
      </w:r>
      <w:r>
        <w:rPr>
          <w:rFonts w:ascii="Calibri Light" w:hAnsi="Calibri Light" w:cs="Calibri Light"/>
          <w:sz w:val="24"/>
        </w:rPr>
        <w:t xml:space="preserve"> (1st ed.). Penerbit Jual Buku Sastra.</w:t>
      </w:r>
    </w:p>
    <w:p w14:paraId="3C2CA5EC">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Winanda, F. A., Yamin, M., &amp; Kaban, M. (2024). Peran Bank Tanah dalam Penanganan dan Pengembangan Tanah Terlantar. </w:t>
      </w:r>
      <w:r>
        <w:rPr>
          <w:rFonts w:ascii="Calibri Light" w:hAnsi="Calibri Light" w:cs="Calibri Light"/>
          <w:i/>
          <w:iCs/>
          <w:sz w:val="24"/>
        </w:rPr>
        <w:t>Journal of Education, Humaniora and Social Sciences (JEHSS)</w:t>
      </w:r>
      <w:r>
        <w:rPr>
          <w:rFonts w:ascii="Calibri Light" w:hAnsi="Calibri Light" w:cs="Calibri Light"/>
          <w:sz w:val="24"/>
        </w:rPr>
        <w:t xml:space="preserve">, </w:t>
      </w:r>
      <w:r>
        <w:rPr>
          <w:rFonts w:ascii="Calibri Light" w:hAnsi="Calibri Light" w:cs="Calibri Light"/>
          <w:i/>
          <w:iCs/>
          <w:sz w:val="24"/>
        </w:rPr>
        <w:t>7</w:t>
      </w:r>
      <w:r>
        <w:rPr>
          <w:rFonts w:ascii="Calibri Light" w:hAnsi="Calibri Light" w:cs="Calibri Light"/>
          <w:sz w:val="24"/>
        </w:rPr>
        <w:t>(1), 43–52. https://doi.org/10.34007/jehss.v7i1.2246</w:t>
      </w:r>
    </w:p>
    <w:p w14:paraId="17E61ADD">
      <w:pPr>
        <w:widowControl w:val="0"/>
        <w:adjustRightInd w:val="0"/>
        <w:spacing w:before="120" w:after="120"/>
        <w:ind w:left="480" w:hanging="480"/>
        <w:rPr>
          <w:rFonts w:ascii="Calibri Light" w:hAnsi="Calibri Light" w:cs="Calibri Light"/>
          <w:sz w:val="24"/>
        </w:rPr>
      </w:pPr>
      <w:r>
        <w:rPr>
          <w:rFonts w:ascii="Calibri Light" w:hAnsi="Calibri Light" w:cs="Calibri Light"/>
          <w:sz w:val="24"/>
        </w:rPr>
        <w:t xml:space="preserve">Zahra, F. Al. (2017). Land Bank Regulation Idea to Realize Equitable Management of State Land Assets. </w:t>
      </w:r>
      <w:r>
        <w:rPr>
          <w:rFonts w:ascii="Calibri Light" w:hAnsi="Calibri Light" w:cs="Calibri Light"/>
          <w:i/>
          <w:iCs/>
          <w:sz w:val="24"/>
        </w:rPr>
        <w:t>Jurnal Ilmiah Administrasi Publik</w:t>
      </w:r>
      <w:r>
        <w:rPr>
          <w:rFonts w:ascii="Calibri Light" w:hAnsi="Calibri Light" w:cs="Calibri Light"/>
          <w:sz w:val="24"/>
        </w:rPr>
        <w:t xml:space="preserve">, </w:t>
      </w:r>
      <w:r>
        <w:rPr>
          <w:rFonts w:ascii="Calibri Light" w:hAnsi="Calibri Light" w:cs="Calibri Light"/>
          <w:i/>
          <w:iCs/>
          <w:sz w:val="24"/>
        </w:rPr>
        <w:t>3</w:t>
      </w:r>
      <w:r>
        <w:rPr>
          <w:rFonts w:ascii="Calibri Light" w:hAnsi="Calibri Light" w:cs="Calibri Light"/>
          <w:sz w:val="24"/>
        </w:rPr>
        <w:t>(2).</w:t>
      </w:r>
    </w:p>
    <w:p w14:paraId="3E628E7D">
      <w:pPr>
        <w:widowControl w:val="0"/>
        <w:adjustRightInd w:val="0"/>
        <w:spacing w:before="120" w:after="120"/>
        <w:ind w:left="851"/>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p w14:paraId="660116B8">
      <w:pPr>
        <w:pStyle w:val="48"/>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headerReference r:id="rId7" w:type="first"/>
      <w:footerReference r:id="rId10" w:type="first"/>
      <w:headerReference r:id="rId5" w:type="default"/>
      <w:footerReference r:id="rId8" w:type="default"/>
      <w:headerReference r:id="rId6" w:type="even"/>
      <w:footerReference r:id="rId9" w:type="even"/>
      <w:pgSz w:w="11907" w:h="16840"/>
      <w:pgMar w:top="1418" w:right="1418" w:bottom="1418" w:left="1418" w:header="720" w:footer="720" w:gutter="0"/>
      <w:pgNumType w:start="1"/>
      <w:cols w:space="720" w:num="1"/>
      <w:titlePg/>
      <w:docGrid w:linePitch="27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U" w:date="2025-05-08T10:50:00Z" w:initials="U">
    <w:p w14:paraId="262EC0A1">
      <w:pPr>
        <w:pStyle w:val="17"/>
      </w:pPr>
      <w:r>
        <w:t>This data can be omitted or condensed if it is not directly related to land management challenges. Connect it to the context of customary land distribution or its administrative challenges.</w:t>
      </w:r>
    </w:p>
  </w:comment>
  <w:comment w:id="1" w:author="asus.RBN0CV07Z617466@outlook.com" w:date="2025-05-13T11:16:00Z" w:initials="A">
    <w:p w14:paraId="5240CDBF">
      <w:pPr>
        <w:pStyle w:val="17"/>
      </w:pPr>
      <w:r>
        <w:rPr>
          <w:rFonts w:hint="default"/>
          <w:lang w:val="en-US"/>
        </w:rPr>
        <w:t>We have already do the revised according to the reviewer Prof, thank you very much Prof.</w:t>
      </w:r>
      <w:bookmarkStart w:id="0" w:name="_GoBack"/>
      <w:bookmarkEnd w:id="0"/>
    </w:p>
  </w:comment>
  <w:comment w:id="2" w:author="k" w:date="2025-05-08T08:36:00Z" w:initials="k">
    <w:p w14:paraId="1A73910E">
      <w:pPr>
        <w:pStyle w:val="17"/>
      </w:pPr>
      <w:r>
        <w:t>Add transition sentences such as “To address the issue of national land availability and governance, the government formed…” to make the transition logical.</w:t>
      </w:r>
    </w:p>
  </w:comment>
  <w:comment w:id="3" w:author="asus.RBN0CV07Z617466@outlook.com" w:date="2025-05-12T21:25:00Z" w:initials="A">
    <w:p w14:paraId="125AACFB">
      <w:pPr>
        <w:pStyle w:val="17"/>
      </w:pPr>
      <w:r>
        <w:rPr>
          <w:rFonts w:hint="default"/>
          <w:lang w:val="en-US"/>
        </w:rPr>
        <w:t>We have already do the revised according to the reviewer Prof, thank you very much Prof.</w:t>
      </w:r>
    </w:p>
  </w:comment>
  <w:comment w:id="4" w:author="U" w:date="2025-05-08T10:50:00Z" w:initials="U">
    <w:p w14:paraId="74588609">
      <w:pPr>
        <w:pStyle w:val="17"/>
      </w:pPr>
      <w:r>
        <w:t>For a single sentence, this is too long.</w:t>
      </w:r>
    </w:p>
  </w:comment>
  <w:comment w:id="5" w:author="asus.RBN0CV07Z617466@outlook.com" w:date="2025-05-13T11:18:00Z" w:initials="A">
    <w:p w14:paraId="649C7E4B">
      <w:pPr>
        <w:pStyle w:val="17"/>
      </w:pPr>
      <w:r>
        <w:rPr>
          <w:rFonts w:hint="default"/>
          <w:lang w:val="en-US"/>
        </w:rPr>
        <w:t>We have already do the revised according to the reviewer Prof, thank you very much Prof.</w:t>
      </w:r>
    </w:p>
  </w:comment>
  <w:comment w:id="8" w:author="k" w:date="2025-05-08T08:44:00Z" w:initials="k">
    <w:p w14:paraId="2447C084">
      <w:pPr>
        <w:pStyle w:val="17"/>
      </w:pPr>
      <w:r>
        <w:t>Although Reg. ATR/BPN No.14/2024 regulates the possibility of cooperation, no other research has been mentioned that discusses how KMHA understands, designs, and implements such utilization agreements so as not to harm indigenous communities. The lack of theoretical studies in this introduction, the direction of the research will be stronger academically if more theoretical studies are included along with examples of previous studies, do not forget that the introduction must be rich in references.</w:t>
      </w:r>
    </w:p>
  </w:comment>
  <w:comment w:id="9" w:author="asus.RBN0CV07Z617466@outlook.com" w:date="2025-05-12T21:33:00Z" w:initials="A">
    <w:p w14:paraId="7A589731">
      <w:pPr>
        <w:pStyle w:val="17"/>
      </w:pPr>
      <w:r>
        <w:rPr>
          <w:rFonts w:hint="default"/>
          <w:lang w:val="en-US"/>
        </w:rPr>
        <w:t>We have already do the revised according to the reviewer Prof, thank you very much Prof.</w:t>
      </w:r>
    </w:p>
  </w:comment>
  <w:comment w:id="10" w:author="U" w:date="2025-05-08T10:50:00Z" w:initials="U">
    <w:p w14:paraId="1F9B5917">
      <w:pPr>
        <w:pStyle w:val="17"/>
      </w:pPr>
      <w:r>
        <w:t>Create a separate paragraph to highlight the focus of the research. The research question should be separated and emphasized in a separate paragraph.</w:t>
      </w:r>
    </w:p>
  </w:comment>
  <w:comment w:id="11" w:author="asus.RBN0CV07Z617466@outlook.com" w:date="2025-05-13T11:42:00Z" w:initials="A">
    <w:p w14:paraId="293B7D12">
      <w:pPr>
        <w:pStyle w:val="17"/>
      </w:pPr>
      <w:r>
        <w:rPr>
          <w:rFonts w:hint="default"/>
          <w:lang w:val="en-US"/>
        </w:rPr>
        <w:t>We have already do the revised according to the reviewer Prof, thank you very much Prof.</w:t>
      </w:r>
    </w:p>
  </w:comment>
  <w:comment w:id="6" w:author="k" w:date="2025-05-08T08:39:00Z" w:initials="k">
    <w:p w14:paraId="7BC9748B">
      <w:pPr>
        <w:pStyle w:val="17"/>
      </w:pPr>
      <w:r>
        <w:t>On this full page, the description does not include any references, make sure that every quote and information provided refers to a clear source, including the manager's references.</w:t>
      </w:r>
    </w:p>
  </w:comment>
  <w:comment w:id="7" w:author="asus.RBN0CV07Z617466@outlook.com" w:date="2025-05-12T23:25:00Z" w:initials="A">
    <w:p w14:paraId="6BD3B1DD">
      <w:pPr>
        <w:pStyle w:val="17"/>
      </w:pPr>
      <w:r>
        <w:rPr>
          <w:rFonts w:hint="default"/>
          <w:lang w:val="en-US"/>
        </w:rPr>
        <w:t>We have already do the revised according to the reviewer Prof, thank you very much Prof.</w:t>
      </w:r>
    </w:p>
  </w:comment>
  <w:comment w:id="12" w:author="k" w:date="2025-05-08T08:38:00Z" w:initials="k">
    <w:p w14:paraId="620350C5">
      <w:pPr>
        <w:pStyle w:val="17"/>
      </w:pPr>
      <w:r>
        <w:t>Lack of emphasis on conflicts of interest between investment and indigenous peoples’ rights. Add reinforcement: for example the risk of commercialization of indigenous land or the potential marginalization of indigenous peoples. This will emphasize the research issue.</w:t>
      </w:r>
    </w:p>
  </w:comment>
  <w:comment w:id="13" w:author="asus.RBN0CV07Z617466@outlook.com" w:date="2025-05-12T21:58:00Z" w:initials="A">
    <w:p w14:paraId="44F40C97">
      <w:pPr>
        <w:pStyle w:val="17"/>
      </w:pPr>
      <w:r>
        <w:rPr>
          <w:rFonts w:hint="default"/>
          <w:lang w:val="en-US"/>
        </w:rPr>
        <w:t>We have already do the revised according to the reviewer Prof, thank you very much Prof.</w:t>
      </w:r>
    </w:p>
  </w:comment>
  <w:comment w:id="14" w:author="k" w:date="2025-05-08T09:00:00Z" w:initials="k">
    <w:p w14:paraId="554D4377">
      <w:pPr>
        <w:pStyle w:val="17"/>
      </w:pPr>
      <w:r>
        <w:t>The method must include the type, approach, and techniques used in the research. You understand how the research methodology is appropriate for the focus of this research.</w:t>
      </w:r>
    </w:p>
  </w:comment>
  <w:comment w:id="15" w:author="asus.RBN0CV07Z617466@outlook.com" w:date="2025-05-12T22:15:00Z" w:initials="A">
    <w:p w14:paraId="77ACDC75">
      <w:pPr>
        <w:pStyle w:val="17"/>
      </w:pPr>
      <w:r>
        <w:rPr>
          <w:rFonts w:hint="default"/>
          <w:lang w:val="en-US"/>
        </w:rPr>
        <w:t>We have already do the revised according to the reviewer Prof, thank you very much Prof.</w:t>
      </w:r>
    </w:p>
  </w:comment>
  <w:comment w:id="16" w:author="U" w:date="2025-05-08T10:55:00Z" w:initials="U">
    <w:p w14:paraId="14165766">
      <w:pPr>
        <w:pStyle w:val="17"/>
      </w:pPr>
      <w:r>
        <w:t>This term is not linguistically and conceptually correct. It should be changed to (The term Land Bank originates from two related concepts:...)</w:t>
      </w:r>
    </w:p>
  </w:comment>
  <w:comment w:id="17" w:author="asus.RBN0CV07Z617466@outlook.com" w:date="2025-05-13T11:45:00Z" w:initials="A">
    <w:p w14:paraId="1EDE34DB">
      <w:pPr>
        <w:pStyle w:val="17"/>
      </w:pPr>
      <w:r>
        <w:rPr>
          <w:rFonts w:hint="default"/>
          <w:lang w:val="en-US"/>
        </w:rPr>
        <w:t>We have already do the revised according to the reviewer Prof, thank you very much Prof.</w:t>
      </w:r>
    </w:p>
  </w:comment>
  <w:comment w:id="18" w:author="k" w:date="2025-05-08T09:33:00Z" w:initials="k">
    <w:p w14:paraId="5CA8ED29">
      <w:pPr>
        <w:pStyle w:val="17"/>
      </w:pPr>
      <w:r>
        <w:t>The sentence structure is confusing and not academically standard. It is better to break it up and provide a direct quote or academic paraphrase. Add context as to why this definition is still relevant today if you are using an older source.</w:t>
      </w:r>
    </w:p>
  </w:comment>
  <w:comment w:id="19" w:author="asus.RBN0CV07Z617466@outlook.com" w:date="2025-05-12T22:45:00Z" w:initials="A">
    <w:p w14:paraId="1DCBCD9F">
      <w:pPr>
        <w:pStyle w:val="17"/>
      </w:pPr>
      <w:r>
        <w:rPr>
          <w:rFonts w:hint="default"/>
          <w:lang w:val="en-US"/>
        </w:rPr>
        <w:t>We have already do the revised according to the reviewer Prof, thank you very much Prof.</w:t>
      </w:r>
    </w:p>
  </w:comment>
  <w:comment w:id="20" w:author="k" w:date="2025-05-08T09:35:00Z" w:initials="k">
    <w:p w14:paraId="70E3933B">
      <w:pPr>
        <w:pStyle w:val="17"/>
      </w:pPr>
      <w:r>
        <w:t>Gemeenschap</w:t>
      </w:r>
    </w:p>
  </w:comment>
  <w:comment w:id="21" w:author="asus.RBN0CV07Z617466@outlook.com" w:date="2025-05-12T21:00:00Z" w:initials="A">
    <w:p w14:paraId="3C263642">
      <w:pPr>
        <w:pStyle w:val="17"/>
      </w:pPr>
      <w:r>
        <w:rPr>
          <w:rFonts w:hint="default"/>
          <w:lang w:val="en-US"/>
        </w:rPr>
        <w:t>We have already do the revised according to the reviewer Prof, thank you very much Prof.</w:t>
      </w:r>
    </w:p>
  </w:comment>
  <w:comment w:id="22" w:author="k" w:date="2025-05-08T10:23:00Z" w:initials="k">
    <w:p w14:paraId="57E23E92">
      <w:pPr>
        <w:pStyle w:val="17"/>
      </w:pPr>
      <w:r>
        <w:t>It needs to be emphasized that there is a potential conflict of norms between the Law and the PP it is derived from (GR 18/2021), because the PP may not regulate new matters that are not regulated by the parent Law.</w:t>
      </w:r>
    </w:p>
  </w:comment>
  <w:comment w:id="23" w:author="asus.RBN0CV07Z617466@outlook.com" w:date="2025-05-12T22:52:00Z" w:initials="A">
    <w:p w14:paraId="714D9EF4">
      <w:pPr>
        <w:pStyle w:val="17"/>
      </w:pPr>
      <w:r>
        <w:rPr>
          <w:rFonts w:hint="default"/>
          <w:lang w:val="en-US"/>
        </w:rPr>
        <w:t>We have already do the revised according to the reviewer Prof, thank you very much Prof.</w:t>
      </w:r>
    </w:p>
  </w:comment>
  <w:comment w:id="24" w:author="U" w:date="2025-05-08T10:56:00Z" w:initials="U">
    <w:p w14:paraId="037276DE">
      <w:pPr>
        <w:pStyle w:val="17"/>
      </w:pPr>
      <w:r>
        <w:t>Add a reference to the regulation stating the start of the scheme, for example the related ATR/BPN Regulation or Ministerial Decree. It is also necessary to explain what the impact is on KMHA who have previously managed land according to custom.</w:t>
      </w:r>
    </w:p>
  </w:comment>
  <w:comment w:id="25" w:author="asus.RBN0CV07Z617466@outlook.com" w:date="2025-05-13T12:27:00Z" w:initials="A">
    <w:p w14:paraId="2539FE67">
      <w:pPr>
        <w:pStyle w:val="17"/>
      </w:pPr>
      <w:r>
        <w:rPr>
          <w:rFonts w:hint="default"/>
          <w:lang w:val="en-US"/>
        </w:rPr>
        <w:t>We have already do the revised according to the reviewer Prof, thank you very much Prof.</w:t>
      </w:r>
    </w:p>
  </w:comment>
  <w:comment w:id="26" w:author="k" w:date="2025-05-08T10:25:00Z" w:initials="k">
    <w:p w14:paraId="60B85D62">
      <w:pPr>
        <w:pStyle w:val="17"/>
      </w:pPr>
      <w:r>
        <w:t>It is necessary to emphasize the importance of the legal capacity of KMHA and whether they are recognized as full legal subjects in public/private agreements.</w:t>
      </w:r>
    </w:p>
  </w:comment>
  <w:comment w:id="27" w:author="asus.RBN0CV07Z617466@outlook.com" w:date="2025-05-12T22:57:00Z" w:initials="A">
    <w:p w14:paraId="335557BE">
      <w:pPr>
        <w:pStyle w:val="17"/>
      </w:pPr>
      <w:r>
        <w:rPr>
          <w:rFonts w:hint="default"/>
          <w:lang w:val="en-US"/>
        </w:rPr>
        <w:t>We have already do the revised according to the reviewer Prof, thank you very much Prof.</w:t>
      </w:r>
    </w:p>
  </w:comment>
  <w:comment w:id="28" w:author="U" w:date="2025-05-08T10:56:00Z" w:initials="U">
    <w:p w14:paraId="68852114">
      <w:pPr>
        <w:pStyle w:val="17"/>
      </w:pPr>
      <w:r>
        <w:t>It is best to present images not in the form of screenshots or layer captures, create and include the original chart that can be edited, so that the image does not break or so that it is clear what needs to be fixed.</w:t>
      </w:r>
    </w:p>
  </w:comment>
  <w:comment w:id="29" w:author="asus.RBN0CV07Z617466@outlook.com" w:date="2025-05-13T12:42:00Z" w:initials="A">
    <w:p w14:paraId="2D5A6461">
      <w:pPr>
        <w:pStyle w:val="17"/>
      </w:pPr>
      <w:r>
        <w:rPr>
          <w:rFonts w:hint="default"/>
          <w:lang w:val="en-US"/>
        </w:rPr>
        <w:t>We have already do the revised according to the reviewer Prof, thank you very much Prof.</w:t>
      </w:r>
    </w:p>
  </w:comment>
  <w:comment w:id="30" w:author="k" w:date="2025-05-08T10:29:00Z" w:initials="k">
    <w:p w14:paraId="24099621">
      <w:pPr>
        <w:pStyle w:val="17"/>
      </w:pPr>
      <w:r>
        <w:t>This conclusion needs to clarify its normative and factual position: is this a normative aspiration or a current positive legal reality? It would be stronger if it were closed with an affirmative sentence.</w:t>
      </w:r>
    </w:p>
  </w:comment>
  <w:comment w:id="31" w:author="asus.RBN0CV07Z617466@outlook.com" w:date="2025-05-12T23:00:00Z" w:initials="A">
    <w:p w14:paraId="25F8ADEB">
      <w:pPr>
        <w:pStyle w:val="17"/>
      </w:pPr>
      <w:r>
        <w:rPr>
          <w:rFonts w:hint="default"/>
          <w:lang w:val="en-US"/>
        </w:rPr>
        <w:t>We have already do the revised according to the reviewer Prof, thank you very much Prof.</w:t>
      </w:r>
    </w:p>
  </w:comment>
  <w:comment w:id="32" w:author="k" w:date="2025-05-08T10:30:00Z" w:initials="k">
    <w:p w14:paraId="1E0B4043">
      <w:pPr>
        <w:pStyle w:val="17"/>
      </w:pPr>
      <w:r>
        <w:t>Minimum 50 references, ensure 80% from journal articles, must have active DOI, sources must be within the last 10 years and must have Mendeley or other manager</w:t>
      </w:r>
    </w:p>
  </w:comment>
  <w:comment w:id="33" w:author="asus.RBN0CV07Z617466@outlook.com" w:date="2025-05-13T13:55:00Z" w:initials="A">
    <w:p w14:paraId="667C09A9">
      <w:pPr>
        <w:pStyle w:val="17"/>
        <w:rPr>
          <w:rFonts w:hint="default"/>
          <w:lang w:val="en-US"/>
        </w:rPr>
      </w:pPr>
      <w:r>
        <w:rPr>
          <w:rFonts w:hint="default"/>
          <w:lang w:val="en-US"/>
        </w:rPr>
        <w:t>We have already do the revised according to the reviewer Prof, thank you very much Prof.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62EC0A1" w15:done="1"/>
  <w15:commentEx w15:paraId="5240CDBF" w15:done="1" w15:paraIdParent="262EC0A1"/>
  <w15:commentEx w15:paraId="1A73910E" w15:done="1"/>
  <w15:commentEx w15:paraId="125AACFB" w15:done="1" w15:paraIdParent="1A73910E"/>
  <w15:commentEx w15:paraId="74588609" w15:done="1"/>
  <w15:commentEx w15:paraId="649C7E4B" w15:done="1" w15:paraIdParent="74588609"/>
  <w15:commentEx w15:paraId="2447C084" w15:done="1"/>
  <w15:commentEx w15:paraId="7A589731" w15:done="1" w15:paraIdParent="2447C084"/>
  <w15:commentEx w15:paraId="1F9B5917" w15:done="1"/>
  <w15:commentEx w15:paraId="293B7D12" w15:done="1" w15:paraIdParent="1F9B5917"/>
  <w15:commentEx w15:paraId="7BC9748B" w15:done="1"/>
  <w15:commentEx w15:paraId="6BD3B1DD" w15:done="1" w15:paraIdParent="7BC9748B"/>
  <w15:commentEx w15:paraId="620350C5" w15:done="1"/>
  <w15:commentEx w15:paraId="44F40C97" w15:done="1" w15:paraIdParent="620350C5"/>
  <w15:commentEx w15:paraId="554D4377" w15:done="1"/>
  <w15:commentEx w15:paraId="77ACDC75" w15:done="1" w15:paraIdParent="554D4377"/>
  <w15:commentEx w15:paraId="14165766" w15:done="1"/>
  <w15:commentEx w15:paraId="1EDE34DB" w15:done="1" w15:paraIdParent="14165766"/>
  <w15:commentEx w15:paraId="5CA8ED29" w15:done="1"/>
  <w15:commentEx w15:paraId="1DCBCD9F" w15:done="1" w15:paraIdParent="5CA8ED29"/>
  <w15:commentEx w15:paraId="70E3933B" w15:done="1"/>
  <w15:commentEx w15:paraId="3C263642" w15:done="1" w15:paraIdParent="70E3933B"/>
  <w15:commentEx w15:paraId="57E23E92" w15:done="1"/>
  <w15:commentEx w15:paraId="714D9EF4" w15:done="1" w15:paraIdParent="57E23E92"/>
  <w15:commentEx w15:paraId="037276DE" w15:done="1"/>
  <w15:commentEx w15:paraId="2539FE67" w15:done="1" w15:paraIdParent="037276DE"/>
  <w15:commentEx w15:paraId="60B85D62" w15:done="1"/>
  <w15:commentEx w15:paraId="335557BE" w15:done="1" w15:paraIdParent="60B85D62"/>
  <w15:commentEx w15:paraId="68852114" w15:done="1"/>
  <w15:commentEx w15:paraId="2D5A6461" w15:done="1" w15:paraIdParent="68852114"/>
  <w15:commentEx w15:paraId="24099621" w15:done="1"/>
  <w15:commentEx w15:paraId="25F8ADEB" w15:done="1" w15:paraIdParent="24099621"/>
  <w15:commentEx w15:paraId="1E0B4043" w15:done="1"/>
  <w15:commentEx w15:paraId="667C09A9" w15:done="1" w15:paraIdParent="1E0B4043"/>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Garamond">
    <w:panose1 w:val="02020404030301010803"/>
    <w:charset w:val="00"/>
    <w:family w:val="roman"/>
    <w:pitch w:val="default"/>
    <w:sig w:usb0="00000287" w:usb1="00000000" w:usb2="00000000" w:usb3="00000000" w:csb0="0000009F" w:csb1="DFD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E434C">
    <w:pPr>
      <w:pStyle w:val="20"/>
      <w:ind w:right="357"/>
      <w:rPr>
        <w:rFonts w:ascii="Calibri Light" w:hAnsi="Calibri Light" w:cs="Calibri Light"/>
        <w:sz w:val="16"/>
        <w:szCs w:val="16"/>
      </w:rPr>
    </w:pPr>
    <w:r>
      <mc:AlternateContent>
        <mc:Choice Requires="wps">
          <w:drawing>
            <wp:anchor distT="0" distB="0" distL="114300" distR="114300" simplePos="0" relativeHeight="25167052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14:paraId="6CB40299">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405.65pt;margin-top:-5.1pt;height:21.9pt;width:48.8pt;z-index:251670528;mso-width-relative:page;mso-height-relative:page;" fillcolor="#FFFFFF" filled="t" stroked="t" coordsize="21600,21600" o:gfxdata="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6oy7k9gAAAAKAQAADwAAAAAAAAABACAAAAAiAAAAZHJzL2Rvd25yZXYueG1sUEsBAhQA&#10;FAAAAAgAh07iQL+3MMErAgAAfAQAAA4AAAAAAAAAAQAgAAAAJwEAAGRycy9lMm9Eb2MueG1sUEsF&#10;BgAAAAAGAAYAWQEAAMQFAAAAAA==&#10;">
              <v:fill on="t" focussize="0,0"/>
              <v:stroke color="#FFFFFF" miterlimit="8" joinstyle="miter"/>
              <v:imagedata o:title=""/>
              <o:lock v:ext="edit" aspectratio="f"/>
              <v:textbox>
                <w:txbxContent>
                  <w:p w14:paraId="6CB40299">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6D686F35">
    <w:pPr>
      <w:pStyle w:val="20"/>
      <w:ind w:right="357"/>
      <w:rPr>
        <w:rFonts w:ascii="Calibri Light" w:hAnsi="Calibri Light" w:cs="Calibri Light"/>
        <w:sz w:val="16"/>
        <w:szCs w:val="16"/>
      </w:rPr>
    </w:pPr>
    <w:r>
      <w:rPr>
        <w:rFonts w:ascii="Calibri Light" w:hAnsi="Calibri Light" w:cs="Calibri Light"/>
        <w:sz w:val="16"/>
        <w:szCs w:val="16"/>
      </w:rPr>
      <w:t xml:space="preserve">E-ISSN: ….-….   </w:t>
    </w:r>
    <w:r>
      <w:fldChar w:fldCharType="begin"/>
    </w:r>
    <w:r>
      <w:instrText xml:space="preserve"> HYPERLINK "https://najahaofficial.id/najahajournal/index.php/IJLS/" </w:instrText>
    </w:r>
    <w:r>
      <w:fldChar w:fldCharType="separate"/>
    </w:r>
    <w:r>
      <w:rPr>
        <w:rStyle w:val="25"/>
        <w:rFonts w:ascii="Calibri Light" w:hAnsi="Calibri Light" w:cs="Calibri Light"/>
        <w:sz w:val="16"/>
        <w:szCs w:val="16"/>
      </w:rPr>
      <w:t>https://najahaofficial.id/najahajournal/index.php/IJLS/</w:t>
    </w:r>
    <w:r>
      <w:rPr>
        <w:rStyle w:val="25"/>
        <w:rFonts w:ascii="Calibri Light" w:hAnsi="Calibri Light" w:cs="Calibri Light"/>
        <w:sz w:val="16"/>
        <w:szCs w:val="16"/>
      </w:rPr>
      <w:fldChar w:fldCharType="end"/>
    </w:r>
    <w:r>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832CD">
    <w:pPr>
      <w:pStyle w:val="20"/>
      <w:ind w:right="357"/>
      <w:rPr>
        <w:rFonts w:ascii="Calibri Light" w:hAnsi="Calibri Light" w:cs="Calibri Light"/>
        <w:sz w:val="16"/>
        <w:szCs w:val="16"/>
      </w:rPr>
    </w:pPr>
    <w: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14:paraId="0717D0BE">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405.65pt;margin-top:-5.1pt;height:21.9pt;width:48.8pt;z-index:251662336;mso-width-relative:page;mso-height-relative:page;" fillcolor="#FFFFFF" filled="t" stroked="t" coordsize="21600,21600" o:gfxdata="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OqMu5PYAAAACgEAAA8AAAAAAAAAAQAgAAAAIgAAAGRycy9kb3ducmV2LnhtbFBLAQIU&#10;ABQAAAAIAIdO4kDlQvz2LAIAAHwEAAAOAAAAAAAAAAEAIAAAACcBAABkcnMvZTJvRG9jLnhtbFBL&#10;BQYAAAAABgAGAFkBAADFBQAAAAA=&#10;">
              <v:fill on="t" focussize="0,0"/>
              <v:stroke color="#FFFFFF" miterlimit="8" joinstyle="miter"/>
              <v:imagedata o:title=""/>
              <o:lock v:ext="edit" aspectratio="f"/>
              <v:textbox>
                <w:txbxContent>
                  <w:p w14:paraId="0717D0BE">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75B1DC27">
    <w:pPr>
      <w:pStyle w:val="20"/>
      <w:ind w:right="357"/>
      <w:rPr>
        <w:rFonts w:ascii="Calibri Light" w:hAnsi="Calibri Light" w:cs="Calibri Light"/>
        <w:sz w:val="16"/>
        <w:szCs w:val="16"/>
      </w:rPr>
    </w:pPr>
    <w:r>
      <w:rPr>
        <w:rFonts w:ascii="Calibri Light" w:hAnsi="Calibri Light" w:cs="Calibri Light"/>
        <w:sz w:val="16"/>
        <w:szCs w:val="16"/>
      </w:rPr>
      <w:t xml:space="preserve">E-ISSN: ….-….   </w:t>
    </w:r>
    <w:r>
      <w:fldChar w:fldCharType="begin"/>
    </w:r>
    <w:r>
      <w:instrText xml:space="preserve"> HYPERLINK "https://najahaofficial.id/najahajournal/index.php/IJLS/" </w:instrText>
    </w:r>
    <w:r>
      <w:fldChar w:fldCharType="separate"/>
    </w:r>
    <w:r>
      <w:rPr>
        <w:rStyle w:val="25"/>
        <w:rFonts w:ascii="Calibri Light" w:hAnsi="Calibri Light" w:cs="Calibri Light"/>
        <w:sz w:val="16"/>
        <w:szCs w:val="16"/>
      </w:rPr>
      <w:t>https://najahaofficial.id/najahajournal/index.php/IJLS/</w:t>
    </w:r>
    <w:r>
      <w:rPr>
        <w:rStyle w:val="25"/>
        <w:rFonts w:ascii="Calibri Light" w:hAnsi="Calibri Light" w:cs="Calibri Light"/>
        <w:sz w:val="16"/>
        <w:szCs w:val="16"/>
      </w:rPr>
      <w:fldChar w:fldCharType="end"/>
    </w:r>
    <w:r>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B63F7">
    <w:pPr>
      <w:pStyle w:val="20"/>
      <w:ind w:right="357"/>
      <w:rPr>
        <w:rFonts w:ascii="Calibri Light" w:hAnsi="Calibri Light" w:cs="Calibri Light"/>
        <w:sz w:val="16"/>
        <w:szCs w:val="16"/>
      </w:rPr>
    </w:pPr>
    <w:r>
      <mc:AlternateContent>
        <mc:Choice Requires="wps">
          <w:drawing>
            <wp:anchor distT="0" distB="0" distL="114300" distR="114300" simplePos="0" relativeHeight="251661312"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ln>
                    </wps:spPr>
                    <wps:txbx>
                      <w:txbxContent>
                        <w:p w14:paraId="7DD2EC9A">
                          <w:pPr>
                            <w:jc w:val="center"/>
                            <w:rPr>
                              <w:rFonts w:ascii="Calibri" w:hAnsi="Calibri" w:cs="Calibri"/>
                              <w:sz w:val="16"/>
                              <w:szCs w:val="16"/>
                            </w:rPr>
                          </w:pPr>
                          <w:r>
                            <w:rPr>
                              <w:rFonts w:ascii="Calibri" w:hAnsi="Calibri" w:cs="Calibri"/>
                              <w:sz w:val="16"/>
                              <w:szCs w:val="16"/>
                            </w:rPr>
                            <w:t>2022</w:t>
                          </w: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405.65pt;margin-top:-5.1pt;height:21.9pt;width:48.8pt;z-index:251661312;mso-width-relative:page;mso-height-relative:page;" fillcolor="#FFFFFF" filled="t" stroked="t" coordsize="21600,21600" o:gfxdata="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qjLuT2AAAAAoBAAAPAAAAAAAAAAEAIAAAACIAAABkcnMvZG93bnJldi54bWxQSwEC&#10;FAAUAAAACACHTuJA/++tQC0CAAB9BAAADgAAAAAAAAABACAAAAAnAQAAZHJzL2Uyb0RvYy54bWxQ&#10;SwUGAAAAAAYABgBZAQAAxgUAAAAA&#10;">
              <v:fill on="t" focussize="0,0"/>
              <v:stroke color="#FFFFFF" miterlimit="8" joinstyle="miter"/>
              <v:imagedata o:title=""/>
              <o:lock v:ext="edit" aspectratio="f"/>
              <v:textbox>
                <w:txbxContent>
                  <w:p w14:paraId="7DD2EC9A">
                    <w:pPr>
                      <w:jc w:val="center"/>
                      <w:rPr>
                        <w:rFonts w:ascii="Calibri" w:hAnsi="Calibri" w:cs="Calibri"/>
                        <w:sz w:val="16"/>
                        <w:szCs w:val="16"/>
                      </w:rPr>
                    </w:pPr>
                    <w:r>
                      <w:rPr>
                        <w:rFonts w:ascii="Calibri" w:hAnsi="Calibri" w:cs="Calibri"/>
                        <w:sz w:val="16"/>
                        <w:szCs w:val="16"/>
                      </w:rPr>
                      <w:t>2022</w:t>
                    </w:r>
                  </w:p>
                </w:txbxContent>
              </v:textbox>
            </v:rect>
          </w:pict>
        </mc:Fallback>
      </mc:AlternateContent>
    </w:r>
    <w:r>
      <w:rPr>
        <w:rFonts w:ascii="Calibri Light" w:hAnsi="Calibri Light" w:cs="Calibri Light"/>
        <w:sz w:val="16"/>
        <w:szCs w:val="16"/>
      </w:rPr>
      <w:t>International Journal Law and Society</w:t>
    </w:r>
  </w:p>
  <w:p w14:paraId="31C6DE63">
    <w:pPr>
      <w:pStyle w:val="20"/>
      <w:ind w:right="357"/>
      <w:rPr>
        <w:rFonts w:ascii="Calibri Light" w:hAnsi="Calibri Light" w:cs="Calibri Light"/>
        <w:sz w:val="16"/>
        <w:szCs w:val="16"/>
      </w:rPr>
    </w:pPr>
    <w:r>
      <w:rPr>
        <w:rFonts w:ascii="Calibri Light" w:hAnsi="Calibri Light" w:cs="Calibri Light"/>
        <w:sz w:val="16"/>
        <w:szCs w:val="16"/>
      </w:rPr>
      <w:t xml:space="preserve">E-ISSN: ….-….   </w:t>
    </w:r>
    <w:r>
      <w:fldChar w:fldCharType="begin"/>
    </w:r>
    <w:r>
      <w:instrText xml:space="preserve"> HYPERLINK "https://najahaofficial.id/najahajournal/index.php/IJLS/" </w:instrText>
    </w:r>
    <w:r>
      <w:fldChar w:fldCharType="separate"/>
    </w:r>
    <w:r>
      <w:rPr>
        <w:rStyle w:val="25"/>
        <w:rFonts w:ascii="Calibri Light" w:hAnsi="Calibri Light" w:cs="Calibri Light"/>
        <w:sz w:val="16"/>
        <w:szCs w:val="16"/>
      </w:rPr>
      <w:t>https://najahaofficial.id/najahajournal/index.php/IJLS/</w:t>
    </w:r>
    <w:r>
      <w:rPr>
        <w:rStyle w:val="25"/>
        <w:rFonts w:ascii="Calibri Light" w:hAnsi="Calibri Light" w:cs="Calibri Light"/>
        <w:sz w:val="16"/>
        <w:szCs w:val="16"/>
      </w:rPr>
      <w:fldChar w:fldCharType="end"/>
    </w:r>
    <w:r>
      <w:rPr>
        <w:rFonts w:ascii="Calibri Light" w:hAnsi="Calibri Light" w:cs="Calibri Light"/>
        <w:sz w:val="16"/>
        <w:szCs w:val="16"/>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3B90">
    <w:pPr>
      <w:pStyle w:val="23"/>
    </w:pPr>
    <w:r>
      <mc:AlternateContent>
        <mc:Choice Requires="wps">
          <w:drawing>
            <wp:anchor distT="0" distB="0" distL="114300" distR="114300" simplePos="0" relativeHeight="251666432" behindDoc="1" locked="0" layoutInCell="1" allowOverlap="1">
              <wp:simplePos x="0" y="0"/>
              <wp:positionH relativeFrom="page">
                <wp:posOffset>3143250</wp:posOffset>
              </wp:positionH>
              <wp:positionV relativeFrom="page">
                <wp:posOffset>645160</wp:posOffset>
              </wp:positionV>
              <wp:extent cx="3523615" cy="416560"/>
              <wp:effectExtent l="0" t="0" r="635" b="0"/>
              <wp:wrapNone/>
              <wp:docPr id="12" name="Text Box 4"/>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wps:spPr>
                    <wps:txbx>
                      <w:txbxContent>
                        <w:p w14:paraId="3816D6F6">
                          <w:pPr>
                            <w:ind w:left="23"/>
                            <w:jc w:val="both"/>
                            <w:rPr>
                              <w:rFonts w:ascii="Calibri Light" w:hAnsi="Calibri Light" w:cs="Calibri Light"/>
                              <w:i/>
                              <w:iCs/>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247.5pt;margin-top:50.8pt;height:32.8pt;width:277.45pt;mso-position-horizontal-relative:page;mso-position-vertical-relative:page;z-index:-251650048;mso-width-relative:page;mso-height-relative:page;" filled="f" stroked="f" coordsize="21600,21600" o:gfxdata="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3dBAI2gAAAAwBAAAPAAAAAAAAAAEAIAAAACIAAABkcnMvZG93&#10;bnJldi54bWxQSwECFAAUAAAACACHTuJABv/0KP4BAAAFBAAADgAAAAAAAAABACAAAAApAQAAZHJz&#10;L2Uyb0RvYy54bWxQSwUGAAAAAAYABgBZAQAAmQUAAAAA&#10;">
              <v:fill on="f" focussize="0,0"/>
              <v:stroke on="f"/>
              <v:imagedata o:title=""/>
              <o:lock v:ext="edit" aspectratio="f"/>
              <v:textbox inset="0mm,0mm,0mm,0mm">
                <w:txbxContent>
                  <w:p w14:paraId="3816D6F6">
                    <w:pPr>
                      <w:ind w:left="23"/>
                      <w:jc w:val="both"/>
                      <w:rPr>
                        <w:rFonts w:ascii="Calibri Light" w:hAnsi="Calibri Light" w:cs="Calibri Light"/>
                        <w:i/>
                        <w:iCs/>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v:textbox>
            </v:shape>
          </w:pict>
        </mc:Fallback>
      </mc:AlternateContent>
    </w:r>
    <w:r>
      <mc:AlternateContent>
        <mc:Choice Requires="wps">
          <w:drawing>
            <wp:anchor distT="0" distB="0" distL="114300" distR="114300" simplePos="0" relativeHeight="251665408"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wps:spPr>
                    <wps:txbx>
                      <w:txbxContent>
                        <w:p w14:paraId="6C824C33">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5DB23B7C">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75.75pt;margin-top:74.6pt;height:18.1pt;width:157.4pt;mso-position-horizontal-relative:page;mso-position-vertical-relative:page;z-index:-251651072;mso-width-relative:page;mso-height-relative:page;" filled="f" stroked="f" coordsize="21600,21600" o:gfxdata="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SgzBzaAAAACwEAAA8AAAAAAAAAAQAgAAAAIgAAAGRycy9kb3du&#10;cmV2LnhtbFBLAQIUABQAAAAIAIdO4kBP2kyl/QEAAAUEAAAOAAAAAAAAAAEAIAAAACkBAABkcnMv&#10;ZTJvRG9jLnhtbFBLBQYAAAAABgAGAFkBAACYBQAAAAA=&#10;">
              <v:fill on="f" focussize="0,0"/>
              <v:stroke on="f"/>
              <v:imagedata o:title=""/>
              <o:lock v:ext="edit" aspectratio="f"/>
              <v:textbox inset="0mm,0mm,0mm,0mm">
                <w:txbxContent>
                  <w:p w14:paraId="6C824C33">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5DB23B7C">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6950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0" name="Text Box 6"/>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wps:spPr>
                    <wps:txbx>
                      <w:txbxContent>
                        <w:p w14:paraId="4BDA5A39">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a:noAutofit/>
                    </wps:bodyPr>
                  </wps:wsp>
                </a:graphicData>
              </a:graphic>
            </wp:anchor>
          </w:drawing>
        </mc:Choice>
        <mc:Fallback>
          <w:pict>
            <v:shape id="Text Box 6" o:spid="_x0000_s1026" o:spt="202" type="#_x0000_t202" style="position:absolute;left:0pt;margin-left:509pt;margin-top:36.8pt;height:14pt;width:18.25pt;mso-position-horizontal-relative:page;mso-position-vertical-relative:page;z-index:-251646976;mso-width-relative:page;mso-height-relative:page;" filled="f" stroked="f" coordsize="21600,21600" o:gfxdata="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s4T/ZAAAADAEAAA8AAAAAAAAAAQAgAAAAIgAAAGRycy9kb3ducmV2&#10;LnhtbFBLAQIUABQAAAAIAIdO4kAxiHsr+wEAAAQEAAAOAAAAAAAAAAEAIAAAACgBAABkcnMvZTJv&#10;RG9jLnhtbFBLBQYAAAAABgAGAFkBAACVBQAAAAA=&#10;">
              <v:fill on="f" focussize="0,0"/>
              <v:stroke on="f"/>
              <v:imagedata o:title=""/>
              <o:lock v:ext="edit" aspectratio="f"/>
              <v:textbox inset="0mm,0mm,0mm,0mm">
                <w:txbxContent>
                  <w:p w14:paraId="4BDA5A39">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w:drawing>
        <wp:inline distT="0" distB="0" distL="0" distR="0">
          <wp:extent cx="1097280"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97280" cy="506730"/>
                  </a:xfrm>
                  <a:prstGeom prst="rect">
                    <a:avLst/>
                  </a:prstGeom>
                  <a:noFill/>
                  <a:ln>
                    <a:noFill/>
                  </a:ln>
                </pic:spPr>
              </pic:pic>
            </a:graphicData>
          </a:graphic>
        </wp:inline>
      </w:drawing>
    </w:r>
  </w:p>
  <w:p w14:paraId="49BDD6B5">
    <w:pPr>
      <w:pStyle w:val="23"/>
      <w:rPr>
        <w:sz w:val="16"/>
        <w:szCs w:val="16"/>
      </w:rPr>
    </w:pPr>
  </w:p>
  <w:p w14:paraId="12E2BDF7">
    <w:pPr>
      <w:pStyle w:val="23"/>
      <w:rPr>
        <w:sz w:val="16"/>
        <w:szCs w:val="16"/>
      </w:rPr>
    </w:pPr>
  </w:p>
  <w:p w14:paraId="1F9E68E6">
    <w:pPr>
      <w:pStyle w:val="2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24AAB">
    <w:pPr>
      <w:pStyle w:val="23"/>
    </w:pPr>
    <w: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672465</wp:posOffset>
              </wp:positionV>
              <wp:extent cx="3523615" cy="416560"/>
              <wp:effectExtent l="0" t="0" r="635" b="0"/>
              <wp:wrapNone/>
              <wp:docPr id="15" name="Text Box 1"/>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wps:spPr>
                    <wps:txbx>
                      <w:txbxContent>
                        <w:p w14:paraId="32AB9DFB">
                          <w:pPr>
                            <w:ind w:left="23"/>
                            <w:jc w:val="both"/>
                            <w:rPr>
                              <w:rFonts w:ascii="Calibri Light" w:hAnsi="Calibri Light" w:cs="Calibri Light"/>
                              <w:i/>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47.5pt;margin-top:52.95pt;height:32.8pt;width:277.45pt;mso-position-horizontal-relative:page;mso-position-vertical-relative:page;z-index:-251652096;mso-width-relative:page;mso-height-relative:page;" filled="f" stroked="f" coordsize="21600,21600" o:gfxdata="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ozrsZ2QAAAAwBAAAPAAAAAAAAAAEAIAAAACIAAABkcnMvZG93bnJl&#10;di54bWxQSwECFAAUAAAACACHTuJAuYuyOvwBAAAFBAAADgAAAAAAAAABACAAAAAoAQAAZHJzL2Uy&#10;b0RvYy54bWxQSwUGAAAAAAYABgBZAQAAlgUAAAAA&#10;">
              <v:fill on="f" focussize="0,0"/>
              <v:stroke on="f"/>
              <v:imagedata o:title=""/>
              <o:lock v:ext="edit" aspectratio="f"/>
              <v:textbox inset="0mm,0mm,0mm,0mm">
                <w:txbxContent>
                  <w:p w14:paraId="32AB9DFB">
                    <w:pPr>
                      <w:ind w:left="23"/>
                      <w:jc w:val="both"/>
                      <w:rPr>
                        <w:rFonts w:ascii="Calibri Light" w:hAnsi="Calibri Light" w:cs="Calibri Light"/>
                        <w:i/>
                        <w:sz w:val="18"/>
                      </w:rPr>
                    </w:pPr>
                    <w:r>
                      <w:rPr>
                        <w:rFonts w:ascii="Calibri Light" w:hAnsi="Calibri Light" w:cs="Calibri Light"/>
                        <w:sz w:val="18"/>
                      </w:rPr>
                      <w:t xml:space="preserve">Nur, S.S., Polontoh, H.M., Anggraeni, A.E. &amp; Kahar, </w:t>
                    </w:r>
                    <w:r>
                      <w:rPr>
                        <w:rFonts w:ascii="Calibri Light" w:hAnsi="Calibri Light" w:cs="Calibri Light"/>
                        <w:i/>
                        <w:iCs/>
                        <w:sz w:val="18"/>
                      </w:rPr>
                      <w:t>The Role of Land Banks in the Customary Land Management Rights of Customary Law Community Units</w:t>
                    </w:r>
                  </w:p>
                </w:txbxContent>
              </v:textbox>
            </v:shap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wps:spPr>
                    <wps:txbx>
                      <w:txbxContent>
                        <w:p w14:paraId="15B4BA62">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515F0EDA">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75.75pt;margin-top:74.6pt;height:18.1pt;width:157.4pt;mso-position-horizontal-relative:page;mso-position-vertical-relative:page;z-index:-251653120;mso-width-relative:page;mso-height-relative:page;" filled="f" stroked="f" coordsize="21600,21600" o:gfxdata="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SgzBzaAAAACwEAAA8AAAAAAAAAAQAgAAAAIgAAAGRycy9kb3du&#10;cmV2LnhtbFBLAQIUABQAAAAIAIdO4kCFKFD3/QEAAAUEAAAOAAAAAAAAAAEAIAAAACkBAABkcnMv&#10;ZTJvRG9jLnhtbFBLBQYAAAAABgAGAFkBAACYBQAAAAA=&#10;">
              <v:fill on="f" focussize="0,0"/>
              <v:stroke on="f"/>
              <v:imagedata o:title=""/>
              <o:lock v:ext="edit" aspectratio="f"/>
              <v:textbox inset="0mm,0mm,0mm,0mm">
                <w:txbxContent>
                  <w:p w14:paraId="15B4BA62">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515F0EDA">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68480"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3" name="Text Box 3"/>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wps:spPr>
                    <wps:txbx>
                      <w:txbxContent>
                        <w:p w14:paraId="40DD07F7">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511.65pt;margin-top:35.05pt;height:14pt;width:18.25pt;mso-position-horizontal-relative:page;mso-position-vertical-relative:page;z-index:-251648000;mso-width-relative:page;mso-height-relative:page;" filled="f" stroked="f" coordsize="21600,21600" o:gfxdata="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JSb42QAAAAsBAAAPAAAAAAAAAAEAIAAAACIAAABkcnMvZG93bnJl&#10;di54bWxQSwECFAAUAAAACACHTuJAGumGHPwBAAAEBAAADgAAAAAAAAABACAAAAAoAQAAZHJzL2Uy&#10;b0RvYy54bWxQSwUGAAAAAAYABgBZAQAAlgUAAAAA&#10;">
              <v:fill on="f" focussize="0,0"/>
              <v:stroke on="f"/>
              <v:imagedata o:title=""/>
              <o:lock v:ext="edit" aspectratio="f"/>
              <v:textbox inset="0mm,0mm,0mm,0mm">
                <w:txbxContent>
                  <w:p w14:paraId="40DD07F7">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w:drawing>
        <wp:inline distT="0" distB="0" distL="0" distR="0">
          <wp:extent cx="1097280"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97280" cy="506730"/>
                  </a:xfrm>
                  <a:prstGeom prst="rect">
                    <a:avLst/>
                  </a:prstGeom>
                  <a:noFill/>
                  <a:ln>
                    <a:noFill/>
                  </a:ln>
                </pic:spPr>
              </pic:pic>
            </a:graphicData>
          </a:graphic>
        </wp:inline>
      </w:drawing>
    </w:r>
  </w:p>
  <w:p w14:paraId="17776780">
    <w:pPr>
      <w:pStyle w:val="23"/>
      <w:rPr>
        <w:sz w:val="16"/>
        <w:szCs w:val="16"/>
      </w:rPr>
    </w:pPr>
  </w:p>
  <w:p w14:paraId="5ACA6A32">
    <w:pPr>
      <w:pStyle w:val="23"/>
      <w:rPr>
        <w:sz w:val="16"/>
        <w:szCs w:val="16"/>
      </w:rPr>
    </w:pPr>
  </w:p>
  <w:p w14:paraId="2258F20F">
    <w:pPr>
      <w:pStyle w:val="2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36E95">
    <w:pPr>
      <w:pStyle w:val="23"/>
    </w:pPr>
    <w:r>
      <mc:AlternateContent>
        <mc:Choice Requires="wps">
          <w:drawing>
            <wp:anchor distT="0" distB="0" distL="114300" distR="114300" simplePos="0" relativeHeight="251659264"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wps:spPr>
                    <wps:txbx>
                      <w:txbxContent>
                        <w:p w14:paraId="096F192F">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0625D461">
                          <w:pPr>
                            <w:rPr>
                              <w:rFonts w:ascii="Calibri Light" w:hAnsi="Calibri Light" w:cs="Calibri Light"/>
                              <w:sz w:val="12"/>
                              <w:szCs w:val="12"/>
                            </w:rPr>
                          </w:pPr>
                          <w:r>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anchor>
          </w:drawing>
        </mc:Choice>
        <mc:Fallback>
          <w:pict>
            <v:shape id="Text Box 9" o:spid="_x0000_s1026" o:spt="202" type="#_x0000_t202" style="position:absolute;left:0pt;margin-left:74.25pt;margin-top:74.6pt;height:18.1pt;width:157.4pt;mso-position-horizontal-relative:page;mso-position-vertical-relative:page;z-index:-251657216;mso-width-relative:page;mso-height-relative:page;" filled="f" stroked="f" coordsize="21600,21600" o:gfxdata="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qtHgdoAAAALAQAADwAAAAAAAAABACAAAAAiAAAAZHJzL2Rvd25y&#10;ZXYueG1sUEsBAhQAFAAAAAgAh07iQG6NLov8AQAABAQAAA4AAAAAAAAAAQAgAAAAKQEAAGRycy9l&#10;Mm9Eb2MueG1sUEsFBgAAAAAGAAYAWQEAAJcFAAAAAA==&#10;">
              <v:fill on="f" focussize="0,0"/>
              <v:stroke on="f"/>
              <v:imagedata o:title=""/>
              <o:lock v:ext="edit" aspectratio="f"/>
              <v:textbox inset="0mm,0mm,0mm,0mm">
                <w:txbxContent>
                  <w:p w14:paraId="096F192F">
                    <w:pPr>
                      <w:pStyle w:val="23"/>
                      <w:rPr>
                        <w:rFonts w:ascii="Calibri Light" w:hAnsi="Calibri Light" w:cs="Calibri Light"/>
                        <w:sz w:val="12"/>
                        <w:szCs w:val="12"/>
                      </w:rPr>
                    </w:pPr>
                    <w:r>
                      <w:rPr>
                        <w:rFonts w:ascii="Calibri Light" w:hAnsi="Calibri Light" w:cs="Calibri Light"/>
                        <w:sz w:val="12"/>
                        <w:szCs w:val="12"/>
                      </w:rPr>
                      <w:t>https://najahaofficial.id/najahajournal/index.php/IJLS/</w:t>
                    </w:r>
                  </w:p>
                  <w:p w14:paraId="0625D461">
                    <w:pPr>
                      <w:rPr>
                        <w:rFonts w:ascii="Calibri Light" w:hAnsi="Calibri Light" w:cs="Calibri Light"/>
                        <w:sz w:val="12"/>
                        <w:szCs w:val="12"/>
                      </w:rPr>
                    </w:pPr>
                    <w:r>
                      <w:rPr>
                        <w:rFonts w:ascii="Calibri Light" w:hAnsi="Calibri Light" w:cs="Calibri Light"/>
                        <w:sz w:val="12"/>
                        <w:szCs w:val="12"/>
                      </w:rPr>
                      <w:t>Volume 1, Issue 1, 2022</w:t>
                    </w:r>
                  </w:p>
                </w:txbxContent>
              </v:textbox>
            </v:shape>
          </w:pict>
        </mc:Fallback>
      </mc:AlternateContent>
    </w:r>
    <w:r>
      <mc:AlternateContent>
        <mc:Choice Requires="wps">
          <w:drawing>
            <wp:anchor distT="0" distB="0" distL="114300" distR="114300" simplePos="0" relativeHeight="251667456"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wps:spPr>
                    <wps:txbx>
                      <w:txbxContent>
                        <w:p w14:paraId="6AF04C60">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wps:txbx>
                    <wps:bodyPr rot="0" vert="horz" wrap="square" lIns="0" tIns="0" rIns="0" bIns="0" anchor="t" anchorCtr="0" upright="1">
                      <a:noAutofit/>
                    </wps:bodyPr>
                  </wps:wsp>
                </a:graphicData>
              </a:graphic>
            </wp:anchor>
          </w:drawing>
        </mc:Choice>
        <mc:Fallback>
          <w:pict>
            <v:shape id="Text Box 10" o:spid="_x0000_s1026" o:spt="202" type="#_x0000_t202" style="position:absolute;left:0pt;margin-left:509pt;margin-top:34.6pt;height:14pt;width:18.25pt;mso-position-horizontal-relative:page;mso-position-vertical-relative:page;z-index:-251649024;mso-width-relative:page;mso-height-relative:page;" filled="f" stroked="f" coordsize="21600,21600" o:gfxdata="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9uNiC2QAAAAsBAAAPAAAAAAAAAAEAIAAAACIAAABkcnMvZG93bnJl&#10;di54bWxQSwECFAAUAAAACACHTuJA3258gvwBAAAEBAAADgAAAAAAAAABACAAAAAoAQAAZHJzL2Uy&#10;b0RvYy54bWxQSwUGAAAAAAYABgBZAQAAlgUAAAAA&#10;">
              <v:fill on="f" focussize="0,0"/>
              <v:stroke on="f"/>
              <v:imagedata o:title=""/>
              <o:lock v:ext="edit" aspectratio="f"/>
              <v:textbox inset="0mm,0mm,0mm,0mm">
                <w:txbxContent>
                  <w:p w14:paraId="6AF04C60">
                    <w:pPr>
                      <w:pStyle w:val="10"/>
                      <w:spacing w:line="264" w:lineRule="exact"/>
                      <w:ind w:left="60"/>
                      <w:jc w:val="center"/>
                      <w:rPr>
                        <w:rFonts w:ascii="Calibri Light" w:hAnsi="Calibri Light" w:cs="Calibri Light"/>
                      </w:rPr>
                    </w:pPr>
                    <w:r>
                      <w:rPr>
                        <w:rFonts w:ascii="Calibri Light" w:hAnsi="Calibri Light" w:cs="Calibri Light"/>
                      </w:rPr>
                      <w:fldChar w:fldCharType="begin"/>
                    </w:r>
                    <w:r>
                      <w:rPr>
                        <w:rFonts w:ascii="Calibri Light" w:hAnsi="Calibri Light" w:cs="Calibri Light"/>
                      </w:rPr>
                      <w:instrText xml:space="preserve"> PAGE </w:instrText>
                    </w:r>
                    <w:r>
                      <w:rPr>
                        <w:rFonts w:ascii="Calibri Light" w:hAnsi="Calibri Light" w:cs="Calibri Light"/>
                      </w:rPr>
                      <w:fldChar w:fldCharType="separate"/>
                    </w:r>
                    <w:r>
                      <w:rPr>
                        <w:rFonts w:ascii="Calibri Light" w:hAnsi="Calibri Light" w:cs="Calibri Light"/>
                      </w:rPr>
                      <w:t>14</w:t>
                    </w:r>
                    <w:r>
                      <w:rPr>
                        <w:rFonts w:ascii="Calibri Light" w:hAnsi="Calibri Light" w:cs="Calibri Light"/>
                      </w:rPr>
                      <w:fldChar w:fldCharType="end"/>
                    </w: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wps:spPr>
                    <wps:txbx>
                      <w:txbxContent>
                        <w:p w14:paraId="165D00F3">
                          <w:pPr>
                            <w:ind w:left="23"/>
                            <w:jc w:val="both"/>
                            <w:rPr>
                              <w:rFonts w:ascii="Calibri Light" w:hAnsi="Calibri Light" w:cs="Calibri Light"/>
                              <w:i/>
                              <w:sz w:val="18"/>
                            </w:rPr>
                          </w:pPr>
                          <w:r>
                            <w:rPr>
                              <w:rFonts w:ascii="Calibri Light" w:hAnsi="Calibri Light" w:cs="Calibri Light"/>
                              <w:sz w:val="18"/>
                            </w:rPr>
                            <w:t>Nur, S.S., Polontoh, H.M., Anggraeni, A.E.</w:t>
                          </w:r>
                          <w:r>
                            <w:rPr>
                              <w:rFonts w:ascii="Calibri Light" w:hAnsi="Calibri Light" w:cs="Calibri Light"/>
                              <w:spacing w:val="-3"/>
                              <w:sz w:val="18"/>
                            </w:rPr>
                            <w:t xml:space="preserve"> </w:t>
                          </w:r>
                          <w:r>
                            <w:rPr>
                              <w:rFonts w:ascii="Calibri Light" w:hAnsi="Calibri Light" w:cs="Calibri Light"/>
                              <w:sz w:val="18"/>
                            </w:rPr>
                            <w:t>&amp;</w:t>
                          </w:r>
                          <w:r>
                            <w:rPr>
                              <w:rFonts w:ascii="Calibri Light" w:hAnsi="Calibri Light" w:cs="Calibri Light"/>
                              <w:spacing w:val="-3"/>
                              <w:sz w:val="18"/>
                            </w:rPr>
                            <w:t xml:space="preserve"> </w:t>
                          </w:r>
                          <w:r>
                            <w:rPr>
                              <w:rFonts w:ascii="Calibri Light" w:hAnsi="Calibri Light" w:cs="Calibri Light"/>
                              <w:sz w:val="18"/>
                            </w:rPr>
                            <w:t>Kahar,</w:t>
                          </w:r>
                          <w:r>
                            <w:rPr>
                              <w:rFonts w:ascii="Calibri Light" w:hAnsi="Calibri Light" w:cs="Calibri Light"/>
                              <w:spacing w:val="-3"/>
                              <w:sz w:val="18"/>
                            </w:rPr>
                            <w:t xml:space="preserve"> </w:t>
                          </w:r>
                          <w:r>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anchor>
          </w:drawing>
        </mc:Choice>
        <mc:Fallback>
          <w:pict>
            <v:shape id="Text Box 11" o:spid="_x0000_s1026" o:spt="202" type="#_x0000_t202" style="position:absolute;left:0pt;margin-left:247.5pt;margin-top:61.8pt;height:32.8pt;width:276.9pt;mso-position-horizontal-relative:page;mso-position-vertical-relative:page;z-index:-251656192;mso-width-relative:page;mso-height-relative:page;" filled="f" stroked="f" coordsize="21600,21600" o:gfxdata="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Qif7jaAAAADAEAAA8AAAAAAAAAAQAgAAAAIgAAAGRycy9kb3du&#10;cmV2LnhtbFBLAQIUABQAAAAIAIdO4kBkpqP2/QEAAAUEAAAOAAAAAAAAAAEAIAAAACkBAABkcnMv&#10;ZTJvRG9jLnhtbFBLBQYAAAAABgAGAFkBAACYBQAAAAA=&#10;">
              <v:fill on="f" focussize="0,0"/>
              <v:stroke on="f"/>
              <v:imagedata o:title=""/>
              <o:lock v:ext="edit" aspectratio="f"/>
              <v:textbox inset="0mm,0mm,0mm,0mm">
                <w:txbxContent>
                  <w:p w14:paraId="165D00F3">
                    <w:pPr>
                      <w:ind w:left="23"/>
                      <w:jc w:val="both"/>
                      <w:rPr>
                        <w:rFonts w:ascii="Calibri Light" w:hAnsi="Calibri Light" w:cs="Calibri Light"/>
                        <w:i/>
                        <w:sz w:val="18"/>
                      </w:rPr>
                    </w:pPr>
                    <w:r>
                      <w:rPr>
                        <w:rFonts w:ascii="Calibri Light" w:hAnsi="Calibri Light" w:cs="Calibri Light"/>
                        <w:sz w:val="18"/>
                      </w:rPr>
                      <w:t>Nur, S.S., Polontoh, H.M., Anggraeni, A.E.</w:t>
                    </w:r>
                    <w:r>
                      <w:rPr>
                        <w:rFonts w:ascii="Calibri Light" w:hAnsi="Calibri Light" w:cs="Calibri Light"/>
                        <w:spacing w:val="-3"/>
                        <w:sz w:val="18"/>
                      </w:rPr>
                      <w:t xml:space="preserve"> </w:t>
                    </w:r>
                    <w:r>
                      <w:rPr>
                        <w:rFonts w:ascii="Calibri Light" w:hAnsi="Calibri Light" w:cs="Calibri Light"/>
                        <w:sz w:val="18"/>
                      </w:rPr>
                      <w:t>&amp;</w:t>
                    </w:r>
                    <w:r>
                      <w:rPr>
                        <w:rFonts w:ascii="Calibri Light" w:hAnsi="Calibri Light" w:cs="Calibri Light"/>
                        <w:spacing w:val="-3"/>
                        <w:sz w:val="18"/>
                      </w:rPr>
                      <w:t xml:space="preserve"> </w:t>
                    </w:r>
                    <w:r>
                      <w:rPr>
                        <w:rFonts w:ascii="Calibri Light" w:hAnsi="Calibri Light" w:cs="Calibri Light"/>
                        <w:sz w:val="18"/>
                      </w:rPr>
                      <w:t>Kahar,</w:t>
                    </w:r>
                    <w:r>
                      <w:rPr>
                        <w:rFonts w:ascii="Calibri Light" w:hAnsi="Calibri Light" w:cs="Calibri Light"/>
                        <w:spacing w:val="-3"/>
                        <w:sz w:val="18"/>
                      </w:rPr>
                      <w:t xml:space="preserve"> </w:t>
                    </w:r>
                    <w:r>
                      <w:rPr>
                        <w:rFonts w:ascii="Calibri Light" w:hAnsi="Calibri Light" w:cs="Calibri Light"/>
                        <w:i/>
                        <w:sz w:val="18"/>
                      </w:rPr>
                      <w:t>The Role of Land Banks in the Customary Land Management Rights of Customary Law Community Units</w:t>
                    </w:r>
                  </w:p>
                </w:txbxContent>
              </v:textbox>
            </v:shape>
          </w:pict>
        </mc:Fallback>
      </mc:AlternateContent>
    </w:r>
    <w:r>
      <w:drawing>
        <wp:inline distT="0" distB="0" distL="0" distR="0">
          <wp:extent cx="1097280"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97280" cy="506730"/>
                  </a:xfrm>
                  <a:prstGeom prst="rect">
                    <a:avLst/>
                  </a:prstGeom>
                  <a:noFill/>
                  <a:ln>
                    <a:noFill/>
                  </a:ln>
                </pic:spPr>
              </pic:pic>
            </a:graphicData>
          </a:graphic>
        </wp:inline>
      </w:drawing>
    </w:r>
  </w:p>
  <w:p w14:paraId="04D624F2">
    <w:pPr>
      <w:pStyle w:val="23"/>
      <w:rPr>
        <w:sz w:val="16"/>
        <w:szCs w:val="16"/>
      </w:rPr>
    </w:pPr>
  </w:p>
  <w:p w14:paraId="26541116">
    <w:pPr>
      <w:pStyle w:val="23"/>
      <w:rPr>
        <w:sz w:val="16"/>
        <w:szCs w:val="16"/>
      </w:rPr>
    </w:pPr>
  </w:p>
  <w:p w14:paraId="0220432D">
    <w:pPr>
      <w:pStyle w:val="2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430C3"/>
    <w:multiLevelType w:val="multilevel"/>
    <w:tmpl w:val="028430C3"/>
    <w:lvl w:ilvl="0" w:tentative="0">
      <w:start w:val="4"/>
      <w:numFmt w:val="upperRoman"/>
      <w:lvlText w:val="%1."/>
      <w:lvlJc w:val="left"/>
      <w:pPr>
        <w:ind w:left="1146" w:hanging="720"/>
      </w:pPr>
      <w:rPr>
        <w:rFonts w:hint="default" w:cs="Times New Roman"/>
        <w:color w:val="auto"/>
      </w:rPr>
    </w:lvl>
    <w:lvl w:ilvl="1" w:tentative="0">
      <w:start w:val="1"/>
      <w:numFmt w:val="lowerLetter"/>
      <w:lvlText w:val="%2."/>
      <w:lvlJc w:val="left"/>
      <w:pPr>
        <w:ind w:left="1506" w:hanging="360"/>
      </w:pPr>
      <w:rPr>
        <w:rFonts w:cs="Times New Roman"/>
      </w:rPr>
    </w:lvl>
    <w:lvl w:ilvl="2" w:tentative="0">
      <w:start w:val="1"/>
      <w:numFmt w:val="lowerRoman"/>
      <w:lvlText w:val="%3."/>
      <w:lvlJc w:val="right"/>
      <w:pPr>
        <w:ind w:left="2226" w:hanging="180"/>
      </w:pPr>
      <w:rPr>
        <w:rFonts w:cs="Times New Roman"/>
      </w:rPr>
    </w:lvl>
    <w:lvl w:ilvl="3" w:tentative="0">
      <w:start w:val="1"/>
      <w:numFmt w:val="decimal"/>
      <w:lvlText w:val="%4."/>
      <w:lvlJc w:val="left"/>
      <w:pPr>
        <w:ind w:left="2946" w:hanging="360"/>
      </w:pPr>
      <w:rPr>
        <w:rFonts w:cs="Times New Roman"/>
      </w:rPr>
    </w:lvl>
    <w:lvl w:ilvl="4" w:tentative="0">
      <w:start w:val="1"/>
      <w:numFmt w:val="lowerLetter"/>
      <w:lvlText w:val="%5."/>
      <w:lvlJc w:val="left"/>
      <w:pPr>
        <w:ind w:left="3666" w:hanging="360"/>
      </w:pPr>
      <w:rPr>
        <w:rFonts w:cs="Times New Roman"/>
      </w:rPr>
    </w:lvl>
    <w:lvl w:ilvl="5" w:tentative="0">
      <w:start w:val="1"/>
      <w:numFmt w:val="lowerRoman"/>
      <w:lvlText w:val="%6."/>
      <w:lvlJc w:val="right"/>
      <w:pPr>
        <w:ind w:left="4386" w:hanging="180"/>
      </w:pPr>
      <w:rPr>
        <w:rFonts w:cs="Times New Roman"/>
      </w:rPr>
    </w:lvl>
    <w:lvl w:ilvl="6" w:tentative="0">
      <w:start w:val="1"/>
      <w:numFmt w:val="decimal"/>
      <w:lvlText w:val="%7."/>
      <w:lvlJc w:val="left"/>
      <w:pPr>
        <w:ind w:left="5106" w:hanging="360"/>
      </w:pPr>
      <w:rPr>
        <w:rFonts w:cs="Times New Roman"/>
      </w:rPr>
    </w:lvl>
    <w:lvl w:ilvl="7" w:tentative="0">
      <w:start w:val="1"/>
      <w:numFmt w:val="lowerLetter"/>
      <w:lvlText w:val="%8."/>
      <w:lvlJc w:val="left"/>
      <w:pPr>
        <w:ind w:left="5826" w:hanging="360"/>
      </w:pPr>
      <w:rPr>
        <w:rFonts w:cs="Times New Roman"/>
      </w:rPr>
    </w:lvl>
    <w:lvl w:ilvl="8" w:tentative="0">
      <w:start w:val="1"/>
      <w:numFmt w:val="lowerRoman"/>
      <w:lvlText w:val="%9."/>
      <w:lvlJc w:val="right"/>
      <w:pPr>
        <w:ind w:left="6546" w:hanging="180"/>
      </w:pPr>
      <w:rPr>
        <w:rFonts w:cs="Times New Roman"/>
      </w:rPr>
    </w:lvl>
  </w:abstractNum>
  <w:abstractNum w:abstractNumId="1">
    <w:nsid w:val="127E1FC9"/>
    <w:multiLevelType w:val="multilevel"/>
    <w:tmpl w:val="127E1FC9"/>
    <w:lvl w:ilvl="0" w:tentative="0">
      <w:start w:val="1"/>
      <w:numFmt w:val="bullet"/>
      <w:lvlText w:val=""/>
      <w:lvlJc w:val="left"/>
      <w:pPr>
        <w:ind w:left="720" w:hanging="360"/>
      </w:pPr>
      <w:rPr>
        <w:rFonts w:hint="default" w:ascii="Symbol" w:hAnsi="Symbol"/>
        <w:sz w:val="20"/>
        <w:szCs w:val="18"/>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A643588"/>
    <w:multiLevelType w:val="multilevel"/>
    <w:tmpl w:val="1A643588"/>
    <w:lvl w:ilvl="0" w:tentative="0">
      <w:start w:val="1"/>
      <w:numFmt w:val="lowerLetter"/>
      <w:lvlText w:val="%1."/>
      <w:lvlJc w:val="left"/>
      <w:pPr>
        <w:ind w:left="608" w:hanging="360"/>
      </w:pPr>
      <w:rPr>
        <w:rFonts w:cs="Times New Roman"/>
        <w:b w:val="0"/>
        <w:bCs w:val="0"/>
        <w:sz w:val="22"/>
        <w:szCs w:val="22"/>
      </w:rPr>
    </w:lvl>
    <w:lvl w:ilvl="1" w:tentative="0">
      <w:start w:val="1"/>
      <w:numFmt w:val="lowerLetter"/>
      <w:lvlText w:val="%2."/>
      <w:lvlJc w:val="left"/>
      <w:pPr>
        <w:ind w:left="1328" w:hanging="360"/>
      </w:pPr>
      <w:rPr>
        <w:rFonts w:cs="Times New Roman"/>
      </w:rPr>
    </w:lvl>
    <w:lvl w:ilvl="2" w:tentative="0">
      <w:start w:val="1"/>
      <w:numFmt w:val="lowerRoman"/>
      <w:lvlText w:val="%3."/>
      <w:lvlJc w:val="right"/>
      <w:pPr>
        <w:ind w:left="2048" w:hanging="180"/>
      </w:pPr>
      <w:rPr>
        <w:rFonts w:cs="Times New Roman"/>
      </w:rPr>
    </w:lvl>
    <w:lvl w:ilvl="3" w:tentative="0">
      <w:start w:val="1"/>
      <w:numFmt w:val="decimal"/>
      <w:lvlText w:val="%4."/>
      <w:lvlJc w:val="left"/>
      <w:pPr>
        <w:ind w:left="2768" w:hanging="360"/>
      </w:pPr>
      <w:rPr>
        <w:rFonts w:cs="Times New Roman"/>
      </w:rPr>
    </w:lvl>
    <w:lvl w:ilvl="4" w:tentative="0">
      <w:start w:val="1"/>
      <w:numFmt w:val="lowerLetter"/>
      <w:lvlText w:val="%5."/>
      <w:lvlJc w:val="left"/>
      <w:pPr>
        <w:ind w:left="3488" w:hanging="360"/>
      </w:pPr>
      <w:rPr>
        <w:rFonts w:cs="Times New Roman"/>
      </w:rPr>
    </w:lvl>
    <w:lvl w:ilvl="5" w:tentative="0">
      <w:start w:val="1"/>
      <w:numFmt w:val="lowerRoman"/>
      <w:lvlText w:val="%6."/>
      <w:lvlJc w:val="right"/>
      <w:pPr>
        <w:ind w:left="4208" w:hanging="180"/>
      </w:pPr>
      <w:rPr>
        <w:rFonts w:cs="Times New Roman"/>
      </w:rPr>
    </w:lvl>
    <w:lvl w:ilvl="6" w:tentative="0">
      <w:start w:val="1"/>
      <w:numFmt w:val="decimal"/>
      <w:lvlText w:val="%7."/>
      <w:lvlJc w:val="left"/>
      <w:pPr>
        <w:ind w:left="4928" w:hanging="360"/>
      </w:pPr>
      <w:rPr>
        <w:rFonts w:cs="Times New Roman"/>
      </w:rPr>
    </w:lvl>
    <w:lvl w:ilvl="7" w:tentative="0">
      <w:start w:val="1"/>
      <w:numFmt w:val="lowerLetter"/>
      <w:lvlText w:val="%8."/>
      <w:lvlJc w:val="left"/>
      <w:pPr>
        <w:ind w:left="5648" w:hanging="360"/>
      </w:pPr>
      <w:rPr>
        <w:rFonts w:cs="Times New Roman"/>
      </w:rPr>
    </w:lvl>
    <w:lvl w:ilvl="8" w:tentative="0">
      <w:start w:val="1"/>
      <w:numFmt w:val="lowerRoman"/>
      <w:lvlText w:val="%9."/>
      <w:lvlJc w:val="right"/>
      <w:pPr>
        <w:ind w:left="6368" w:hanging="180"/>
      </w:pPr>
      <w:rPr>
        <w:rFonts w:cs="Times New Roman"/>
      </w:rPr>
    </w:lvl>
  </w:abstractNum>
  <w:abstractNum w:abstractNumId="3">
    <w:nsid w:val="2C003B87"/>
    <w:multiLevelType w:val="multilevel"/>
    <w:tmpl w:val="2C003B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35B81878"/>
    <w:multiLevelType w:val="multilevel"/>
    <w:tmpl w:val="35B81878"/>
    <w:lvl w:ilvl="0" w:tentative="0">
      <w:start w:val="1"/>
      <w:numFmt w:val="lowerLetter"/>
      <w:lvlText w:val="%1."/>
      <w:lvlJc w:val="left"/>
      <w:pPr>
        <w:ind w:left="1211" w:hanging="360"/>
      </w:pPr>
      <w:rPr>
        <w:rFonts w:hint="default" w:cs="Times New Roman"/>
      </w:rPr>
    </w:lvl>
    <w:lvl w:ilvl="1" w:tentative="0">
      <w:start w:val="1"/>
      <w:numFmt w:val="lowerLetter"/>
      <w:lvlText w:val="%2."/>
      <w:lvlJc w:val="left"/>
      <w:pPr>
        <w:ind w:left="1931" w:hanging="360"/>
      </w:pPr>
      <w:rPr>
        <w:rFonts w:cs="Times New Roman"/>
      </w:rPr>
    </w:lvl>
    <w:lvl w:ilvl="2" w:tentative="0">
      <w:start w:val="1"/>
      <w:numFmt w:val="lowerRoman"/>
      <w:lvlText w:val="%3."/>
      <w:lvlJc w:val="right"/>
      <w:pPr>
        <w:ind w:left="2651" w:hanging="180"/>
      </w:pPr>
      <w:rPr>
        <w:rFonts w:cs="Times New Roman"/>
      </w:rPr>
    </w:lvl>
    <w:lvl w:ilvl="3" w:tentative="0">
      <w:start w:val="1"/>
      <w:numFmt w:val="decimal"/>
      <w:lvlText w:val="%4."/>
      <w:lvlJc w:val="left"/>
      <w:pPr>
        <w:ind w:left="3371" w:hanging="360"/>
      </w:pPr>
      <w:rPr>
        <w:rFonts w:cs="Times New Roman"/>
      </w:rPr>
    </w:lvl>
    <w:lvl w:ilvl="4" w:tentative="0">
      <w:start w:val="1"/>
      <w:numFmt w:val="lowerLetter"/>
      <w:lvlText w:val="%5."/>
      <w:lvlJc w:val="left"/>
      <w:pPr>
        <w:ind w:left="4091" w:hanging="360"/>
      </w:pPr>
      <w:rPr>
        <w:rFonts w:cs="Times New Roman"/>
      </w:rPr>
    </w:lvl>
    <w:lvl w:ilvl="5" w:tentative="0">
      <w:start w:val="1"/>
      <w:numFmt w:val="lowerRoman"/>
      <w:lvlText w:val="%6."/>
      <w:lvlJc w:val="right"/>
      <w:pPr>
        <w:ind w:left="4811" w:hanging="180"/>
      </w:pPr>
      <w:rPr>
        <w:rFonts w:cs="Times New Roman"/>
      </w:rPr>
    </w:lvl>
    <w:lvl w:ilvl="6" w:tentative="0">
      <w:start w:val="1"/>
      <w:numFmt w:val="decimal"/>
      <w:lvlText w:val="%7."/>
      <w:lvlJc w:val="left"/>
      <w:pPr>
        <w:ind w:left="5531" w:hanging="360"/>
      </w:pPr>
      <w:rPr>
        <w:rFonts w:cs="Times New Roman"/>
      </w:rPr>
    </w:lvl>
    <w:lvl w:ilvl="7" w:tentative="0">
      <w:start w:val="1"/>
      <w:numFmt w:val="lowerLetter"/>
      <w:lvlText w:val="%8."/>
      <w:lvlJc w:val="left"/>
      <w:pPr>
        <w:ind w:left="6251" w:hanging="360"/>
      </w:pPr>
      <w:rPr>
        <w:rFonts w:cs="Times New Roman"/>
      </w:rPr>
    </w:lvl>
    <w:lvl w:ilvl="8" w:tentative="0">
      <w:start w:val="1"/>
      <w:numFmt w:val="lowerRoman"/>
      <w:lvlText w:val="%9."/>
      <w:lvlJc w:val="right"/>
      <w:pPr>
        <w:ind w:left="6971" w:hanging="180"/>
      </w:pPr>
      <w:rPr>
        <w:rFonts w:cs="Times New Roman"/>
      </w:rPr>
    </w:lvl>
  </w:abstractNum>
  <w:abstractNum w:abstractNumId="5">
    <w:nsid w:val="35C34219"/>
    <w:multiLevelType w:val="multilevel"/>
    <w:tmpl w:val="35C3421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6">
    <w:nsid w:val="3696541A"/>
    <w:multiLevelType w:val="multilevel"/>
    <w:tmpl w:val="3696541A"/>
    <w:lvl w:ilvl="0" w:tentative="0">
      <w:start w:val="1"/>
      <w:numFmt w:val="lowerLetter"/>
      <w:lvlText w:val="%1."/>
      <w:lvlJc w:val="left"/>
      <w:pPr>
        <w:ind w:left="453" w:hanging="360"/>
      </w:pPr>
      <w:rPr>
        <w:rFonts w:cs="Times New Roman"/>
        <w:b w:val="0"/>
        <w:bCs w:val="0"/>
        <w:sz w:val="22"/>
        <w:szCs w:val="22"/>
      </w:rPr>
    </w:lvl>
    <w:lvl w:ilvl="1" w:tentative="0">
      <w:start w:val="1"/>
      <w:numFmt w:val="lowerLetter"/>
      <w:lvlText w:val="%2."/>
      <w:lvlJc w:val="left"/>
      <w:pPr>
        <w:ind w:left="1173" w:hanging="360"/>
      </w:pPr>
      <w:rPr>
        <w:rFonts w:cs="Times New Roman"/>
      </w:rPr>
    </w:lvl>
    <w:lvl w:ilvl="2" w:tentative="0">
      <w:start w:val="1"/>
      <w:numFmt w:val="lowerRoman"/>
      <w:lvlText w:val="%3."/>
      <w:lvlJc w:val="right"/>
      <w:pPr>
        <w:ind w:left="1893" w:hanging="180"/>
      </w:pPr>
      <w:rPr>
        <w:rFonts w:cs="Times New Roman"/>
      </w:rPr>
    </w:lvl>
    <w:lvl w:ilvl="3" w:tentative="0">
      <w:start w:val="1"/>
      <w:numFmt w:val="decimal"/>
      <w:lvlText w:val="%4."/>
      <w:lvlJc w:val="left"/>
      <w:pPr>
        <w:ind w:left="2613" w:hanging="360"/>
      </w:pPr>
      <w:rPr>
        <w:rFonts w:cs="Times New Roman"/>
      </w:rPr>
    </w:lvl>
    <w:lvl w:ilvl="4" w:tentative="0">
      <w:start w:val="1"/>
      <w:numFmt w:val="lowerLetter"/>
      <w:lvlText w:val="%5."/>
      <w:lvlJc w:val="left"/>
      <w:pPr>
        <w:ind w:left="3333" w:hanging="360"/>
      </w:pPr>
      <w:rPr>
        <w:rFonts w:cs="Times New Roman"/>
      </w:rPr>
    </w:lvl>
    <w:lvl w:ilvl="5" w:tentative="0">
      <w:start w:val="1"/>
      <w:numFmt w:val="lowerRoman"/>
      <w:lvlText w:val="%6."/>
      <w:lvlJc w:val="right"/>
      <w:pPr>
        <w:ind w:left="4053" w:hanging="180"/>
      </w:pPr>
      <w:rPr>
        <w:rFonts w:cs="Times New Roman"/>
      </w:rPr>
    </w:lvl>
    <w:lvl w:ilvl="6" w:tentative="0">
      <w:start w:val="1"/>
      <w:numFmt w:val="decimal"/>
      <w:lvlText w:val="%7."/>
      <w:lvlJc w:val="left"/>
      <w:pPr>
        <w:ind w:left="4773" w:hanging="360"/>
      </w:pPr>
      <w:rPr>
        <w:rFonts w:cs="Times New Roman"/>
      </w:rPr>
    </w:lvl>
    <w:lvl w:ilvl="7" w:tentative="0">
      <w:start w:val="1"/>
      <w:numFmt w:val="lowerLetter"/>
      <w:lvlText w:val="%8."/>
      <w:lvlJc w:val="left"/>
      <w:pPr>
        <w:ind w:left="5493" w:hanging="360"/>
      </w:pPr>
      <w:rPr>
        <w:rFonts w:cs="Times New Roman"/>
      </w:rPr>
    </w:lvl>
    <w:lvl w:ilvl="8" w:tentative="0">
      <w:start w:val="1"/>
      <w:numFmt w:val="lowerRoman"/>
      <w:lvlText w:val="%9."/>
      <w:lvlJc w:val="right"/>
      <w:pPr>
        <w:ind w:left="6213" w:hanging="180"/>
      </w:pPr>
      <w:rPr>
        <w:rFonts w:cs="Times New Roman"/>
      </w:rPr>
    </w:lvl>
  </w:abstractNum>
  <w:abstractNum w:abstractNumId="7">
    <w:nsid w:val="4659120C"/>
    <w:multiLevelType w:val="multilevel"/>
    <w:tmpl w:val="4659120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8">
    <w:nsid w:val="49B61A54"/>
    <w:multiLevelType w:val="multilevel"/>
    <w:tmpl w:val="49B61A54"/>
    <w:lvl w:ilvl="0" w:tentative="0">
      <w:start w:val="1"/>
      <w:numFmt w:val="decimal"/>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9">
    <w:nsid w:val="49D23B89"/>
    <w:multiLevelType w:val="multilevel"/>
    <w:tmpl w:val="49D23B8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0">
    <w:nsid w:val="4DE47142"/>
    <w:multiLevelType w:val="multilevel"/>
    <w:tmpl w:val="4DE47142"/>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rPr>
    </w:lvl>
    <w:lvl w:ilvl="8" w:tentative="0">
      <w:start w:val="1"/>
      <w:numFmt w:val="bullet"/>
      <w:lvlText w:val=""/>
      <w:lvlJc w:val="left"/>
      <w:pPr>
        <w:ind w:left="6840" w:hanging="360"/>
      </w:pPr>
      <w:rPr>
        <w:rFonts w:hint="default" w:ascii="Wingdings" w:hAnsi="Wingdings"/>
      </w:rPr>
    </w:lvl>
  </w:abstractNum>
  <w:abstractNum w:abstractNumId="11">
    <w:nsid w:val="52717277"/>
    <w:multiLevelType w:val="multilevel"/>
    <w:tmpl w:val="52717277"/>
    <w:lvl w:ilvl="0" w:tentative="0">
      <w:start w:val="1"/>
      <w:numFmt w:val="decimal"/>
      <w:lvlText w:val="%1)"/>
      <w:lvlJc w:val="left"/>
      <w:pPr>
        <w:ind w:left="927" w:hanging="360"/>
      </w:pPr>
      <w:rPr>
        <w:rFonts w:hint="default" w:cs="Times New Roman"/>
      </w:rPr>
    </w:lvl>
    <w:lvl w:ilvl="1" w:tentative="0">
      <w:start w:val="1"/>
      <w:numFmt w:val="lowerLetter"/>
      <w:lvlText w:val="%2."/>
      <w:lvlJc w:val="left"/>
      <w:pPr>
        <w:ind w:left="1647" w:hanging="360"/>
      </w:pPr>
      <w:rPr>
        <w:rFonts w:hint="default" w:cs="Times New Roman"/>
      </w:rPr>
    </w:lvl>
    <w:lvl w:ilvl="2" w:tentative="0">
      <w:start w:val="1"/>
      <w:numFmt w:val="lowerRoman"/>
      <w:lvlText w:val="%3."/>
      <w:lvlJc w:val="right"/>
      <w:pPr>
        <w:ind w:left="2367" w:hanging="180"/>
      </w:pPr>
      <w:rPr>
        <w:rFonts w:cs="Times New Roman"/>
      </w:rPr>
    </w:lvl>
    <w:lvl w:ilvl="3" w:tentative="0">
      <w:start w:val="1"/>
      <w:numFmt w:val="decimal"/>
      <w:lvlText w:val="%4."/>
      <w:lvlJc w:val="left"/>
      <w:pPr>
        <w:ind w:left="3087" w:hanging="360"/>
      </w:pPr>
      <w:rPr>
        <w:rFonts w:cs="Times New Roman"/>
      </w:rPr>
    </w:lvl>
    <w:lvl w:ilvl="4" w:tentative="0">
      <w:start w:val="1"/>
      <w:numFmt w:val="lowerLetter"/>
      <w:lvlText w:val="%5."/>
      <w:lvlJc w:val="left"/>
      <w:pPr>
        <w:ind w:left="3807" w:hanging="360"/>
      </w:pPr>
      <w:rPr>
        <w:rFonts w:cs="Times New Roman"/>
      </w:rPr>
    </w:lvl>
    <w:lvl w:ilvl="5" w:tentative="0">
      <w:start w:val="1"/>
      <w:numFmt w:val="lowerRoman"/>
      <w:lvlText w:val="%6."/>
      <w:lvlJc w:val="right"/>
      <w:pPr>
        <w:ind w:left="4527" w:hanging="180"/>
      </w:pPr>
      <w:rPr>
        <w:rFonts w:cs="Times New Roman"/>
      </w:rPr>
    </w:lvl>
    <w:lvl w:ilvl="6" w:tentative="0">
      <w:start w:val="1"/>
      <w:numFmt w:val="decimal"/>
      <w:lvlText w:val="%7."/>
      <w:lvlJc w:val="left"/>
      <w:pPr>
        <w:ind w:left="5247" w:hanging="360"/>
      </w:pPr>
      <w:rPr>
        <w:rFonts w:cs="Times New Roman"/>
      </w:rPr>
    </w:lvl>
    <w:lvl w:ilvl="7" w:tentative="0">
      <w:start w:val="1"/>
      <w:numFmt w:val="lowerLetter"/>
      <w:lvlText w:val="%8."/>
      <w:lvlJc w:val="left"/>
      <w:pPr>
        <w:ind w:left="5967" w:hanging="360"/>
      </w:pPr>
      <w:rPr>
        <w:rFonts w:cs="Times New Roman"/>
      </w:rPr>
    </w:lvl>
    <w:lvl w:ilvl="8" w:tentative="0">
      <w:start w:val="1"/>
      <w:numFmt w:val="lowerRoman"/>
      <w:lvlText w:val="%9."/>
      <w:lvlJc w:val="right"/>
      <w:pPr>
        <w:ind w:left="6687" w:hanging="180"/>
      </w:pPr>
      <w:rPr>
        <w:rFonts w:cs="Times New Roman"/>
      </w:rPr>
    </w:lvl>
  </w:abstractNum>
  <w:abstractNum w:abstractNumId="12">
    <w:nsid w:val="5B5F1339"/>
    <w:multiLevelType w:val="multilevel"/>
    <w:tmpl w:val="5B5F1339"/>
    <w:lvl w:ilvl="0" w:tentative="0">
      <w:start w:val="1"/>
      <w:numFmt w:val="lowerLetter"/>
      <w:lvlText w:val="%1."/>
      <w:lvlJc w:val="left"/>
      <w:pPr>
        <w:ind w:left="360" w:hanging="360"/>
      </w:pPr>
      <w:rPr>
        <w:rFonts w:ascii="Times New Roman" w:hAnsi="Times New Roman" w:eastAsia="Times New Roman" w:cs="Times New Roman"/>
        <w:b w:val="0"/>
        <w:bCs w:val="0"/>
      </w:rPr>
    </w:lvl>
    <w:lvl w:ilvl="1" w:tentative="0">
      <w:start w:val="1"/>
      <w:numFmt w:val="lowerLetter"/>
      <w:lvlText w:val="%2."/>
      <w:lvlJc w:val="left"/>
      <w:pPr>
        <w:ind w:left="1080" w:hanging="360"/>
      </w:pPr>
      <w:rPr>
        <w:rFonts w:cs="Times New Roman"/>
      </w:rPr>
    </w:lvl>
    <w:lvl w:ilvl="2" w:tentative="0">
      <w:start w:val="1"/>
      <w:numFmt w:val="lowerRoman"/>
      <w:lvlText w:val="%3."/>
      <w:lvlJc w:val="right"/>
      <w:pPr>
        <w:ind w:left="1800" w:hanging="180"/>
      </w:pPr>
      <w:rPr>
        <w:rFonts w:cs="Times New Roman"/>
      </w:rPr>
    </w:lvl>
    <w:lvl w:ilvl="3" w:tentative="0">
      <w:start w:val="1"/>
      <w:numFmt w:val="decimal"/>
      <w:lvlText w:val="%4."/>
      <w:lvlJc w:val="left"/>
      <w:pPr>
        <w:ind w:left="2520" w:hanging="360"/>
      </w:pPr>
      <w:rPr>
        <w:rFonts w:cs="Times New Roman"/>
      </w:rPr>
    </w:lvl>
    <w:lvl w:ilvl="4" w:tentative="0">
      <w:start w:val="1"/>
      <w:numFmt w:val="lowerLetter"/>
      <w:lvlText w:val="%5."/>
      <w:lvlJc w:val="left"/>
      <w:pPr>
        <w:ind w:left="3240" w:hanging="360"/>
      </w:pPr>
      <w:rPr>
        <w:rFonts w:cs="Times New Roman"/>
      </w:rPr>
    </w:lvl>
    <w:lvl w:ilvl="5" w:tentative="0">
      <w:start w:val="1"/>
      <w:numFmt w:val="lowerRoman"/>
      <w:lvlText w:val="%6."/>
      <w:lvlJc w:val="right"/>
      <w:pPr>
        <w:ind w:left="3960" w:hanging="180"/>
      </w:pPr>
      <w:rPr>
        <w:rFonts w:cs="Times New Roman"/>
      </w:rPr>
    </w:lvl>
    <w:lvl w:ilvl="6" w:tentative="0">
      <w:start w:val="1"/>
      <w:numFmt w:val="decimal"/>
      <w:lvlText w:val="%7."/>
      <w:lvlJc w:val="left"/>
      <w:pPr>
        <w:ind w:left="4680" w:hanging="360"/>
      </w:pPr>
      <w:rPr>
        <w:rFonts w:cs="Times New Roman"/>
      </w:rPr>
    </w:lvl>
    <w:lvl w:ilvl="7" w:tentative="0">
      <w:start w:val="1"/>
      <w:numFmt w:val="lowerLetter"/>
      <w:lvlText w:val="%8."/>
      <w:lvlJc w:val="left"/>
      <w:pPr>
        <w:ind w:left="5400" w:hanging="360"/>
      </w:pPr>
      <w:rPr>
        <w:rFonts w:cs="Times New Roman"/>
      </w:rPr>
    </w:lvl>
    <w:lvl w:ilvl="8" w:tentative="0">
      <w:start w:val="1"/>
      <w:numFmt w:val="lowerRoman"/>
      <w:lvlText w:val="%9."/>
      <w:lvlJc w:val="right"/>
      <w:pPr>
        <w:ind w:left="6120" w:hanging="180"/>
      </w:pPr>
      <w:rPr>
        <w:rFonts w:cs="Times New Roman"/>
      </w:rPr>
    </w:lvl>
  </w:abstractNum>
  <w:abstractNum w:abstractNumId="13">
    <w:nsid w:val="5B7B4F91"/>
    <w:multiLevelType w:val="multilevel"/>
    <w:tmpl w:val="5B7B4F91"/>
    <w:lvl w:ilvl="0" w:tentative="0">
      <w:start w:val="1"/>
      <w:numFmt w:val="decimal"/>
      <w:lvlText w:val="%1."/>
      <w:lvlJc w:val="left"/>
      <w:pPr>
        <w:ind w:left="927" w:hanging="360"/>
      </w:pPr>
      <w:rPr>
        <w:rFonts w:hint="default" w:cs="Times New Roman"/>
      </w:rPr>
    </w:lvl>
    <w:lvl w:ilvl="1" w:tentative="0">
      <w:start w:val="1"/>
      <w:numFmt w:val="lowerLetter"/>
      <w:lvlText w:val="%2."/>
      <w:lvlJc w:val="left"/>
      <w:pPr>
        <w:ind w:left="1647" w:hanging="360"/>
      </w:pPr>
      <w:rPr>
        <w:rFonts w:cs="Times New Roman"/>
      </w:rPr>
    </w:lvl>
    <w:lvl w:ilvl="2" w:tentative="0">
      <w:start w:val="1"/>
      <w:numFmt w:val="lowerRoman"/>
      <w:lvlText w:val="%3."/>
      <w:lvlJc w:val="right"/>
      <w:pPr>
        <w:ind w:left="2367" w:hanging="180"/>
      </w:pPr>
      <w:rPr>
        <w:rFonts w:cs="Times New Roman"/>
      </w:rPr>
    </w:lvl>
    <w:lvl w:ilvl="3" w:tentative="0">
      <w:start w:val="1"/>
      <w:numFmt w:val="decimal"/>
      <w:lvlText w:val="%4."/>
      <w:lvlJc w:val="left"/>
      <w:pPr>
        <w:ind w:left="3087" w:hanging="360"/>
      </w:pPr>
      <w:rPr>
        <w:rFonts w:cs="Times New Roman"/>
      </w:rPr>
    </w:lvl>
    <w:lvl w:ilvl="4" w:tentative="0">
      <w:start w:val="1"/>
      <w:numFmt w:val="lowerLetter"/>
      <w:lvlText w:val="%5."/>
      <w:lvlJc w:val="left"/>
      <w:pPr>
        <w:ind w:left="3807" w:hanging="360"/>
      </w:pPr>
      <w:rPr>
        <w:rFonts w:cs="Times New Roman"/>
      </w:rPr>
    </w:lvl>
    <w:lvl w:ilvl="5" w:tentative="0">
      <w:start w:val="1"/>
      <w:numFmt w:val="lowerRoman"/>
      <w:lvlText w:val="%6."/>
      <w:lvlJc w:val="right"/>
      <w:pPr>
        <w:ind w:left="4527" w:hanging="180"/>
      </w:pPr>
      <w:rPr>
        <w:rFonts w:cs="Times New Roman"/>
      </w:rPr>
    </w:lvl>
    <w:lvl w:ilvl="6" w:tentative="0">
      <w:start w:val="1"/>
      <w:numFmt w:val="decimal"/>
      <w:lvlText w:val="%7."/>
      <w:lvlJc w:val="left"/>
      <w:pPr>
        <w:ind w:left="5247" w:hanging="360"/>
      </w:pPr>
      <w:rPr>
        <w:rFonts w:cs="Times New Roman"/>
      </w:rPr>
    </w:lvl>
    <w:lvl w:ilvl="7" w:tentative="0">
      <w:start w:val="1"/>
      <w:numFmt w:val="lowerLetter"/>
      <w:lvlText w:val="%8."/>
      <w:lvlJc w:val="left"/>
      <w:pPr>
        <w:ind w:left="5967" w:hanging="360"/>
      </w:pPr>
      <w:rPr>
        <w:rFonts w:cs="Times New Roman"/>
      </w:rPr>
    </w:lvl>
    <w:lvl w:ilvl="8" w:tentative="0">
      <w:start w:val="1"/>
      <w:numFmt w:val="lowerRoman"/>
      <w:lvlText w:val="%9."/>
      <w:lvlJc w:val="right"/>
      <w:pPr>
        <w:ind w:left="6687" w:hanging="180"/>
      </w:pPr>
      <w:rPr>
        <w:rFonts w:cs="Times New Roman"/>
      </w:rPr>
    </w:lvl>
  </w:abstractNum>
  <w:abstractNum w:abstractNumId="14">
    <w:nsid w:val="5C173219"/>
    <w:multiLevelType w:val="multilevel"/>
    <w:tmpl w:val="5C173219"/>
    <w:lvl w:ilvl="0" w:tentative="0">
      <w:start w:val="1"/>
      <w:numFmt w:val="lowerLetter"/>
      <w:lvlText w:val="%1."/>
      <w:lvlJc w:val="left"/>
      <w:pPr>
        <w:ind w:left="389" w:hanging="360"/>
      </w:pPr>
      <w:rPr>
        <w:rFonts w:hint="default" w:cs="Times New Roman"/>
        <w:b w:val="0"/>
        <w:bCs w:val="0"/>
        <w:sz w:val="20"/>
      </w:rPr>
    </w:lvl>
    <w:lvl w:ilvl="1" w:tentative="0">
      <w:start w:val="1"/>
      <w:numFmt w:val="lowerLetter"/>
      <w:lvlText w:val="%2."/>
      <w:lvlJc w:val="left"/>
      <w:pPr>
        <w:ind w:left="1109" w:hanging="360"/>
      </w:pPr>
      <w:rPr>
        <w:rFonts w:cs="Times New Roman"/>
      </w:rPr>
    </w:lvl>
    <w:lvl w:ilvl="2" w:tentative="0">
      <w:start w:val="1"/>
      <w:numFmt w:val="lowerRoman"/>
      <w:lvlText w:val="%3."/>
      <w:lvlJc w:val="right"/>
      <w:pPr>
        <w:ind w:left="1829" w:hanging="180"/>
      </w:pPr>
      <w:rPr>
        <w:rFonts w:cs="Times New Roman"/>
      </w:rPr>
    </w:lvl>
    <w:lvl w:ilvl="3" w:tentative="0">
      <w:start w:val="1"/>
      <w:numFmt w:val="decimal"/>
      <w:lvlText w:val="%4."/>
      <w:lvlJc w:val="left"/>
      <w:pPr>
        <w:ind w:left="2549" w:hanging="360"/>
      </w:pPr>
      <w:rPr>
        <w:rFonts w:cs="Times New Roman"/>
      </w:rPr>
    </w:lvl>
    <w:lvl w:ilvl="4" w:tentative="0">
      <w:start w:val="1"/>
      <w:numFmt w:val="lowerLetter"/>
      <w:lvlText w:val="%5."/>
      <w:lvlJc w:val="left"/>
      <w:pPr>
        <w:ind w:left="3269" w:hanging="360"/>
      </w:pPr>
      <w:rPr>
        <w:rFonts w:cs="Times New Roman"/>
      </w:rPr>
    </w:lvl>
    <w:lvl w:ilvl="5" w:tentative="0">
      <w:start w:val="1"/>
      <w:numFmt w:val="lowerRoman"/>
      <w:lvlText w:val="%6."/>
      <w:lvlJc w:val="right"/>
      <w:pPr>
        <w:ind w:left="3989" w:hanging="180"/>
      </w:pPr>
      <w:rPr>
        <w:rFonts w:cs="Times New Roman"/>
      </w:rPr>
    </w:lvl>
    <w:lvl w:ilvl="6" w:tentative="0">
      <w:start w:val="1"/>
      <w:numFmt w:val="decimal"/>
      <w:lvlText w:val="%7."/>
      <w:lvlJc w:val="left"/>
      <w:pPr>
        <w:ind w:left="4709" w:hanging="360"/>
      </w:pPr>
      <w:rPr>
        <w:rFonts w:cs="Times New Roman"/>
      </w:rPr>
    </w:lvl>
    <w:lvl w:ilvl="7" w:tentative="0">
      <w:start w:val="1"/>
      <w:numFmt w:val="lowerLetter"/>
      <w:lvlText w:val="%8."/>
      <w:lvlJc w:val="left"/>
      <w:pPr>
        <w:ind w:left="5429" w:hanging="360"/>
      </w:pPr>
      <w:rPr>
        <w:rFonts w:cs="Times New Roman"/>
      </w:rPr>
    </w:lvl>
    <w:lvl w:ilvl="8" w:tentative="0">
      <w:start w:val="1"/>
      <w:numFmt w:val="lowerRoman"/>
      <w:lvlText w:val="%9."/>
      <w:lvlJc w:val="right"/>
      <w:pPr>
        <w:ind w:left="6149" w:hanging="180"/>
      </w:pPr>
      <w:rPr>
        <w:rFonts w:cs="Times New Roman"/>
      </w:rPr>
    </w:lvl>
  </w:abstractNum>
  <w:abstractNum w:abstractNumId="15">
    <w:nsid w:val="5E2634EA"/>
    <w:multiLevelType w:val="multilevel"/>
    <w:tmpl w:val="5E2634EA"/>
    <w:lvl w:ilvl="0" w:tentative="0">
      <w:start w:val="1"/>
      <w:numFmt w:val="lowerLetter"/>
      <w:lvlText w:val="%1)"/>
      <w:lvlJc w:val="left"/>
      <w:pPr>
        <w:ind w:left="1047" w:hanging="360"/>
      </w:pPr>
      <w:rPr>
        <w:rFonts w:hint="default" w:cs="Times New Roman"/>
      </w:rPr>
    </w:lvl>
    <w:lvl w:ilvl="1" w:tentative="0">
      <w:start w:val="1"/>
      <w:numFmt w:val="lowerLetter"/>
      <w:lvlText w:val="%2."/>
      <w:lvlJc w:val="left"/>
      <w:pPr>
        <w:ind w:left="1767" w:hanging="360"/>
      </w:pPr>
      <w:rPr>
        <w:rFonts w:cs="Times New Roman"/>
      </w:rPr>
    </w:lvl>
    <w:lvl w:ilvl="2" w:tentative="0">
      <w:start w:val="1"/>
      <w:numFmt w:val="lowerRoman"/>
      <w:lvlText w:val="%3."/>
      <w:lvlJc w:val="right"/>
      <w:pPr>
        <w:ind w:left="2487" w:hanging="180"/>
      </w:pPr>
      <w:rPr>
        <w:rFonts w:cs="Times New Roman"/>
      </w:rPr>
    </w:lvl>
    <w:lvl w:ilvl="3" w:tentative="0">
      <w:start w:val="1"/>
      <w:numFmt w:val="decimal"/>
      <w:lvlText w:val="%4."/>
      <w:lvlJc w:val="left"/>
      <w:pPr>
        <w:ind w:left="3207" w:hanging="360"/>
      </w:pPr>
      <w:rPr>
        <w:rFonts w:cs="Times New Roman"/>
      </w:rPr>
    </w:lvl>
    <w:lvl w:ilvl="4" w:tentative="0">
      <w:start w:val="1"/>
      <w:numFmt w:val="lowerLetter"/>
      <w:lvlText w:val="%5."/>
      <w:lvlJc w:val="left"/>
      <w:pPr>
        <w:ind w:left="3927" w:hanging="360"/>
      </w:pPr>
      <w:rPr>
        <w:rFonts w:cs="Times New Roman"/>
      </w:rPr>
    </w:lvl>
    <w:lvl w:ilvl="5" w:tentative="0">
      <w:start w:val="1"/>
      <w:numFmt w:val="lowerRoman"/>
      <w:lvlText w:val="%6."/>
      <w:lvlJc w:val="right"/>
      <w:pPr>
        <w:ind w:left="4647" w:hanging="180"/>
      </w:pPr>
      <w:rPr>
        <w:rFonts w:cs="Times New Roman"/>
      </w:rPr>
    </w:lvl>
    <w:lvl w:ilvl="6" w:tentative="0">
      <w:start w:val="1"/>
      <w:numFmt w:val="decimal"/>
      <w:lvlText w:val="%7."/>
      <w:lvlJc w:val="left"/>
      <w:pPr>
        <w:ind w:left="5367" w:hanging="360"/>
      </w:pPr>
      <w:rPr>
        <w:rFonts w:cs="Times New Roman"/>
      </w:rPr>
    </w:lvl>
    <w:lvl w:ilvl="7" w:tentative="0">
      <w:start w:val="1"/>
      <w:numFmt w:val="lowerLetter"/>
      <w:lvlText w:val="%8."/>
      <w:lvlJc w:val="left"/>
      <w:pPr>
        <w:ind w:left="6087" w:hanging="360"/>
      </w:pPr>
      <w:rPr>
        <w:rFonts w:cs="Times New Roman"/>
      </w:rPr>
    </w:lvl>
    <w:lvl w:ilvl="8" w:tentative="0">
      <w:start w:val="1"/>
      <w:numFmt w:val="lowerRoman"/>
      <w:lvlText w:val="%9."/>
      <w:lvlJc w:val="right"/>
      <w:pPr>
        <w:ind w:left="6807" w:hanging="180"/>
      </w:pPr>
      <w:rPr>
        <w:rFonts w:cs="Times New Roman"/>
      </w:rPr>
    </w:lvl>
  </w:abstractNum>
  <w:abstractNum w:abstractNumId="16">
    <w:nsid w:val="5F587196"/>
    <w:multiLevelType w:val="multilevel"/>
    <w:tmpl w:val="5F587196"/>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rPr>
    </w:lvl>
    <w:lvl w:ilvl="8" w:tentative="0">
      <w:start w:val="1"/>
      <w:numFmt w:val="bullet"/>
      <w:lvlText w:val=""/>
      <w:lvlJc w:val="left"/>
      <w:pPr>
        <w:ind w:left="6120" w:hanging="360"/>
      </w:pPr>
      <w:rPr>
        <w:rFonts w:hint="default" w:ascii="Wingdings" w:hAnsi="Wingdings"/>
      </w:rPr>
    </w:lvl>
  </w:abstractNum>
  <w:abstractNum w:abstractNumId="17">
    <w:nsid w:val="71FB6B9B"/>
    <w:multiLevelType w:val="multilevel"/>
    <w:tmpl w:val="71FB6B9B"/>
    <w:lvl w:ilvl="0" w:tentative="0">
      <w:start w:val="1"/>
      <w:numFmt w:val="decimal"/>
      <w:lvlText w:val="%1."/>
      <w:lvlJc w:val="left"/>
      <w:pPr>
        <w:ind w:left="1211" w:hanging="360"/>
      </w:pPr>
      <w:rPr>
        <w:rFonts w:hint="default" w:cs="Times New Roman"/>
      </w:rPr>
    </w:lvl>
    <w:lvl w:ilvl="1" w:tentative="0">
      <w:start w:val="1"/>
      <w:numFmt w:val="lowerLetter"/>
      <w:lvlText w:val="%2."/>
      <w:lvlJc w:val="left"/>
      <w:pPr>
        <w:ind w:left="1931" w:hanging="360"/>
      </w:pPr>
      <w:rPr>
        <w:rFonts w:cs="Times New Roman"/>
      </w:rPr>
    </w:lvl>
    <w:lvl w:ilvl="2" w:tentative="0">
      <w:start w:val="1"/>
      <w:numFmt w:val="lowerRoman"/>
      <w:lvlText w:val="%3."/>
      <w:lvlJc w:val="right"/>
      <w:pPr>
        <w:ind w:left="2651" w:hanging="180"/>
      </w:pPr>
      <w:rPr>
        <w:rFonts w:cs="Times New Roman"/>
      </w:rPr>
    </w:lvl>
    <w:lvl w:ilvl="3" w:tentative="0">
      <w:start w:val="1"/>
      <w:numFmt w:val="decimal"/>
      <w:lvlText w:val="%4."/>
      <w:lvlJc w:val="left"/>
      <w:pPr>
        <w:ind w:left="3371" w:hanging="360"/>
      </w:pPr>
      <w:rPr>
        <w:rFonts w:cs="Times New Roman"/>
      </w:rPr>
    </w:lvl>
    <w:lvl w:ilvl="4" w:tentative="0">
      <w:start w:val="1"/>
      <w:numFmt w:val="lowerLetter"/>
      <w:lvlText w:val="%5."/>
      <w:lvlJc w:val="left"/>
      <w:pPr>
        <w:ind w:left="4091" w:hanging="360"/>
      </w:pPr>
      <w:rPr>
        <w:rFonts w:cs="Times New Roman"/>
      </w:rPr>
    </w:lvl>
    <w:lvl w:ilvl="5" w:tentative="0">
      <w:start w:val="1"/>
      <w:numFmt w:val="lowerRoman"/>
      <w:lvlText w:val="%6."/>
      <w:lvlJc w:val="right"/>
      <w:pPr>
        <w:ind w:left="4811" w:hanging="180"/>
      </w:pPr>
      <w:rPr>
        <w:rFonts w:cs="Times New Roman"/>
      </w:rPr>
    </w:lvl>
    <w:lvl w:ilvl="6" w:tentative="0">
      <w:start w:val="1"/>
      <w:numFmt w:val="decimal"/>
      <w:lvlText w:val="%7."/>
      <w:lvlJc w:val="left"/>
      <w:pPr>
        <w:ind w:left="5531" w:hanging="360"/>
      </w:pPr>
      <w:rPr>
        <w:rFonts w:cs="Times New Roman"/>
      </w:rPr>
    </w:lvl>
    <w:lvl w:ilvl="7" w:tentative="0">
      <w:start w:val="1"/>
      <w:numFmt w:val="lowerLetter"/>
      <w:lvlText w:val="%8."/>
      <w:lvlJc w:val="left"/>
      <w:pPr>
        <w:ind w:left="6251" w:hanging="360"/>
      </w:pPr>
      <w:rPr>
        <w:rFonts w:cs="Times New Roman"/>
      </w:rPr>
    </w:lvl>
    <w:lvl w:ilvl="8" w:tentative="0">
      <w:start w:val="1"/>
      <w:numFmt w:val="lowerRoman"/>
      <w:lvlText w:val="%9."/>
      <w:lvlJc w:val="right"/>
      <w:pPr>
        <w:ind w:left="6971" w:hanging="180"/>
      </w:pPr>
      <w:rPr>
        <w:rFonts w:cs="Times New Roman"/>
      </w:rPr>
    </w:lvl>
  </w:abstractNum>
  <w:abstractNum w:abstractNumId="18">
    <w:nsid w:val="72945D9D"/>
    <w:multiLevelType w:val="multilevel"/>
    <w:tmpl w:val="72945D9D"/>
    <w:lvl w:ilvl="0" w:tentative="0">
      <w:start w:val="1"/>
      <w:numFmt w:val="decimal"/>
      <w:lvlText w:val="(%1)"/>
      <w:lvlJc w:val="left"/>
      <w:pPr>
        <w:ind w:left="927" w:hanging="360"/>
      </w:pPr>
      <w:rPr>
        <w:rFonts w:hint="default" w:cs="Times New Roman"/>
      </w:rPr>
    </w:lvl>
    <w:lvl w:ilvl="1" w:tentative="0">
      <w:start w:val="1"/>
      <w:numFmt w:val="lowerLetter"/>
      <w:lvlText w:val="%2)"/>
      <w:lvlJc w:val="left"/>
      <w:pPr>
        <w:ind w:left="1647" w:hanging="360"/>
      </w:pPr>
      <w:rPr>
        <w:rFonts w:hint="default" w:cs="Times New Roman"/>
      </w:rPr>
    </w:lvl>
    <w:lvl w:ilvl="2" w:tentative="0">
      <w:start w:val="1"/>
      <w:numFmt w:val="lowerRoman"/>
      <w:lvlText w:val="%3."/>
      <w:lvlJc w:val="right"/>
      <w:pPr>
        <w:ind w:left="2367" w:hanging="180"/>
      </w:pPr>
      <w:rPr>
        <w:rFonts w:cs="Times New Roman"/>
      </w:rPr>
    </w:lvl>
    <w:lvl w:ilvl="3" w:tentative="0">
      <w:start w:val="1"/>
      <w:numFmt w:val="decimal"/>
      <w:lvlText w:val="%4."/>
      <w:lvlJc w:val="left"/>
      <w:pPr>
        <w:ind w:left="3087" w:hanging="360"/>
      </w:pPr>
      <w:rPr>
        <w:rFonts w:cs="Times New Roman"/>
      </w:rPr>
    </w:lvl>
    <w:lvl w:ilvl="4" w:tentative="0">
      <w:start w:val="1"/>
      <w:numFmt w:val="lowerLetter"/>
      <w:lvlText w:val="%5."/>
      <w:lvlJc w:val="left"/>
      <w:pPr>
        <w:ind w:left="3807" w:hanging="360"/>
      </w:pPr>
      <w:rPr>
        <w:rFonts w:cs="Times New Roman"/>
      </w:rPr>
    </w:lvl>
    <w:lvl w:ilvl="5" w:tentative="0">
      <w:start w:val="1"/>
      <w:numFmt w:val="lowerRoman"/>
      <w:lvlText w:val="%6."/>
      <w:lvlJc w:val="right"/>
      <w:pPr>
        <w:ind w:left="4527" w:hanging="180"/>
      </w:pPr>
      <w:rPr>
        <w:rFonts w:cs="Times New Roman"/>
      </w:rPr>
    </w:lvl>
    <w:lvl w:ilvl="6" w:tentative="0">
      <w:start w:val="1"/>
      <w:numFmt w:val="decimal"/>
      <w:lvlText w:val="%7."/>
      <w:lvlJc w:val="left"/>
      <w:pPr>
        <w:ind w:left="5247" w:hanging="360"/>
      </w:pPr>
      <w:rPr>
        <w:rFonts w:cs="Times New Roman"/>
      </w:rPr>
    </w:lvl>
    <w:lvl w:ilvl="7" w:tentative="0">
      <w:start w:val="1"/>
      <w:numFmt w:val="lowerLetter"/>
      <w:lvlText w:val="%8."/>
      <w:lvlJc w:val="left"/>
      <w:pPr>
        <w:ind w:left="5967" w:hanging="360"/>
      </w:pPr>
      <w:rPr>
        <w:rFonts w:cs="Times New Roman"/>
      </w:rPr>
    </w:lvl>
    <w:lvl w:ilvl="8" w:tentative="0">
      <w:start w:val="1"/>
      <w:numFmt w:val="lowerRoman"/>
      <w:lvlText w:val="%9."/>
      <w:lvlJc w:val="right"/>
      <w:pPr>
        <w:ind w:left="6687" w:hanging="180"/>
      </w:pPr>
      <w:rPr>
        <w:rFonts w:cs="Times New Roman"/>
      </w:rPr>
    </w:lvl>
  </w:abstractNum>
  <w:abstractNum w:abstractNumId="19">
    <w:nsid w:val="74650FC8"/>
    <w:multiLevelType w:val="multilevel"/>
    <w:tmpl w:val="74650FC8"/>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rPr>
    </w:lvl>
    <w:lvl w:ilvl="8" w:tentative="0">
      <w:start w:val="1"/>
      <w:numFmt w:val="bullet"/>
      <w:lvlText w:val=""/>
      <w:lvlJc w:val="left"/>
      <w:pPr>
        <w:ind w:left="6120" w:hanging="360"/>
      </w:pPr>
      <w:rPr>
        <w:rFonts w:hint="default" w:ascii="Wingdings" w:hAnsi="Wingdings"/>
      </w:rPr>
    </w:lvl>
  </w:abstractNum>
  <w:abstractNum w:abstractNumId="20">
    <w:nsid w:val="7CC85296"/>
    <w:multiLevelType w:val="multilevel"/>
    <w:tmpl w:val="7CC85296"/>
    <w:lvl w:ilvl="0" w:tentative="0">
      <w:start w:val="1"/>
      <w:numFmt w:val="upperRoman"/>
      <w:lvlText w:val="%1."/>
      <w:lvlJc w:val="right"/>
      <w:pPr>
        <w:ind w:left="360" w:hanging="360"/>
      </w:pPr>
      <w:rPr>
        <w:rFonts w:cs="Times New Roman"/>
      </w:rPr>
    </w:lvl>
    <w:lvl w:ilvl="1" w:tentative="0">
      <w:start w:val="1"/>
      <w:numFmt w:val="lowerLetter"/>
      <w:lvlText w:val="%2."/>
      <w:lvlJc w:val="left"/>
      <w:pPr>
        <w:ind w:left="2149" w:hanging="360"/>
      </w:pPr>
      <w:rPr>
        <w:rFonts w:cs="Times New Roman"/>
      </w:rPr>
    </w:lvl>
    <w:lvl w:ilvl="2" w:tentative="0">
      <w:start w:val="1"/>
      <w:numFmt w:val="lowerRoman"/>
      <w:lvlText w:val="%3."/>
      <w:lvlJc w:val="right"/>
      <w:pPr>
        <w:ind w:left="2869" w:hanging="180"/>
      </w:pPr>
      <w:rPr>
        <w:rFonts w:cs="Times New Roman"/>
      </w:rPr>
    </w:lvl>
    <w:lvl w:ilvl="3" w:tentative="0">
      <w:start w:val="1"/>
      <w:numFmt w:val="decimal"/>
      <w:lvlText w:val="%4."/>
      <w:lvlJc w:val="left"/>
      <w:pPr>
        <w:ind w:left="3589" w:hanging="360"/>
      </w:pPr>
      <w:rPr>
        <w:rFonts w:cs="Times New Roman"/>
      </w:rPr>
    </w:lvl>
    <w:lvl w:ilvl="4" w:tentative="0">
      <w:start w:val="1"/>
      <w:numFmt w:val="lowerLetter"/>
      <w:lvlText w:val="%5."/>
      <w:lvlJc w:val="left"/>
      <w:pPr>
        <w:ind w:left="4309" w:hanging="360"/>
      </w:pPr>
      <w:rPr>
        <w:rFonts w:cs="Times New Roman"/>
      </w:rPr>
    </w:lvl>
    <w:lvl w:ilvl="5" w:tentative="0">
      <w:start w:val="1"/>
      <w:numFmt w:val="lowerRoman"/>
      <w:lvlText w:val="%6."/>
      <w:lvlJc w:val="right"/>
      <w:pPr>
        <w:ind w:left="5029" w:hanging="180"/>
      </w:pPr>
      <w:rPr>
        <w:rFonts w:cs="Times New Roman"/>
      </w:rPr>
    </w:lvl>
    <w:lvl w:ilvl="6" w:tentative="0">
      <w:start w:val="1"/>
      <w:numFmt w:val="decimal"/>
      <w:lvlText w:val="%7."/>
      <w:lvlJc w:val="left"/>
      <w:pPr>
        <w:ind w:left="5749" w:hanging="360"/>
      </w:pPr>
      <w:rPr>
        <w:rFonts w:cs="Times New Roman"/>
      </w:rPr>
    </w:lvl>
    <w:lvl w:ilvl="7" w:tentative="0">
      <w:start w:val="1"/>
      <w:numFmt w:val="lowerLetter"/>
      <w:lvlText w:val="%8."/>
      <w:lvlJc w:val="left"/>
      <w:pPr>
        <w:ind w:left="6469" w:hanging="360"/>
      </w:pPr>
      <w:rPr>
        <w:rFonts w:cs="Times New Roman"/>
      </w:rPr>
    </w:lvl>
    <w:lvl w:ilvl="8" w:tentative="0">
      <w:start w:val="1"/>
      <w:numFmt w:val="lowerRoman"/>
      <w:lvlText w:val="%9."/>
      <w:lvlJc w:val="right"/>
      <w:pPr>
        <w:ind w:left="7189" w:hanging="180"/>
      </w:pPr>
      <w:rPr>
        <w:rFonts w:cs="Times New Roman"/>
      </w:rPr>
    </w:lvl>
  </w:abstractNum>
  <w:num w:numId="1">
    <w:abstractNumId w:val="20"/>
  </w:num>
  <w:num w:numId="2">
    <w:abstractNumId w:val="8"/>
  </w:num>
  <w:num w:numId="3">
    <w:abstractNumId w:val="15"/>
  </w:num>
  <w:num w:numId="4">
    <w:abstractNumId w:val="11"/>
  </w:num>
  <w:num w:numId="5">
    <w:abstractNumId w:val="9"/>
  </w:num>
  <w:num w:numId="6">
    <w:abstractNumId w:val="10"/>
  </w:num>
  <w:num w:numId="7">
    <w:abstractNumId w:val="12"/>
  </w:num>
  <w:num w:numId="8">
    <w:abstractNumId w:val="7"/>
  </w:num>
  <w:num w:numId="9">
    <w:abstractNumId w:val="14"/>
  </w:num>
  <w:num w:numId="10">
    <w:abstractNumId w:val="5"/>
  </w:num>
  <w:num w:numId="11">
    <w:abstractNumId w:val="4"/>
  </w:num>
  <w:num w:numId="12">
    <w:abstractNumId w:val="3"/>
  </w:num>
  <w:num w:numId="13">
    <w:abstractNumId w:val="6"/>
  </w:num>
  <w:num w:numId="14">
    <w:abstractNumId w:val="19"/>
  </w:num>
  <w:num w:numId="15">
    <w:abstractNumId w:val="2"/>
  </w:num>
  <w:num w:numId="16">
    <w:abstractNumId w:val="16"/>
  </w:num>
  <w:num w:numId="17">
    <w:abstractNumId w:val="18"/>
  </w:num>
  <w:num w:numId="18">
    <w:abstractNumId w:val="17"/>
  </w:num>
  <w:num w:numId="19">
    <w:abstractNumId w:val="13"/>
  </w:num>
  <w:num w:numId="20">
    <w:abstractNumId w:val="1"/>
  </w:num>
  <w:num w:numId="2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
    <w15:presenceInfo w15:providerId="None" w15:userId="U"/>
  </w15:person>
  <w15:person w15:author="asus.RBN0CV07Z617466@outlook.com">
    <w15:presenceInfo w15:providerId="Windows Live" w15:userId="e897b48ec79fb697"/>
  </w15:person>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720"/>
  <w:doNotHyphenateCaps/>
  <w:evenAndOddHeaders w:val="1"/>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0293"/>
    <w:rsid w:val="000243A3"/>
    <w:rsid w:val="00024881"/>
    <w:rsid w:val="0002569B"/>
    <w:rsid w:val="00036125"/>
    <w:rsid w:val="000417D3"/>
    <w:rsid w:val="00044152"/>
    <w:rsid w:val="000475BE"/>
    <w:rsid w:val="00055FC4"/>
    <w:rsid w:val="0006191D"/>
    <w:rsid w:val="000634C8"/>
    <w:rsid w:val="00066AC1"/>
    <w:rsid w:val="00071957"/>
    <w:rsid w:val="00074A63"/>
    <w:rsid w:val="00076F8C"/>
    <w:rsid w:val="0008220C"/>
    <w:rsid w:val="000877EE"/>
    <w:rsid w:val="0009790B"/>
    <w:rsid w:val="000A0B41"/>
    <w:rsid w:val="000A2548"/>
    <w:rsid w:val="000B0038"/>
    <w:rsid w:val="000B0CE5"/>
    <w:rsid w:val="000B59CD"/>
    <w:rsid w:val="000C3688"/>
    <w:rsid w:val="000E1F30"/>
    <w:rsid w:val="000E31DC"/>
    <w:rsid w:val="000F66AA"/>
    <w:rsid w:val="00103AFF"/>
    <w:rsid w:val="00110D78"/>
    <w:rsid w:val="00116ED8"/>
    <w:rsid w:val="00117792"/>
    <w:rsid w:val="001228A9"/>
    <w:rsid w:val="00122F5F"/>
    <w:rsid w:val="00123EF2"/>
    <w:rsid w:val="001245CB"/>
    <w:rsid w:val="0013783B"/>
    <w:rsid w:val="001578E9"/>
    <w:rsid w:val="00162A30"/>
    <w:rsid w:val="00165813"/>
    <w:rsid w:val="00171D19"/>
    <w:rsid w:val="00173196"/>
    <w:rsid w:val="0018118D"/>
    <w:rsid w:val="0018288D"/>
    <w:rsid w:val="001853D2"/>
    <w:rsid w:val="00187357"/>
    <w:rsid w:val="001A07A8"/>
    <w:rsid w:val="001B3613"/>
    <w:rsid w:val="001C2739"/>
    <w:rsid w:val="001C3D6C"/>
    <w:rsid w:val="001C7BDA"/>
    <w:rsid w:val="001D5E03"/>
    <w:rsid w:val="001D7DEE"/>
    <w:rsid w:val="001E02DA"/>
    <w:rsid w:val="001E2AAA"/>
    <w:rsid w:val="001F11D3"/>
    <w:rsid w:val="001F675B"/>
    <w:rsid w:val="0020406B"/>
    <w:rsid w:val="0020676E"/>
    <w:rsid w:val="002132FC"/>
    <w:rsid w:val="00216CB6"/>
    <w:rsid w:val="00217D1E"/>
    <w:rsid w:val="00223090"/>
    <w:rsid w:val="00224082"/>
    <w:rsid w:val="002402B5"/>
    <w:rsid w:val="00241B8D"/>
    <w:rsid w:val="00244FFE"/>
    <w:rsid w:val="00251164"/>
    <w:rsid w:val="00253D8A"/>
    <w:rsid w:val="00260D64"/>
    <w:rsid w:val="002624F8"/>
    <w:rsid w:val="002632DB"/>
    <w:rsid w:val="002672ED"/>
    <w:rsid w:val="002676D3"/>
    <w:rsid w:val="00271DA6"/>
    <w:rsid w:val="0027200A"/>
    <w:rsid w:val="00274990"/>
    <w:rsid w:val="002768CC"/>
    <w:rsid w:val="00287EDB"/>
    <w:rsid w:val="00295FB9"/>
    <w:rsid w:val="002961FA"/>
    <w:rsid w:val="002A293E"/>
    <w:rsid w:val="002A4E05"/>
    <w:rsid w:val="002C2FAC"/>
    <w:rsid w:val="002D0F54"/>
    <w:rsid w:val="002D1D04"/>
    <w:rsid w:val="002D2DAC"/>
    <w:rsid w:val="002D3808"/>
    <w:rsid w:val="002E0452"/>
    <w:rsid w:val="002E695D"/>
    <w:rsid w:val="002F18BB"/>
    <w:rsid w:val="002F4D18"/>
    <w:rsid w:val="00301FEB"/>
    <w:rsid w:val="00303D42"/>
    <w:rsid w:val="0030640D"/>
    <w:rsid w:val="00312D76"/>
    <w:rsid w:val="00314748"/>
    <w:rsid w:val="00334520"/>
    <w:rsid w:val="00334792"/>
    <w:rsid w:val="003363F0"/>
    <w:rsid w:val="00336A9A"/>
    <w:rsid w:val="0034128C"/>
    <w:rsid w:val="00362CBC"/>
    <w:rsid w:val="00381B26"/>
    <w:rsid w:val="00382478"/>
    <w:rsid w:val="00386F26"/>
    <w:rsid w:val="00387148"/>
    <w:rsid w:val="00387C94"/>
    <w:rsid w:val="003948B0"/>
    <w:rsid w:val="00395535"/>
    <w:rsid w:val="003A2999"/>
    <w:rsid w:val="003B28D6"/>
    <w:rsid w:val="003B55EC"/>
    <w:rsid w:val="003C40CE"/>
    <w:rsid w:val="003C482F"/>
    <w:rsid w:val="003C5369"/>
    <w:rsid w:val="003E1185"/>
    <w:rsid w:val="003E53ED"/>
    <w:rsid w:val="003F7CDA"/>
    <w:rsid w:val="00400BB8"/>
    <w:rsid w:val="00406D0E"/>
    <w:rsid w:val="00411F5E"/>
    <w:rsid w:val="00413EEB"/>
    <w:rsid w:val="00415562"/>
    <w:rsid w:val="00415E4E"/>
    <w:rsid w:val="004174DD"/>
    <w:rsid w:val="00423FBA"/>
    <w:rsid w:val="00425716"/>
    <w:rsid w:val="00425E5D"/>
    <w:rsid w:val="00430B84"/>
    <w:rsid w:val="00432913"/>
    <w:rsid w:val="0043544C"/>
    <w:rsid w:val="00442F6C"/>
    <w:rsid w:val="00451D00"/>
    <w:rsid w:val="00453027"/>
    <w:rsid w:val="004535C9"/>
    <w:rsid w:val="004538A9"/>
    <w:rsid w:val="00461A20"/>
    <w:rsid w:val="00463904"/>
    <w:rsid w:val="004657C4"/>
    <w:rsid w:val="004673E6"/>
    <w:rsid w:val="00476E9F"/>
    <w:rsid w:val="00481B20"/>
    <w:rsid w:val="004863B6"/>
    <w:rsid w:val="00486707"/>
    <w:rsid w:val="0048722D"/>
    <w:rsid w:val="004926FD"/>
    <w:rsid w:val="004928B8"/>
    <w:rsid w:val="00497A78"/>
    <w:rsid w:val="004A19B5"/>
    <w:rsid w:val="004A4564"/>
    <w:rsid w:val="004A68CB"/>
    <w:rsid w:val="004B08D8"/>
    <w:rsid w:val="004B0E60"/>
    <w:rsid w:val="004B7635"/>
    <w:rsid w:val="004C15A0"/>
    <w:rsid w:val="004C30A9"/>
    <w:rsid w:val="004D00AE"/>
    <w:rsid w:val="004D0872"/>
    <w:rsid w:val="004D5A18"/>
    <w:rsid w:val="004D67B0"/>
    <w:rsid w:val="004D7EF4"/>
    <w:rsid w:val="004F20B6"/>
    <w:rsid w:val="004F5144"/>
    <w:rsid w:val="004F5368"/>
    <w:rsid w:val="004F5613"/>
    <w:rsid w:val="00500754"/>
    <w:rsid w:val="00500AAF"/>
    <w:rsid w:val="005022AA"/>
    <w:rsid w:val="005031E8"/>
    <w:rsid w:val="0050390B"/>
    <w:rsid w:val="00503DD2"/>
    <w:rsid w:val="005062E6"/>
    <w:rsid w:val="00506F45"/>
    <w:rsid w:val="0051065F"/>
    <w:rsid w:val="0051385D"/>
    <w:rsid w:val="005227C8"/>
    <w:rsid w:val="00524278"/>
    <w:rsid w:val="005323E6"/>
    <w:rsid w:val="0053629A"/>
    <w:rsid w:val="005367ED"/>
    <w:rsid w:val="00540F02"/>
    <w:rsid w:val="0054303A"/>
    <w:rsid w:val="00543077"/>
    <w:rsid w:val="0054451D"/>
    <w:rsid w:val="005469BE"/>
    <w:rsid w:val="005478C9"/>
    <w:rsid w:val="00553784"/>
    <w:rsid w:val="005569E1"/>
    <w:rsid w:val="0056036E"/>
    <w:rsid w:val="005611F1"/>
    <w:rsid w:val="005626AA"/>
    <w:rsid w:val="005635B4"/>
    <w:rsid w:val="00571CFE"/>
    <w:rsid w:val="00591DE5"/>
    <w:rsid w:val="0059236C"/>
    <w:rsid w:val="00592982"/>
    <w:rsid w:val="005A2B9B"/>
    <w:rsid w:val="005A4F69"/>
    <w:rsid w:val="005A5994"/>
    <w:rsid w:val="005A7930"/>
    <w:rsid w:val="005B1DD0"/>
    <w:rsid w:val="005C14AA"/>
    <w:rsid w:val="005C643D"/>
    <w:rsid w:val="005D4A0D"/>
    <w:rsid w:val="005E2428"/>
    <w:rsid w:val="005E7673"/>
    <w:rsid w:val="006035FA"/>
    <w:rsid w:val="006052AE"/>
    <w:rsid w:val="00610B6D"/>
    <w:rsid w:val="0061613E"/>
    <w:rsid w:val="0062129F"/>
    <w:rsid w:val="00622926"/>
    <w:rsid w:val="0062388D"/>
    <w:rsid w:val="006352D0"/>
    <w:rsid w:val="006419D1"/>
    <w:rsid w:val="006538D6"/>
    <w:rsid w:val="00654B07"/>
    <w:rsid w:val="00661CB5"/>
    <w:rsid w:val="00674CB5"/>
    <w:rsid w:val="006760F4"/>
    <w:rsid w:val="00680536"/>
    <w:rsid w:val="006902BB"/>
    <w:rsid w:val="006A1024"/>
    <w:rsid w:val="006A7DFF"/>
    <w:rsid w:val="006B0510"/>
    <w:rsid w:val="006B2D02"/>
    <w:rsid w:val="006B6E0F"/>
    <w:rsid w:val="006C3C26"/>
    <w:rsid w:val="006C65C4"/>
    <w:rsid w:val="006C6EBD"/>
    <w:rsid w:val="006C7730"/>
    <w:rsid w:val="006D6149"/>
    <w:rsid w:val="006D782E"/>
    <w:rsid w:val="006E2F83"/>
    <w:rsid w:val="006E7FC3"/>
    <w:rsid w:val="006F411A"/>
    <w:rsid w:val="007038A8"/>
    <w:rsid w:val="00704378"/>
    <w:rsid w:val="00707398"/>
    <w:rsid w:val="007169EC"/>
    <w:rsid w:val="00727B9E"/>
    <w:rsid w:val="00741058"/>
    <w:rsid w:val="00753B1F"/>
    <w:rsid w:val="00755AB4"/>
    <w:rsid w:val="00761E7C"/>
    <w:rsid w:val="007636FC"/>
    <w:rsid w:val="007816FC"/>
    <w:rsid w:val="00781D8B"/>
    <w:rsid w:val="00787E59"/>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04148"/>
    <w:rsid w:val="00810811"/>
    <w:rsid w:val="008157AA"/>
    <w:rsid w:val="00815993"/>
    <w:rsid w:val="0082272E"/>
    <w:rsid w:val="0084762F"/>
    <w:rsid w:val="00851C25"/>
    <w:rsid w:val="00852EC7"/>
    <w:rsid w:val="00854330"/>
    <w:rsid w:val="0085484D"/>
    <w:rsid w:val="00862178"/>
    <w:rsid w:val="00862DDA"/>
    <w:rsid w:val="00863A78"/>
    <w:rsid w:val="00865913"/>
    <w:rsid w:val="00866679"/>
    <w:rsid w:val="00874EB7"/>
    <w:rsid w:val="008765A5"/>
    <w:rsid w:val="00882CAF"/>
    <w:rsid w:val="0088746C"/>
    <w:rsid w:val="0089025C"/>
    <w:rsid w:val="008940D8"/>
    <w:rsid w:val="008B23F8"/>
    <w:rsid w:val="008B4BA9"/>
    <w:rsid w:val="008B7A0F"/>
    <w:rsid w:val="008C302B"/>
    <w:rsid w:val="008C3DC2"/>
    <w:rsid w:val="008C45DE"/>
    <w:rsid w:val="008D0F02"/>
    <w:rsid w:val="008E0C8E"/>
    <w:rsid w:val="008E554D"/>
    <w:rsid w:val="008E65C7"/>
    <w:rsid w:val="008F2241"/>
    <w:rsid w:val="008F3342"/>
    <w:rsid w:val="00902F9C"/>
    <w:rsid w:val="00906AC7"/>
    <w:rsid w:val="00911A24"/>
    <w:rsid w:val="009206DD"/>
    <w:rsid w:val="00922D3B"/>
    <w:rsid w:val="00925659"/>
    <w:rsid w:val="009276FB"/>
    <w:rsid w:val="00936811"/>
    <w:rsid w:val="00940F83"/>
    <w:rsid w:val="00941511"/>
    <w:rsid w:val="0094187E"/>
    <w:rsid w:val="00945575"/>
    <w:rsid w:val="00951028"/>
    <w:rsid w:val="0095288D"/>
    <w:rsid w:val="00954BA8"/>
    <w:rsid w:val="00965E3F"/>
    <w:rsid w:val="00965F50"/>
    <w:rsid w:val="00973984"/>
    <w:rsid w:val="0098193E"/>
    <w:rsid w:val="00987772"/>
    <w:rsid w:val="0099291C"/>
    <w:rsid w:val="009929B4"/>
    <w:rsid w:val="009A1281"/>
    <w:rsid w:val="009A3B54"/>
    <w:rsid w:val="009B6344"/>
    <w:rsid w:val="009B764B"/>
    <w:rsid w:val="009C435E"/>
    <w:rsid w:val="009D247A"/>
    <w:rsid w:val="009D3D85"/>
    <w:rsid w:val="009D7AA9"/>
    <w:rsid w:val="009E0AC4"/>
    <w:rsid w:val="009E2468"/>
    <w:rsid w:val="009E3624"/>
    <w:rsid w:val="009E4EBA"/>
    <w:rsid w:val="009F091C"/>
    <w:rsid w:val="009F2D64"/>
    <w:rsid w:val="009F409C"/>
    <w:rsid w:val="009F6F7B"/>
    <w:rsid w:val="00A03126"/>
    <w:rsid w:val="00A04CDB"/>
    <w:rsid w:val="00A13315"/>
    <w:rsid w:val="00A175E3"/>
    <w:rsid w:val="00A17C95"/>
    <w:rsid w:val="00A27B34"/>
    <w:rsid w:val="00A37C4B"/>
    <w:rsid w:val="00A43778"/>
    <w:rsid w:val="00A4558F"/>
    <w:rsid w:val="00A50B27"/>
    <w:rsid w:val="00A51E32"/>
    <w:rsid w:val="00A534F9"/>
    <w:rsid w:val="00A549F9"/>
    <w:rsid w:val="00A562A0"/>
    <w:rsid w:val="00A5653C"/>
    <w:rsid w:val="00A574C4"/>
    <w:rsid w:val="00A60243"/>
    <w:rsid w:val="00A602DE"/>
    <w:rsid w:val="00A62828"/>
    <w:rsid w:val="00A64896"/>
    <w:rsid w:val="00A67525"/>
    <w:rsid w:val="00A702AC"/>
    <w:rsid w:val="00A71464"/>
    <w:rsid w:val="00A72FCF"/>
    <w:rsid w:val="00A758BF"/>
    <w:rsid w:val="00A762E8"/>
    <w:rsid w:val="00A77D3F"/>
    <w:rsid w:val="00A8066D"/>
    <w:rsid w:val="00A80B2E"/>
    <w:rsid w:val="00A819B4"/>
    <w:rsid w:val="00A83E44"/>
    <w:rsid w:val="00A91CAD"/>
    <w:rsid w:val="00A92D0F"/>
    <w:rsid w:val="00A95B23"/>
    <w:rsid w:val="00AA3559"/>
    <w:rsid w:val="00AA4AE4"/>
    <w:rsid w:val="00AA4E7D"/>
    <w:rsid w:val="00AA6636"/>
    <w:rsid w:val="00AC6628"/>
    <w:rsid w:val="00AD2E20"/>
    <w:rsid w:val="00AD3EFD"/>
    <w:rsid w:val="00AD559D"/>
    <w:rsid w:val="00AF35CC"/>
    <w:rsid w:val="00AF367B"/>
    <w:rsid w:val="00AF454E"/>
    <w:rsid w:val="00AF73DF"/>
    <w:rsid w:val="00B02CE0"/>
    <w:rsid w:val="00B06B53"/>
    <w:rsid w:val="00B17324"/>
    <w:rsid w:val="00B25EDF"/>
    <w:rsid w:val="00B26582"/>
    <w:rsid w:val="00B35DC8"/>
    <w:rsid w:val="00B4389C"/>
    <w:rsid w:val="00B47B2C"/>
    <w:rsid w:val="00B56B54"/>
    <w:rsid w:val="00B70E6B"/>
    <w:rsid w:val="00B80A1A"/>
    <w:rsid w:val="00B86BF7"/>
    <w:rsid w:val="00B905EC"/>
    <w:rsid w:val="00B908DC"/>
    <w:rsid w:val="00B91F74"/>
    <w:rsid w:val="00B9472D"/>
    <w:rsid w:val="00BA2D9C"/>
    <w:rsid w:val="00BA6FF3"/>
    <w:rsid w:val="00BB2B6F"/>
    <w:rsid w:val="00BB6938"/>
    <w:rsid w:val="00BC51D8"/>
    <w:rsid w:val="00BD5D62"/>
    <w:rsid w:val="00BD79A0"/>
    <w:rsid w:val="00BE144D"/>
    <w:rsid w:val="00BE17FD"/>
    <w:rsid w:val="00BE30EB"/>
    <w:rsid w:val="00BE3764"/>
    <w:rsid w:val="00BE38C6"/>
    <w:rsid w:val="00BE503B"/>
    <w:rsid w:val="00BE64CB"/>
    <w:rsid w:val="00C02E08"/>
    <w:rsid w:val="00C03879"/>
    <w:rsid w:val="00C10C09"/>
    <w:rsid w:val="00C11C42"/>
    <w:rsid w:val="00C12936"/>
    <w:rsid w:val="00C152F9"/>
    <w:rsid w:val="00C1756D"/>
    <w:rsid w:val="00C21420"/>
    <w:rsid w:val="00C26170"/>
    <w:rsid w:val="00C4173B"/>
    <w:rsid w:val="00C420B8"/>
    <w:rsid w:val="00C50A65"/>
    <w:rsid w:val="00C549E7"/>
    <w:rsid w:val="00C6051D"/>
    <w:rsid w:val="00C67610"/>
    <w:rsid w:val="00C67FEB"/>
    <w:rsid w:val="00C71E29"/>
    <w:rsid w:val="00C72516"/>
    <w:rsid w:val="00C7503D"/>
    <w:rsid w:val="00C906FD"/>
    <w:rsid w:val="00C93C98"/>
    <w:rsid w:val="00CA7439"/>
    <w:rsid w:val="00CB41DC"/>
    <w:rsid w:val="00CC56D8"/>
    <w:rsid w:val="00CC58EF"/>
    <w:rsid w:val="00CD1535"/>
    <w:rsid w:val="00CD25FA"/>
    <w:rsid w:val="00CE2A67"/>
    <w:rsid w:val="00CE741E"/>
    <w:rsid w:val="00CF03A1"/>
    <w:rsid w:val="00CF57D6"/>
    <w:rsid w:val="00D0524D"/>
    <w:rsid w:val="00D21F6D"/>
    <w:rsid w:val="00D26ADD"/>
    <w:rsid w:val="00D44083"/>
    <w:rsid w:val="00D45893"/>
    <w:rsid w:val="00D57022"/>
    <w:rsid w:val="00D57A56"/>
    <w:rsid w:val="00D63088"/>
    <w:rsid w:val="00D67104"/>
    <w:rsid w:val="00D70159"/>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E19"/>
    <w:rsid w:val="00DF5622"/>
    <w:rsid w:val="00DF6442"/>
    <w:rsid w:val="00E004DE"/>
    <w:rsid w:val="00E005F9"/>
    <w:rsid w:val="00E0470A"/>
    <w:rsid w:val="00E0482A"/>
    <w:rsid w:val="00E16FD2"/>
    <w:rsid w:val="00E27A01"/>
    <w:rsid w:val="00E30D6B"/>
    <w:rsid w:val="00E30E14"/>
    <w:rsid w:val="00E31B72"/>
    <w:rsid w:val="00E36AA2"/>
    <w:rsid w:val="00E40CFD"/>
    <w:rsid w:val="00E439CB"/>
    <w:rsid w:val="00E4540E"/>
    <w:rsid w:val="00E46E84"/>
    <w:rsid w:val="00E5640B"/>
    <w:rsid w:val="00E65AF8"/>
    <w:rsid w:val="00E73641"/>
    <w:rsid w:val="00E749D3"/>
    <w:rsid w:val="00E75F6E"/>
    <w:rsid w:val="00E77C4D"/>
    <w:rsid w:val="00E84968"/>
    <w:rsid w:val="00E90C62"/>
    <w:rsid w:val="00E922F2"/>
    <w:rsid w:val="00E93AC4"/>
    <w:rsid w:val="00EA4465"/>
    <w:rsid w:val="00EA4EF4"/>
    <w:rsid w:val="00EA50E5"/>
    <w:rsid w:val="00EA5258"/>
    <w:rsid w:val="00EB323F"/>
    <w:rsid w:val="00EB5A85"/>
    <w:rsid w:val="00EB743A"/>
    <w:rsid w:val="00EC4D8B"/>
    <w:rsid w:val="00ED2F7D"/>
    <w:rsid w:val="00EF36D0"/>
    <w:rsid w:val="00EF6E4B"/>
    <w:rsid w:val="00F01DBC"/>
    <w:rsid w:val="00F06CD1"/>
    <w:rsid w:val="00F06FB4"/>
    <w:rsid w:val="00F1027C"/>
    <w:rsid w:val="00F11008"/>
    <w:rsid w:val="00F1612A"/>
    <w:rsid w:val="00F23791"/>
    <w:rsid w:val="00F31F70"/>
    <w:rsid w:val="00F3381A"/>
    <w:rsid w:val="00F369EC"/>
    <w:rsid w:val="00F52E83"/>
    <w:rsid w:val="00F660DB"/>
    <w:rsid w:val="00F727DB"/>
    <w:rsid w:val="00F7294C"/>
    <w:rsid w:val="00F814D0"/>
    <w:rsid w:val="00F9056B"/>
    <w:rsid w:val="00F90C38"/>
    <w:rsid w:val="00F956D7"/>
    <w:rsid w:val="00FA3FD1"/>
    <w:rsid w:val="00FB2A93"/>
    <w:rsid w:val="00FB5880"/>
    <w:rsid w:val="00FC2DC7"/>
    <w:rsid w:val="00FC3FCF"/>
    <w:rsid w:val="00FC4C88"/>
    <w:rsid w:val="00FC679E"/>
    <w:rsid w:val="00FD08EE"/>
    <w:rsid w:val="00FE0722"/>
    <w:rsid w:val="00FE59A0"/>
    <w:rsid w:val="00FE658F"/>
    <w:rsid w:val="00FE703C"/>
    <w:rsid w:val="00FF1D30"/>
    <w:rsid w:val="00FF402D"/>
    <w:rsid w:val="00FF491B"/>
    <w:rsid w:val="00FF4D86"/>
    <w:rsid w:val="00FF5F3B"/>
    <w:rsid w:val="00FF795F"/>
    <w:rsid w:val="35CB23B6"/>
  </w:rsids>
  <m:mathPr>
    <m:mathFont m:val="Cambria Math"/>
    <m:brkBin m:val="before"/>
    <m:brkBinSub m:val="--"/>
    <m:smallFrac m:val="0"/>
    <m:dispDef/>
    <m:lMargin m:val="0"/>
    <m:rMargin m:val="0"/>
    <m:defJc m:val="centerGroup"/>
    <m:wrapIndent m:val="1440"/>
    <m:intLim m:val="subSup"/>
    <m:naryLim m:val="undOvr"/>
  </m:mathPr>
  <w:doNotAutoCompressPictures/>
  <w:themeFontLang w:val="id-ID"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nhideWhenUsed="0" w:uiPriority="99" w:semiHidden="0" w:name="heading 7"/>
    <w:lsdException w:qFormat="1" w:uiPriority="9" w:name="heading 8"/>
    <w:lsdException w:qFormat="1" w:uiPriority="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nhideWhenUsed="0" w:uiPriority="99" w:semiHidden="0" w:name="footnote text"/>
    <w:lsdException w:unhideWhenUsed="0" w:uiPriority="99" w:semiHidden="0" w:name="annotation text"/>
    <w:lsdException w:uiPriority="99" w:semiHidden="0" w:name="header"/>
    <w:lsdException w:unhideWhenUsed="0" w:uiPriority="99" w:semiHidden="0" w:name="footer"/>
    <w:lsdException w:unhideWhenUsed="0" w:uiPriority="99" w:semiHidden="0" w:name="index heading"/>
    <w:lsdException w:qFormat="1" w:uiPriority="35"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iPriority="99" w:name="endnote text"/>
    <w:lsdException w:unhideWhenUsed="0" w:uiPriority="99" w:semiHidden="0" w:name="table of authorities"/>
    <w:lsdException w:unhideWhenUsed="0" w:uiPriority="99" w:semiHidden="0" w:name="macro"/>
    <w:lsdException w:uiPriority="99" w:name="toa heading"/>
    <w:lsdException w:uiPriority="99"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uiPriority="1" w:name="Default Paragraph Font"/>
    <w:lsdException w:qFormat="1" w:unhideWhenUsed="0" w:uiPriority="1"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iPriority="99" w:semiHidden="0" w:name="Body Text 3"/>
    <w:lsdException w:qFormat="1" w:uiPriority="99" w:name="Body Text Indent 2"/>
    <w:lsdException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unhideWhenUsed="0" w:uiPriority="99" w:semiHidden="0" w:name="Plain Text"/>
    <w:lsdException w:unhideWhenUsed="0" w:uiPriority="99" w:semiHidden="0" w:name="E-mail Signature"/>
    <w:lsdException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pPr>
    <w:rPr>
      <w:rFonts w:ascii="Times New Roman" w:hAnsi="Times New Roman" w:eastAsia="Times New Roman" w:cs="Times New Roman"/>
      <w:lang w:val="en-US" w:eastAsia="en-GB" w:bidi="ar-SA"/>
    </w:rPr>
  </w:style>
  <w:style w:type="paragraph" w:styleId="2">
    <w:name w:val="heading 1"/>
    <w:basedOn w:val="1"/>
    <w:next w:val="1"/>
    <w:link w:val="34"/>
    <w:qFormat/>
    <w:uiPriority w:val="9"/>
    <w:pPr>
      <w:keepNext/>
      <w:spacing w:before="240" w:after="60"/>
      <w:outlineLvl w:val="0"/>
    </w:pPr>
    <w:rPr>
      <w:rFonts w:ascii="Cambria" w:hAnsi="Cambria"/>
      <w:b/>
      <w:bCs/>
      <w:kern w:val="32"/>
      <w:sz w:val="32"/>
      <w:szCs w:val="32"/>
    </w:rPr>
  </w:style>
  <w:style w:type="paragraph" w:styleId="3">
    <w:name w:val="heading 2"/>
    <w:basedOn w:val="1"/>
    <w:next w:val="1"/>
    <w:link w:val="33"/>
    <w:unhideWhenUsed/>
    <w:qFormat/>
    <w:uiPriority w:val="9"/>
    <w:pPr>
      <w:keepNext/>
      <w:spacing w:before="240" w:after="60"/>
      <w:outlineLvl w:val="1"/>
    </w:pPr>
    <w:rPr>
      <w:rFonts w:ascii="Cambria" w:hAnsi="Cambria"/>
      <w:b/>
      <w:bCs/>
      <w:i/>
      <w:iCs/>
      <w:sz w:val="28"/>
      <w:szCs w:val="28"/>
    </w:rPr>
  </w:style>
  <w:style w:type="paragraph" w:styleId="4">
    <w:name w:val="heading 3"/>
    <w:basedOn w:val="1"/>
    <w:next w:val="1"/>
    <w:link w:val="30"/>
    <w:semiHidden/>
    <w:unhideWhenUsed/>
    <w:qFormat/>
    <w:uiPriority w:val="9"/>
    <w:pPr>
      <w:keepNext/>
      <w:spacing w:before="240" w:after="60"/>
      <w:outlineLvl w:val="2"/>
    </w:pPr>
    <w:rPr>
      <w:rFonts w:ascii="Cambria" w:hAnsi="Cambria"/>
      <w:b/>
      <w:bCs/>
      <w:sz w:val="26"/>
      <w:szCs w:val="26"/>
    </w:rPr>
  </w:style>
  <w:style w:type="paragraph" w:styleId="5">
    <w:name w:val="heading 4"/>
    <w:basedOn w:val="1"/>
    <w:next w:val="1"/>
    <w:link w:val="31"/>
    <w:qFormat/>
    <w:uiPriority w:val="99"/>
    <w:pPr>
      <w:keepNext/>
      <w:spacing w:line="360" w:lineRule="auto"/>
      <w:jc w:val="center"/>
      <w:outlineLvl w:val="3"/>
    </w:pPr>
    <w:rPr>
      <w:b/>
      <w:bCs/>
      <w:sz w:val="24"/>
      <w:szCs w:val="24"/>
    </w:rPr>
  </w:style>
  <w:style w:type="paragraph" w:styleId="6">
    <w:name w:val="heading 7"/>
    <w:basedOn w:val="1"/>
    <w:next w:val="1"/>
    <w:link w:val="32"/>
    <w:qFormat/>
    <w:uiPriority w:val="99"/>
    <w:pPr>
      <w:keepNext/>
      <w:spacing w:line="360" w:lineRule="auto"/>
      <w:jc w:val="both"/>
      <w:outlineLvl w:val="6"/>
    </w:pPr>
    <w:rPr>
      <w:rFonts w:ascii="Garamond" w:hAnsi="Garamond" w:cs="Garamond"/>
      <w:b/>
      <w:bCs/>
      <w:sz w:val="24"/>
      <w:szCs w:val="24"/>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link w:val="35"/>
    <w:semiHidden/>
    <w:uiPriority w:val="99"/>
    <w:pPr>
      <w:autoSpaceDE/>
      <w:autoSpaceDN/>
    </w:pPr>
    <w:rPr>
      <w:rFonts w:ascii="Tahoma" w:hAnsi="Tahoma" w:cs="Tahoma"/>
      <w:sz w:val="16"/>
      <w:szCs w:val="16"/>
      <w:lang w:eastAsia="en-US"/>
    </w:rPr>
  </w:style>
  <w:style w:type="paragraph" w:styleId="10">
    <w:name w:val="Body Text"/>
    <w:basedOn w:val="1"/>
    <w:link w:val="41"/>
    <w:qFormat/>
    <w:uiPriority w:val="1"/>
    <w:pPr>
      <w:spacing w:after="120"/>
    </w:pPr>
  </w:style>
  <w:style w:type="paragraph" w:styleId="11">
    <w:name w:val="Body Text 2"/>
    <w:basedOn w:val="1"/>
    <w:link w:val="38"/>
    <w:uiPriority w:val="99"/>
    <w:pPr>
      <w:spacing w:after="120"/>
      <w:ind w:left="283"/>
    </w:pPr>
    <w:rPr>
      <w:sz w:val="24"/>
      <w:szCs w:val="24"/>
    </w:rPr>
  </w:style>
  <w:style w:type="paragraph" w:styleId="12">
    <w:name w:val="Body Text 3"/>
    <w:basedOn w:val="1"/>
    <w:link w:val="42"/>
    <w:unhideWhenUsed/>
    <w:uiPriority w:val="99"/>
    <w:pPr>
      <w:autoSpaceDE/>
      <w:autoSpaceDN/>
      <w:spacing w:after="120"/>
    </w:pPr>
    <w:rPr>
      <w:sz w:val="16"/>
      <w:szCs w:val="16"/>
      <w:lang w:eastAsia="en-US"/>
    </w:rPr>
  </w:style>
  <w:style w:type="paragraph" w:styleId="13">
    <w:name w:val="Body Text Indent"/>
    <w:basedOn w:val="1"/>
    <w:link w:val="46"/>
    <w:uiPriority w:val="99"/>
    <w:pPr>
      <w:autoSpaceDE/>
      <w:autoSpaceDN/>
      <w:spacing w:after="120"/>
      <w:ind w:left="360"/>
    </w:pPr>
    <w:rPr>
      <w:sz w:val="24"/>
      <w:szCs w:val="24"/>
      <w:lang w:eastAsia="en-US"/>
    </w:rPr>
  </w:style>
  <w:style w:type="paragraph" w:styleId="14">
    <w:name w:val="Body Text Indent 2"/>
    <w:basedOn w:val="1"/>
    <w:link w:val="45"/>
    <w:semiHidden/>
    <w:unhideWhenUsed/>
    <w:qFormat/>
    <w:uiPriority w:val="99"/>
    <w:pPr>
      <w:spacing w:after="120" w:line="480" w:lineRule="auto"/>
      <w:ind w:left="360"/>
    </w:pPr>
  </w:style>
  <w:style w:type="paragraph" w:styleId="15">
    <w:name w:val="Body Text Indent 3"/>
    <w:basedOn w:val="1"/>
    <w:link w:val="52"/>
    <w:unhideWhenUsed/>
    <w:uiPriority w:val="99"/>
    <w:pPr>
      <w:autoSpaceDE/>
      <w:autoSpaceDN/>
      <w:spacing w:after="120"/>
      <w:ind w:left="283"/>
    </w:pPr>
    <w:rPr>
      <w:sz w:val="16"/>
      <w:szCs w:val="16"/>
      <w:lang w:eastAsia="en-US"/>
    </w:rPr>
  </w:style>
  <w:style w:type="character" w:styleId="16">
    <w:name w:val="annotation reference"/>
    <w:basedOn w:val="7"/>
    <w:uiPriority w:val="99"/>
    <w:rPr>
      <w:sz w:val="16"/>
      <w:szCs w:val="16"/>
    </w:rPr>
  </w:style>
  <w:style w:type="paragraph" w:styleId="17">
    <w:name w:val="annotation text"/>
    <w:basedOn w:val="1"/>
    <w:link w:val="69"/>
    <w:uiPriority w:val="99"/>
  </w:style>
  <w:style w:type="paragraph" w:styleId="18">
    <w:name w:val="annotation subject"/>
    <w:basedOn w:val="17"/>
    <w:next w:val="17"/>
    <w:link w:val="70"/>
    <w:uiPriority w:val="99"/>
    <w:rPr>
      <w:b/>
      <w:bCs/>
    </w:rPr>
  </w:style>
  <w:style w:type="character" w:styleId="19">
    <w:name w:val="Emphasis"/>
    <w:basedOn w:val="7"/>
    <w:qFormat/>
    <w:uiPriority w:val="20"/>
    <w:rPr>
      <w:rFonts w:cs="Times New Roman"/>
      <w:i/>
    </w:rPr>
  </w:style>
  <w:style w:type="paragraph" w:styleId="20">
    <w:name w:val="footer"/>
    <w:basedOn w:val="1"/>
    <w:link w:val="39"/>
    <w:uiPriority w:val="99"/>
    <w:pPr>
      <w:tabs>
        <w:tab w:val="center" w:pos="4320"/>
        <w:tab w:val="right" w:pos="8640"/>
      </w:tabs>
    </w:pPr>
  </w:style>
  <w:style w:type="character" w:styleId="21">
    <w:name w:val="footnote reference"/>
    <w:basedOn w:val="7"/>
    <w:uiPriority w:val="99"/>
    <w:rPr>
      <w:rFonts w:cs="Times New Roman"/>
      <w:vertAlign w:val="superscript"/>
    </w:rPr>
  </w:style>
  <w:style w:type="paragraph" w:styleId="22">
    <w:name w:val="footnote text"/>
    <w:basedOn w:val="1"/>
    <w:link w:val="37"/>
    <w:uiPriority w:val="99"/>
  </w:style>
  <w:style w:type="paragraph" w:styleId="23">
    <w:name w:val="header"/>
    <w:basedOn w:val="1"/>
    <w:link w:val="43"/>
    <w:unhideWhenUsed/>
    <w:uiPriority w:val="99"/>
    <w:pPr>
      <w:tabs>
        <w:tab w:val="center" w:pos="4680"/>
        <w:tab w:val="right" w:pos="9360"/>
      </w:tabs>
    </w:pPr>
  </w:style>
  <w:style w:type="paragraph" w:styleId="24">
    <w:name w:val="HTML Preformatted"/>
    <w:basedOn w:val="1"/>
    <w:link w:val="53"/>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styleId="25">
    <w:name w:val="Hyperlink"/>
    <w:basedOn w:val="7"/>
    <w:uiPriority w:val="99"/>
    <w:rPr>
      <w:rFonts w:cs="Times New Roman"/>
      <w:color w:val="0000FF"/>
      <w:u w:val="single"/>
    </w:rPr>
  </w:style>
  <w:style w:type="paragraph" w:styleId="26">
    <w:name w:val="Normal (Web)"/>
    <w:basedOn w:val="1"/>
    <w:unhideWhenUsed/>
    <w:uiPriority w:val="99"/>
    <w:pPr>
      <w:autoSpaceDE/>
      <w:autoSpaceDN/>
      <w:spacing w:before="100" w:beforeAutospacing="1" w:after="100" w:afterAutospacing="1"/>
    </w:pPr>
    <w:rPr>
      <w:sz w:val="24"/>
      <w:szCs w:val="24"/>
      <w:lang w:val="zh-CN" w:eastAsia="zh-CN"/>
    </w:rPr>
  </w:style>
  <w:style w:type="character" w:styleId="27">
    <w:name w:val="page number"/>
    <w:basedOn w:val="7"/>
    <w:uiPriority w:val="99"/>
    <w:rPr>
      <w:rFonts w:cs="Times New Roman"/>
    </w:rPr>
  </w:style>
  <w:style w:type="table" w:styleId="28">
    <w:name w:val="Table Grid"/>
    <w:basedOn w:val="8"/>
    <w:uiPriority w:val="39"/>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9">
    <w:name w:val="Title"/>
    <w:basedOn w:val="1"/>
    <w:link w:val="36"/>
    <w:qFormat/>
    <w:uiPriority w:val="10"/>
    <w:pPr>
      <w:jc w:val="center"/>
    </w:pPr>
    <w:rPr>
      <w:b/>
      <w:bCs/>
      <w:sz w:val="24"/>
      <w:szCs w:val="24"/>
    </w:rPr>
  </w:style>
  <w:style w:type="character" w:customStyle="1" w:styleId="30">
    <w:name w:val="Heading 3 Char"/>
    <w:basedOn w:val="7"/>
    <w:link w:val="4"/>
    <w:semiHidden/>
    <w:locked/>
    <w:uiPriority w:val="9"/>
    <w:rPr>
      <w:rFonts w:ascii="Cambria" w:hAnsi="Cambria" w:cs="Times New Roman"/>
      <w:b/>
      <w:sz w:val="26"/>
      <w:lang w:val="zh-CN" w:eastAsia="en-GB"/>
    </w:rPr>
  </w:style>
  <w:style w:type="character" w:customStyle="1" w:styleId="31">
    <w:name w:val="Heading 4 Char"/>
    <w:basedOn w:val="7"/>
    <w:link w:val="5"/>
    <w:semiHidden/>
    <w:locked/>
    <w:uiPriority w:val="9"/>
    <w:rPr>
      <w:rFonts w:ascii="Calibri" w:hAnsi="Calibri" w:cs="Times New Roman"/>
      <w:b/>
      <w:sz w:val="28"/>
      <w:lang w:val="zh-CN" w:eastAsia="en-GB"/>
    </w:rPr>
  </w:style>
  <w:style w:type="character" w:customStyle="1" w:styleId="32">
    <w:name w:val="Heading 7 Char"/>
    <w:basedOn w:val="7"/>
    <w:link w:val="6"/>
    <w:semiHidden/>
    <w:locked/>
    <w:uiPriority w:val="9"/>
    <w:rPr>
      <w:rFonts w:ascii="Calibri" w:hAnsi="Calibri" w:cs="Times New Roman"/>
      <w:sz w:val="24"/>
      <w:lang w:val="zh-CN" w:eastAsia="en-GB"/>
    </w:rPr>
  </w:style>
  <w:style w:type="character" w:customStyle="1" w:styleId="33">
    <w:name w:val="Heading 2 Char"/>
    <w:basedOn w:val="7"/>
    <w:link w:val="3"/>
    <w:locked/>
    <w:uiPriority w:val="9"/>
    <w:rPr>
      <w:rFonts w:ascii="Cambria" w:hAnsi="Cambria" w:cs="Times New Roman"/>
      <w:b/>
      <w:i/>
      <w:sz w:val="28"/>
      <w:lang w:val="en-US" w:eastAsia="en-GB"/>
    </w:rPr>
  </w:style>
  <w:style w:type="character" w:customStyle="1" w:styleId="34">
    <w:name w:val="Heading 1 Char"/>
    <w:basedOn w:val="7"/>
    <w:link w:val="2"/>
    <w:locked/>
    <w:uiPriority w:val="9"/>
    <w:rPr>
      <w:rFonts w:ascii="Cambria" w:hAnsi="Cambria" w:cs="Times New Roman"/>
      <w:b/>
      <w:kern w:val="32"/>
      <w:sz w:val="32"/>
      <w:lang w:val="zh-CN" w:eastAsia="en-GB"/>
    </w:rPr>
  </w:style>
  <w:style w:type="character" w:customStyle="1" w:styleId="35">
    <w:name w:val="Balloon Text Char"/>
    <w:basedOn w:val="7"/>
    <w:link w:val="9"/>
    <w:semiHidden/>
    <w:locked/>
    <w:uiPriority w:val="99"/>
    <w:rPr>
      <w:rFonts w:ascii="Tahoma" w:hAnsi="Tahoma" w:cs="Times New Roman"/>
      <w:sz w:val="16"/>
      <w:lang w:val="zh-CN" w:eastAsia="en-GB"/>
    </w:rPr>
  </w:style>
  <w:style w:type="character" w:customStyle="1" w:styleId="36">
    <w:name w:val="Title Char"/>
    <w:basedOn w:val="7"/>
    <w:link w:val="29"/>
    <w:locked/>
    <w:uiPriority w:val="10"/>
    <w:rPr>
      <w:rFonts w:ascii="Cambria" w:hAnsi="Cambria" w:cs="Times New Roman"/>
      <w:b/>
      <w:kern w:val="28"/>
      <w:sz w:val="32"/>
      <w:lang w:val="zh-CN" w:eastAsia="en-GB"/>
    </w:rPr>
  </w:style>
  <w:style w:type="character" w:customStyle="1" w:styleId="37">
    <w:name w:val="Footnote Text Char"/>
    <w:basedOn w:val="7"/>
    <w:link w:val="22"/>
    <w:locked/>
    <w:uiPriority w:val="99"/>
    <w:rPr>
      <w:rFonts w:cs="Times New Roman"/>
      <w:lang w:val="en-US" w:eastAsia="en-GB"/>
    </w:rPr>
  </w:style>
  <w:style w:type="character" w:customStyle="1" w:styleId="38">
    <w:name w:val="Body Text 2 Char"/>
    <w:basedOn w:val="7"/>
    <w:link w:val="11"/>
    <w:semiHidden/>
    <w:qFormat/>
    <w:locked/>
    <w:uiPriority w:val="99"/>
    <w:rPr>
      <w:rFonts w:cs="Times New Roman"/>
      <w:sz w:val="20"/>
      <w:lang w:val="zh-CN" w:eastAsia="en-GB"/>
    </w:rPr>
  </w:style>
  <w:style w:type="character" w:customStyle="1" w:styleId="39">
    <w:name w:val="Footer Char"/>
    <w:basedOn w:val="7"/>
    <w:link w:val="20"/>
    <w:locked/>
    <w:uiPriority w:val="99"/>
    <w:rPr>
      <w:rFonts w:cs="Times New Roman"/>
      <w:sz w:val="20"/>
      <w:lang w:val="zh-CN" w:eastAsia="en-GB"/>
    </w:rPr>
  </w:style>
  <w:style w:type="character" w:customStyle="1" w:styleId="40">
    <w:name w:val="go"/>
    <w:uiPriority w:val="0"/>
  </w:style>
  <w:style w:type="character" w:customStyle="1" w:styleId="41">
    <w:name w:val="Body Text Char"/>
    <w:basedOn w:val="7"/>
    <w:link w:val="10"/>
    <w:locked/>
    <w:uiPriority w:val="1"/>
    <w:rPr>
      <w:rFonts w:cs="Times New Roman"/>
      <w:sz w:val="20"/>
      <w:lang w:val="zh-CN" w:eastAsia="en-GB"/>
    </w:rPr>
  </w:style>
  <w:style w:type="character" w:customStyle="1" w:styleId="42">
    <w:name w:val="Body Text 3 Char"/>
    <w:basedOn w:val="7"/>
    <w:link w:val="12"/>
    <w:locked/>
    <w:uiPriority w:val="99"/>
    <w:rPr>
      <w:rFonts w:cs="Times New Roman"/>
      <w:sz w:val="16"/>
    </w:rPr>
  </w:style>
  <w:style w:type="character" w:customStyle="1" w:styleId="43">
    <w:name w:val="Header Char"/>
    <w:basedOn w:val="7"/>
    <w:link w:val="23"/>
    <w:locked/>
    <w:uiPriority w:val="99"/>
    <w:rPr>
      <w:rFonts w:cs="Times New Roman"/>
      <w:sz w:val="20"/>
      <w:lang w:val="zh-CN" w:eastAsia="en-GB"/>
    </w:rPr>
  </w:style>
  <w:style w:type="character" w:customStyle="1" w:styleId="44">
    <w:name w:val="hps"/>
    <w:uiPriority w:val="0"/>
  </w:style>
  <w:style w:type="character" w:customStyle="1" w:styleId="45">
    <w:name w:val="Body Text Indent 2 Char"/>
    <w:basedOn w:val="7"/>
    <w:link w:val="14"/>
    <w:semiHidden/>
    <w:locked/>
    <w:uiPriority w:val="99"/>
    <w:rPr>
      <w:rFonts w:cs="Times New Roman"/>
      <w:lang w:val="zh-CN" w:eastAsia="en-GB"/>
    </w:rPr>
  </w:style>
  <w:style w:type="character" w:customStyle="1" w:styleId="46">
    <w:name w:val="Body Text Indent Char"/>
    <w:basedOn w:val="7"/>
    <w:link w:val="13"/>
    <w:locked/>
    <w:uiPriority w:val="99"/>
    <w:rPr>
      <w:rFonts w:cs="Times New Roman"/>
      <w:sz w:val="24"/>
    </w:rPr>
  </w:style>
  <w:style w:type="character" w:customStyle="1" w:styleId="47">
    <w:name w:val="atn"/>
    <w:uiPriority w:val="0"/>
  </w:style>
  <w:style w:type="paragraph" w:styleId="48">
    <w:name w:val="List Paragraph"/>
    <w:basedOn w:val="1"/>
    <w:link w:val="49"/>
    <w:qFormat/>
    <w:uiPriority w:val="34"/>
    <w:pPr>
      <w:autoSpaceDE/>
      <w:autoSpaceDN/>
      <w:spacing w:after="200" w:line="276" w:lineRule="auto"/>
      <w:ind w:left="720"/>
      <w:contextualSpacing/>
    </w:pPr>
    <w:rPr>
      <w:rFonts w:ascii="Calibri" w:hAnsi="Calibri"/>
      <w:sz w:val="22"/>
      <w:lang w:val="id-ID" w:eastAsia="id-ID"/>
    </w:rPr>
  </w:style>
  <w:style w:type="character" w:customStyle="1" w:styleId="49">
    <w:name w:val="List Paragraph Char"/>
    <w:link w:val="48"/>
    <w:locked/>
    <w:uiPriority w:val="34"/>
    <w:rPr>
      <w:rFonts w:ascii="Calibri" w:hAnsi="Calibri"/>
      <w:sz w:val="22"/>
      <w:lang w:val="id-ID"/>
    </w:rPr>
  </w:style>
  <w:style w:type="paragraph" w:customStyle="1" w:styleId="50">
    <w:name w:val="para"/>
    <w:basedOn w:val="1"/>
    <w:uiPriority w:val="99"/>
    <w:pPr>
      <w:autoSpaceDE/>
      <w:autoSpaceDN/>
      <w:spacing w:before="100" w:beforeAutospacing="1" w:after="100" w:afterAutospacing="1"/>
    </w:pPr>
    <w:rPr>
      <w:sz w:val="24"/>
      <w:szCs w:val="24"/>
      <w:lang w:eastAsia="en-US"/>
    </w:rPr>
  </w:style>
  <w:style w:type="character" w:customStyle="1" w:styleId="51">
    <w:name w:val="fontstyle23"/>
    <w:uiPriority w:val="0"/>
  </w:style>
  <w:style w:type="character" w:customStyle="1" w:styleId="52">
    <w:name w:val="Body Text Indent 3 Char"/>
    <w:basedOn w:val="7"/>
    <w:link w:val="15"/>
    <w:locked/>
    <w:uiPriority w:val="99"/>
    <w:rPr>
      <w:rFonts w:cs="Times New Roman"/>
      <w:sz w:val="16"/>
    </w:rPr>
  </w:style>
  <w:style w:type="character" w:customStyle="1" w:styleId="53">
    <w:name w:val="HTML Preformatted Char"/>
    <w:basedOn w:val="7"/>
    <w:link w:val="24"/>
    <w:locked/>
    <w:uiPriority w:val="99"/>
    <w:rPr>
      <w:rFonts w:ascii="Courier New" w:hAnsi="Courier New" w:cs="Times New Roman"/>
    </w:rPr>
  </w:style>
  <w:style w:type="character" w:customStyle="1" w:styleId="54">
    <w:name w:val="fontstyle22"/>
    <w:uiPriority w:val="0"/>
  </w:style>
  <w:style w:type="character" w:customStyle="1" w:styleId="55">
    <w:name w:val="fontstyle33"/>
    <w:uiPriority w:val="0"/>
  </w:style>
  <w:style w:type="character" w:customStyle="1" w:styleId="56">
    <w:name w:val="fontstyle32"/>
    <w:uiPriority w:val="0"/>
  </w:style>
  <w:style w:type="paragraph" w:customStyle="1" w:styleId="57">
    <w:name w:val="rtejustify"/>
    <w:basedOn w:val="1"/>
    <w:uiPriority w:val="0"/>
    <w:pPr>
      <w:autoSpaceDE/>
      <w:autoSpaceDN/>
      <w:spacing w:before="100" w:beforeAutospacing="1" w:after="100" w:afterAutospacing="1"/>
    </w:pPr>
    <w:rPr>
      <w:sz w:val="24"/>
      <w:szCs w:val="24"/>
      <w:lang w:eastAsia="en-US"/>
    </w:rPr>
  </w:style>
  <w:style w:type="character" w:customStyle="1" w:styleId="58">
    <w:name w:val="mw-headline"/>
    <w:uiPriority w:val="0"/>
  </w:style>
  <w:style w:type="character" w:customStyle="1" w:styleId="59">
    <w:name w:val="citation"/>
    <w:uiPriority w:val="0"/>
  </w:style>
  <w:style w:type="character" w:customStyle="1" w:styleId="60">
    <w:name w:val="gensmall"/>
    <w:uiPriority w:val="99"/>
  </w:style>
  <w:style w:type="paragraph" w:customStyle="1" w:styleId="61">
    <w:name w:val="Default"/>
    <w:uiPriority w:val="0"/>
    <w:pPr>
      <w:autoSpaceDE w:val="0"/>
      <w:autoSpaceDN w:val="0"/>
      <w:adjustRightInd w:val="0"/>
    </w:pPr>
    <w:rPr>
      <w:rFonts w:ascii="Times New Roman" w:hAnsi="Times New Roman" w:eastAsia="Times New Roman" w:cs="Times New Roman"/>
      <w:color w:val="000000"/>
      <w:sz w:val="24"/>
      <w:szCs w:val="24"/>
      <w:lang w:val="id-ID" w:eastAsia="en-US" w:bidi="ar-SA"/>
    </w:rPr>
  </w:style>
  <w:style w:type="character" w:customStyle="1" w:styleId="62">
    <w:name w:val="fullpost"/>
    <w:uiPriority w:val="0"/>
  </w:style>
  <w:style w:type="character" w:customStyle="1" w:styleId="63">
    <w:name w:val="short_text"/>
    <w:uiPriority w:val="0"/>
  </w:style>
  <w:style w:type="character" w:customStyle="1" w:styleId="64">
    <w:name w:val="tlid-translation"/>
    <w:uiPriority w:val="0"/>
  </w:style>
  <w:style w:type="character" w:customStyle="1" w:styleId="65">
    <w:name w:val="label"/>
    <w:uiPriority w:val="0"/>
  </w:style>
  <w:style w:type="character" w:customStyle="1" w:styleId="66">
    <w:name w:val="value"/>
    <w:uiPriority w:val="0"/>
  </w:style>
  <w:style w:type="paragraph" w:customStyle="1" w:styleId="67">
    <w:name w:val="Pa0"/>
    <w:basedOn w:val="1"/>
    <w:next w:val="1"/>
    <w:uiPriority w:val="99"/>
    <w:pPr>
      <w:adjustRightInd w:val="0"/>
      <w:spacing w:line="241" w:lineRule="atLeast"/>
    </w:pPr>
    <w:rPr>
      <w:sz w:val="24"/>
      <w:szCs w:val="24"/>
      <w:lang w:val="id-ID" w:eastAsia="en-US"/>
    </w:rPr>
  </w:style>
  <w:style w:type="character" w:customStyle="1" w:styleId="68">
    <w:name w:val="Unresolved Mention"/>
    <w:basedOn w:val="7"/>
    <w:semiHidden/>
    <w:unhideWhenUsed/>
    <w:uiPriority w:val="99"/>
    <w:rPr>
      <w:rFonts w:cs="Times New Roman"/>
      <w:color w:val="605E5C"/>
      <w:shd w:val="clear" w:color="auto" w:fill="E1DFDD"/>
    </w:rPr>
  </w:style>
  <w:style w:type="character" w:customStyle="1" w:styleId="69">
    <w:name w:val="Comment Text Char"/>
    <w:basedOn w:val="7"/>
    <w:link w:val="17"/>
    <w:uiPriority w:val="99"/>
    <w:rPr>
      <w:lang w:val="en-US" w:eastAsia="en-GB"/>
    </w:rPr>
  </w:style>
  <w:style w:type="character" w:customStyle="1" w:styleId="70">
    <w:name w:val="Comment Subject Char"/>
    <w:basedOn w:val="69"/>
    <w:link w:val="18"/>
    <w:uiPriority w:val="99"/>
    <w:rPr>
      <w:b/>
      <w:bCs/>
      <w:lang w:val="en-US" w:eastAsia="en-GB"/>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E64C8-9387-4193-A5E3-FE2B2832869C}">
  <ds:schemaRefs/>
</ds:datastoreItem>
</file>

<file path=docProps/app.xml><?xml version="1.0" encoding="utf-8"?>
<Properties xmlns="http://schemas.openxmlformats.org/officeDocument/2006/extended-properties" xmlns:vt="http://schemas.openxmlformats.org/officeDocument/2006/docPropsVTypes">
  <Template>Normal</Template>
  <Company>UIN Malang</Company>
  <Pages>24</Pages>
  <Words>20807</Words>
  <Characters>118600</Characters>
  <Lines>988</Lines>
  <Paragraphs>278</Paragraphs>
  <TotalTime>3</TotalTime>
  <ScaleCrop>false</ScaleCrop>
  <LinksUpToDate>false</LinksUpToDate>
  <CharactersWithSpaces>139129</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2025-04-28T04:37:00Z</dcterms:created>
  <dc:creator>comp</dc:creator>
  <cp:lastModifiedBy>ASUS</cp:lastModifiedBy>
  <cp:lastPrinted>2008-11-01T04:52:00Z</cp:lastPrinted>
  <dcterms:modified xsi:type="dcterms:W3CDTF">2025-05-13T07:29:53Z</dcterms:modified>
  <dc:title>Transformasi Kultur Pendidikan Islam di Indonesia</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http://csl.mendeley.com/styles/578130401/apa-6th-edition</vt:lpwstr>
  </property>
  <property fmtid="{D5CDD505-2E9C-101B-9397-08002B2CF9AE}" pid="5" name="Mendeley Recent Style Name 1_1">
    <vt:lpwstr>American Psychological Association 6th edition - Cory Tri Anjarsari</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12th edition - Harvard</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557181b7-cf85-3a56-92fb-e33530b22815</vt:lpwstr>
  </property>
  <property fmtid="{D5CDD505-2E9C-101B-9397-08002B2CF9AE}" pid="24" name="Mendeley Citation Style_1">
    <vt:lpwstr>http://www.zotero.org/styles/apa</vt:lpwstr>
  </property>
  <property fmtid="{D5CDD505-2E9C-101B-9397-08002B2CF9AE}" pid="25" name="GrammarlyDocumentId">
    <vt:lpwstr>cdaf8f85-b54c-408c-8f0c-850df09d5a4b</vt:lpwstr>
  </property>
  <property fmtid="{D5CDD505-2E9C-101B-9397-08002B2CF9AE}" pid="26" name="KSOProductBuildVer">
    <vt:lpwstr>1057-12.2.0.20795</vt:lpwstr>
  </property>
  <property fmtid="{D5CDD505-2E9C-101B-9397-08002B2CF9AE}" pid="27" name="ICV">
    <vt:lpwstr>094FC19B83D6468C8928309F27FB5123_12</vt:lpwstr>
  </property>
</Properties>
</file>