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AB39F2" w14:textId="77777777" w:rsidR="00087E52" w:rsidRPr="00087E52" w:rsidRDefault="00087E52" w:rsidP="00087E52">
      <w:pPr>
        <w:jc w:val="center"/>
        <w:rPr>
          <w:rFonts w:ascii="Calibri Light" w:hAnsi="Calibri Light" w:cs="Calibri Light"/>
          <w:b/>
          <w:bCs/>
          <w:sz w:val="28"/>
          <w:szCs w:val="28"/>
          <w:rtl/>
          <w:lang w:val="en-ID"/>
        </w:rPr>
      </w:pPr>
      <w:r w:rsidRPr="00087E52">
        <w:rPr>
          <w:rFonts w:ascii="Calibri Light" w:hAnsi="Calibri Light" w:cs="Calibri Light"/>
          <w:b/>
          <w:bCs/>
          <w:sz w:val="28"/>
          <w:szCs w:val="28"/>
          <w:lang w:val="en-ID"/>
        </w:rPr>
        <w:t>The Legal Evolution of Basel Accords and Their Impact on Islamic Banking Regulations: A Bibliometric Analysis</w:t>
      </w:r>
    </w:p>
    <w:p w14:paraId="52CF7133" w14:textId="77777777" w:rsidR="008A257B" w:rsidRPr="008A257B" w:rsidRDefault="008A257B" w:rsidP="00122F5F">
      <w:pPr>
        <w:rPr>
          <w:rFonts w:ascii="Calibri Light" w:hAnsi="Calibri Light" w:cs="Calibri Light"/>
          <w:b/>
          <w:bCs/>
          <w:sz w:val="28"/>
          <w:szCs w:val="28"/>
          <w:rtl/>
          <w:lang w:val="en-ID"/>
        </w:rPr>
      </w:pPr>
    </w:p>
    <w:p w14:paraId="1A568B8D" w14:textId="77777777" w:rsidR="00F97E21" w:rsidRPr="00B23F90" w:rsidRDefault="00F97E21" w:rsidP="00901F00">
      <w:pPr>
        <w:rPr>
          <w:rFonts w:ascii="Calibri Light" w:hAnsi="Calibri Light" w:cs="Calibri Light"/>
          <w:color w:val="A6A6A6"/>
          <w:sz w:val="24"/>
          <w:szCs w:val="24"/>
        </w:rPr>
      </w:pPr>
    </w:p>
    <w:p w14:paraId="75B8B063" w14:textId="09F1A3E3" w:rsidR="008C45DE" w:rsidRPr="00122F5F" w:rsidRDefault="008C45DE" w:rsidP="00D67519">
      <w:pPr>
        <w:rPr>
          <w:rFonts w:ascii="Calibri Light" w:hAnsi="Calibri Light" w:cs="Calibri Light"/>
          <w:color w:val="FF0000"/>
          <w:sz w:val="24"/>
          <w:szCs w:val="24"/>
        </w:rPr>
      </w:pPr>
      <w:r w:rsidRPr="00122F5F">
        <w:rPr>
          <w:rFonts w:ascii="Calibri Light" w:hAnsi="Calibri Light" w:cs="Calibri Light"/>
          <w:sz w:val="24"/>
          <w:szCs w:val="24"/>
          <w:vertAlign w:val="superscript"/>
        </w:rPr>
        <w:t>1</w:t>
      </w:r>
      <w:r w:rsidRPr="00122F5F">
        <w:rPr>
          <w:rFonts w:ascii="Calibri Light" w:hAnsi="Calibri Light" w:cs="Calibri Light"/>
          <w:sz w:val="24"/>
          <w:szCs w:val="24"/>
        </w:rPr>
        <w:t>(</w:t>
      </w:r>
      <w:r w:rsidR="00D67519" w:rsidRPr="00D67519">
        <w:rPr>
          <w:rFonts w:ascii="Calibri Light" w:hAnsi="Calibri Light" w:cs="Calibri Light"/>
          <w:sz w:val="24"/>
          <w:szCs w:val="24"/>
        </w:rPr>
        <w:t>Department of Islamic Economic Law</w:t>
      </w:r>
      <w:r w:rsidRPr="00122F5F">
        <w:rPr>
          <w:rFonts w:ascii="Calibri Light" w:hAnsi="Calibri Light" w:cs="Calibri Light"/>
          <w:sz w:val="24"/>
          <w:szCs w:val="24"/>
        </w:rPr>
        <w:t xml:space="preserve">, </w:t>
      </w:r>
      <w:bookmarkStart w:id="0" w:name="_Hlk196391551"/>
      <w:r w:rsidR="00EA2EA0">
        <w:rPr>
          <w:rFonts w:ascii="Calibri Light" w:hAnsi="Calibri Light" w:cs="Calibri Light"/>
          <w:sz w:val="24"/>
          <w:szCs w:val="24"/>
        </w:rPr>
        <w:t>Universitas Muhammadiyah Surakarta</w:t>
      </w:r>
      <w:r w:rsidRPr="00122F5F">
        <w:rPr>
          <w:rFonts w:ascii="Calibri Light" w:hAnsi="Calibri Light" w:cs="Calibri Light"/>
          <w:sz w:val="24"/>
          <w:szCs w:val="24"/>
        </w:rPr>
        <w:t xml:space="preserve">, </w:t>
      </w:r>
      <w:r w:rsidR="00EA2EA0">
        <w:rPr>
          <w:rFonts w:ascii="Calibri Light" w:hAnsi="Calibri Light" w:cs="Calibri Light"/>
          <w:sz w:val="24"/>
          <w:szCs w:val="24"/>
        </w:rPr>
        <w:t>Surakarta</w:t>
      </w:r>
      <w:r w:rsidRPr="00122F5F">
        <w:rPr>
          <w:rFonts w:ascii="Calibri Light" w:hAnsi="Calibri Light" w:cs="Calibri Light"/>
          <w:sz w:val="24"/>
          <w:szCs w:val="24"/>
        </w:rPr>
        <w:t xml:space="preserve">, </w:t>
      </w:r>
      <w:r w:rsidR="00EA2EA0">
        <w:rPr>
          <w:rFonts w:ascii="Calibri Light" w:hAnsi="Calibri Light" w:cs="Calibri Light"/>
          <w:sz w:val="24"/>
          <w:szCs w:val="24"/>
        </w:rPr>
        <w:t>Indonesia</w:t>
      </w:r>
      <w:bookmarkEnd w:id="0"/>
      <w:r w:rsidRPr="00122F5F">
        <w:rPr>
          <w:rFonts w:ascii="Calibri Light" w:hAnsi="Calibri Light" w:cs="Calibri Light"/>
          <w:sz w:val="24"/>
          <w:szCs w:val="24"/>
        </w:rPr>
        <w:t>,</w:t>
      </w:r>
      <w:r w:rsidR="00EA2EA0">
        <w:rPr>
          <w:rFonts w:ascii="Calibri Light" w:hAnsi="Calibri Light" w:cs="Calibri Light"/>
          <w:sz w:val="24"/>
          <w:szCs w:val="24"/>
        </w:rPr>
        <w:t xml:space="preserve"> Email Corresponding:</w:t>
      </w:r>
      <w:r w:rsidRPr="00122F5F">
        <w:rPr>
          <w:rFonts w:ascii="Calibri Light" w:hAnsi="Calibri Light" w:cs="Calibri Light"/>
          <w:sz w:val="24"/>
          <w:szCs w:val="24"/>
        </w:rPr>
        <w:t xml:space="preserve"> </w:t>
      </w:r>
      <w:hyperlink r:id="rId8" w:history="1">
        <w:r w:rsidR="00D67519" w:rsidRPr="00547B1A">
          <w:rPr>
            <w:rStyle w:val="Hyperlink"/>
            <w:rFonts w:ascii="Calibri Light" w:hAnsi="Calibri Light" w:cs="Calibri Light"/>
            <w:sz w:val="24"/>
            <w:szCs w:val="24"/>
          </w:rPr>
          <w:t>O200249004@student.ums.ac.id</w:t>
        </w:r>
      </w:hyperlink>
      <w:r w:rsidR="00D67519">
        <w:rPr>
          <w:rFonts w:ascii="Calibri Light" w:hAnsi="Calibri Light" w:cs="Calibri Light" w:hint="cs"/>
          <w:sz w:val="24"/>
          <w:szCs w:val="24"/>
          <w:rtl/>
        </w:rPr>
        <w:t xml:space="preserve"> </w:t>
      </w:r>
      <w:r w:rsidRPr="00122F5F">
        <w:rPr>
          <w:rFonts w:ascii="Calibri Light" w:hAnsi="Calibri Light" w:cs="Calibri Light"/>
          <w:sz w:val="24"/>
          <w:szCs w:val="24"/>
        </w:rPr>
        <w:t>)</w:t>
      </w:r>
    </w:p>
    <w:p w14:paraId="64F651C4" w14:textId="77777777" w:rsidR="001A410B" w:rsidRDefault="008C45DE" w:rsidP="001A410B">
      <w:pPr>
        <w:rPr>
          <w:rFonts w:ascii="Calibri Light" w:hAnsi="Calibri Light" w:cs="Calibri Light"/>
          <w:sz w:val="24"/>
          <w:szCs w:val="24"/>
        </w:rPr>
      </w:pPr>
      <w:r w:rsidRPr="00122F5F">
        <w:rPr>
          <w:rFonts w:ascii="Calibri Light" w:hAnsi="Calibri Light" w:cs="Calibri Light"/>
          <w:sz w:val="24"/>
          <w:szCs w:val="24"/>
          <w:vertAlign w:val="superscript"/>
        </w:rPr>
        <w:t>2</w:t>
      </w:r>
      <w:r w:rsidRPr="00122F5F">
        <w:rPr>
          <w:rFonts w:ascii="Calibri Light" w:hAnsi="Calibri Light" w:cs="Calibri Light"/>
          <w:sz w:val="24"/>
          <w:szCs w:val="24"/>
        </w:rPr>
        <w:t>(</w:t>
      </w:r>
      <w:r w:rsidR="00F52B04">
        <w:rPr>
          <w:rFonts w:ascii="Calibri Light" w:hAnsi="Calibri Light" w:cs="Calibri Light"/>
          <w:sz w:val="24"/>
          <w:szCs w:val="24"/>
        </w:rPr>
        <w:t>Un</w:t>
      </w:r>
      <w:r w:rsidR="00F52B04" w:rsidRPr="00F52B04">
        <w:rPr>
          <w:rFonts w:ascii="Calibri Light" w:hAnsi="Calibri Light" w:cs="Calibri Light"/>
          <w:sz w:val="24"/>
          <w:szCs w:val="24"/>
        </w:rPr>
        <w:t>iversitas Muhammadiyah Surakarta, Surakarta, Jawa Tengah 57162, Indonesia</w:t>
      </w:r>
      <w:r w:rsidRPr="00122F5F">
        <w:rPr>
          <w:rFonts w:ascii="Calibri Light" w:hAnsi="Calibri Light" w:cs="Calibri Light"/>
          <w:sz w:val="24"/>
          <w:szCs w:val="24"/>
        </w:rPr>
        <w:t xml:space="preserve">, </w:t>
      </w:r>
    </w:p>
    <w:p w14:paraId="4953C3C5" w14:textId="179FB52E" w:rsidR="00CF57D6" w:rsidRDefault="001A410B" w:rsidP="001A410B">
      <w:pPr>
        <w:rPr>
          <w:rFonts w:ascii="Calibri Light" w:hAnsi="Calibri Light" w:cs="Calibri Light"/>
          <w:color w:val="A6A6A6"/>
          <w:sz w:val="24"/>
          <w:szCs w:val="24"/>
        </w:rPr>
      </w:pPr>
      <w:r w:rsidRPr="001A410B">
        <w:rPr>
          <w:rFonts w:ascii="Calibri Light" w:hAnsi="Calibri Light" w:cs="Calibri Light"/>
          <w:sz w:val="24"/>
          <w:szCs w:val="24"/>
        </w:rPr>
        <w:t xml:space="preserve">Email </w:t>
      </w:r>
      <w:r>
        <w:rPr>
          <w:rFonts w:ascii="Calibri Light" w:hAnsi="Calibri Light" w:cs="Calibri Light"/>
          <w:sz w:val="24"/>
          <w:szCs w:val="24"/>
        </w:rPr>
        <w:t>:</w:t>
      </w:r>
      <w:hyperlink r:id="rId9" w:history="1">
        <w:r w:rsidRPr="00547B1A">
          <w:rPr>
            <w:rStyle w:val="Hyperlink"/>
            <w:rFonts w:ascii="Calibri Light" w:hAnsi="Calibri Light" w:cs="Calibri Light"/>
            <w:sz w:val="24"/>
            <w:szCs w:val="24"/>
          </w:rPr>
          <w:t>mut122@ums.ac.id</w:t>
        </w:r>
      </w:hyperlink>
      <w:r w:rsidR="00F52B04">
        <w:rPr>
          <w:rFonts w:ascii="Calibri Light" w:hAnsi="Calibri Light" w:cs="Calibri Light"/>
          <w:sz w:val="24"/>
          <w:szCs w:val="24"/>
        </w:rPr>
        <w:t xml:space="preserve"> </w:t>
      </w:r>
      <w:r w:rsidR="00EA2EA0">
        <w:rPr>
          <w:rFonts w:ascii="Calibri Light" w:hAnsi="Calibri Light" w:cs="Calibri Light"/>
          <w:sz w:val="24"/>
          <w:szCs w:val="24"/>
        </w:rPr>
        <w:t>)</w:t>
      </w:r>
    </w:p>
    <w:p w14:paraId="0600FC83" w14:textId="77777777" w:rsidR="001A410B" w:rsidRDefault="0019427B" w:rsidP="00E90314">
      <w:pPr>
        <w:rPr>
          <w:rFonts w:ascii="Calibri Light" w:hAnsi="Calibri Light" w:cs="Calibri Light"/>
          <w:sz w:val="24"/>
          <w:szCs w:val="24"/>
        </w:rPr>
      </w:pPr>
      <w:r>
        <w:rPr>
          <w:rFonts w:ascii="Calibri Light" w:hAnsi="Calibri Light" w:cs="Calibri Light"/>
          <w:sz w:val="24"/>
          <w:szCs w:val="24"/>
          <w:vertAlign w:val="superscript"/>
        </w:rPr>
        <w:t>3</w:t>
      </w:r>
      <w:r w:rsidR="00EA2EA0" w:rsidRPr="00122F5F">
        <w:rPr>
          <w:rFonts w:ascii="Calibri Light" w:hAnsi="Calibri Light" w:cs="Calibri Light"/>
          <w:sz w:val="24"/>
          <w:szCs w:val="24"/>
        </w:rPr>
        <w:t>(</w:t>
      </w:r>
      <w:r w:rsidR="00E90314" w:rsidRPr="00E90314">
        <w:rPr>
          <w:rFonts w:ascii="Calibri Light" w:hAnsi="Calibri Light" w:cs="Calibri Light"/>
          <w:sz w:val="24"/>
          <w:szCs w:val="24"/>
        </w:rPr>
        <w:t>Universitas Muhammadiyah Surakarta, Surakarta, Jawa Tengah 57162, Indonesia</w:t>
      </w:r>
      <w:r>
        <w:rPr>
          <w:rFonts w:ascii="Calibri Light" w:hAnsi="Calibri Light" w:cs="Calibri Light"/>
          <w:sz w:val="24"/>
          <w:szCs w:val="24"/>
        </w:rPr>
        <w:t xml:space="preserve">, </w:t>
      </w:r>
    </w:p>
    <w:p w14:paraId="2D8A3582" w14:textId="5E19272E" w:rsidR="00EA2EA0" w:rsidRPr="00540F02" w:rsidRDefault="001A410B" w:rsidP="00E90314">
      <w:pPr>
        <w:rPr>
          <w:rFonts w:ascii="Calibri Light" w:hAnsi="Calibri Light" w:cs="Calibri Light"/>
          <w:color w:val="A6A6A6"/>
          <w:sz w:val="24"/>
          <w:szCs w:val="24"/>
          <w:lang w:val="id-ID"/>
        </w:rPr>
      </w:pPr>
      <w:r w:rsidRPr="001A410B">
        <w:rPr>
          <w:rFonts w:ascii="Calibri Light" w:hAnsi="Calibri Light" w:cs="Calibri Light"/>
          <w:sz w:val="24"/>
          <w:szCs w:val="24"/>
        </w:rPr>
        <w:t>Email</w:t>
      </w:r>
      <w:r>
        <w:rPr>
          <w:rFonts w:ascii="Calibri Light" w:hAnsi="Calibri Light" w:cs="Calibri Light"/>
          <w:sz w:val="24"/>
          <w:szCs w:val="24"/>
        </w:rPr>
        <w:t xml:space="preserve"> :</w:t>
      </w:r>
      <w:hyperlink r:id="rId10" w:history="1">
        <w:r w:rsidRPr="00547B1A">
          <w:rPr>
            <w:rStyle w:val="Hyperlink"/>
            <w:rFonts w:ascii="Calibri Light" w:hAnsi="Calibri Light" w:cs="Calibri Light"/>
            <w:sz w:val="24"/>
            <w:szCs w:val="24"/>
          </w:rPr>
          <w:t>an140@ums.ac.id</w:t>
        </w:r>
      </w:hyperlink>
      <w:r w:rsidR="00E90314">
        <w:rPr>
          <w:rFonts w:ascii="Calibri Light" w:hAnsi="Calibri Light" w:cs="Calibri Light"/>
          <w:sz w:val="24"/>
          <w:szCs w:val="24"/>
        </w:rPr>
        <w:t xml:space="preserve"> </w:t>
      </w:r>
      <w:r w:rsidR="0019427B">
        <w:rPr>
          <w:rFonts w:ascii="Calibri Light" w:hAnsi="Calibri Light" w:cs="Calibri Light"/>
          <w:sz w:val="24"/>
          <w:szCs w:val="24"/>
        </w:rPr>
        <w:t>)</w:t>
      </w:r>
    </w:p>
    <w:p w14:paraId="6A67CBA2" w14:textId="605C7173" w:rsidR="001A410B" w:rsidRPr="001A410B" w:rsidRDefault="001A410B" w:rsidP="001A410B">
      <w:pPr>
        <w:rPr>
          <w:rFonts w:ascii="Calibri Light" w:hAnsi="Calibri Light" w:cs="Calibri Light"/>
          <w:sz w:val="24"/>
          <w:szCs w:val="24"/>
        </w:rPr>
      </w:pPr>
      <w:r>
        <w:rPr>
          <w:rFonts w:ascii="Calibri Light" w:hAnsi="Calibri Light" w:cs="Calibri Light"/>
          <w:sz w:val="24"/>
          <w:szCs w:val="24"/>
          <w:vertAlign w:val="superscript"/>
        </w:rPr>
        <w:t>4</w:t>
      </w:r>
      <w:r w:rsidRPr="001A410B">
        <w:rPr>
          <w:rFonts w:ascii="Calibri Light" w:hAnsi="Calibri Light" w:cs="Calibri Light"/>
          <w:sz w:val="24"/>
          <w:szCs w:val="24"/>
        </w:rPr>
        <w:t>(Department of Islamic Economic Law, Universitas Muhammadiyah Surakarta, Surakarta, Indonesia, Email</w:t>
      </w:r>
      <w:r>
        <w:rPr>
          <w:rFonts w:ascii="Calibri Light" w:hAnsi="Calibri Light" w:cs="Calibri Light"/>
          <w:sz w:val="24"/>
          <w:szCs w:val="24"/>
        </w:rPr>
        <w:t>:</w:t>
      </w:r>
      <w:r w:rsidR="00C56155" w:rsidRPr="00C56155">
        <w:t xml:space="preserve"> </w:t>
      </w:r>
      <w:hyperlink r:id="rId11" w:history="1">
        <w:r w:rsidR="00C56155" w:rsidRPr="00547B1A">
          <w:rPr>
            <w:rStyle w:val="Hyperlink"/>
            <w:rFonts w:ascii="Calibri Light" w:hAnsi="Calibri Light" w:cs="Calibri Light"/>
            <w:sz w:val="24"/>
            <w:szCs w:val="24"/>
          </w:rPr>
          <w:t>ism190@ums.ac.id</w:t>
        </w:r>
      </w:hyperlink>
      <w:r w:rsidR="00C56155">
        <w:rPr>
          <w:rFonts w:ascii="Calibri Light" w:hAnsi="Calibri Light" w:cs="Calibri Light"/>
          <w:sz w:val="24"/>
          <w:szCs w:val="24"/>
        </w:rPr>
        <w:t xml:space="preserve"> </w:t>
      </w:r>
      <w:r w:rsidRPr="001A410B">
        <w:rPr>
          <w:rFonts w:ascii="Calibri Light" w:hAnsi="Calibri Light" w:cs="Calibri Light"/>
          <w:sz w:val="24"/>
          <w:szCs w:val="24"/>
        </w:rPr>
        <w:t xml:space="preserve"> </w:t>
      </w:r>
      <w:r w:rsidRPr="001A410B">
        <w:rPr>
          <w:rFonts w:ascii="Calibri Light" w:hAnsi="Calibri Light" w:cs="Calibri Light" w:hint="cs"/>
          <w:sz w:val="24"/>
          <w:szCs w:val="24"/>
          <w:rtl/>
          <w:lang w:val="id-ID"/>
        </w:rPr>
        <w:t xml:space="preserve"> </w:t>
      </w:r>
      <w:r w:rsidRPr="001A410B">
        <w:rPr>
          <w:rFonts w:ascii="Calibri Light" w:hAnsi="Calibri Light" w:cs="Calibri Light"/>
          <w:sz w:val="24"/>
          <w:szCs w:val="24"/>
        </w:rPr>
        <w:t>)</w:t>
      </w:r>
    </w:p>
    <w:p w14:paraId="5B84792D" w14:textId="588AFED1" w:rsidR="00EA2EA0" w:rsidRPr="001A410B" w:rsidRDefault="00EA2EA0" w:rsidP="001A410B">
      <w:pPr>
        <w:rPr>
          <w:rFonts w:ascii="Calibri Light" w:hAnsi="Calibri Light" w:cs="Calibri Light"/>
          <w:sz w:val="24"/>
          <w:szCs w:val="24"/>
        </w:rPr>
      </w:pPr>
    </w:p>
    <w:p w14:paraId="0429906A" w14:textId="08D4B59A" w:rsidR="009E4EBA" w:rsidRPr="00122F5F" w:rsidRDefault="009E4EBA" w:rsidP="00122F5F">
      <w:pPr>
        <w:rPr>
          <w:rFonts w:ascii="Calibri Light" w:hAnsi="Calibri Light" w:cs="Calibri Light"/>
          <w:sz w:val="24"/>
          <w:szCs w:val="24"/>
          <w:lang w:val="id-ID"/>
        </w:rPr>
      </w:pPr>
    </w:p>
    <w:p w14:paraId="4995D68C" w14:textId="77777777" w:rsidR="00DE1E48" w:rsidRPr="00122F5F" w:rsidRDefault="00DE1E48" w:rsidP="001D7DEE">
      <w:pPr>
        <w:jc w:val="center"/>
        <w:rPr>
          <w:rFonts w:ascii="Calibri Light" w:hAnsi="Calibri Light" w:cs="Calibri Light"/>
          <w:sz w:val="24"/>
          <w:szCs w:val="24"/>
        </w:rPr>
      </w:pPr>
    </w:p>
    <w:p w14:paraId="1454A0DD" w14:textId="63479D79"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 xml:space="preserve">Received: </w:t>
      </w:r>
    </w:p>
    <w:p w14:paraId="0DABF643" w14:textId="7E2B0D4A" w:rsidR="00863A78" w:rsidRPr="00863A78" w:rsidRDefault="00863A78" w:rsidP="00087E52">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p>
    <w:p w14:paraId="19130FC1" w14:textId="54A9C4D8" w:rsidR="00863A78" w:rsidRPr="00863A78" w:rsidRDefault="00863A78" w:rsidP="00087E52">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p>
    <w:p w14:paraId="0B50276C" w14:textId="77777777" w:rsidR="00863A78" w:rsidRPr="00863A78" w:rsidRDefault="00863A78" w:rsidP="00863A78">
      <w:pPr>
        <w:ind w:right="737"/>
        <w:rPr>
          <w:rFonts w:ascii="Calibri Light" w:hAnsi="Calibri Light" w:cs="Calibri Light"/>
          <w:b/>
          <w:bCs/>
        </w:rPr>
      </w:pPr>
    </w:p>
    <w:p w14:paraId="1D051894" w14:textId="0FF18124" w:rsidR="00863A78" w:rsidRPr="00863A78" w:rsidRDefault="005742A6"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6B4A0583" wp14:editId="350EF2ED">
            <wp:extent cx="263525" cy="255270"/>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3525" cy="25527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p>
    <w:p w14:paraId="678C9E09"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4F766956" w14:textId="77777777" w:rsidTr="00540F02">
        <w:tc>
          <w:tcPr>
            <w:tcW w:w="9004" w:type="dxa"/>
            <w:tcBorders>
              <w:left w:val="nil"/>
              <w:right w:val="nil"/>
            </w:tcBorders>
          </w:tcPr>
          <w:p w14:paraId="1897A8EC" w14:textId="77777777" w:rsidR="00863A78" w:rsidRPr="00540F02" w:rsidRDefault="00863A78" w:rsidP="00540F02">
            <w:pPr>
              <w:ind w:right="2"/>
              <w:jc w:val="both"/>
              <w:rPr>
                <w:rFonts w:ascii="Calibri Light" w:hAnsi="Calibri Light" w:cs="Calibri Light"/>
                <w:sz w:val="12"/>
                <w:szCs w:val="12"/>
              </w:rPr>
            </w:pPr>
          </w:p>
          <w:p w14:paraId="7AC41569" w14:textId="77777777" w:rsidR="00863A78" w:rsidRPr="00540F02" w:rsidRDefault="00863A78" w:rsidP="002D33A7">
            <w:pPr>
              <w:ind w:right="2"/>
              <w:jc w:val="both"/>
              <w:rPr>
                <w:rFonts w:ascii="Calibri Light" w:hAnsi="Calibri Light" w:cs="Calibri Light"/>
                <w:b/>
                <w:bCs/>
                <w:sz w:val="12"/>
                <w:szCs w:val="12"/>
              </w:rPr>
            </w:pPr>
          </w:p>
        </w:tc>
      </w:tr>
    </w:tbl>
    <w:p w14:paraId="0CB3DC64" w14:textId="77777777" w:rsidR="00863A78" w:rsidRDefault="00863A78" w:rsidP="00863A78">
      <w:pPr>
        <w:ind w:right="737"/>
        <w:rPr>
          <w:rFonts w:ascii="Calibri Light" w:hAnsi="Calibri Light" w:cs="Calibri Light"/>
          <w:b/>
          <w:bCs/>
          <w:sz w:val="24"/>
          <w:szCs w:val="24"/>
        </w:rPr>
      </w:pPr>
    </w:p>
    <w:p w14:paraId="6B1A9B21" w14:textId="77777777" w:rsidR="00A762F0" w:rsidRDefault="00A27B34" w:rsidP="00540F02">
      <w:pPr>
        <w:ind w:right="-1"/>
        <w:jc w:val="both"/>
        <w:rPr>
          <w:rFonts w:ascii="Calibri Light" w:hAnsi="Calibri Light" w:cs="Calibri Light"/>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p>
    <w:p w14:paraId="08B2D4AC" w14:textId="77777777" w:rsidR="002D33A7" w:rsidRDefault="002D33A7" w:rsidP="00540F02">
      <w:pPr>
        <w:ind w:right="-1"/>
        <w:jc w:val="both"/>
        <w:rPr>
          <w:rFonts w:ascii="Calibri Light" w:hAnsi="Calibri Light" w:cs="Calibri Light"/>
          <w:sz w:val="24"/>
          <w:szCs w:val="24"/>
          <w:rtl/>
        </w:rPr>
      </w:pPr>
    </w:p>
    <w:p w14:paraId="296ABA86" w14:textId="19941EAF" w:rsidR="00944018" w:rsidRDefault="005C56C8" w:rsidP="005F6F53">
      <w:pPr>
        <w:ind w:right="566"/>
        <w:jc w:val="both"/>
        <w:rPr>
          <w:rFonts w:ascii="Calibri Light" w:hAnsi="Calibri Light" w:cs="Calibri Light"/>
          <w:i/>
          <w:iCs/>
          <w:noProof/>
          <w:color w:val="000000"/>
          <w:sz w:val="24"/>
          <w:szCs w:val="24"/>
          <w:lang w:val="en-ID"/>
        </w:rPr>
      </w:pPr>
      <w:r w:rsidRPr="005C56C8">
        <w:rPr>
          <w:rFonts w:ascii="Calibri Light" w:hAnsi="Calibri Light" w:cs="Calibri Light"/>
          <w:i/>
          <w:iCs/>
          <w:noProof/>
          <w:color w:val="000000"/>
          <w:sz w:val="24"/>
          <w:szCs w:val="24"/>
          <w:lang w:val="en-ID"/>
        </w:rPr>
        <w:t>This study aims to conduct a bibliometric analysis of research on the Basel Accords and Islamic banking to explore key trends, scholarly contributions, and the impact of Basel regulations on the Islamic financial sector. The research follows a systematic methodology based on the PRISMA framework to ensure a structured and transparent review process. Data for the study was collected from the Scopus database, allowing for a comprehensive examination of relevant literature.</w:t>
      </w:r>
      <w:r w:rsidRPr="005C56C8">
        <w:rPr>
          <w:rFonts w:ascii="Calibri Light" w:hAnsi="Calibri Light" w:cs="Calibri Light" w:hint="cs"/>
          <w:i/>
          <w:iCs/>
          <w:noProof/>
          <w:color w:val="000000"/>
          <w:sz w:val="24"/>
          <w:szCs w:val="24"/>
          <w:rtl/>
          <w:lang w:val="en-ID"/>
        </w:rPr>
        <w:t xml:space="preserve"> </w:t>
      </w:r>
      <w:r w:rsidRPr="005C56C8">
        <w:rPr>
          <w:rFonts w:ascii="Calibri Light" w:hAnsi="Calibri Light" w:cs="Calibri Light"/>
          <w:i/>
          <w:iCs/>
          <w:noProof/>
          <w:color w:val="000000"/>
          <w:sz w:val="24"/>
          <w:szCs w:val="24"/>
          <w:lang w:val="en-ID"/>
        </w:rPr>
        <w:t>To analyze the collected data, the study employs VOSviewer, a widely used tool for visualizing bibliometric networks. Through co-citation, keyword analysis, and thematic mapping, the research identifies major research clusters, influential authors, and key areas of scholarly focus. The findings indicate that while significant research has been conducted on both Basel regulations and Islamic banking, the intersection between the two remains a developing field with increasing academic attention in recent years</w:t>
      </w:r>
      <w:r w:rsidR="005F6F53">
        <w:rPr>
          <w:rFonts w:ascii="Calibri Light" w:hAnsi="Calibri Light" w:cs="Calibri Light"/>
          <w:i/>
          <w:iCs/>
          <w:noProof/>
          <w:color w:val="000000"/>
          <w:sz w:val="24"/>
          <w:szCs w:val="24"/>
          <w:lang w:val="en-ID"/>
        </w:rPr>
        <w:t xml:space="preserve"> ,</w:t>
      </w:r>
      <w:r w:rsidR="005F6F53">
        <w:rPr>
          <w:rFonts w:ascii="Calibri Light" w:hAnsi="Calibri Light" w:cs="Calibri Light"/>
          <w:i/>
          <w:iCs/>
          <w:noProof/>
          <w:color w:val="000000"/>
          <w:sz w:val="24"/>
          <w:szCs w:val="24"/>
        </w:rPr>
        <w:t>also</w:t>
      </w:r>
      <w:r w:rsidR="005F6F53">
        <w:rPr>
          <w:rFonts w:ascii="Calibri Light" w:hAnsi="Calibri Light" w:cs="Calibri Light" w:hint="cs"/>
          <w:i/>
          <w:iCs/>
          <w:noProof/>
          <w:color w:val="000000"/>
          <w:sz w:val="24"/>
          <w:szCs w:val="24"/>
          <w:rtl/>
          <w:lang w:val="en-ID"/>
        </w:rPr>
        <w:t xml:space="preserve"> </w:t>
      </w:r>
      <w:r w:rsidR="005F6F53" w:rsidRPr="005F6F53">
        <w:rPr>
          <w:rFonts w:ascii="Calibri Light" w:hAnsi="Calibri Light" w:cs="Calibri Light"/>
          <w:i/>
          <w:iCs/>
          <w:noProof/>
          <w:color w:val="000000"/>
          <w:sz w:val="24"/>
          <w:szCs w:val="24"/>
        </w:rPr>
        <w:t>reveal that while extensive research exists on both Basel regulations and Islamic banking individually, scholarly work examining their intersection—particularly from a legal and regulatory perspective—remains limited but growing</w:t>
      </w:r>
      <w:r w:rsidRPr="005C56C8">
        <w:rPr>
          <w:rFonts w:ascii="Calibri Light" w:hAnsi="Calibri Light" w:cs="Calibri Light"/>
          <w:i/>
          <w:iCs/>
          <w:noProof/>
          <w:color w:val="000000"/>
          <w:sz w:val="24"/>
          <w:szCs w:val="24"/>
          <w:lang w:val="en-ID"/>
        </w:rPr>
        <w:t>.</w:t>
      </w:r>
      <w:r w:rsidRPr="005C56C8">
        <w:rPr>
          <w:rFonts w:ascii="Calibri Light" w:hAnsi="Calibri Light" w:cs="Calibri Light" w:hint="cs"/>
          <w:i/>
          <w:iCs/>
          <w:noProof/>
          <w:color w:val="000000"/>
          <w:sz w:val="24"/>
          <w:szCs w:val="24"/>
          <w:rtl/>
          <w:lang w:val="en-ID"/>
        </w:rPr>
        <w:t xml:space="preserve"> </w:t>
      </w:r>
      <w:r w:rsidRPr="005C56C8">
        <w:rPr>
          <w:rFonts w:ascii="Calibri Light" w:hAnsi="Calibri Light" w:cs="Calibri Light"/>
          <w:i/>
          <w:iCs/>
          <w:noProof/>
          <w:color w:val="000000"/>
          <w:sz w:val="24"/>
          <w:szCs w:val="24"/>
          <w:lang w:val="en-ID"/>
        </w:rPr>
        <w:t xml:space="preserve">The results highlight the growing importance of regulatory compliance for Islamic financial institutions and the evolving discourse on how Basel frameworks align with Sharia-compliant banking principles. Additionally, the study identifies gaps in the literature, suggesting potential areas for future research. By providing a structured bibliometric overview, this research contributes to a deeper understanding of the scholarly landscape </w:t>
      </w:r>
      <w:r w:rsidRPr="005C56C8">
        <w:rPr>
          <w:rFonts w:ascii="Calibri Light" w:hAnsi="Calibri Light" w:cs="Calibri Light"/>
          <w:i/>
          <w:iCs/>
          <w:noProof/>
          <w:color w:val="000000"/>
          <w:sz w:val="24"/>
          <w:szCs w:val="24"/>
          <w:lang w:val="en-ID"/>
        </w:rPr>
        <w:lastRenderedPageBreak/>
        <w:t>surrounding Basel Accords and Islamic banking, offering insights for academics, policymakers, and industry professionals.</w:t>
      </w:r>
    </w:p>
    <w:p w14:paraId="45DC45A7" w14:textId="77777777" w:rsidR="002D33A7" w:rsidRPr="00534B65" w:rsidRDefault="002D33A7" w:rsidP="00534B65">
      <w:pPr>
        <w:ind w:right="566"/>
        <w:jc w:val="both"/>
        <w:rPr>
          <w:rFonts w:ascii="Calibri Light" w:hAnsi="Calibri Light" w:cs="Calibri Light"/>
          <w:i/>
          <w:iCs/>
          <w:noProof/>
          <w:color w:val="000000"/>
          <w:rtl/>
          <w:lang w:val="en-ID"/>
        </w:rPr>
      </w:pPr>
    </w:p>
    <w:p w14:paraId="05659731" w14:textId="17DE2EF7" w:rsidR="008F0CE5" w:rsidRPr="008F0CE5" w:rsidRDefault="008F0CE5" w:rsidP="008F0CE5">
      <w:pPr>
        <w:ind w:right="737"/>
        <w:jc w:val="both"/>
        <w:rPr>
          <w:rFonts w:ascii="Calibri Light" w:hAnsi="Calibri Light" w:cs="Calibri Light"/>
          <w:i/>
          <w:iCs/>
          <w:noProof/>
          <w:color w:val="000000"/>
          <w:sz w:val="24"/>
          <w:szCs w:val="24"/>
          <w:lang w:val="en-ID"/>
        </w:rPr>
      </w:pPr>
      <w:r w:rsidRPr="008F0CE5">
        <w:rPr>
          <w:rFonts w:ascii="Calibri Light" w:hAnsi="Calibri Light" w:cs="Calibri Light"/>
          <w:i/>
          <w:iCs/>
          <w:noProof/>
          <w:color w:val="000000"/>
          <w:sz w:val="24"/>
          <w:szCs w:val="24"/>
          <w:lang w:val="en-ID"/>
        </w:rPr>
        <w:t>Penelitian ini bertujuan untuk melakukan analisis bibliometrik terhadap kajian-kajian yang membahas Perjanjian Basel dan perbankan Islam, guna mengeksplorasi tren utama, kontribusi ilmiah, serta dampak regulasi Basel terhadap sektor keuangan Islam. Penelitian ini mengikuti metodologi sistematis berdasarkan kerangka kerja PRISMA untuk memastikan proses tinjauan yang terstruktur dan transparan. Data dalam studi ini dikumpulkan dari basis data Scopus, sehingga memungkinkan pemeriksaan literatur yang komprehensif dan relevan.</w:t>
      </w:r>
      <w:r>
        <w:rPr>
          <w:rFonts w:ascii="Calibri Light" w:hAnsi="Calibri Light" w:cs="Calibri Light" w:hint="cs"/>
          <w:i/>
          <w:iCs/>
          <w:noProof/>
          <w:color w:val="000000"/>
          <w:sz w:val="24"/>
          <w:szCs w:val="24"/>
          <w:rtl/>
          <w:lang w:val="en-ID"/>
        </w:rPr>
        <w:t xml:space="preserve"> </w:t>
      </w:r>
      <w:r w:rsidRPr="008F0CE5">
        <w:rPr>
          <w:rFonts w:ascii="Calibri Light" w:hAnsi="Calibri Light" w:cs="Calibri Light"/>
          <w:i/>
          <w:iCs/>
          <w:noProof/>
          <w:color w:val="000000"/>
          <w:sz w:val="24"/>
          <w:szCs w:val="24"/>
          <w:lang w:val="en-ID"/>
        </w:rPr>
        <w:t>Untuk menganalisis data yang dikumpulkan, studi ini menggunakan VOSviewer, sebuah alat yang banyak digunakan untuk memvisualisasikan jaringan bibliometrik. Melalui analisis co-citation (kutipan bersama), analisis kata kunci, dan pemetaan tematik, penelitian ini mengidentifikasi klaster-klaster utama dalam penelitian, penulis-penulis berpengaruh, serta area fokus keilmuan yang penting. Temuan menunjukkan bahwa meskipun telah banyak penelitian yang dilakukan baik pada regulasi Basel maupun perbankan Islam, keterkaitan antara keduanya masih merupakan bidang yang sedang berkembang dan mendapat perhatian akademik yang meningkat dalam beberapa tahun terakhir.</w:t>
      </w:r>
      <w:r>
        <w:rPr>
          <w:rFonts w:ascii="Calibri Light" w:hAnsi="Calibri Light" w:cs="Calibri Light" w:hint="cs"/>
          <w:i/>
          <w:iCs/>
          <w:noProof/>
          <w:color w:val="000000"/>
          <w:sz w:val="24"/>
          <w:szCs w:val="24"/>
          <w:rtl/>
          <w:lang w:val="en-ID"/>
        </w:rPr>
        <w:t xml:space="preserve"> </w:t>
      </w:r>
      <w:r w:rsidRPr="008F0CE5">
        <w:rPr>
          <w:rFonts w:ascii="Calibri Light" w:hAnsi="Calibri Light" w:cs="Calibri Light"/>
          <w:i/>
          <w:iCs/>
          <w:noProof/>
          <w:color w:val="000000"/>
          <w:sz w:val="24"/>
          <w:szCs w:val="24"/>
          <w:lang w:val="en-ID"/>
        </w:rPr>
        <w:t>Hasil penelitian ini menyoroti pentingnya kepatuhan terhadap regulasi bagi institusi keuangan Islam serta wacana yang terus berkembang mengenai keselarasan kerangka Basel dengan prinsip-prinsip perbankan yang sesuai syariah. Selain itu, studi ini juga mengidentifikasi kesenjangan dalam literatur, yang menunjukkan adanya potensi area untuk penelitian di masa depan. Dengan memberikan gambaran bibliometrik yang terstruktur, penelitian ini berkontribusi terhadap pemahaman yang lebih mendalam mengenai lanskap ilmiah seputar Perjanjian Basel dan perbankan Islam, serta menawarkan wawasan bagi akademisi, pembuat kebijakan, dan profesional industri.</w:t>
      </w:r>
    </w:p>
    <w:p w14:paraId="7CCEF7C8" w14:textId="77777777" w:rsidR="00486707" w:rsidRPr="008F0CE5" w:rsidRDefault="00486707" w:rsidP="003E7145">
      <w:pPr>
        <w:ind w:right="737"/>
        <w:jc w:val="both"/>
        <w:rPr>
          <w:rFonts w:ascii="Calibri Light" w:hAnsi="Calibri Light" w:cs="Calibri Light"/>
          <w:i/>
          <w:iCs/>
          <w:sz w:val="24"/>
          <w:szCs w:val="24"/>
          <w:lang w:val="en-ID"/>
        </w:rPr>
      </w:pPr>
    </w:p>
    <w:p w14:paraId="257F998D" w14:textId="5864A0BD" w:rsidR="00597AAB" w:rsidRPr="008C2547" w:rsidRDefault="0095288D" w:rsidP="00597AAB">
      <w:pPr>
        <w:pStyle w:val="NormalWeb"/>
        <w:jc w:val="both"/>
        <w:rPr>
          <w:rFonts w:ascii="Calibri Light" w:hAnsi="Calibri Light" w:cs="Calibri Light"/>
          <w:i/>
          <w:iCs/>
          <w:rtl/>
          <w:lang w:val="en-ID" w:eastAsia="en-ID"/>
        </w:rPr>
      </w:pPr>
      <w:r w:rsidRPr="00122F5F">
        <w:rPr>
          <w:rFonts w:ascii="Calibri Light" w:hAnsi="Calibri Light" w:cs="Calibri Light"/>
          <w:b/>
          <w:bCs/>
        </w:rPr>
        <w:t>Keyword</w:t>
      </w:r>
      <w:r w:rsidR="008C45DE" w:rsidRPr="00122F5F">
        <w:rPr>
          <w:rFonts w:ascii="Calibri Light" w:hAnsi="Calibri Light" w:cs="Calibri Light"/>
          <w:b/>
          <w:bCs/>
          <w:lang w:val="id-ID"/>
        </w:rPr>
        <w:t>s</w:t>
      </w:r>
      <w:r w:rsidR="00597AAB" w:rsidRPr="00597AAB">
        <w:rPr>
          <w:lang w:val="en-ID" w:eastAsia="en-ID"/>
        </w:rPr>
        <w:t xml:space="preserve"> </w:t>
      </w:r>
      <w:r w:rsidR="00BD5835" w:rsidRPr="008C2547">
        <w:rPr>
          <w:rFonts w:ascii="Calibri Light" w:hAnsi="Calibri Light" w:cs="Calibri Light"/>
          <w:i/>
          <w:iCs/>
          <w:lang w:val="en-ID" w:eastAsia="en-ID"/>
        </w:rPr>
        <w:t>Islamic Banking</w:t>
      </w:r>
      <w:r w:rsidR="00BD5835">
        <w:rPr>
          <w:rFonts w:ascii="Calibri Light" w:hAnsi="Calibri Light" w:cs="Calibri Light"/>
          <w:i/>
          <w:iCs/>
          <w:lang w:val="en-ID" w:eastAsia="en-ID"/>
        </w:rPr>
        <w:t>,</w:t>
      </w:r>
      <w:r w:rsidR="00590269">
        <w:rPr>
          <w:rFonts w:ascii="Calibri Light" w:hAnsi="Calibri Light" w:cs="Calibri Light"/>
          <w:i/>
          <w:iCs/>
          <w:lang w:val="en-ID" w:eastAsia="en-ID"/>
        </w:rPr>
        <w:t xml:space="preserve"> </w:t>
      </w:r>
      <w:r w:rsidR="00597AAB" w:rsidRPr="008C2547">
        <w:rPr>
          <w:rFonts w:ascii="Calibri Light" w:hAnsi="Calibri Light" w:cs="Calibri Light"/>
          <w:i/>
          <w:iCs/>
          <w:lang w:val="en-ID" w:eastAsia="en-ID"/>
        </w:rPr>
        <w:t>Bibliometric Analysis, Basel Accords, PRISMA Framework, Scopus Database.</w:t>
      </w:r>
    </w:p>
    <w:p w14:paraId="6BC00FE9" w14:textId="2B327038" w:rsidR="00F1027C" w:rsidRPr="00122F5F" w:rsidRDefault="00F1027C" w:rsidP="00597AAB">
      <w:pPr>
        <w:ind w:right="737"/>
        <w:jc w:val="both"/>
        <w:rPr>
          <w:rFonts w:ascii="Calibri Light" w:hAnsi="Calibri Light" w:cs="Calibri Light"/>
          <w:b/>
          <w:bCs/>
          <w:sz w:val="24"/>
          <w:szCs w:val="24"/>
          <w:lang w:val="id-ID"/>
        </w:rPr>
      </w:pPr>
    </w:p>
    <w:p w14:paraId="422F40B3" w14:textId="77777777" w:rsidR="007F5B9D" w:rsidRPr="007F5B9D" w:rsidRDefault="008C45DE" w:rsidP="007F5B9D">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r w:rsidRPr="00122F5F">
        <w:rPr>
          <w:rFonts w:ascii="Calibri Light" w:hAnsi="Calibri Light" w:cs="Calibri Light"/>
          <w:b/>
          <w:sz w:val="24"/>
          <w:szCs w:val="24"/>
          <w:lang w:val="id-ID"/>
        </w:rPr>
        <w:t xml:space="preserve"> </w:t>
      </w:r>
    </w:p>
    <w:p w14:paraId="28F6C93F" w14:textId="52598D02"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The intersection of international regulatory frameworks and Islamic banking has become an increasingly important topic in academic research, particularly regarding the impact of Basel Accords on the Islamic financial sector. The Basel Committee on Banking Supervision (BCBS) introduced these accords to enhance banking stability and reduce financial risks through capital adequacy requirements, risk management, and liquidity standards</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{"citationItems":[{"id":"ITEM-1","itemData":{"DOI":"10.1002/ijfe.2637","ISSN":"10769307 (ISSN)","abstract":"Using data for Italy from 1994 to 2015, we appraise the nexus between Basel II and III accords and both the cost and the profit inefficiency of profit-oriented and mutual cooperative banks. Our analysis further deals with the effects of the regulation in different market structures. To assess the efficiency of the two types of banks under scrutiny, a stochastic frontier approach has been proposed. The evidence reported in this paper indicates that the regulatory framework of the Basel accords had heterogeneous effects on the efficiency of Italian banking institutions. Specifically, Basel II is associated with a contraction in the profit inefficiency and an increase in the cost inefficiency for mutual cooperative banks. On the other hand, Basel III worsened the profit inefficiency, though it is found to reduce the profit inefficiency of mutual cooperative banks, with no significant impact on cost inefficiency. Furthermore, once we control for the degree of market competition, the effects of the regulation are shown to be statistically insignificant. The advent of the 2008 recession and the application of the revenue inefficiency do not alter the main findings. There is also some evidence of spatial effects of the Basel II regulation at the LMA level. © 2022 The Authors. International Journal of Finance &amp; Economics published by John Wiley &amp; Sons Ltd.","author":[{"dropping-particle":"","family":"Barra","given":"C","non-dropping-particle":"","parse-names":false,"suffix":""},{"dropping-particle":"","family":"Papaccio","given":"A","non-dropping-particle":"","parse-names":false,"suffix":""},{"dropping-particle":"","family":"Ruggiero","given":"N","non-dropping-particle":"","parse-names":false,"suffix":""}],"container-title":"International Journal of Finance and Economics","id":"ITEM-1","issue":"4","issued":{"date-parts":[["2023"]]},"language":"English","note":"Export Date: 24 April 2025; Cited By: 3; Correspondence Address: C. Barra; Department of Economics and Statistics (DISES), Centre for Labour Economics and Economic Policy (CELPE), University of Salerno, Fisciano, Via Giovanni Paolo II, 84084, Italy; email: cbarra@unisa.it","page":"4079-4119","publisher":"John Wiley and Sons Ltd","publisher-place":"Department of Economics and Statistics (DISES), Centre for Labour Economics and Economic Policy (CELPE), University of Salerno, Fisciano, Italy","title":"Basel accords and banking inefficiency: Evidence from the Italian local market","type":"article-journal","volume":"28"},"uris":["http://www.mendeley.com/documents/?uuid=80f38133-cfa6-43be-af3d-2a29936783b3"]}],"mendeley":{"formattedCitation":"(Barra et al., 2023)","plainTextFormattedCitation":"(Barra et al., 2023)","previouslyFormattedCitation":"(Barra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(Barra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Since the introduction of Basel I in 1988 and the subsequent developments in Basel II and Basel III, these regulatory guidelines have had a profound impact on global banking systems</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{"citationItems":[{"id":"ITEM-1","itemData":{"DOI":"10.1016/j.irfa.2024.103502","ISSN":"10575219 (ISSN)","abstract":"We develop a model to compare the changes in banks' equilibrium capital and liquidity holdings under various versions of Basel-style requirements across economic cycles. We find that banks' liquidity is countercyclical while capital buffer is procyclical. Countercyclical liquidity-holding behaviour causes a larger liquidation of loans in economic expansions. We also find that Basel-style liquidity requirements help to lower banks' loan liquidations in economic upturns, although it is of limited effectiveness in economic downturns. We thus suggest that similar to capital requirements, liquidity requirements should also be set in a countercyclical manner. Our results show that capital requirements and liquidity requirements are complements in economic upturns in terms of enhancing banking stability and obtaining social welfare. Furthermore, Basel III outperforms previous regulatory versions in enhancing bank stability and social welfare in extreme situations. © 2024 The Author(s)","author":[{"dropping-particle":"","family":"Huang","given":"C","non-dropping-particle":"","parse-names":false,"suffix":""},{"dropping-particle":"","family":"Moreira","given":"F","non-dropping-particle":"","parse-names":false,"suffix":""},{"dropping-particle":"","family":"Archibald","given":"T W","non-dropping-particle":"","parse-names":false,"suffix":""}],"container-title":"International Review of Financial Analysis","id":"ITEM-1","issued":{"date-parts":[["2024"]]},"language":"English","note":"Export Date: 24 April 2025; Cited By: 0; Correspondence Address: F. Moreira; University of Edinburgh Business School, United Kingdom; email: fernando.moreira@ed.ac.uk","publisher":"Elsevier Inc.","publisher-place":"School of Economics and Management, Beijing Jiaotong University, China","title":"Should Basel-style liquidity requirements be set countercyclically? Evidence from a numerical analysis","type":"article-journal","volume":"95"},"uris":["http://www.mendeley.com/documents/?uuid=e64307e3-a47e-427c-9c84-b2c2aa6ea31c"]}],"mendeley":{"formattedCitation":"(Huang et al., 2024)","plainTextFormattedCitation":"(Huang et al., 2024)","previouslyFormattedCitation":"(Huang et al., 2024)"},"properties":{"noteIndex":0},"schema":"https://github.com/citation-style-language/schema/raw/master/csl-citation.json"}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(Huang et al., 2024)</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However, their applicability to Islamic financial institutions (IFIs), which operate under Shariah principles, remains a subject of ongoing academic and regulatory debate.</w:t>
      </w:r>
    </w:p>
    <w:p w14:paraId="1E933055" w14:textId="1E5C4201"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Islamic banks differ fundamentally from conventional banks due to their commitment to Maqasid al-Shariah (the higher objectives of Islamic law), which prohibit interest (riba) and promote risk-sharing, ethical investment, and asset-backed financing</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{"citationItems":[{"id":"ITEM-1","itemData":{"DOI":"10.1007/s11156-022-01092-6","ISSN":"0924865X (ISSN)","abstract":"This study proposes a renewal of the contemporary Islamic banking Murabaha financing model as it aggravates financial fragility with waning economic efficiency. We adapt the working capital framework of successful US companies like Amazon and Walmart and model an innovative Murabaha facility as trade credit within the real sector of the economy. We then test its robustness in a range of simulation tests. Our approach is novel and stands in contrast to the familiar financial sector fixed-income facilities, characteristic of Western economies, stealthily mimicked as mark-up (interest rate based) Murabaha by Islamic banks. We argue that this is neither appropriate nor effective for Islamic economies, making them fragile under monetary pressures in crises like the current coronavirus and energy ones. Our simulation results indicate that the trade credit Murabaha not only transforms debt into a risk-sharing one but also offers more competitive financing rates, reduces systemic risk, and improves financial stability. Furthermore, our results imply that the trade credit Murabaha can increase the efficiency of Islamic financial systems and make them more resilient to shocks. Consequently, this paper discusses the integration of our novel Murabaha within a recreated architecture of Universal Banking. As an implication, this should promote business activity and contribute to global growth. Finally, we recommend how to deploy our novel Murabaha based on trade credit (as opposed to the currently deployed fixed-income-mimicked Murabaha) to alleviate twin agency debt costs (risk shifting, underinvestment) and solve the ownership transfer problem of modern Islamic banking. © 2022, The Author(s).","author":[{"dropping-particle":"","family":"Jatmiko","given":"W","non-dropping-particle":"","parse-names":false,"suffix":""},{"dropping-particle":"","family":"Ebrahim","given":"M S","non-dropping-particle":"","parse-names":false,"suffix":""},{"dropping-particle":"","family":"Iqbal","given":"A","non-dropping-particle":"","parse-names":false,"suffix":""},{"dropping-particle":"","family":"Wojakowski","given":"R M","non-dropping-particle":"","parse-names":false,"suffix":""}],"container-title":"Review of Quantitative Finance and Accounting","id":"ITEM-1","issue":"1","issued":{"date-parts":[["2023"]]},"language":"English","note":"Export Date: 30 January 2025; Cited By: 4; Correspondence Address: A. Iqbal; Kent Business School, University of Kent, Chatham, Medway Building, ME4 4AG, United Kingdom; email: A.Iqbal@kent.ac.uk","page":"111-146","publisher":"Springer","publisher-place":"Faculty of Economics and Business, University of Indonesia, West Java, Depok, 16424, Indonesia","title":"Can trade credit rejuvenate Islamic banking?","type":"article-journal","volume":"60"},"uris":["http://www.mendeley.com/documents/?uuid=4674edfc-f90d-4650-b8d5-09744f25a1fe"]}],"mendeley":{"formattedCitation":"(Jatmiko et al., 2023)","plainTextFormattedCitation":"(Jatmiko et al., 2023)","previouslyFormattedCitation":"(Jatmiko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(Jatmiko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xml:space="preserve">. </w:t>
      </w:r>
      <w:r w:rsidRPr="0057036A">
        <w:rPr>
          <w:rFonts w:ascii="Calibri Light" w:hAnsi="Calibri Light" w:cs="Calibri Light"/>
          <w:bCs/>
          <w:sz w:val="24"/>
          <w:szCs w:val="24"/>
          <w:lang w:val="en-ID"/>
        </w:rPr>
        <w:lastRenderedPageBreak/>
        <w:t>As a result, applying Basel regulations to Islamic financial institutions presents unique challenges, as these accords rely on an interest-based risk assessment model to evaluate capital and risk exposure. In contrast, Islamic banks operate using financial instruments such as murabaha (cost-plus financing), musharakah (equity partnership), mudarabah (profit-sharing), and ijarah (leasing). These differences raise critical questions about whether conventional regulatory frameworks can effectively accommodate Islamic banking operations and whether modifications are needed to align Basel standards with Shariah-compliant finance</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217165">
        <w:rPr>
          <w:rFonts w:ascii="Calibri Light" w:hAnsi="Calibri Light" w:cs="Calibri Light"/>
          <w:bCs/>
          <w:sz w:val="24"/>
          <w:szCs w:val="24"/>
          <w:lang w:val="en-ID"/>
        </w:rPr>
        <w:instrText>ADDIN CSL_CITATION {"citationItems":[{"id":"ITEM-1","itemData":{"DOI":"10.1108/IMEFM-12-2019-0518","ISSN":"17538394 (ISSN)","abstract":"Purpose: The purpose of this paper is to explore the types of Shariah capabilities of Islamic banks, which provide bases for the types of Shariah value propositions, offered by the relationship managers in their front-line service experiences with the customers. Design/methodology/approach: A resource-based view of Shariah capabilities and a service-dominant logic view of value propositions are adopted. Fifteen relationship managers from multiple Islamic banks in Pakistan are interviewed to find a typology of Shariah capabilities and a resultant typology of value propositions for Islamic banks. Findings: The findings suggest that Islamic banks claim to possess five types of Shariah capabilities, namely, Shariah governance capability (SGC), Shariah compliance capability (SCC), Shariah monitoring capability (SMC), Shariah structuring (product) capability (SSC) and Shariah learning capability (SLC). These capabilities lead to four types of values propositions, namely, Shariah identity value (SIV), Riba-free value (RFV), Shariah disclosure value (SDV) and Tangibility value (TV) of the real assets in transactions. Research limitations/implications: The study has relied on the front-line experiences of relationship managers who are connected to the Islamic banks’ capabilities inside the banks and the value propositions that they offer to show relationships with customers in front-line service experiences. Other stakeholders may have different perspectives on both capabilities and value propositions. Originality/value: This paper contributes to Islamic finance theory by theoretically and empirically showing two typologies for the Islamic banks' capabilities and value propositions, respectively. © 2022, Emerald Publishing Limited.","author":[{"dropping-particle":"","family":"Ullah","given":"K","non-dropping-particle":"","parse-names":false,"suffix":""},{"dropping-particle":"","family":"Ashfaque","given":"M","non-dropping-particle":"","parse-names":false,"suffix":""},{"dropping-particle":"","family":"Atiq","given":"M","non-dropping-particle":"","parse-names":false,"suffix":""},{"dropping-particle":"","family":"Khan","given":"M","non-dropping-particle":"","parse-names":false,"suffix":""},{"dropping-particle":"","family":"Hussain","given":"A","non-dropping-particle":"","parse-names":false,"suffix":""}],"container-title":"International Journal of Islamic and Middle Eastern Finance and Management","id":"ITEM-1","issue":"4","issued":{"date-parts":[["2023"]]},"language":"English","note":"Export Date: 04 December 2024; Cited By: 8; Correspondence Address: M. Atiq; Institute of Management Sciences, Peshawar, Pakistan; email: muhammad.atiq@imsciences.edu.pk","page":"701-715","publisher":"Emerald Publishing","publisher-place":"Institute of Management Sciences, Peshawar, Pakistan","title":"Shariah capabilities and value propositions of Islamic banking","type":"article-journal","volume":"16"},"uris":["http://www.mendeley.com/documents/?uuid=1b765d97-e4d4-4622-b8ed-a2d86c3644eb"]}],"mendeley":{"formattedCitation":"(K. Ullah et al., 2023)","plainTextFormattedCitation":"(K. Ullah et al., 2023)","previouslyFormattedCitation":"(K. Ullah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217165" w:rsidRPr="00217165">
        <w:rPr>
          <w:rFonts w:ascii="Calibri Light" w:hAnsi="Calibri Light" w:cs="Calibri Light"/>
          <w:bCs/>
          <w:noProof/>
          <w:sz w:val="24"/>
          <w:szCs w:val="24"/>
          <w:lang w:val="en-ID"/>
        </w:rPr>
        <w:t>(K. Ullah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0FB1FA6F" w14:textId="238D6ED3"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To gain a deeper understanding of the research landscape surrounding Basel Accords and Islamic banking, a bibliometric analysis was conducted, covering the years 2015 to 2024</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0051D0">
        <w:rPr>
          <w:rFonts w:ascii="Calibri Light" w:hAnsi="Calibri Light" w:cs="Calibri Light"/>
          <w:bCs/>
          <w:sz w:val="24"/>
          <w:szCs w:val="24"/>
          <w:lang w:val="en-ID"/>
        </w:rPr>
        <w:instrText>ADDIN CSL_CITATION {"citationItems":[{"id":"ITEM-1","itemData":{"DOI":"10.1108/JIMA-11-2023-0357","ISSN":"17590833 (ISSN)","abstract":"Purpose: This paper aims to investigate Islamic work ethics and adaptability towards change readiness of Islamic Bank employees in Indonesia with commitment as a mediating variable. This study focuses on the Sharia banking industry, which is facing transformation from Sharia business units to Sharia commercial banks by preparing its human resources, thus minimizing resistance. Design/methodology/approach: This study is based on a survey of 135 Bank Syariah Indonesia employees via an online questionnaire. PLS-SEM is used to analyze data and test hypotheses using SMART-PLS. Findings: The results of the study show that adaptability does not have a positive and significant effect on readiness for change in Indonesian Sharia banks and organizational commitment. Meanwhile, Islamic work ethics have a positive and significant effect on the change readiness of Islamic bank employees in Indonesia as well as organizational commitment. This study also found that organizational commitment mediates the impact of Islamic work ethics on the change readiness of Islamic bank employees in Indonesia. Research limitations/implications: This research uses a sample of employees at Sharia commercial banks (BUS) in Indonesia, so it is still limited to certain types of banks. Future research needs to test the model in different contexts, such as banks that still have Sharia business unit (UUS) status. In addition, further research needs to use other variables such as leader support for transformational change readiness. Future research also needs to control more variables and use a more complex scale than a binary scale (e.g. percentage of share ownership or area within a province or district/city). This study recommends that employee change readiness is very necessary to avoid resistance and resistance to the transformation and acceleration of Sharia banking in Indonesia. Originality/value: This research looks at employee readiness for change in Indonesian Sharia banks through the lens of adaptability Islamic work ethics and organizational commitment. © 2024, Emerald Publishing Limited.","author":[{"dropping-particle":"","family":"Afrida","given":"Y","non-dropping-particle":"","parse-names":false,"suffix":""},{"dropping-particle":"","family":"Rivai","given":"H A","non-dropping-particle":"","parse-names":false,"suffix":""},{"dropping-particle":"","family":"Syahrul","given":"L","non-dropping-particle":"","parse-names":false,"suffix":""},{"dropping-particle":"","family":"Lukito","given":"H","non-dropping-particle":"","parse-names":false,"suffix":""}],"container-title":"Journal of Islamic Marketing","id":"ITEM-1","issue":"12","issued":{"date-parts":[["2024"]]},"language":"English","note":"Export Date: 09 January 2025; Cited By: 0; Correspondence Address: H.A. Rivai; Management Department, Faculty of Business and Economics, Universitas Andalas, Padang, Indonesia; email: harifamali@gmail.com","page":"3445-3463","publisher":"Emerald Publishing","publisher-place":"Department of Islamic Finance, Universitas Islam Negeri Imam Bonjol Padang, Padang, Indonesia","title":"Readiness to change in Islamic banking: the significance of adaptability and Islamic work ethics","type":"article-journal","volume":"15"},"uris":["http://www.mendeley.com/documents/?uuid=b37afd72-cb22-438a-878f-a99a8a2d598d"]}],"mendeley":{"formattedCitation":"(Afrida et al., 2024)","plainTextFormattedCitation":"(Afrida et al., 2024)","previouslyFormattedCitation":"(Afrida et al., 2024)"},"properties":{"noteIndex":0},"schema":"https://github.com/citation-style-language/schema/raw/master/csl-citation.json"}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(Afrida et al., 2024)</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This study collected and analyzed data from Scopus, one of the most comprehensive and reliable academic databases. A systematic review approach was applied using the PRISMA framework to ensure a structured and transparent selection process. Additionally, VOSviewer was used to create network visualizations, mapping research clusters and identifying key themes in the literature. The analysis revealed a significant increase in academic interest in this field, particularly in response to global financial crises and evolving banking regulations</w:t>
      </w:r>
      <w:r w:rsidR="000051D0">
        <w:rPr>
          <w:rFonts w:ascii="Calibri Light" w:hAnsi="Calibri Light" w:cs="Calibri Light"/>
          <w:bCs/>
          <w:sz w:val="24"/>
          <w:szCs w:val="24"/>
          <w:lang w:val="en-ID"/>
        </w:rPr>
        <w:t xml:space="preserve"> </w:t>
      </w:r>
      <w:r w:rsidR="000051D0">
        <w:rPr>
          <w:rFonts w:ascii="Calibri Light" w:hAnsi="Calibri Light" w:cs="Calibri Light"/>
          <w:bCs/>
          <w:sz w:val="24"/>
          <w:szCs w:val="24"/>
          <w:lang w:val="en-ID"/>
        </w:rPr>
        <w:fldChar w:fldCharType="begin" w:fldLock="1"/>
      </w:r>
      <w:r w:rsidR="00650CEB">
        <w:rPr>
          <w:rFonts w:ascii="Calibri Light" w:hAnsi="Calibri Light" w:cs="Calibri Light"/>
          <w:bCs/>
          <w:sz w:val="24"/>
          <w:szCs w:val="24"/>
          <w:lang w:val="en-ID"/>
        </w:rPr>
        <w:instrText>ADDIN CSL_CITATION {"citationItems":[{"id":"ITEM-1","itemData":{"DOI":"10.18488/5002.v12i2.4411","ISSN":"23052147 (ISSN)","abstract":"There is an ongoing debate on how Islamic banks contribute to bank sustainability. Theoretically, Islamic ethics promote sustainability, also called Maqasid al-shari'ah. This paper investigates the effect of geographical factors on Islamic bank sustainability. A theoretical and empirical model was developed to assess this relationship. It was hypothesized that geographical factors affect Islamic bank sustainability. Countries in specific geographical locations that are dominated by Islamic rules, such as the Middle East, have different magnitudes compared to east Asian countries that have fewer Islamic rules. A geographical risk model was developed according to the Maqasid al-Shari'ah concept and was employed based on a microeconomic banking model that portrays a variety of risks for 159 Islamic banks in ten countries. We constructed variables from macroeconomic databases, such as the World Development Indicators, and microeconomic databases, such as financial indicators and environmental, social, and governance (ESG) data from Thomson Reuters from 2012 to 2019. The analysis was conducted using panel instrumental variable regression to test the hypothesis; however, geographical risk variables produced biased results affecting Maqasid financing. The method was refined with IV quantile regression. It was found that geographical factors are strongly related to the improvement of Maqasid financing in Middle East regions, whereas in eastern regions this is vice versa. The results indicate that geopolitical factors stimulate Maqasid financing for Sustainable Development Goals.  © 2022 AESS Publications.","author":[{"dropping-particle":"","family":"Budiman","given":"T","non-dropping-particle":"","parse-names":false,"suffix":""},{"dropping-particle":"","family":"Febrian","given":"E","non-dropping-particle":"","parse-names":false,"suffix":""},{"dropping-particle":"","family":"Azis","given":"Y","non-dropping-particle":"","parse-names":false,"suffix":""}],"container-title":"Asian Economic and Financial Review","id":"ITEM-1","issue":"2","issued":{"date-parts":[["2022"]]},"language":"English","note":"Export Date: 26 November 2024; Cited By: 7; Correspondence Address: T. Budiman; Department of Management and Business, Faculty of Economics and Business, University of Padjadjaran, Indonesia; email: teguh.budiman1218@gmail.com","page":"70-88","publisher":"Asian Economic and Social Society","publisher-place":"Department of Management and Business, Faculty of Economics and Business, University of Padjadjaran, Indonesia","title":"THE EFFECT OF GEOGRAPHICAL FACTORS ON ISLAMIC BANKING SUSTAINABILITY PERFORMANCE: AN INSTRUMENTAL VARIABLE QUANTILE REGRESSION ANALYSIS","type":"article-journal","volume":"12"},"uris":["http://www.mendeley.com/documents/?uuid=bf2c9640-d59a-4e99-9a42-f4779a95e705"]}],"mendeley":{"formattedCitation":"(Budiman et al., 2022)","plainTextFormattedCitation":"(Budiman et al., 2022)","previouslyFormattedCitation":"(Budiman et al., 2022)"},"properties":{"noteIndex":0},"schema":"https://github.com/citation-style-language/schema/raw/master/csl-citation.json"}</w:instrText>
      </w:r>
      <w:r w:rsidR="000051D0">
        <w:rPr>
          <w:rFonts w:ascii="Calibri Light" w:hAnsi="Calibri Light" w:cs="Calibri Light"/>
          <w:bCs/>
          <w:sz w:val="24"/>
          <w:szCs w:val="24"/>
          <w:lang w:val="en-ID"/>
        </w:rPr>
        <w:fldChar w:fldCharType="separate"/>
      </w:r>
      <w:r w:rsidR="000051D0" w:rsidRPr="000051D0">
        <w:rPr>
          <w:rFonts w:ascii="Calibri Light" w:hAnsi="Calibri Light" w:cs="Calibri Light"/>
          <w:bCs/>
          <w:noProof/>
          <w:sz w:val="24"/>
          <w:szCs w:val="24"/>
          <w:lang w:val="en-ID"/>
        </w:rPr>
        <w:t>(Budiman et al., 2022)</w:t>
      </w:r>
      <w:r w:rsidR="000051D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39E127BA" w14:textId="03E152EC"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The findings indicate that countries with well-developed Islamic banking sectors, such as Malaysia, the Gulf Cooperation Council (GCC) countries, and Indonesia, have been the most active in publishing research on this topic</w:t>
      </w:r>
      <w:r w:rsidR="00C56155">
        <w:rPr>
          <w:rFonts w:ascii="Calibri Light" w:hAnsi="Calibri Light" w:cs="Calibri Light"/>
          <w:bCs/>
          <w:sz w:val="24"/>
          <w:szCs w:val="24"/>
          <w:lang w:val="en-ID"/>
        </w:rPr>
        <w:t xml:space="preserve"> </w:t>
      </w:r>
      <w:r w:rsidR="00C56155">
        <w:rPr>
          <w:rFonts w:ascii="Calibri Light" w:hAnsi="Calibri Light" w:cs="Calibri Light"/>
          <w:bCs/>
          <w:sz w:val="24"/>
          <w:szCs w:val="24"/>
          <w:lang w:val="en-ID"/>
        </w:rPr>
        <w:fldChar w:fldCharType="begin" w:fldLock="1"/>
      </w:r>
      <w:r w:rsidR="003C27F1">
        <w:rPr>
          <w:rFonts w:ascii="Calibri Light" w:hAnsi="Calibri Light" w:cs="Calibri Light"/>
          <w:bCs/>
          <w:sz w:val="24"/>
          <w:szCs w:val="24"/>
          <w:lang w:val="en-ID"/>
        </w:rPr>
        <w:instrText>ADDIN CSL_CITATION {"citationItems":[{"id":"ITEM-1","itemData":{"author":[{"dropping-particle":"","family":"Isman","given":"Isman","non-dropping-particle":"","parse-names":false,"suffix":""}],"id":"ITEM-1","issue":"September","issued":{"date-parts":[["2024"]]},"title":"International Conference on Actual Islamic Studies Islamic Capital Market Accessibility and Fintech Innovation : Transformation of POJK 77 / 2016 Islamic Capital Market Accessibility and Fintech Innovation : Transformation of POJK 77 / 2016","type":"article-journal"},"uris":["http://www.mendeley.com/documents/?uuid=dfa7752f-c134-4c76-90d6-7efabaa44807"]}],"mendeley":{"formattedCitation":"(Isman, 2024)","plainTextFormattedCitation":"(Isman, 2024)","previouslyFormattedCitation":"(Isman, 2024)"},"properties":{"noteIndex":0},"schema":"https://github.com/citation-style-language/schema/raw/master/csl-citation.json"}</w:instrText>
      </w:r>
      <w:r w:rsidR="00C56155">
        <w:rPr>
          <w:rFonts w:ascii="Calibri Light" w:hAnsi="Calibri Light" w:cs="Calibri Light"/>
          <w:bCs/>
          <w:sz w:val="24"/>
          <w:szCs w:val="24"/>
          <w:lang w:val="en-ID"/>
        </w:rPr>
        <w:fldChar w:fldCharType="separate"/>
      </w:r>
      <w:r w:rsidR="00C56155" w:rsidRPr="00C56155">
        <w:rPr>
          <w:rFonts w:ascii="Calibri Light" w:hAnsi="Calibri Light" w:cs="Calibri Light"/>
          <w:bCs/>
          <w:noProof/>
          <w:sz w:val="24"/>
          <w:szCs w:val="24"/>
          <w:lang w:val="en-ID"/>
        </w:rPr>
        <w:t>(Isman, 2024)</w:t>
      </w:r>
      <w:r w:rsidR="00C56155">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Additionally, several academic journals specializing in Islamic finance and banking regulation have played a crucial role in disseminating studies in this area. By examining the most frequently used research keywords over the past decade, it was found that terms such as "Basel III," "Islamic Finance Regulation," and "Risk Management in Islamic Banking" were among the most commonly cited, reflecting the growing focus on regulatory challenges faced by Islamic financial institutions</w:t>
      </w:r>
      <w:r w:rsidR="00650CEB">
        <w:rPr>
          <w:rFonts w:ascii="Calibri Light" w:hAnsi="Calibri Light" w:cs="Calibri Light"/>
          <w:bCs/>
          <w:sz w:val="24"/>
          <w:szCs w:val="24"/>
          <w:lang w:val="en-ID"/>
        </w:rPr>
        <w:t xml:space="preserve"> </w:t>
      </w:r>
      <w:r w:rsidR="00650CEB">
        <w:rPr>
          <w:rFonts w:ascii="Calibri Light" w:hAnsi="Calibri Light" w:cs="Calibri Light"/>
          <w:bCs/>
          <w:sz w:val="24"/>
          <w:szCs w:val="24"/>
          <w:lang w:val="en-ID"/>
        </w:rPr>
        <w:fldChar w:fldCharType="begin" w:fldLock="1"/>
      </w:r>
      <w:r w:rsidR="00650CEB">
        <w:rPr>
          <w:rFonts w:ascii="Calibri Light" w:hAnsi="Calibri Light" w:cs="Calibri Light"/>
          <w:bCs/>
          <w:sz w:val="24"/>
          <w:szCs w:val="24"/>
          <w:lang w:val="en-ID"/>
        </w:rPr>
        <w:instrText>ADDIN CSL_CITATION {"citationItems":[{"id":"ITEM-1","itemData":{"DOI":"10.21511/bbs.16(1).2021.05","ISSN":"18167403 (ISSN)","abstract":"This paper aims to analyze the link between the disclosure of zakat information and the performance of Islamic financial institutions in Yemen. Panel data of three Islamic banks working in Yemen were used. The study used a 16-item disclosure index to measure zakat disclosure information, and the financial performance of banks was calculated using two proxies, such as return on assets (ROA) and return on equity (ROE). Based on secondary data, this study used correlation matrix, descriptive analysis and regression analysis. ROA results revealed that zakat data and the age of a bank significantly affected financial results calculated by ROA, while the size of Islamic banks had an insignificant influence of banking performance. Zakat information and the size of Islamic banks have a positive effect on bank performance, while the age of the bank negatively influences the performance of banks. The results concerning ROE indicated that zakat data and the age of a bank have a strong and significant influence on the performance of banks, determined by ROA, while the size of a bank has a negative and insignificant effect on the performance of banks, determined by ROE. © Eissa A. Al-Homaidi, Ebrahim Mohammed Al-Matari, Suhaib Anagreh, Mosab I. Tabash, Nabil Ahmed Mareai Senan, 2021.","author":[{"dropping-particle":"","family":"Al-Homaidi","given":"E A","non-dropping-particle":"","parse-names":false,"suffix":""},{"dropping-particle":"","family":"Al-Matari","given":"E M","non-dropping-particle":"","parse-names":false,"suffix":""},{"dropping-particle":"","family":"Anagreh","given":"S","non-dropping-particle":"","parse-names":false,"suffix":""},{"dropping-particle":"","family":"Tabash","given":"M I","non-dropping-particle":"","parse-names":false,"suffix":""},{"dropping-particle":"","family":"Mareai Senan","given":"N A","non-dropping-particle":"","parse-names":false,"suffix":""}],"container-title":"Banks and Bank Systems","id":"ITEM-1","issue":"1","issued":{"date-parts":[["2021"]]},"language":"English","note":"Export Date: 24 April 2025; Cited By: 8","page":"52-61","publisher":"LLC CPC Business Perspectives","publisher-place":"Faculty of Commerce, Aligarh Muslim University, India","title":"The relationship between zakat disclosures and Islamic banking performance: Evidence from Yemen","type":"article-journal","volume":"16"},"uris":["http://www.mendeley.com/documents/?uuid=7f583a3b-8cf2-4bdf-abd2-61c6b3679995"]}],"mendeley":{"formattedCitation":"(Al-Homaidi et al., 2021)","plainTextFormattedCitation":"(Al-Homaidi et al., 2021)","previouslyFormattedCitation":"(Al-Homaidi et al., 2021)"},"properties":{"noteIndex":0},"schema":"https://github.com/citation-style-language/schema/raw/master/csl-citation.json"}</w:instrText>
      </w:r>
      <w:r w:rsidR="00650CEB">
        <w:rPr>
          <w:rFonts w:ascii="Calibri Light" w:hAnsi="Calibri Light" w:cs="Calibri Light"/>
          <w:bCs/>
          <w:sz w:val="24"/>
          <w:szCs w:val="24"/>
          <w:lang w:val="en-ID"/>
        </w:rPr>
        <w:fldChar w:fldCharType="separate"/>
      </w:r>
      <w:r w:rsidR="00650CEB" w:rsidRPr="00650CEB">
        <w:rPr>
          <w:rFonts w:ascii="Calibri Light" w:hAnsi="Calibri Light" w:cs="Calibri Light"/>
          <w:bCs/>
          <w:noProof/>
          <w:sz w:val="24"/>
          <w:szCs w:val="24"/>
          <w:lang w:val="en-ID"/>
        </w:rPr>
        <w:t>(Al-Homaidi et al., 2021)</w:t>
      </w:r>
      <w:r w:rsidR="00650CEB">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21A1C100" w14:textId="082F112B" w:rsidR="0057036A" w:rsidRPr="00017625"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Based on these findings, this study aims to provide a comprehensive overview of the evolving research landscape on Basel Accords and Islamic banking, identifying gaps in the literature that could inform future studies. Some of the key research questions guiding this study include: What is the annual distribution of publications related to Basel Accords and Islamic banking over the past decade? Which journals and authors have been the most influential in this field? Which countries have contributed the most research on the intersection of Basel regulations and Islamic finance? What are the primary research keywords that have shaped academic discussions in this domain? By addressing these questions, this study will offer valuable insights for academics, policymakers, and financial professionals, helping them understand current developments and future directions in integrating international banking regulations with the principles of Islamic finance.</w:t>
      </w:r>
    </w:p>
    <w:p w14:paraId="588016E7" w14:textId="77777777"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r w:rsidR="00D26ADD" w:rsidRPr="00122F5F">
        <w:rPr>
          <w:rFonts w:ascii="Calibri Light" w:hAnsi="Calibri Light" w:cs="Calibri Light"/>
          <w:b/>
          <w:sz w:val="24"/>
          <w:szCs w:val="24"/>
        </w:rPr>
        <w:t xml:space="preserve"> </w:t>
      </w:r>
    </w:p>
    <w:p w14:paraId="24EDB683" w14:textId="7E27EEFB"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 xml:space="preserve">In this study, a bibliometric analysis was conducted using the Scopus database to extract research related to the Basel Accords and Islamic banking from 2015 to 2024. The search was performed using a carefully selected set of keywords to ensure comprehensive coverage, including "Basel Accords," "Islamic Banking," "Risk Management," "Shariah," and </w:t>
      </w:r>
      <w:r w:rsidRPr="002E1840">
        <w:rPr>
          <w:rFonts w:ascii="Calibri Light" w:hAnsi="Calibri Light" w:cs="Calibri Light"/>
          <w:sz w:val="24"/>
          <w:szCs w:val="24"/>
          <w:lang w:val="en-ID" w:eastAsia="en-ID"/>
        </w:rPr>
        <w:lastRenderedPageBreak/>
        <w:t>others. Several filters were applied to refine the search scope, restricting the analysis to studies published in the fields of economics and business (ECON, BUSI), scientific articles (Article Type), English-language publications, and peer-reviewed journals</w:t>
      </w:r>
      <w:r w:rsidR="00650CEB">
        <w:rPr>
          <w:rFonts w:ascii="Calibri Light" w:hAnsi="Calibri Light" w:cs="Calibri Light"/>
          <w:sz w:val="24"/>
          <w:szCs w:val="24"/>
          <w:lang w:val="en-ID" w:eastAsia="en-ID"/>
        </w:rPr>
        <w:t xml:space="preserve"> </w:t>
      </w:r>
      <w:r w:rsidR="00650CEB">
        <w:rPr>
          <w:rFonts w:ascii="Calibri Light" w:hAnsi="Calibri Light" w:cs="Calibri Light"/>
          <w:sz w:val="24"/>
          <w:szCs w:val="24"/>
          <w:lang w:val="en-ID" w:eastAsia="en-ID"/>
        </w:rPr>
        <w:fldChar w:fldCharType="begin" w:fldLock="1"/>
      </w:r>
      <w:r w:rsidR="003B2BD3">
        <w:rPr>
          <w:rFonts w:ascii="Calibri Light" w:hAnsi="Calibri Light" w:cs="Calibri Light"/>
          <w:sz w:val="24"/>
          <w:szCs w:val="24"/>
          <w:lang w:val="en-ID" w:eastAsia="en-ID"/>
        </w:rPr>
        <w:instrText>ADDIN CSL_CITATION {"citationItems":[{"id":"ITEM-1","itemData":{"DOI":"10.4197/Islec.36-1.5","ISSN":"10187383 (ISSN)","abstract":"The term Islamic in Islamic banking naturally raises the question of what this word adds to the concept and practice of banking? The early literature on Islamic economics raised the bar of expectations and envisioned Islamic banking as distinct from conventional banking by avoiding interest in letters and spirit. Interest-based banking was thought to suffer from exclusion, inequality, injustice, misallocation of capital resources and concentration of capital. It was thought that Islamic banking, while avoiding interest, would be more inclusive, equitable, and fair and would result in a broad allocation of resources without the exclusionary criterion of a fixed cost of capital. It was also thought that this new banking system would reduce income and wealth inequalities and control the concentration of wealth. Today, after two decades of Islamic banking in Pakistan, it is pertinent to assess the progress and performance of these ideals. This study evaluates Islamic banking in terms of inclusiveness, competitiveness, and equity. The economic assessment shows that Islamic banks have secured financial inclusion for those who wish to avoid ribā. However, concerted efforts are needed to improve competitiveness and distinction regarding distributional impact of Islamic financial products © 2023, Journal of King Abdulaziz University, Islamic Economics.All Rights Reserved.","author":[{"dropping-particle":"","family":"Shaikh","given":"S A","non-dropping-particle":"","parse-names":false,"suffix":""}],"container-title":"Journal of King Abdulaziz University, Islamic Economics","id":"ITEM-1","issue":"1","issued":{"date-parts":[["2023"]]},"language":"English","note":"Export Date: 30 November 2024; Cited By: 1; Correspondence Address: S.A. Shaikh; SZABIST University, Karachi, Pakistan; email: salmanahmed_hyd@hotmail.com","page":"91-111","publisher":"King Abdulaziz University Scientific Publishing Center","publisher-place":"SZABIST University, Karachi, Pakistan","title":"Economic Evaluation of Islamic Banking in Pakistan","type":"article-journal","volume":"36"},"uris":["http://www.mendeley.com/documents/?uuid=845d223e-9c75-43b9-a62e-961359636284"]}],"mendeley":{"formattedCitation":"(Shaikh, 2023)","plainTextFormattedCitation":"(Shaikh, 2023)","previouslyFormattedCitation":"(Shaikh, 2023)"},"properties":{"noteIndex":0},"schema":"https://github.com/citation-style-language/schema/raw/master/csl-citation.json"}</w:instrText>
      </w:r>
      <w:r w:rsidR="00650CEB">
        <w:rPr>
          <w:rFonts w:ascii="Calibri Light" w:hAnsi="Calibri Light" w:cs="Calibri Light"/>
          <w:sz w:val="24"/>
          <w:szCs w:val="24"/>
          <w:lang w:val="en-ID" w:eastAsia="en-ID"/>
        </w:rPr>
        <w:fldChar w:fldCharType="separate"/>
      </w:r>
      <w:r w:rsidR="00650CEB" w:rsidRPr="00650CEB">
        <w:rPr>
          <w:rFonts w:ascii="Calibri Light" w:hAnsi="Calibri Light" w:cs="Calibri Light"/>
          <w:noProof/>
          <w:sz w:val="24"/>
          <w:szCs w:val="24"/>
          <w:lang w:val="en-ID" w:eastAsia="en-ID"/>
        </w:rPr>
        <w:t>(Shaikh, 2023)</w:t>
      </w:r>
      <w:r w:rsidR="00650CEB">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p>
    <w:p w14:paraId="4E7F7670" w14:textId="2F24F493"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In the initial stage, the search yielded 3,511 records, reflecting the vast amount of research in this domain</w:t>
      </w:r>
      <w:r w:rsidR="003B2BD3">
        <w:rPr>
          <w:rFonts w:ascii="Calibri Light" w:hAnsi="Calibri Light" w:cs="Calibri Light"/>
          <w:sz w:val="24"/>
          <w:szCs w:val="24"/>
          <w:lang w:val="en-ID" w:eastAsia="en-ID"/>
        </w:rPr>
        <w:t xml:space="preserve"> </w:t>
      </w:r>
      <w:r w:rsidR="003B2BD3">
        <w:rPr>
          <w:rFonts w:ascii="Calibri Light" w:hAnsi="Calibri Light" w:cs="Calibri Light"/>
          <w:sz w:val="24"/>
          <w:szCs w:val="24"/>
          <w:lang w:val="en-ID" w:eastAsia="en-ID"/>
        </w:rPr>
        <w:fldChar w:fldCharType="begin" w:fldLock="1"/>
      </w:r>
      <w:r w:rsidR="003B2BD3">
        <w:rPr>
          <w:rFonts w:ascii="Calibri Light" w:hAnsi="Calibri Light" w:cs="Calibri Light"/>
          <w:sz w:val="24"/>
          <w:szCs w:val="24"/>
          <w:lang w:val="en-ID" w:eastAsia="en-ID"/>
        </w:rPr>
        <w:instrText>ADDIN CSL_CITATION {"citationItems":[{"id":"ITEM-1","itemData":{"DOI":"10.1504/ijmef.2022.126888","ISSN":"17520479 (ISSN)","abstract":"In Indonesia, the Islamic banking industry has been experiencing growth since its establishment in 1992. Although its profitability has declined slightly due to Covid-19, Islamic banks have recorded higher profitability than the average banking industry nationwide. Motivated to identify the factors that determine the banking profitability, this research empirically tests the contribution of intellectual capital (measured by VAICTM), banks’ liquidity (financing-to-deposit ratio), and financing ineffectiveness (non-performing financing or NPF) to the profitability (return on assets or ROA) of Islamic banks in Indonesia. We gathered data from the published financial information comprising a total of 130 observation years. The result shows that intellectual capital, banks’ liquidity, and financing ineffectiveness impacted the profitability of Islamic banks in Indonesia. The findings of this study provide policy implications for Indonesia’s Islamic banks to apply prudential banking principles in their financing activities. Copyright © 2022 Inderscience Enterprises Ltd.","author":[{"dropping-particle":"","family":"Fitri","given":"F A","non-dropping-particle":"","parse-names":false,"suffix":""},{"dropping-particle":"","family":"Syukur","given":"M","non-dropping-particle":"","parse-names":false,"suffix":""},{"dropping-particle":"","family":"Majid","given":"M S A","non-dropping-particle":"","parse-names":false,"suffix":""},{"dropping-particle":"","family":"Farhana","given":"I","non-dropping-particle":"","parse-names":false,"suffix":""},{"dropping-particle":"","family":"Hatta","given":"F","non-dropping-particle":"","parse-names":false,"suffix":""}],"container-title":"International Journal of Monetary Economics and Finance","id":"ITEM-1","issue":"3","issued":{"date-parts":[["2022"]]},"language":"English","note":"Export Date: 24 April 2025; Cited By: 3; Correspondence Address: F.A. Fitri; Department of Accounting, Faculty of Economics and Business, Universitas Syiah Kuala (USK), Banda Aceh, Jl. Teuku Nyak Arief No. 441, 23111, Indonesia; email: fauziah.afitri@unsyiah.ac.id","page":"293-308","publisher":"Inderscience Publishers","publisher-place":"Department of Accounting, Faculty of Economics and Business, Universitas Syiah Kuala (USK), Jl. Teuku Nyak Arief No. 441, Banda Aceh, 23111, Indonesia","title":"Do intellectual capital and financing matter for the profitability of the Islamic banking industry in Indonesia?","type":"article-journal","volume":"15"},"uris":["http://www.mendeley.com/documents/?uuid=a59b395a-9099-4512-bb6e-472b5ac1e678"]}],"mendeley":{"formattedCitation":"(Fitri et al., 2022)","plainTextFormattedCitation":"(Fitri et al., 2022)","previouslyFormattedCitation":"(Fitri et al., 2022)"},"properties":{"noteIndex":0},"schema":"https://github.com/citation-style-language/schema/raw/master/csl-citation.json"}</w:instrText>
      </w:r>
      <w:r w:rsidR="003B2BD3">
        <w:rPr>
          <w:rFonts w:ascii="Calibri Light" w:hAnsi="Calibri Light" w:cs="Calibri Light"/>
          <w:sz w:val="24"/>
          <w:szCs w:val="24"/>
          <w:lang w:val="en-ID" w:eastAsia="en-ID"/>
        </w:rPr>
        <w:fldChar w:fldCharType="separate"/>
      </w:r>
      <w:r w:rsidR="003B2BD3" w:rsidRPr="003B2BD3">
        <w:rPr>
          <w:rFonts w:ascii="Calibri Light" w:hAnsi="Calibri Light" w:cs="Calibri Light"/>
          <w:noProof/>
          <w:sz w:val="24"/>
          <w:szCs w:val="24"/>
          <w:lang w:val="en-ID" w:eastAsia="en-ID"/>
        </w:rPr>
        <w:t>(Fitri et al., 2022)</w:t>
      </w:r>
      <w:r w:rsidR="003B2BD3">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 Following a screening and filtering process, irrelevant studies were excluded based on a review of titles and abstracts, as well as an assessment of their relevance to the research criteria. During the eligibility evaluation phase, full-text articles were assessed, leading to further exclusions of studies that did not align with the scope of the research. After these processes, 1,149 final studies were selected, representing the most relevant and high-quality research</w:t>
      </w:r>
      <w:r w:rsidR="003B2BD3">
        <w:rPr>
          <w:rFonts w:ascii="Calibri Light" w:hAnsi="Calibri Light" w:cs="Calibri Light"/>
          <w:sz w:val="24"/>
          <w:szCs w:val="24"/>
          <w:lang w:val="en-ID" w:eastAsia="en-ID"/>
        </w:rPr>
        <w:t xml:space="preserve"> </w:t>
      </w:r>
      <w:r w:rsidR="003B2BD3">
        <w:rPr>
          <w:rFonts w:ascii="Calibri Light" w:hAnsi="Calibri Light" w:cs="Calibri Light"/>
          <w:sz w:val="24"/>
          <w:szCs w:val="24"/>
          <w:lang w:val="en-ID" w:eastAsia="en-ID"/>
        </w:rPr>
        <w:fldChar w:fldCharType="begin" w:fldLock="1"/>
      </w:r>
      <w:r w:rsidR="003C27F1">
        <w:rPr>
          <w:rFonts w:ascii="Calibri Light" w:hAnsi="Calibri Light" w:cs="Calibri Light"/>
          <w:sz w:val="24"/>
          <w:szCs w:val="24"/>
          <w:lang w:val="en-ID" w:eastAsia="en-ID"/>
        </w:rPr>
        <w:instrText>ADDIN CSL_CITATION {"citationItems":[{"id":"ITEM-1","itemData":{"DOI":"10.1108/QRFM-10-2022-0173","ISSN":"17554179 (ISSN)","abstract":"Purpose: This study aims to explore the prospects of istijrar financing in the Islamic banking of Bangladesh. Istijrar is a supply sale contract that facilitates recurrent transactions under a master agreement without needing a deal-to-deal agreement. Murabahah financing in Bangladesh is being criticized for Shari’ah violations, which can be minimized if istijrar financing is integrated and applied. Design/methodology/approach: The study uses a qualitative approach, primarily using a semistructured interview method to collect the primary data. The study conducted 13 one-to-one interviews with leading Islamic banking experts in the country, including Shari’ah scholars, Islamic bankers and regulators. Besides, the study consults with classical and contemporary fiqhi sources to realize the status of istijrar sale in Islamic law. Thematic analysis is performed to explore the qualitative data. Findings: The study finds that istijrar financing has great prospects in the Islamic banking of Bangladesh. Istijrar is applicable in consumer financing and can be offered as an alternative or supplement to murabahah. Also, postimport murabahah financing can be structured with istijrar, while it can also be used in export financing. Besides, a few challenges should be dealt with before offering istijrar, such as proper structure, lack of literacy, stakeholders’ awareness, Shari’ah and regulatory approval and alignment with the law of the land. Practical implications: Murabahah financing is dominant on the asset side of Islamic banks’ balance sheets in Bangladesh. Murabahah practice in Bangladesh is frequently criticized for some possible Shari’ah violations. Also, more documents are needed for each murabahah operation, which eventually accelerates the costs. Applying istijrar would minimize these issues as it does not require a new contract for each deal. Multiple supplies can be done under a single agreement. Besides, istijrar reduces documentation hassle and transaction costs. Istijrar would be an easy practice and benefit the bank and its clients. Originality/value: This study contributes to the body of knowledge and the Islamic banking industry. The existing studies have not adequately addressed the potential of istijrar in Islamic banking. In addition, this study will be an eye-opener for Islamic bankers to develop new products with istijrar. © 2023, Emerald Publishing Limited.","author":[{"dropping-particle":"","family":"Rahman","given":"M H","non-dropping-particle":"","parse-names":false,"suffix":""},{"dropping-particle":"","family":"Chowdhury","given":"N.M.S.I.","non-dropping-particle":"","parse-names":false,"suffix":""}],"container-title":"Qualitative Research in Financial Markets","id":"ITEM-1","issue":"1","issued":{"date-parts":[["2024"]]},"language":"English","note":"Export Date: 24 April 2025; Cited By: 4; Correspondence Address: M.H. Rahman; Faculty of Business and Management, Universiti Sultan Zainal Abidin (UniSZA), Kuala Terengganu, Malaysia; email: hrnizamee10@gmail.com","page":"135-158","publisher":"Emerald Publishing","publisher-place":"Faculty of Business and Management, Universiti Sultan Zainal Abidin (UniSZA), Kuala Terengganu, Malaysia","title":"The prospects of istijrar financing in Islamic banking: an exploratory study in Bangladesh","type":"article-journal","volume":"16"},"uris":["http://www.mendeley.com/documents/?uuid=e8b3b3f1-81f3-4ada-a87e-697e777ee9d8"]}],"mendeley":{"formattedCitation":"(Rahman &amp; Chowdhury, 2024)","plainTextFormattedCitation":"(Rahman &amp; Chowdhury, 2024)","previouslyFormattedCitation":"(Rahman &amp; Chowdhury, 2024)"},"properties":{"noteIndex":0},"schema":"https://github.com/citation-style-language/schema/raw/master/csl-citation.json"}</w:instrText>
      </w:r>
      <w:r w:rsidR="003B2BD3">
        <w:rPr>
          <w:rFonts w:ascii="Calibri Light" w:hAnsi="Calibri Light" w:cs="Calibri Light"/>
          <w:sz w:val="24"/>
          <w:szCs w:val="24"/>
          <w:lang w:val="en-ID" w:eastAsia="en-ID"/>
        </w:rPr>
        <w:fldChar w:fldCharType="separate"/>
      </w:r>
      <w:r w:rsidR="003C27F1" w:rsidRPr="003C27F1">
        <w:rPr>
          <w:rFonts w:ascii="Calibri Light" w:hAnsi="Calibri Light" w:cs="Calibri Light"/>
          <w:noProof/>
          <w:sz w:val="24"/>
          <w:szCs w:val="24"/>
          <w:lang w:val="en-ID" w:eastAsia="en-ID"/>
        </w:rPr>
        <w:t>(Rahman &amp; Chowdhury, 2024)</w:t>
      </w:r>
      <w:r w:rsidR="003B2BD3">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p>
    <w:p w14:paraId="0AEF7F08" w14:textId="77777777"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TITLE-ABS-KEY ( "Basel Accords" OR "Islamic banking" ) AND ( LIMIT-TO ( PUBYEAR , 2015 ) OR LIMIT-TO ( PUBYEAR , 2016 ) OR LIMIT-TO ( PUBYEAR , 2017 ) OR LIMIT-TO ( PUBYEAR , 2018 ) OR LIMIT-TO ( PUBYEAR , 2019 ) OR LIMIT-TO ( PUBYEAR , 2020 ) OR LIMIT-TO ( PUBYEAR , 2021 ) OR LIMIT-TO ( PUBYEAR , 2022 ) OR LIMIT-TO ( PUBYEAR , 2023 ) OR LIMIT-TO ( PUBYEAR , 2024 ) ) 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6C23073A" w14:textId="5D081C27" w:rsidR="00791E50" w:rsidRDefault="002E1840" w:rsidP="004308C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The analysis was conducted following the PRISMA Framework to ensure transparency and accuracy in study selection. This methodology provides a clear insight into the development of research on the Basel Accords and Islamic banking over the last decade, helping to understand research shifts and the key topics that have been the focus of academic discourse in this field.These criteria were comprehensively detailed in Figure 1 within the PRISMA framework section, where key parameters—including language, subject areas, and publication years—were explicitly specified</w:t>
      </w:r>
      <w:r w:rsidR="00602879">
        <w:rPr>
          <w:rFonts w:ascii="Calibri Light" w:hAnsi="Calibri Light" w:cs="Calibri Light"/>
          <w:sz w:val="24"/>
          <w:szCs w:val="24"/>
          <w:lang w:val="en-ID" w:eastAsia="en-ID"/>
        </w:rPr>
        <w:t xml:space="preserve"> </w:t>
      </w:r>
      <w:r w:rsidR="00602879">
        <w:rPr>
          <w:rFonts w:ascii="Calibri Light" w:hAnsi="Calibri Light" w:cs="Calibri Light"/>
          <w:sz w:val="24"/>
          <w:szCs w:val="24"/>
          <w:lang w:val="en-ID" w:eastAsia="en-ID"/>
        </w:rPr>
        <w:fldChar w:fldCharType="begin" w:fldLock="1"/>
      </w:r>
      <w:r w:rsidR="00602879">
        <w:rPr>
          <w:rFonts w:ascii="Calibri Light" w:hAnsi="Calibri Light" w:cs="Calibri Light"/>
          <w:sz w:val="24"/>
          <w:szCs w:val="24"/>
          <w:lang w:val="en-ID" w:eastAsia="en-ID"/>
        </w:rPr>
        <w:instrText>ADDIN CSL_CITATION {"citationItems":[{"id":"ITEM-1","itemData":{"DOI":"10.59683/ijls.v3i3.90","ISSN":"28279042","abstract":"This study explores the application of Qur'anic human rights principles in Egypt and Indonesia, focusing on how Islamic teachings are integrated into modern legal systems amidst different cultural, political, and historical contexts. The study investigates the balance between universal human rights standards and Islamic jurisprudence, identifying variations in the interpretation and application of these principles in both countries. The PRISMA framework was used as the basis for the method, ensuring a systematic and transparent approach to reviewing legal texts, academic literature, and case studies. The technique began by identifying sources relevant to applying human rights law in the context of Islamic teachings in Egypt and Indonesia. A focused search was conducted using Web of Science and Scopus databases, targeting articles published between 2014 and 2024. Inclusion criteria ensured that the study analyzed recent and high-quality research on the intersection of Qur'anic principles and international human rights standards. The study shows that Egypt faces challenges in implementing Qur'anic teachings due to conservative interpretations that limit gender equality, freedom of expression, and freedom of religion. In contrast, Indonesia is more flexible by balancing Islamic principles with modern democratic values. This allows for a broader interpretation of Qur'anic principles, especially gender equality and religious freedom. The role of ijtihad in Indonesia is crucial in adapting Islamic law to contemporary human rights standards. This study highlights the complexity of aligning Islamic teachings with global human rights norms. It emphasizes the importance of revisiting traditional interpretations of the Qur'an to better align them with contemporary values of justice, equality, and human dignity, as well as ensuring respect for the human rights of all citizens.","author":[{"dropping-particle":"","family":"Andri Nirwana","given":"A. N.","non-dropping-particle":"","parse-names":false,"suffix":""},{"dropping-particle":"","family":"Elbanna","given":"Mariam","non-dropping-particle":"","parse-names":false,"suffix":""},{"dropping-particle":"","family":"Ismail","given":"Faisal Husen","non-dropping-particle":"","parse-names":false,"suffix":""},{"dropping-particle":"","family":"Daud","given":"Zainora","non-dropping-particle":"","parse-names":false,"suffix":""},{"dropping-particle":"","family":"Mohd Salleh","given":"Norsaleha","non-dropping-particle":"","parse-names":false,"suffix":""},{"dropping-particle":"","family":"Kirin","given":"Arwansyah","non-dropping-particle":"Bin","parse-names":false,"suffix":""},{"dropping-particle":"","family":"Marisa","given":"Siti Nurkhafifah","non-dropping-particle":"","parse-names":false,"suffix":""},{"dropping-particle":"","family":"Husein","given":"Muhammad Zakir","non-dropping-particle":"","parse-names":false,"suffix":""}],"container-title":"International Journal of Law and Society","id":"ITEM-1","issue":"3","issued":{"date-parts":[["2024"]]},"page":"173-186","title":"PRISMA-Based Study on Integrating Islamic Principles into Legal Systems: Human Rights in Egypt and Indonesia","type":"article-journal","volume":"3"},"uris":["http://www.mendeley.com/documents/?uuid=b4e6a10c-a2a5-4193-baf9-1cd44d99942b"]}],"mendeley":{"formattedCitation":"(Andri Nirwana et al., 2024)","plainTextFormattedCitation":"(Andri Nirwana et al., 2024)","previouslyFormattedCitation":"(Andri Nirwana et al., 2024)"},"properties":{"noteIndex":0},"schema":"https://github.com/citation-style-language/schema/raw/master/csl-citation.json"}</w:instrText>
      </w:r>
      <w:r w:rsidR="00602879">
        <w:rPr>
          <w:rFonts w:ascii="Calibri Light" w:hAnsi="Calibri Light" w:cs="Calibri Light"/>
          <w:sz w:val="24"/>
          <w:szCs w:val="24"/>
          <w:lang w:val="en-ID" w:eastAsia="en-ID"/>
        </w:rPr>
        <w:fldChar w:fldCharType="separate"/>
      </w:r>
      <w:r w:rsidR="00602879" w:rsidRPr="00602879">
        <w:rPr>
          <w:rFonts w:ascii="Calibri Light" w:hAnsi="Calibri Light" w:cs="Calibri Light"/>
          <w:noProof/>
          <w:sz w:val="24"/>
          <w:szCs w:val="24"/>
          <w:lang w:val="en-ID" w:eastAsia="en-ID"/>
        </w:rPr>
        <w:t>(Andri Nirwana et al., 2024)</w:t>
      </w:r>
      <w:r w:rsidR="00602879">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bookmarkStart w:id="1" w:name="_Hlk187681640"/>
    </w:p>
    <w:p w14:paraId="1D5A8409"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199E529"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5E4449FC"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562F538"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117B12BE" w14:textId="77777777" w:rsidR="004308C0" w:rsidRPr="002D33A7"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664ECAD" w14:textId="564DBC24" w:rsidR="007923B1" w:rsidRPr="007923B1" w:rsidRDefault="00D813BC"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2304" behindDoc="0" locked="0" layoutInCell="1" allowOverlap="1" wp14:anchorId="109665C2" wp14:editId="6E508965">
                <wp:simplePos x="0" y="0"/>
                <wp:positionH relativeFrom="column">
                  <wp:posOffset>509270</wp:posOffset>
                </wp:positionH>
                <wp:positionV relativeFrom="paragraph">
                  <wp:posOffset>122555</wp:posOffset>
                </wp:positionV>
                <wp:extent cx="4622800" cy="381000"/>
                <wp:effectExtent l="38100" t="38100" r="63500" b="76200"/>
                <wp:wrapNone/>
                <wp:docPr id="29" name="Flowchart: Alternate Process 29"/>
                <wp:cNvGraphicFramePr/>
                <a:graphic xmlns:a="http://schemas.openxmlformats.org/drawingml/2006/main">
                  <a:graphicData uri="http://schemas.microsoft.com/office/word/2010/wordprocessingShape">
                    <wps:wsp>
                      <wps:cNvSpPr/>
                      <wps:spPr>
                        <a:xfrm>
                          <a:off x="0" y="0"/>
                          <a:ext cx="4622800" cy="381000"/>
                        </a:xfrm>
                        <a:prstGeom prst="flowChartAlternateProcess">
                          <a:avLst/>
                        </a:prstGeom>
                        <a:gradFill rotWithShape="1">
                          <a:gsLst>
                            <a:gs pos="0">
                              <a:srgbClr val="D8B25C"/>
                            </a:gs>
                            <a:gs pos="90000">
                              <a:srgbClr val="D8B25C">
                                <a:shade val="100000"/>
                              </a:srgbClr>
                            </a:gs>
                            <a:gs pos="100000">
                              <a:srgbClr val="D8B25C">
                                <a:shade val="85000"/>
                              </a:srgbClr>
                            </a:gs>
                          </a:gsLst>
                          <a:path path="circle">
                            <a:fillToRect l="100000" t="100000" r="100000" b="100000"/>
                          </a:path>
                        </a:gradFill>
                        <a:ln w="10000" cap="flat" cmpd="sng" algn="ctr">
                          <a:solidFill>
                            <a:srgbClr val="D8B25C"/>
                          </a:solidFill>
                          <a:prstDash val="solid"/>
                        </a:ln>
                        <a:effectLst>
                          <a:outerShdw blurRad="38100" dist="17779" dir="5400000" rotWithShape="0">
                            <a:srgbClr val="000000">
                              <a:alpha val="40000"/>
                            </a:srgbClr>
                          </a:outerShdw>
                        </a:effectLst>
                      </wps:spPr>
                      <wps:txbx>
                        <w:txbxContent>
                          <w:p w14:paraId="1FB99647" w14:textId="77777777" w:rsidR="007923B1" w:rsidRPr="00D813BC" w:rsidRDefault="007923B1" w:rsidP="007923B1">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9665C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29" o:spid="_x0000_s1026" type="#_x0000_t176" style="position:absolute;margin-left:40.1pt;margin-top:9.65pt;width:364pt;height:30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" fillcolor="#d8b25c" strokecolor="#d8b25c" strokeweight=".27778mm">
                <v:fill color2="#c9a555" rotate="t" focusposition="1,1" focussize="-1,-1" colors="0 #d8b25c;58982f #d8b25c;1 #c9a555" focus="100%" type="gradientRadial"/>
                <v:shadow on="t" color="black" opacity="26214f" origin=",.5" offset="0,.49386mm"/>
                <v:textbox>
                  <w:txbxContent>
                    <w:p w14:paraId="1FB99647" w14:textId="77777777" w:rsidR="007923B1" w:rsidRPr="00D813BC" w:rsidRDefault="007923B1" w:rsidP="007923B1">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v:textbox>
              </v:shape>
            </w:pict>
          </mc:Fallback>
        </mc:AlternateContent>
      </w:r>
    </w:p>
    <w:p w14:paraId="3A19920F" w14:textId="77777777" w:rsidR="007923B1" w:rsidRPr="007923B1" w:rsidRDefault="007923B1" w:rsidP="007923B1">
      <w:pPr>
        <w:autoSpaceDE/>
        <w:autoSpaceDN/>
        <w:rPr>
          <w:rFonts w:ascii="Calibri" w:eastAsia="Calibri" w:hAnsi="Calibri" w:cs="Arial"/>
          <w:sz w:val="22"/>
          <w:szCs w:val="22"/>
          <w:lang w:val="en-AU" w:eastAsia="en-US"/>
        </w:rPr>
      </w:pPr>
    </w:p>
    <w:p w14:paraId="53AB012E" w14:textId="77777777" w:rsidR="00D813BC" w:rsidRDefault="00D813BC" w:rsidP="007923B1">
      <w:pPr>
        <w:autoSpaceDE/>
        <w:autoSpaceDN/>
        <w:rPr>
          <w:rFonts w:ascii="Calibri" w:eastAsia="Calibri" w:hAnsi="Calibri" w:cs="Arial"/>
          <w:sz w:val="22"/>
          <w:szCs w:val="22"/>
          <w:lang w:val="en-AU" w:eastAsia="en-US"/>
        </w:rPr>
      </w:pPr>
    </w:p>
    <w:p w14:paraId="1D033615" w14:textId="77777777" w:rsidR="004308C0" w:rsidRDefault="004308C0" w:rsidP="007923B1">
      <w:pPr>
        <w:autoSpaceDE/>
        <w:autoSpaceDN/>
        <w:rPr>
          <w:rFonts w:ascii="Calibri" w:eastAsia="Calibri" w:hAnsi="Calibri" w:cs="Arial"/>
          <w:sz w:val="22"/>
          <w:szCs w:val="22"/>
          <w:lang w:val="en-AU" w:eastAsia="en-US"/>
        </w:rPr>
      </w:pPr>
    </w:p>
    <w:p w14:paraId="02052A69" w14:textId="62591DDF"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68992" behindDoc="0" locked="0" layoutInCell="1" allowOverlap="1" wp14:anchorId="18FFA0C2" wp14:editId="6B545877">
                <wp:simplePos x="0" y="0"/>
                <wp:positionH relativeFrom="column">
                  <wp:posOffset>561975</wp:posOffset>
                </wp:positionH>
                <wp:positionV relativeFrom="paragraph">
                  <wp:posOffset>131445</wp:posOffset>
                </wp:positionV>
                <wp:extent cx="1887220" cy="981075"/>
                <wp:effectExtent l="0" t="0" r="0" b="9525"/>
                <wp:wrapNone/>
                <wp:docPr id="1" name="Rectangle 1"/>
                <wp:cNvGraphicFramePr/>
                <a:graphic xmlns:a="http://schemas.openxmlformats.org/drawingml/2006/main">
                  <a:graphicData uri="http://schemas.microsoft.com/office/word/2010/wordprocessingShape">
                    <wps:wsp>
                      <wps:cNvSpPr/>
                      <wps:spPr>
                        <a:xfrm>
                          <a:off x="0" y="0"/>
                          <a:ext cx="1887220" cy="98107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2DC6F1AB"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(n= 3,511</w:t>
                            </w:r>
                            <w:r w:rsidRPr="008A7B81">
                              <w:rPr>
                                <w:rFonts w:hint="cs"/>
                                <w:color w:val="FFFFFF" w:themeColor="background1"/>
                                <w:rtl/>
                                <w:lang w:eastAsia="en-ID"/>
                              </w:rPr>
                              <w:t xml:space="preserve"> </w:t>
                            </w:r>
                            <w:r w:rsidRPr="008A7B81">
                              <w:rPr>
                                <w:rFonts w:ascii="Arial" w:hAnsi="Arial" w:cs="Arial"/>
                                <w:color w:val="FFFFFF" w:themeColor="background1"/>
                                <w:sz w:val="18"/>
                              </w:rPr>
                              <w:t xml:space="preserve">) </w:t>
                            </w:r>
                          </w:p>
                          <w:p w14:paraId="4431F8B9" w14:textId="77777777" w:rsidR="007923B1" w:rsidRPr="008A7B81" w:rsidRDefault="007923B1" w:rsidP="007923B1">
                            <w:pPr>
                              <w:rPr>
                                <w:rFonts w:ascii="Arial" w:hAnsi="Arial" w:cs="Arial"/>
                                <w:color w:val="FFFFFF" w:themeColor="background1"/>
                                <w:sz w:val="18"/>
                              </w:rPr>
                            </w:pPr>
                          </w:p>
                          <w:p w14:paraId="4C1FB59C"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=2,631 )</w:t>
                            </w:r>
                          </w:p>
                          <w:p w14:paraId="77870ACB"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FFA0C2" id="Rectangle 1" o:spid="_x0000_s1027" style="position:absolute;margin-left:44.25pt;margin-top:10.35pt;width:148.6pt;height:77.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" fillcolor="#737950" stroked="f">
                <v:fill color2="#c9cdb3" rotate="t" angle="180" colors="0 #737950;31457f #a8ae85;1 #c9cdb3" focus="100%" type="gradient"/>
                <v:textbox>
                  <w:txbxContent>
                    <w:p w14:paraId="2DC6F1AB"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(n= 3,511</w:t>
                      </w:r>
                      <w:r w:rsidRPr="008A7B81">
                        <w:rPr>
                          <w:rFonts w:hint="cs"/>
                          <w:color w:val="FFFFFF" w:themeColor="background1"/>
                          <w:rtl/>
                          <w:lang w:eastAsia="en-ID"/>
                        </w:rPr>
                        <w:t xml:space="preserve"> </w:t>
                      </w:r>
                      <w:r w:rsidRPr="008A7B81">
                        <w:rPr>
                          <w:rFonts w:ascii="Arial" w:hAnsi="Arial" w:cs="Arial"/>
                          <w:color w:val="FFFFFF" w:themeColor="background1"/>
                          <w:sz w:val="18"/>
                        </w:rPr>
                        <w:t xml:space="preserve">) </w:t>
                      </w:r>
                    </w:p>
                    <w:p w14:paraId="4431F8B9" w14:textId="77777777" w:rsidR="007923B1" w:rsidRPr="008A7B81" w:rsidRDefault="007923B1" w:rsidP="007923B1">
                      <w:pPr>
                        <w:rPr>
                          <w:rFonts w:ascii="Arial" w:hAnsi="Arial" w:cs="Arial"/>
                          <w:color w:val="FFFFFF" w:themeColor="background1"/>
                          <w:sz w:val="18"/>
                        </w:rPr>
                      </w:pPr>
                    </w:p>
                    <w:p w14:paraId="4C1FB59C"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=2,631 )</w:t>
                      </w:r>
                    </w:p>
                    <w:p w14:paraId="77870ACB" w14:textId="77777777" w:rsidR="007923B1" w:rsidRPr="001C3167" w:rsidRDefault="007923B1" w:rsidP="007923B1">
                      <w:pPr>
                        <w:ind w:left="284"/>
                        <w:rPr>
                          <w:rFonts w:ascii="Arial" w:hAnsi="Arial" w:cs="Arial"/>
                          <w:color w:val="000000"/>
                          <w:sz w:val="18"/>
                        </w:rPr>
                      </w:pPr>
                    </w:p>
                  </w:txbxContent>
                </v:textbox>
              </v:rect>
            </w:pict>
          </mc:Fallback>
        </mc:AlternateContent>
      </w:r>
    </w:p>
    <w:p w14:paraId="1B38B345"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0016" behindDoc="0" locked="0" layoutInCell="1" allowOverlap="1" wp14:anchorId="6AEE5F94" wp14:editId="55D5B1B7">
                <wp:simplePos x="0" y="0"/>
                <wp:positionH relativeFrom="column">
                  <wp:posOffset>3020695</wp:posOffset>
                </wp:positionH>
                <wp:positionV relativeFrom="paragraph">
                  <wp:posOffset>113030</wp:posOffset>
                </wp:positionV>
                <wp:extent cx="2389505" cy="752475"/>
                <wp:effectExtent l="0" t="0" r="0" b="9525"/>
                <wp:wrapNone/>
                <wp:docPr id="1815045546" name="Rectangle 1815045546"/>
                <wp:cNvGraphicFramePr/>
                <a:graphic xmlns:a="http://schemas.openxmlformats.org/drawingml/2006/main">
                  <a:graphicData uri="http://schemas.microsoft.com/office/word/2010/wordprocessingShape">
                    <wps:wsp>
                      <wps:cNvSpPr/>
                      <wps:spPr>
                        <a:xfrm>
                          <a:off x="0" y="0"/>
                          <a:ext cx="2389505" cy="752475"/>
                        </a:xfrm>
                        <a:prstGeom prst="rect">
                          <a:avLst/>
                        </a:prstGeom>
                        <a:solidFill>
                          <a:srgbClr val="A5AB81">
                            <a:alpha val="50000"/>
                          </a:srgbClr>
                        </a:solidFill>
                        <a:ln>
                          <a:noFill/>
                        </a:ln>
                        <a:effectLst/>
                      </wps:spPr>
                      <wps:txbx>
                        <w:txbxContent>
                          <w:p w14:paraId="12B607E2" w14:textId="77777777" w:rsidR="007923B1" w:rsidRPr="001C3167" w:rsidRDefault="007923B1" w:rsidP="007923B1">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14:paraId="6C591F92" w14:textId="77777777" w:rsidR="007923B1" w:rsidRPr="001C3167" w:rsidRDefault="007923B1" w:rsidP="007923B1">
                            <w:pPr>
                              <w:ind w:left="284"/>
                              <w:rPr>
                                <w:rFonts w:ascii="Arial" w:hAnsi="Arial" w:cs="Arial"/>
                                <w:color w:val="000000"/>
                                <w:sz w:val="18"/>
                              </w:rPr>
                            </w:pPr>
                            <w:r w:rsidRPr="001C3167">
                              <w:rPr>
                                <w:rFonts w:ascii="Arial" w:hAnsi="Arial" w:cs="Arial"/>
                                <w:color w:val="000000"/>
                                <w:sz w:val="18"/>
                              </w:rPr>
                              <w:t>Duplicate records removed  (n =</w:t>
                            </w:r>
                            <w:r w:rsidRPr="00F42F9F">
                              <w:rPr>
                                <w:rFonts w:ascii="Arial" w:hAnsi="Arial" w:cs="Arial"/>
                                <w:color w:val="000000"/>
                                <w:sz w:val="18"/>
                              </w:rPr>
                              <w:t xml:space="preserve">1,911 </w:t>
                            </w:r>
                            <w:r w:rsidRPr="001C3167">
                              <w:rPr>
                                <w:rFonts w:ascii="Arial" w:hAnsi="Arial" w:cs="Arial"/>
                                <w:color w:val="000000"/>
                                <w:sz w:val="18"/>
                              </w:rPr>
                              <w:t>)</w:t>
                            </w:r>
                          </w:p>
                          <w:p w14:paraId="321D2644"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EE5F94" id="Rectangle 1815045546" o:spid="_x0000_s1028" style="position:absolute;margin-left:237.85pt;margin-top:8.9pt;width:188.15pt;height:59.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" fillcolor="#a5ab81" stroked="f">
                <v:fill opacity="32896f"/>
                <v:textbox>
                  <w:txbxContent>
                    <w:p w14:paraId="12B607E2" w14:textId="77777777" w:rsidR="007923B1" w:rsidRPr="001C3167" w:rsidRDefault="007923B1" w:rsidP="007923B1">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14:paraId="6C591F92" w14:textId="77777777" w:rsidR="007923B1" w:rsidRPr="001C3167" w:rsidRDefault="007923B1" w:rsidP="007923B1">
                      <w:pPr>
                        <w:ind w:left="284"/>
                        <w:rPr>
                          <w:rFonts w:ascii="Arial" w:hAnsi="Arial" w:cs="Arial"/>
                          <w:color w:val="000000"/>
                          <w:sz w:val="18"/>
                        </w:rPr>
                      </w:pPr>
                      <w:r w:rsidRPr="001C3167">
                        <w:rPr>
                          <w:rFonts w:ascii="Arial" w:hAnsi="Arial" w:cs="Arial"/>
                          <w:color w:val="000000"/>
                          <w:sz w:val="18"/>
                        </w:rPr>
                        <w:t>Duplicate records removed  (n =</w:t>
                      </w:r>
                      <w:r w:rsidRPr="00F42F9F">
                        <w:rPr>
                          <w:rFonts w:ascii="Arial" w:hAnsi="Arial" w:cs="Arial"/>
                          <w:color w:val="000000"/>
                          <w:sz w:val="18"/>
                        </w:rPr>
                        <w:t xml:space="preserve">1,911 </w:t>
                      </w:r>
                      <w:r w:rsidRPr="001C3167">
                        <w:rPr>
                          <w:rFonts w:ascii="Arial" w:hAnsi="Arial" w:cs="Arial"/>
                          <w:color w:val="000000"/>
                          <w:sz w:val="18"/>
                        </w:rPr>
                        <w:t>)</w:t>
                      </w:r>
                    </w:p>
                    <w:p w14:paraId="321D2644" w14:textId="77777777" w:rsidR="007923B1" w:rsidRPr="001C3167" w:rsidRDefault="007923B1" w:rsidP="007923B1">
                      <w:pPr>
                        <w:ind w:left="284"/>
                        <w:rPr>
                          <w:rFonts w:ascii="Arial" w:hAnsi="Arial" w:cs="Arial"/>
                          <w:color w:val="000000"/>
                          <w:sz w:val="18"/>
                        </w:rPr>
                      </w:pPr>
                    </w:p>
                  </w:txbxContent>
                </v:textbox>
              </v:rect>
            </w:pict>
          </mc:Fallback>
        </mc:AlternateContent>
      </w:r>
    </w:p>
    <w:p w14:paraId="69422F97"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3328" behindDoc="0" locked="0" layoutInCell="1" allowOverlap="1" wp14:anchorId="020FAA8D" wp14:editId="2E0E9A5F">
                <wp:simplePos x="0" y="0"/>
                <wp:positionH relativeFrom="column">
                  <wp:posOffset>-403543</wp:posOffset>
                </wp:positionH>
                <wp:positionV relativeFrom="paragraph">
                  <wp:posOffset>222567</wp:posOffset>
                </wp:positionV>
                <wp:extent cx="1276985" cy="262890"/>
                <wp:effectExtent l="0" t="7302" r="0" b="0"/>
                <wp:wrapNone/>
                <wp:docPr id="31" name="Flowchart: Alternate Process 31"/>
                <wp:cNvGraphicFramePr/>
                <a:graphic xmlns:a="http://schemas.openxmlformats.org/drawingml/2006/main">
                  <a:graphicData uri="http://schemas.microsoft.com/office/word/2010/wordprocessingShape">
                    <wps:wsp>
                      <wps:cNvSpPr/>
                      <wps:spPr>
                        <a:xfrm rot="16200000">
                          <a:off x="0" y="0"/>
                          <a:ext cx="1276985" cy="262890"/>
                        </a:xfrm>
                        <a:prstGeom prst="flowChartAlternateProcess">
                          <a:avLst/>
                        </a:prstGeom>
                        <a:solidFill>
                          <a:srgbClr val="7BA79D"/>
                        </a:solidFill>
                        <a:ln>
                          <a:noFill/>
                        </a:ln>
                        <a:effectLst/>
                      </wps:spPr>
                      <wps:txbx>
                        <w:txbxContent>
                          <w:p w14:paraId="2351CCDB"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Identification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FAA8D" id="Flowchart: Alternate Process 31" o:spid="_x0000_s1029" type="#_x0000_t176" style="position:absolute;margin-left:-31.8pt;margin-top:17.5pt;width:100.55pt;height:20.7pt;rotation:-90;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" fillcolor="#7ba79d" stroked="f">
                <v:textbox>
                  <w:txbxContent>
                    <w:p w14:paraId="2351CCDB"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Identification</w:t>
                      </w:r>
                    </w:p>
                  </w:txbxContent>
                </v:textbox>
              </v:shape>
            </w:pict>
          </mc:Fallback>
        </mc:AlternateContent>
      </w:r>
    </w:p>
    <w:p w14:paraId="2B289650" w14:textId="77777777" w:rsidR="007923B1" w:rsidRPr="007923B1" w:rsidRDefault="007923B1" w:rsidP="007923B1">
      <w:pPr>
        <w:autoSpaceDE/>
        <w:autoSpaceDN/>
        <w:rPr>
          <w:rFonts w:ascii="Calibri" w:eastAsia="Calibri" w:hAnsi="Calibri" w:cs="Arial"/>
          <w:sz w:val="22"/>
          <w:szCs w:val="22"/>
          <w:lang w:val="en-AU" w:eastAsia="en-US"/>
        </w:rPr>
      </w:pPr>
    </w:p>
    <w:p w14:paraId="4F1B4876"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8208" behindDoc="0" locked="0" layoutInCell="1" allowOverlap="1" wp14:anchorId="0144FC5E" wp14:editId="4E926210">
                <wp:simplePos x="0" y="0"/>
                <wp:positionH relativeFrom="column">
                  <wp:posOffset>2454250</wp:posOffset>
                </wp:positionH>
                <wp:positionV relativeFrom="paragraph">
                  <wp:posOffset>9550</wp:posOffset>
                </wp:positionV>
                <wp:extent cx="563270" cy="0"/>
                <wp:effectExtent l="0" t="76200" r="27305" b="95250"/>
                <wp:wrapNone/>
                <wp:docPr id="14" name="Straight Arrow Connector 14"/>
                <wp:cNvGraphicFramePr/>
                <a:graphic xmlns:a="http://schemas.openxmlformats.org/drawingml/2006/main">
                  <a:graphicData uri="http://schemas.microsoft.com/office/word/2010/wordprocessingShape">
                    <wps:wsp>
                      <wps:cNvCnPr/>
                      <wps:spPr>
                        <a:xfrm>
                          <a:off x="0" y="0"/>
                          <a:ext cx="563270"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type w14:anchorId="07B8C572" id="_x0000_t32" coordsize="21600,21600" o:spt="32" o:oned="t" path="m,l21600,21600e" filled="f">
                <v:path arrowok="t" fillok="f" o:connecttype="none"/>
                <o:lock v:ext="edit" shapetype="t"/>
              </v:shapetype>
              <v:shape id="Straight Arrow Connector 14" o:spid="_x0000_s1026" type="#_x0000_t32" style="position:absolute;margin-left:193.25pt;margin-top:.75pt;width:44.35pt;height:0;z-index:251678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" strokecolor="windowText" strokeweight="4.25pt">
                <v:stroke endarrow="block" linestyle="thinThin"/>
                <v:shadow on="t" color="black" opacity="26214f" origin=",.5" offset="0,.49386mm"/>
              </v:shape>
            </w:pict>
          </mc:Fallback>
        </mc:AlternateContent>
      </w:r>
    </w:p>
    <w:p w14:paraId="64B7C90E" w14:textId="77777777" w:rsidR="007923B1" w:rsidRPr="007923B1" w:rsidRDefault="007923B1" w:rsidP="007923B1">
      <w:pPr>
        <w:autoSpaceDE/>
        <w:autoSpaceDN/>
        <w:rPr>
          <w:rFonts w:ascii="Calibri" w:eastAsia="Calibri" w:hAnsi="Calibri" w:cs="Arial"/>
          <w:sz w:val="22"/>
          <w:szCs w:val="22"/>
          <w:lang w:val="en-AU" w:eastAsia="en-US"/>
        </w:rPr>
      </w:pPr>
    </w:p>
    <w:p w14:paraId="79A91764"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6400" behindDoc="0" locked="0" layoutInCell="1" allowOverlap="1" wp14:anchorId="60C8D754" wp14:editId="13F99CD1">
                <wp:simplePos x="0" y="0"/>
                <wp:positionH relativeFrom="column">
                  <wp:posOffset>1400175</wp:posOffset>
                </wp:positionH>
                <wp:positionV relativeFrom="paragraph">
                  <wp:posOffset>118745</wp:posOffset>
                </wp:positionV>
                <wp:extent cx="0" cy="467995"/>
                <wp:effectExtent l="133350" t="19050" r="152400" b="84455"/>
                <wp:wrapNone/>
                <wp:docPr id="27" name="Straight Arrow Connector 27"/>
                <wp:cNvGraphicFramePr/>
                <a:graphic xmlns:a="http://schemas.openxmlformats.org/drawingml/2006/main">
                  <a:graphicData uri="http://schemas.microsoft.com/office/word/2010/wordprocessingShape">
                    <wps:wsp>
                      <wps:cNvCnPr/>
                      <wps:spPr>
                        <a:xfrm>
                          <a:off x="0" y="0"/>
                          <a:ext cx="0" cy="46799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3A10FC3D" id="Straight Arrow Connector 27" o:spid="_x0000_s1026" type="#_x0000_t32" style="position:absolute;margin-left:110.25pt;margin-top:9.35pt;width:0;height:36.85pt;z-index:251686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" strokecolor="windowText" strokeweight="4.25pt">
                <v:stroke endarrow="block" linestyle="thinThin"/>
                <v:shadow on="t" color="black" opacity="26214f" origin=",.5" offset="0,.49386mm"/>
              </v:shape>
            </w:pict>
          </mc:Fallback>
        </mc:AlternateContent>
      </w:r>
    </w:p>
    <w:p w14:paraId="66F35A73"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2064" behindDoc="0" locked="0" layoutInCell="1" allowOverlap="1" wp14:anchorId="6A01B598" wp14:editId="5EA086D9">
                <wp:simplePos x="0" y="0"/>
                <wp:positionH relativeFrom="column">
                  <wp:posOffset>3000375</wp:posOffset>
                </wp:positionH>
                <wp:positionV relativeFrom="paragraph">
                  <wp:posOffset>13970</wp:posOffset>
                </wp:positionV>
                <wp:extent cx="3009900" cy="1390650"/>
                <wp:effectExtent l="0" t="0" r="0" b="0"/>
                <wp:wrapNone/>
                <wp:docPr id="888585689" name="Rectangle 888585689"/>
                <wp:cNvGraphicFramePr/>
                <a:graphic xmlns:a="http://schemas.openxmlformats.org/drawingml/2006/main">
                  <a:graphicData uri="http://schemas.microsoft.com/office/word/2010/wordprocessingShape">
                    <wps:wsp>
                      <wps:cNvSpPr/>
                      <wps:spPr>
                        <a:xfrm>
                          <a:off x="0" y="0"/>
                          <a:ext cx="3009900" cy="1390650"/>
                        </a:xfrm>
                        <a:prstGeom prst="rect">
                          <a:avLst/>
                        </a:prstGeom>
                        <a:solidFill>
                          <a:srgbClr val="A5AB81">
                            <a:alpha val="50000"/>
                          </a:srgbClr>
                        </a:solidFill>
                        <a:ln>
                          <a:noFill/>
                        </a:ln>
                        <a:effectLst/>
                      </wps:spPr>
                      <wps:txbx>
                        <w:txbxContent>
                          <w:p w14:paraId="142CB259" w14:textId="77777777" w:rsidR="007923B1" w:rsidRPr="00D86218" w:rsidRDefault="007923B1" w:rsidP="007923B1">
                            <w:pPr>
                              <w:rPr>
                                <w:rFonts w:ascii="Arial" w:hAnsi="Arial" w:cs="Arial"/>
                                <w:b/>
                                <w:bCs/>
                                <w:color w:val="000000"/>
                                <w:sz w:val="18"/>
                              </w:rPr>
                            </w:pPr>
                            <w:r w:rsidRPr="00D86218">
                              <w:rPr>
                                <w:rFonts w:ascii="Arial" w:hAnsi="Arial" w:cs="Arial"/>
                                <w:b/>
                                <w:bCs/>
                                <w:color w:val="000000"/>
                                <w:sz w:val="18"/>
                              </w:rPr>
                              <w:t>Limit to (2015– 2024)</w:t>
                            </w:r>
                          </w:p>
                          <w:p w14:paraId="11C2AA12" w14:textId="77777777" w:rsidR="007923B1" w:rsidRPr="001C3167" w:rsidRDefault="007923B1" w:rsidP="007923B1">
                            <w:pPr>
                              <w:rPr>
                                <w:rFonts w:ascii="Arial" w:hAnsi="Arial" w:cs="Arial"/>
                                <w:color w:val="000000"/>
                                <w:sz w:val="18"/>
                              </w:rPr>
                            </w:pPr>
                            <w:bookmarkStart w:id="2" w:name="_Hlk191392340"/>
                            <w:r w:rsidRPr="00D86218">
                              <w:rPr>
                                <w:rFonts w:ascii="Arial" w:hAnsi="Arial" w:cs="Arial"/>
                                <w:color w:val="000000"/>
                                <w:sz w:val="18"/>
                              </w:rPr>
                              <w:t>TITLE-ABS-KEY ( "Basel Accords" OR "Islamic banking" )</w:t>
                            </w:r>
                            <w:bookmarkEnd w:id="2"/>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01B598" id="Rectangle 888585689" o:spid="_x0000_s1030" style="position:absolute;margin-left:236.25pt;margin-top:1.1pt;width:237pt;height:10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" fillcolor="#a5ab81" stroked="f">
                <v:fill opacity="32896f"/>
                <v:textbox>
                  <w:txbxContent>
                    <w:p w14:paraId="142CB259" w14:textId="77777777" w:rsidR="007923B1" w:rsidRPr="00D86218" w:rsidRDefault="007923B1" w:rsidP="007923B1">
                      <w:pPr>
                        <w:rPr>
                          <w:rFonts w:ascii="Arial" w:hAnsi="Arial" w:cs="Arial"/>
                          <w:b/>
                          <w:bCs/>
                          <w:color w:val="000000"/>
                          <w:sz w:val="18"/>
                        </w:rPr>
                      </w:pPr>
                      <w:r w:rsidRPr="00D86218">
                        <w:rPr>
                          <w:rFonts w:ascii="Arial" w:hAnsi="Arial" w:cs="Arial"/>
                          <w:b/>
                          <w:bCs/>
                          <w:color w:val="000000"/>
                          <w:sz w:val="18"/>
                        </w:rPr>
                        <w:t>Limit to (2015– 2024)</w:t>
                      </w:r>
                    </w:p>
                    <w:p w14:paraId="11C2AA12" w14:textId="77777777" w:rsidR="007923B1" w:rsidRPr="001C3167" w:rsidRDefault="007923B1" w:rsidP="007923B1">
                      <w:pPr>
                        <w:rPr>
                          <w:rFonts w:ascii="Arial" w:hAnsi="Arial" w:cs="Arial"/>
                          <w:color w:val="000000"/>
                          <w:sz w:val="18"/>
                        </w:rPr>
                      </w:pPr>
                      <w:bookmarkStart w:id="3" w:name="_Hlk191392340"/>
                      <w:r w:rsidRPr="00D86218">
                        <w:rPr>
                          <w:rFonts w:ascii="Arial" w:hAnsi="Arial" w:cs="Arial"/>
                          <w:color w:val="000000"/>
                          <w:sz w:val="18"/>
                        </w:rPr>
                        <w:t>TITLE-ABS-KEY ( "Basel Accords" OR "Islamic banking" )</w:t>
                      </w:r>
                      <w:bookmarkEnd w:id="3"/>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v:textbox>
              </v:rect>
            </w:pict>
          </mc:Fallback>
        </mc:AlternateContent>
      </w:r>
    </w:p>
    <w:p w14:paraId="20E1E930" w14:textId="77777777" w:rsidR="007923B1" w:rsidRPr="007923B1" w:rsidRDefault="007923B1" w:rsidP="007923B1">
      <w:pPr>
        <w:autoSpaceDE/>
        <w:autoSpaceDN/>
        <w:rPr>
          <w:rFonts w:ascii="Calibri" w:eastAsia="Calibri" w:hAnsi="Calibri" w:cs="Arial"/>
          <w:sz w:val="22"/>
          <w:szCs w:val="22"/>
          <w:lang w:val="en-AU" w:eastAsia="en-US"/>
        </w:rPr>
      </w:pPr>
    </w:p>
    <w:p w14:paraId="15BB9023"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9232" behindDoc="0" locked="0" layoutInCell="1" allowOverlap="1" wp14:anchorId="4F620B9F" wp14:editId="7F64B5F7">
                <wp:simplePos x="0" y="0"/>
                <wp:positionH relativeFrom="column">
                  <wp:posOffset>2453640</wp:posOffset>
                </wp:positionH>
                <wp:positionV relativeFrom="paragraph">
                  <wp:posOffset>328295</wp:posOffset>
                </wp:positionV>
                <wp:extent cx="563245" cy="0"/>
                <wp:effectExtent l="0" t="76200" r="27305" b="95250"/>
                <wp:wrapNone/>
                <wp:docPr id="15" name="Straight Arrow Connector 15"/>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 w14:anchorId="18D1201C" id="Straight Arrow Connector 15" o:spid="_x0000_s1026" type="#_x0000_t32" style="position:absolute;margin-left:193.2pt;margin-top:25.85pt;width:44.35pt;height:0;z-index:251679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" strokecolor="windowText" strokeweight="4.25pt">
                <v:stroke endarrow="block" linestyle="thinThin"/>
                <v:shadow on="t" color="black" opacity="26214f" origin=",.5" offset="0,.49386mm"/>
              </v:shape>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1040" behindDoc="0" locked="0" layoutInCell="1" allowOverlap="1" wp14:anchorId="55A5B173" wp14:editId="50957832">
                <wp:simplePos x="0" y="0"/>
                <wp:positionH relativeFrom="column">
                  <wp:posOffset>559435</wp:posOffset>
                </wp:positionH>
                <wp:positionV relativeFrom="paragraph">
                  <wp:posOffset>74930</wp:posOffset>
                </wp:positionV>
                <wp:extent cx="1887220" cy="526415"/>
                <wp:effectExtent l="0" t="0" r="0" b="6985"/>
                <wp:wrapNone/>
                <wp:docPr id="3" name="Rectangle 3"/>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74032EA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A5B173" id="Rectangle 3" o:spid="_x0000_s1031" style="position:absolute;margin-left:44.05pt;margin-top:5.9pt;width:148.6pt;height:41.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" fillcolor="#737950" stroked="f">
                <v:fill color2="#c9cdb3" rotate="t" angle="180" colors="0 #737950;31457f #a8ae85;1 #c9cdb3" focus="100%" type="gradient"/>
                <v:textbox>
                  <w:txbxContent>
                    <w:p w14:paraId="74032EA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v:textbox>
              </v:rect>
            </w:pict>
          </mc:Fallback>
        </mc:AlternateContent>
      </w:r>
    </w:p>
    <w:p w14:paraId="57953CF2" w14:textId="77777777" w:rsidR="007923B1" w:rsidRPr="007923B1" w:rsidRDefault="007923B1" w:rsidP="007923B1">
      <w:pPr>
        <w:autoSpaceDE/>
        <w:autoSpaceDN/>
        <w:rPr>
          <w:rFonts w:ascii="Calibri" w:eastAsia="Calibri" w:hAnsi="Calibri" w:cs="Arial"/>
          <w:sz w:val="22"/>
          <w:szCs w:val="22"/>
          <w:lang w:val="en-AU" w:eastAsia="en-US"/>
        </w:rPr>
      </w:pPr>
    </w:p>
    <w:p w14:paraId="134FEC87" w14:textId="77777777" w:rsidR="007923B1" w:rsidRPr="007923B1" w:rsidRDefault="007923B1" w:rsidP="007923B1">
      <w:pPr>
        <w:autoSpaceDE/>
        <w:autoSpaceDN/>
        <w:rPr>
          <w:rFonts w:ascii="Calibri" w:eastAsia="Calibri" w:hAnsi="Calibri" w:cs="Arial"/>
          <w:sz w:val="22"/>
          <w:szCs w:val="22"/>
          <w:lang w:val="en-AU" w:eastAsia="en-US"/>
        </w:rPr>
      </w:pPr>
    </w:p>
    <w:p w14:paraId="7C31BDFF"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7424" behindDoc="0" locked="0" layoutInCell="1" allowOverlap="1" wp14:anchorId="1130F3D4" wp14:editId="1E06C171">
                <wp:simplePos x="0" y="0"/>
                <wp:positionH relativeFrom="column">
                  <wp:posOffset>1400175</wp:posOffset>
                </wp:positionH>
                <wp:positionV relativeFrom="paragraph">
                  <wp:posOffset>99695</wp:posOffset>
                </wp:positionV>
                <wp:extent cx="0" cy="396000"/>
                <wp:effectExtent l="76200" t="0" r="57150" b="61595"/>
                <wp:wrapNone/>
                <wp:docPr id="35" name="Straight Arrow Connector 35"/>
                <wp:cNvGraphicFramePr/>
                <a:graphic xmlns:a="http://schemas.openxmlformats.org/drawingml/2006/main">
                  <a:graphicData uri="http://schemas.microsoft.com/office/word/2010/wordprocessingShape">
                    <wps:wsp>
                      <wps:cNvCnPr/>
                      <wps:spPr>
                        <a:xfrm>
                          <a:off x="0" y="0"/>
                          <a:ext cx="0" cy="396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7A005E5C" id="Straight Arrow Connector 35" o:spid="_x0000_s1026" type="#_x0000_t32" style="position:absolute;margin-left:110.25pt;margin-top:7.85pt;width:0;height:31.2pt;z-index:251687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" strokecolor="windowText" strokeweight="4.25pt">
                <v:stroke endarrow="block" linestyle="thinThin"/>
                <v:shadow on="t" color="black" opacity="26214f" origin=",.5" offset="0,.49386mm"/>
              </v:shape>
            </w:pict>
          </mc:Fallback>
        </mc:AlternateContent>
      </w:r>
    </w:p>
    <w:p w14:paraId="1B52E05E" w14:textId="77777777" w:rsidR="007923B1" w:rsidRPr="007923B1" w:rsidRDefault="007923B1" w:rsidP="007923B1">
      <w:pPr>
        <w:autoSpaceDE/>
        <w:autoSpaceDN/>
        <w:rPr>
          <w:rFonts w:ascii="Calibri" w:eastAsia="Calibri" w:hAnsi="Calibri" w:cs="Arial"/>
          <w:sz w:val="22"/>
          <w:szCs w:val="22"/>
          <w:lang w:val="en-AU" w:eastAsia="en-US"/>
        </w:rPr>
      </w:pPr>
    </w:p>
    <w:p w14:paraId="55762C05"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3088" behindDoc="0" locked="0" layoutInCell="1" allowOverlap="1" wp14:anchorId="0437D316" wp14:editId="6CA9ADF5">
                <wp:simplePos x="0" y="0"/>
                <wp:positionH relativeFrom="column">
                  <wp:posOffset>560705</wp:posOffset>
                </wp:positionH>
                <wp:positionV relativeFrom="paragraph">
                  <wp:posOffset>152400</wp:posOffset>
                </wp:positionV>
                <wp:extent cx="1887220" cy="526415"/>
                <wp:effectExtent l="0" t="0" r="0" b="6985"/>
                <wp:wrapNone/>
                <wp:docPr id="5" name="Rectangle 5"/>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3922C79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37D316" id="Rectangle 5" o:spid="_x0000_s1032" style="position:absolute;margin-left:44.15pt;margin-top:12pt;width:148.6pt;height:41.4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" fillcolor="#737950" stroked="f">
                <v:fill color2="#c9cdb3" rotate="t" angle="180" colors="0 #737950;31457f #a8ae85;1 #c9cdb3" focus="100%" type="gradient"/>
                <v:textbox>
                  <w:txbxContent>
                    <w:p w14:paraId="3922C79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v:textbox>
              </v:rect>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4352" behindDoc="0" locked="0" layoutInCell="1" allowOverlap="1" wp14:anchorId="44838E55" wp14:editId="04424280">
                <wp:simplePos x="0" y="0"/>
                <wp:positionH relativeFrom="column">
                  <wp:posOffset>-903603</wp:posOffset>
                </wp:positionH>
                <wp:positionV relativeFrom="paragraph">
                  <wp:posOffset>137159</wp:posOffset>
                </wp:positionV>
                <wp:extent cx="2258060" cy="286387"/>
                <wp:effectExtent l="0" t="4763" r="4128" b="4127"/>
                <wp:wrapNone/>
                <wp:docPr id="32" name="Flowchart: Alternate Process 32"/>
                <wp:cNvGraphicFramePr/>
                <a:graphic xmlns:a="http://schemas.openxmlformats.org/drawingml/2006/main">
                  <a:graphicData uri="http://schemas.microsoft.com/office/word/2010/wordprocessingShape">
                    <wps:wsp>
                      <wps:cNvSpPr/>
                      <wps:spPr>
                        <a:xfrm rot="16200000">
                          <a:off x="0" y="0"/>
                          <a:ext cx="2258060" cy="286387"/>
                        </a:xfrm>
                        <a:prstGeom prst="flowChartAlternateProcess">
                          <a:avLst/>
                        </a:prstGeom>
                        <a:solidFill>
                          <a:srgbClr val="7BA79D"/>
                        </a:solidFill>
                        <a:ln>
                          <a:noFill/>
                        </a:ln>
                        <a:effectLst/>
                      </wps:spPr>
                      <wps:txbx>
                        <w:txbxContent>
                          <w:p w14:paraId="0650BC5D"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Screening</w:t>
                            </w:r>
                          </w:p>
                          <w:p w14:paraId="6256E598" w14:textId="77777777" w:rsidR="007923B1" w:rsidRPr="001C3167" w:rsidRDefault="007923B1" w:rsidP="007923B1">
                            <w:pPr>
                              <w:rPr>
                                <w:rFonts w:ascii="Arial" w:hAnsi="Arial" w:cs="Arial"/>
                                <w:b/>
                                <w:color w:val="00000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38E55" id="Flowchart: Alternate Process 32" o:spid="_x0000_s1033" type="#_x0000_t176" style="position:absolute;margin-left:-71.15pt;margin-top:10.8pt;width:177.8pt;height:22.55pt;rotation:-9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" fillcolor="#7ba79d" stroked="f">
                <v:textbox>
                  <w:txbxContent>
                    <w:p w14:paraId="0650BC5D"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Screening</w:t>
                      </w:r>
                    </w:p>
                    <w:p w14:paraId="6256E598" w14:textId="77777777" w:rsidR="007923B1" w:rsidRPr="001C3167" w:rsidRDefault="007923B1" w:rsidP="007923B1">
                      <w:pPr>
                        <w:rPr>
                          <w:rFonts w:ascii="Arial" w:hAnsi="Arial" w:cs="Arial"/>
                          <w:b/>
                          <w:color w:val="000000"/>
                          <w:sz w:val="18"/>
                          <w:szCs w:val="18"/>
                        </w:rPr>
                      </w:pPr>
                    </w:p>
                  </w:txbxContent>
                </v:textbox>
              </v:shape>
            </w:pict>
          </mc:Fallback>
        </mc:AlternateContent>
      </w:r>
    </w:p>
    <w:p w14:paraId="3183ACA9" w14:textId="1EB29B84"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4112" behindDoc="0" locked="0" layoutInCell="1" allowOverlap="1" wp14:anchorId="1E484FF7" wp14:editId="68547BE6">
                <wp:simplePos x="0" y="0"/>
                <wp:positionH relativeFrom="column">
                  <wp:posOffset>2971801</wp:posOffset>
                </wp:positionH>
                <wp:positionV relativeFrom="paragraph">
                  <wp:posOffset>116840</wp:posOffset>
                </wp:positionV>
                <wp:extent cx="2437130" cy="393065"/>
                <wp:effectExtent l="0" t="0" r="1270" b="6985"/>
                <wp:wrapNone/>
                <wp:docPr id="374367501" name="Rectangle 374367501"/>
                <wp:cNvGraphicFramePr/>
                <a:graphic xmlns:a="http://schemas.openxmlformats.org/drawingml/2006/main">
                  <a:graphicData uri="http://schemas.microsoft.com/office/word/2010/wordprocessingShape">
                    <wps:wsp>
                      <wps:cNvSpPr/>
                      <wps:spPr>
                        <a:xfrm>
                          <a:off x="0" y="0"/>
                          <a:ext cx="2437130" cy="393065"/>
                        </a:xfrm>
                        <a:prstGeom prst="rect">
                          <a:avLst/>
                        </a:prstGeom>
                        <a:solidFill>
                          <a:srgbClr val="A5AB81">
                            <a:alpha val="50000"/>
                          </a:srgbClr>
                        </a:solidFill>
                        <a:ln>
                          <a:noFill/>
                        </a:ln>
                        <a:effectLst/>
                      </wps:spPr>
                      <wps:txbx>
                        <w:txbxContent>
                          <w:p w14:paraId="3AB2DFB2" w14:textId="77777777" w:rsidR="007923B1" w:rsidRPr="004349D3" w:rsidRDefault="007923B1" w:rsidP="007923B1">
                            <w:pPr>
                              <w:rPr>
                                <w:rFonts w:ascii="Arial" w:hAnsi="Arial" w:cs="Arial"/>
                                <w:b/>
                                <w:bCs/>
                                <w:color w:val="000000"/>
                                <w:szCs w:val="22"/>
                              </w:rPr>
                            </w:pPr>
                            <w:r w:rsidRPr="004349D3">
                              <w:rPr>
                                <w:rFonts w:ascii="Arial" w:hAnsi="Arial" w:cs="Arial"/>
                                <w:b/>
                                <w:bCs/>
                                <w:color w:val="000000"/>
                                <w:szCs w:val="22"/>
                              </w:rPr>
                              <w:t xml:space="preserve">            Limit to English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484FF7" id="Rectangle 374367501" o:spid="_x0000_s1034" style="position:absolute;margin-left:234pt;margin-top:9.2pt;width:191.9pt;height:30.9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" fillcolor="#a5ab81" stroked="f">
                <v:fill opacity="32896f"/>
                <v:textbox>
                  <w:txbxContent>
                    <w:p w14:paraId="3AB2DFB2" w14:textId="77777777" w:rsidR="007923B1" w:rsidRPr="004349D3" w:rsidRDefault="007923B1" w:rsidP="007923B1">
                      <w:pPr>
                        <w:rPr>
                          <w:rFonts w:ascii="Arial" w:hAnsi="Arial" w:cs="Arial"/>
                          <w:b/>
                          <w:bCs/>
                          <w:color w:val="000000"/>
                          <w:szCs w:val="22"/>
                        </w:rPr>
                      </w:pPr>
                      <w:r w:rsidRPr="004349D3">
                        <w:rPr>
                          <w:rFonts w:ascii="Arial" w:hAnsi="Arial" w:cs="Arial"/>
                          <w:b/>
                          <w:bCs/>
                          <w:color w:val="000000"/>
                          <w:szCs w:val="22"/>
                        </w:rPr>
                        <w:t xml:space="preserve">            Limit to English</w:t>
                      </w:r>
                    </w:p>
                  </w:txbxContent>
                </v:textbox>
              </v:rect>
            </w:pict>
          </mc:Fallback>
        </mc:AlternateContent>
      </w:r>
    </w:p>
    <w:p w14:paraId="23839801"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0256" behindDoc="0" locked="0" layoutInCell="1" allowOverlap="1" wp14:anchorId="78C5F525" wp14:editId="5D5A8826">
                <wp:simplePos x="0" y="0"/>
                <wp:positionH relativeFrom="column">
                  <wp:posOffset>2444115</wp:posOffset>
                </wp:positionH>
                <wp:positionV relativeFrom="paragraph">
                  <wp:posOffset>84455</wp:posOffset>
                </wp:positionV>
                <wp:extent cx="563245" cy="0"/>
                <wp:effectExtent l="0" t="76200" r="27305" b="95250"/>
                <wp:wrapNone/>
                <wp:docPr id="16" name="Straight Arrow Connector 16"/>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 w14:anchorId="168B0D01" id="Straight Arrow Connector 16" o:spid="_x0000_s1026" type="#_x0000_t32" style="position:absolute;margin-left:192.45pt;margin-top:6.65pt;width:44.35pt;height:0;z-index:251680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&#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0A6B1238"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8448" behindDoc="0" locked="0" layoutInCell="1" allowOverlap="1" wp14:anchorId="7525EF72" wp14:editId="4B5FD9DB">
                <wp:simplePos x="0" y="0"/>
                <wp:positionH relativeFrom="column">
                  <wp:posOffset>1409700</wp:posOffset>
                </wp:positionH>
                <wp:positionV relativeFrom="paragraph">
                  <wp:posOffset>180340</wp:posOffset>
                </wp:positionV>
                <wp:extent cx="0" cy="720000"/>
                <wp:effectExtent l="133350" t="19050" r="152400" b="80645"/>
                <wp:wrapNone/>
                <wp:docPr id="36" name="Straight Arrow Connector 36"/>
                <wp:cNvGraphicFramePr/>
                <a:graphic xmlns:a="http://schemas.openxmlformats.org/drawingml/2006/main">
                  <a:graphicData uri="http://schemas.microsoft.com/office/word/2010/wordprocessingShape">
                    <wps:wsp>
                      <wps:cNvCnPr/>
                      <wps:spPr>
                        <a:xfrm>
                          <a:off x="0" y="0"/>
                          <a:ext cx="0" cy="720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0D72761E" id="Straight Arrow Connector 36" o:spid="_x0000_s1026" type="#_x0000_t32" style="position:absolute;margin-left:111pt;margin-top:14.2pt;width:0;height:56.7pt;z-index:251688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" strokecolor="windowText" strokeweight="4.25pt">
                <v:stroke endarrow="block" linestyle="thinThin"/>
                <v:shadow on="t" color="black" opacity="26214f" origin=",.5" offset="0,.49386mm"/>
              </v:shape>
            </w:pict>
          </mc:Fallback>
        </mc:AlternateContent>
      </w:r>
    </w:p>
    <w:p w14:paraId="48A69621" w14:textId="449E6DBA" w:rsidR="007923B1" w:rsidRPr="007923B1" w:rsidRDefault="00D813BC"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6160" behindDoc="0" locked="0" layoutInCell="1" allowOverlap="1" wp14:anchorId="373580B3" wp14:editId="00048E11">
                <wp:simplePos x="0" y="0"/>
                <wp:positionH relativeFrom="column">
                  <wp:posOffset>3061970</wp:posOffset>
                </wp:positionH>
                <wp:positionV relativeFrom="paragraph">
                  <wp:posOffset>173355</wp:posOffset>
                </wp:positionV>
                <wp:extent cx="3028950" cy="3632200"/>
                <wp:effectExtent l="0" t="0" r="0" b="0"/>
                <wp:wrapNone/>
                <wp:docPr id="9" name="Rectangle 9"/>
                <wp:cNvGraphicFramePr/>
                <a:graphic xmlns:a="http://schemas.openxmlformats.org/drawingml/2006/main">
                  <a:graphicData uri="http://schemas.microsoft.com/office/word/2010/wordprocessingShape">
                    <wps:wsp>
                      <wps:cNvSpPr/>
                      <wps:spPr>
                        <a:xfrm>
                          <a:off x="0" y="0"/>
                          <a:ext cx="3028950" cy="3632200"/>
                        </a:xfrm>
                        <a:prstGeom prst="rect">
                          <a:avLst/>
                        </a:prstGeom>
                        <a:solidFill>
                          <a:srgbClr val="A5AB81">
                            <a:alpha val="50000"/>
                          </a:srgbClr>
                        </a:solidFill>
                        <a:ln>
                          <a:noFill/>
                        </a:ln>
                        <a:effectLst/>
                      </wps:spPr>
                      <wps:txbx>
                        <w:txbxContent>
                          <w:p w14:paraId="7B3C8395" w14:textId="77777777" w:rsidR="007923B1" w:rsidRPr="00196C88" w:rsidRDefault="007923B1" w:rsidP="007923B1">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5B90D5C0"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580B3" id="Rectangle 9" o:spid="_x0000_s1035" style="position:absolute;margin-left:241.1pt;margin-top:13.65pt;width:238.5pt;height:286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" fillcolor="#a5ab81" stroked="f">
                <v:fill opacity="32896f"/>
                <v:textbox>
                  <w:txbxContent>
                    <w:p w14:paraId="7B3C8395" w14:textId="77777777" w:rsidR="007923B1" w:rsidRPr="00196C88" w:rsidRDefault="007923B1" w:rsidP="007923B1">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5B90D5C0" w14:textId="77777777" w:rsidR="007923B1" w:rsidRPr="001C3167" w:rsidRDefault="007923B1" w:rsidP="007923B1">
                      <w:pPr>
                        <w:ind w:left="284"/>
                        <w:rPr>
                          <w:rFonts w:ascii="Arial" w:hAnsi="Arial" w:cs="Arial"/>
                          <w:color w:val="000000"/>
                          <w:sz w:val="18"/>
                        </w:rPr>
                      </w:pPr>
                    </w:p>
                  </w:txbxContent>
                </v:textbox>
              </v:rect>
            </w:pict>
          </mc:Fallback>
        </mc:AlternateContent>
      </w:r>
    </w:p>
    <w:p w14:paraId="39DA5B23" w14:textId="2CBF5EA3" w:rsidR="007923B1" w:rsidRPr="007923B1" w:rsidRDefault="007923B1" w:rsidP="007923B1">
      <w:pPr>
        <w:autoSpaceDE/>
        <w:autoSpaceDN/>
        <w:rPr>
          <w:rFonts w:ascii="Calibri" w:eastAsia="Calibri" w:hAnsi="Calibri" w:cs="Arial"/>
          <w:sz w:val="22"/>
          <w:szCs w:val="22"/>
          <w:lang w:val="en-AU" w:eastAsia="en-US"/>
        </w:rPr>
      </w:pPr>
    </w:p>
    <w:p w14:paraId="08E71DD1" w14:textId="0AD5A758" w:rsidR="007923B1" w:rsidRPr="007923B1" w:rsidRDefault="007923B1" w:rsidP="007923B1">
      <w:pPr>
        <w:autoSpaceDE/>
        <w:autoSpaceDN/>
        <w:rPr>
          <w:rFonts w:ascii="Calibri" w:eastAsia="Calibri" w:hAnsi="Calibri" w:cs="Arial"/>
          <w:sz w:val="22"/>
          <w:szCs w:val="22"/>
          <w:lang w:val="en-AU" w:eastAsia="en-US"/>
        </w:rPr>
      </w:pPr>
    </w:p>
    <w:p w14:paraId="256F9512" w14:textId="5795B246" w:rsidR="007923B1" w:rsidRPr="007923B1" w:rsidRDefault="007923B1" w:rsidP="007923B1">
      <w:pPr>
        <w:autoSpaceDE/>
        <w:autoSpaceDN/>
        <w:rPr>
          <w:rFonts w:ascii="Calibri" w:eastAsia="Calibri" w:hAnsi="Calibri" w:cs="Arial"/>
          <w:sz w:val="22"/>
          <w:szCs w:val="22"/>
          <w:lang w:val="en-AU" w:eastAsia="en-US"/>
        </w:rPr>
      </w:pPr>
    </w:p>
    <w:p w14:paraId="44B6AB94" w14:textId="2F194D7B"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5136" behindDoc="0" locked="0" layoutInCell="1" allowOverlap="1" wp14:anchorId="23EE8973" wp14:editId="20EBE24C">
                <wp:simplePos x="0" y="0"/>
                <wp:positionH relativeFrom="column">
                  <wp:posOffset>561975</wp:posOffset>
                </wp:positionH>
                <wp:positionV relativeFrom="paragraph">
                  <wp:posOffset>49174</wp:posOffset>
                </wp:positionV>
                <wp:extent cx="1887220" cy="526415"/>
                <wp:effectExtent l="0" t="0" r="0" b="6985"/>
                <wp:wrapNone/>
                <wp:docPr id="8" name="Rectangle 8"/>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5E6512DF" w14:textId="77777777" w:rsidR="007923B1" w:rsidRPr="008A7B81" w:rsidRDefault="007923B1" w:rsidP="007923B1">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14:paraId="6691D2F8" w14:textId="77777777" w:rsidR="007923B1" w:rsidRPr="001C3167" w:rsidRDefault="007923B1" w:rsidP="007923B1">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EE8973" id="Rectangle 8" o:spid="_x0000_s1036" style="position:absolute;margin-left:44.25pt;margin-top:3.85pt;width:148.6pt;height:41.4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" fillcolor="#737950" stroked="f">
                <v:fill color2="#c9cdb3" rotate="t" angle="180" colors="0 #737950;31457f #a8ae85;1 #c9cdb3" focus="100%" type="gradient"/>
                <v:textbox>
                  <w:txbxContent>
                    <w:p w14:paraId="5E6512DF" w14:textId="77777777" w:rsidR="007923B1" w:rsidRPr="008A7B81" w:rsidRDefault="007923B1" w:rsidP="007923B1">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14:paraId="6691D2F8" w14:textId="77777777" w:rsidR="007923B1" w:rsidRPr="001C3167" w:rsidRDefault="007923B1" w:rsidP="007923B1">
                      <w:pPr>
                        <w:rPr>
                          <w:rFonts w:ascii="Arial" w:hAnsi="Arial" w:cs="Arial"/>
                          <w:color w:val="000000"/>
                          <w:sz w:val="18"/>
                        </w:rPr>
                      </w:pPr>
                    </w:p>
                  </w:txbxContent>
                </v:textbox>
              </v:rect>
            </w:pict>
          </mc:Fallback>
        </mc:AlternateContent>
      </w:r>
    </w:p>
    <w:p w14:paraId="2EE13704" w14:textId="1AC758E7"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1280" behindDoc="0" locked="0" layoutInCell="1" allowOverlap="1" wp14:anchorId="31D55286" wp14:editId="77634BA3">
                <wp:simplePos x="0" y="0"/>
                <wp:positionH relativeFrom="column">
                  <wp:posOffset>2476500</wp:posOffset>
                </wp:positionH>
                <wp:positionV relativeFrom="paragraph">
                  <wp:posOffset>124816</wp:posOffset>
                </wp:positionV>
                <wp:extent cx="563245" cy="0"/>
                <wp:effectExtent l="0" t="114300" r="0" b="171450"/>
                <wp:wrapNone/>
                <wp:docPr id="17" name="Straight Arrow Connector 17"/>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 w14:anchorId="02BFEC96" id="Straight Arrow Connector 17" o:spid="_x0000_s1026" type="#_x0000_t32" style="position:absolute;margin-left:195pt;margin-top:9.85pt;width:44.35pt;height:0;z-index:25168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&#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11085DA9" w14:textId="5B3BA8CB" w:rsidR="007923B1" w:rsidRPr="007923B1" w:rsidRDefault="007923B1" w:rsidP="007923B1">
      <w:pPr>
        <w:autoSpaceDE/>
        <w:autoSpaceDN/>
        <w:rPr>
          <w:rFonts w:ascii="Calibri" w:eastAsia="Calibri" w:hAnsi="Calibri" w:cs="Arial"/>
          <w:sz w:val="22"/>
          <w:szCs w:val="22"/>
          <w:lang w:val="en-AU" w:eastAsia="en-US"/>
        </w:rPr>
      </w:pPr>
    </w:p>
    <w:p w14:paraId="08FDE1A2" w14:textId="4AAA8268"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9472" behindDoc="0" locked="0" layoutInCell="1" allowOverlap="1" wp14:anchorId="71B072D2" wp14:editId="61150EF0">
                <wp:simplePos x="0" y="0"/>
                <wp:positionH relativeFrom="column">
                  <wp:posOffset>1400810</wp:posOffset>
                </wp:positionH>
                <wp:positionV relativeFrom="paragraph">
                  <wp:posOffset>71399</wp:posOffset>
                </wp:positionV>
                <wp:extent cx="0" cy="1223645"/>
                <wp:effectExtent l="133350" t="19050" r="95250" b="90805"/>
                <wp:wrapNone/>
                <wp:docPr id="19" name="Straight Arrow Connector 19"/>
                <wp:cNvGraphicFramePr/>
                <a:graphic xmlns:a="http://schemas.openxmlformats.org/drawingml/2006/main">
                  <a:graphicData uri="http://schemas.microsoft.com/office/word/2010/wordprocessingShape">
                    <wps:wsp>
                      <wps:cNvCnPr/>
                      <wps:spPr>
                        <a:xfrm>
                          <a:off x="0" y="0"/>
                          <a:ext cx="0" cy="122364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42F22BC3" id="Straight Arrow Connector 19" o:spid="_x0000_s1026" type="#_x0000_t32" style="position:absolute;margin-left:110.3pt;margin-top:5.6pt;width:0;height:96.35pt;z-index:251689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0EC5B109" w14:textId="510F1521" w:rsidR="007923B1" w:rsidRPr="007923B1" w:rsidRDefault="007923B1" w:rsidP="007923B1">
      <w:pPr>
        <w:autoSpaceDE/>
        <w:autoSpaceDN/>
        <w:rPr>
          <w:rFonts w:ascii="Calibri" w:eastAsia="Calibri" w:hAnsi="Calibri" w:cs="Arial"/>
          <w:sz w:val="22"/>
          <w:szCs w:val="22"/>
          <w:lang w:val="en-AU" w:eastAsia="en-US"/>
        </w:rPr>
      </w:pPr>
    </w:p>
    <w:p w14:paraId="51256E0D" w14:textId="08BFF03D" w:rsidR="007923B1" w:rsidRPr="007923B1" w:rsidRDefault="007923B1" w:rsidP="007923B1">
      <w:pPr>
        <w:autoSpaceDE/>
        <w:autoSpaceDN/>
        <w:rPr>
          <w:rFonts w:ascii="Calibri" w:eastAsia="Calibri" w:hAnsi="Calibri" w:cs="Arial"/>
          <w:sz w:val="22"/>
          <w:szCs w:val="22"/>
          <w:lang w:val="en-AU" w:eastAsia="en-US"/>
        </w:rPr>
      </w:pPr>
    </w:p>
    <w:p w14:paraId="23FBC303" w14:textId="30AA46F2" w:rsidR="007923B1" w:rsidRPr="007923B1" w:rsidRDefault="007923B1" w:rsidP="007923B1">
      <w:pPr>
        <w:autoSpaceDE/>
        <w:autoSpaceDN/>
        <w:rPr>
          <w:rFonts w:ascii="Calibri" w:eastAsia="Calibri" w:hAnsi="Calibri" w:cs="Arial"/>
          <w:sz w:val="22"/>
          <w:szCs w:val="22"/>
          <w:lang w:val="en-AU" w:eastAsia="en-US"/>
        </w:rPr>
      </w:pPr>
    </w:p>
    <w:p w14:paraId="0C751F36" w14:textId="6C1E23E8" w:rsidR="007923B1" w:rsidRPr="007923B1" w:rsidRDefault="007923B1" w:rsidP="007923B1">
      <w:pPr>
        <w:autoSpaceDE/>
        <w:autoSpaceDN/>
        <w:rPr>
          <w:rFonts w:ascii="Calibri" w:eastAsia="Calibri" w:hAnsi="Calibri" w:cs="Arial"/>
          <w:sz w:val="22"/>
          <w:szCs w:val="22"/>
          <w:lang w:val="en-AU" w:eastAsia="en-US"/>
        </w:rPr>
      </w:pPr>
    </w:p>
    <w:p w14:paraId="043B1B49" w14:textId="373EFDCC" w:rsidR="007923B1" w:rsidRPr="007923B1" w:rsidRDefault="007923B1" w:rsidP="007923B1">
      <w:pPr>
        <w:autoSpaceDE/>
        <w:autoSpaceDN/>
        <w:rPr>
          <w:rFonts w:ascii="Calibri" w:eastAsia="Calibri" w:hAnsi="Calibri" w:cs="Arial"/>
          <w:sz w:val="22"/>
          <w:szCs w:val="22"/>
          <w:lang w:val="en-AU" w:eastAsia="en-US"/>
        </w:rPr>
      </w:pPr>
    </w:p>
    <w:p w14:paraId="6A9269A1" w14:textId="38CC7B33"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5376" behindDoc="0" locked="0" layoutInCell="1" allowOverlap="1" wp14:anchorId="29F02BC4" wp14:editId="524E3CBA">
                <wp:simplePos x="0" y="0"/>
                <wp:positionH relativeFrom="column">
                  <wp:posOffset>-63500</wp:posOffset>
                </wp:positionH>
                <wp:positionV relativeFrom="paragraph">
                  <wp:posOffset>558800</wp:posOffset>
                </wp:positionV>
                <wp:extent cx="722630" cy="262890"/>
                <wp:effectExtent l="1270" t="0" r="2540" b="2540"/>
                <wp:wrapTopAndBottom/>
                <wp:docPr id="33" name="Flowchart: Alternate Process 33"/>
                <wp:cNvGraphicFramePr/>
                <a:graphic xmlns:a="http://schemas.openxmlformats.org/drawingml/2006/main">
                  <a:graphicData uri="http://schemas.microsoft.com/office/word/2010/wordprocessingShape">
                    <wps:wsp>
                      <wps:cNvSpPr/>
                      <wps:spPr>
                        <a:xfrm rot="16200000">
                          <a:off x="0" y="0"/>
                          <a:ext cx="722630" cy="262890"/>
                        </a:xfrm>
                        <a:prstGeom prst="flowChartAlternateProcess">
                          <a:avLst/>
                        </a:prstGeom>
                        <a:solidFill>
                          <a:srgbClr val="7BA79D"/>
                        </a:solidFill>
                        <a:ln>
                          <a:noFill/>
                        </a:ln>
                        <a:effectLst/>
                      </wps:spPr>
                      <wps:txbx>
                        <w:txbxContent>
                          <w:p w14:paraId="03576BC2"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Included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F02BC4" id="Flowchart: Alternate Process 33" o:spid="_x0000_s1037" type="#_x0000_t176" style="position:absolute;margin-left:-5pt;margin-top:44pt;width:56.9pt;height:20.7pt;rotation:-90;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" fillcolor="#7ba79d" stroked="f">
                <v:textbox>
                  <w:txbxContent>
                    <w:p w14:paraId="03576BC2"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Included</w:t>
                      </w:r>
                    </w:p>
                  </w:txbxContent>
                </v:textbox>
                <w10:wrap type="topAndBottom"/>
              </v:shape>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7184" behindDoc="0" locked="0" layoutInCell="1" allowOverlap="1" wp14:anchorId="0DD32AB3" wp14:editId="0C4F605C">
                <wp:simplePos x="0" y="0"/>
                <wp:positionH relativeFrom="column">
                  <wp:posOffset>594360</wp:posOffset>
                </wp:positionH>
                <wp:positionV relativeFrom="paragraph">
                  <wp:posOffset>280949</wp:posOffset>
                </wp:positionV>
                <wp:extent cx="1752600" cy="857250"/>
                <wp:effectExtent l="0" t="0" r="0" b="0"/>
                <wp:wrapTopAndBottom/>
                <wp:docPr id="13" name="Rectangle 13"/>
                <wp:cNvGraphicFramePr/>
                <a:graphic xmlns:a="http://schemas.openxmlformats.org/drawingml/2006/main">
                  <a:graphicData uri="http://schemas.microsoft.com/office/word/2010/wordprocessingShape">
                    <wps:wsp>
                      <wps:cNvSpPr/>
                      <wps:spPr>
                        <a:xfrm>
                          <a:off x="0" y="0"/>
                          <a:ext cx="1752600" cy="857250"/>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4BCDA806"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14:paraId="2BB3D103"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(n = 1,149  )</w:t>
                            </w:r>
                          </w:p>
                          <w:p w14:paraId="2C6629F8" w14:textId="77777777" w:rsidR="007923B1" w:rsidRPr="001C3167" w:rsidRDefault="007923B1" w:rsidP="007923B1">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D32AB3" id="Rectangle 13" o:spid="_x0000_s1038" style="position:absolute;margin-left:46.8pt;margin-top:22.1pt;width:138pt;height:6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" fillcolor="#737950" stroked="f">
                <v:fill color2="#c9cdb3" rotate="t" angle="180" colors="0 #737950;31457f #a8ae85;1 #c9cdb3" focus="100%" type="gradient"/>
                <v:textbox>
                  <w:txbxContent>
                    <w:p w14:paraId="4BCDA806"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14:paraId="2BB3D103"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(n = 1,149  )</w:t>
                      </w:r>
                    </w:p>
                    <w:p w14:paraId="2C6629F8" w14:textId="77777777" w:rsidR="007923B1" w:rsidRPr="001C3167" w:rsidRDefault="007923B1" w:rsidP="007923B1">
                      <w:pPr>
                        <w:rPr>
                          <w:rFonts w:ascii="Arial" w:hAnsi="Arial" w:cs="Arial"/>
                          <w:color w:val="000000"/>
                          <w:sz w:val="18"/>
                        </w:rPr>
                      </w:pPr>
                    </w:p>
                  </w:txbxContent>
                </v:textbox>
                <w10:wrap type="topAndBottom"/>
              </v:rect>
            </w:pict>
          </mc:Fallback>
        </mc:AlternateContent>
      </w:r>
    </w:p>
    <w:bookmarkEnd w:id="1"/>
    <w:p w14:paraId="0DEB227A" w14:textId="3F158CEF" w:rsidR="007923B1" w:rsidRPr="007923B1" w:rsidRDefault="007923B1" w:rsidP="007923B1">
      <w:pPr>
        <w:autoSpaceDE/>
        <w:autoSpaceDN/>
        <w:spacing w:after="160" w:line="259" w:lineRule="auto"/>
        <w:jc w:val="both"/>
        <w:rPr>
          <w:rFonts w:eastAsia="Calibri" w:cs="Traditional Arabic"/>
          <w:b/>
          <w:bCs/>
          <w:sz w:val="24"/>
          <w:szCs w:val="24"/>
          <w:lang w:val="en-ID" w:eastAsia="en-US"/>
        </w:rPr>
      </w:pPr>
    </w:p>
    <w:p w14:paraId="7B3DD303" w14:textId="77777777" w:rsidR="007923B1" w:rsidRPr="00122F5F" w:rsidRDefault="007923B1" w:rsidP="00F369EC">
      <w:pPr>
        <w:spacing w:before="120" w:after="120"/>
        <w:ind w:left="426"/>
        <w:jc w:val="both"/>
        <w:rPr>
          <w:rFonts w:ascii="Calibri Light" w:hAnsi="Calibri Light" w:cs="Calibri Light"/>
          <w:color w:val="FF0000"/>
          <w:sz w:val="24"/>
          <w:szCs w:val="24"/>
          <w:lang w:val="id-ID"/>
        </w:rPr>
      </w:pPr>
    </w:p>
    <w:p w14:paraId="30A73BE2" w14:textId="659A0227" w:rsidR="00D813BC" w:rsidRDefault="00F51BE9" w:rsidP="00334792">
      <w:pPr>
        <w:spacing w:before="120" w:after="120"/>
        <w:rPr>
          <w:rFonts w:ascii="Calibri Light" w:hAnsi="Calibri Light" w:cs="Calibri Light"/>
          <w:bCs/>
          <w:sz w:val="24"/>
          <w:szCs w:val="24"/>
          <w:lang w:val="id-ID"/>
        </w:rPr>
      </w:pPr>
      <w:r w:rsidRPr="00F00D99">
        <w:rPr>
          <w:rFonts w:ascii="Calibri Light" w:hAnsi="Calibri Light" w:cs="Calibri Light"/>
          <w:b/>
          <w:sz w:val="24"/>
          <w:szCs w:val="24"/>
          <w:lang w:val="id-ID"/>
        </w:rPr>
        <w:lastRenderedPageBreak/>
        <w:t xml:space="preserve">        Figure 1.</w:t>
      </w:r>
      <w:r w:rsidRPr="00F51BE9">
        <w:rPr>
          <w:rFonts w:ascii="Calibri Light" w:hAnsi="Calibri Light" w:cs="Calibri Light"/>
          <w:bCs/>
          <w:sz w:val="24"/>
          <w:szCs w:val="24"/>
          <w:lang w:val="id-ID"/>
        </w:rPr>
        <w:t xml:space="preserve"> The PRISMA-based systematic review process, highlighting the identification, screening, and inclusion phases in analyzing research on Basel Accords and Islamic banking.</w:t>
      </w:r>
    </w:p>
    <w:p w14:paraId="0B523085" w14:textId="50837046" w:rsidR="006D0A4B" w:rsidRDefault="006D0A4B" w:rsidP="006D0A4B">
      <w:pPr>
        <w:spacing w:before="120" w:after="120"/>
        <w:ind w:left="426"/>
        <w:jc w:val="both"/>
        <w:rPr>
          <w:rFonts w:ascii="Calibri Light" w:hAnsi="Calibri Light" w:cs="Calibri Light"/>
          <w:bCs/>
          <w:sz w:val="24"/>
          <w:szCs w:val="24"/>
          <w:lang w:val="id-ID"/>
        </w:rPr>
      </w:pPr>
      <w:r w:rsidRPr="006D0A4B">
        <w:rPr>
          <w:rFonts w:ascii="Calibri Light" w:hAnsi="Calibri Light" w:cs="Calibri Light"/>
          <w:bCs/>
          <w:sz w:val="24"/>
          <w:szCs w:val="24"/>
          <w:lang w:val="id-ID"/>
        </w:rPr>
        <w:t>The inclusion and exclusion criteria for data screening were carefully defined to ensure the relevance and quality of the selected studies. The inclusion criteria focused on English-language articles published between 2015 and 2024 in specific subject areas such as Islamic Banks, Shariah and Islamic Economics  . Conversely, studies falling outside these parameters were excluded to maintain the accuracy and focus of the bibliometric analysis</w:t>
      </w:r>
      <w:r w:rsidR="00602879">
        <w:rPr>
          <w:rFonts w:ascii="Calibri Light" w:hAnsi="Calibri Light" w:cs="Calibri Light"/>
          <w:bCs/>
          <w:sz w:val="24"/>
          <w:szCs w:val="24"/>
          <w:lang w:val="id-ID"/>
        </w:rPr>
        <w:t xml:space="preserve"> </w:t>
      </w:r>
      <w:r w:rsidR="00602879">
        <w:rPr>
          <w:rFonts w:ascii="Calibri Light" w:hAnsi="Calibri Light" w:cs="Calibri Light"/>
          <w:bCs/>
          <w:sz w:val="24"/>
          <w:szCs w:val="24"/>
          <w:lang w:val="id-ID"/>
        </w:rPr>
        <w:fldChar w:fldCharType="begin" w:fldLock="1"/>
      </w:r>
      <w:r w:rsidR="002D33A7">
        <w:rPr>
          <w:rFonts w:ascii="Calibri Light" w:hAnsi="Calibri Light" w:cs="Calibri Light"/>
          <w:bCs/>
          <w:sz w:val="24"/>
          <w:szCs w:val="24"/>
          <w:lang w:val="id-ID"/>
        </w:rPr>
        <w:instrText>ADDIN CSL_CITATION {"citationItems":[{"id":"ITEM-1","itemData":{"DOI":"10.1108/JIMA-12-2023-0397","ISSN":"17590833 (ISSN)","abstract":"Purpose: The fact that Islamic banking in Indonesia held only a 7% market share in 2023 is ironic, considering that Indonesia has the largest Muslim population in the world. Beyond differences in ethnicity, race and religious understanding, Indonesia’s sociopolitical diversity also presents an intriguing study area about consumer decisions to use financial services. This study aims to investigate the influence of sociopolitical identity on attitudes and intentions to participate in Islamic banking in Indonesia using the theory of reasoned action as a basis. Design/methodology/approach: This study used SEM-PLS to investigate the intention to participate in Islamic banking among Muslim communities in Indonesia. Its focus on prediction and theory building aligns perfectly with the objectives of this study, making it the most appropriate methodological choice. The sample used in this study comprised 343 respondents. The structural model was used to test the relationship between intention to participate in Islamic banking and religiosity, subjective norms, attitudes and sociopolitical identity, with reputation as mediation. Findings: This study found that three variables significantly affect the intention to participate in Islamic banks: attitude (AT), reputation (RP) and subjective norms (SN). Sociopolitical identity (SP) and religiosity (RE) do not have a direct effect. However, sociopolitical identity (SP), attitudes (AT) and religiosity (RE) have been proven to have an indirect impact through reputation (RP) as mediation, and only subjective norms (SN) have not. Practical implications: This study implies that Islamic banking needs to consider non-marketing aspects because, based on its findings, non-marketing factors such as sociopolitical identity and religiosity have been proven to influence the intention to participate in Islamic banking in Indonesia. Originality/value: This study’s respondents were two Muslim communities in Indonesia with the largest mass and assets, namely, Nahdhatul Ulama and Muhammadiyah. The inclusion of non-marketing aspects, such as sociopolitical identity, in the research model added value, which is still rarely researched. © 2024, Emerald Publishing Limited.","author":[{"dropping-particle":"","family":"Fathoni","given":"M A","non-dropping-particle":"","parse-names":false,"suffix":""},{"dropping-particle":"","family":"Rodoni","given":"A","non-dropping-particle":"","parse-names":false,"suffix":""},{"dropping-particle":"","family":"Arif","given":"M N R","non-dropping-particle":"Al","parse-names":false,"suffix":""},{"dropping-particle":"","family":"Hidayah","given":"N","non-dropping-particle":"","parse-names":false,"suffix":""}],"container-title":"Journal of Islamic Marketing","id":"ITEM-1","issued":{"date-parts":[["2024"]]},"language":"English","note":"Export Date: 24 April 2025; Cited By: 2; Correspondence Address: M.A. Fathoni; Department of Islamic Economics, Universitas Pembangunan Nasional Veteran Jakarta, Jakarta, Indonesia; email: mfathoni@upnvj.ac.id","publisher":"Emerald Publishing","publisher-place":"Department of Islamic Economics, Universitas Pembangunan Nasional Veteran Jakarta, Jakarta, Indonesia","title":"Intention to participate in Islamic banking in Indonesia: Does socio-political identity matter?","type":"article-journal"},"uris":["http://www.mendeley.com/documents/?uuid=205db91e-486d-4044-bc07-058be02c4c82"]}],"mendeley":{"formattedCitation":"(Fathoni et al., 2024)","plainTextFormattedCitation":"(Fathoni et al., 2024)","previouslyFormattedCitation":"(Fathoni et al., 2024)"},"properties":{"noteIndex":0},"schema":"https://github.com/citation-style-language/schema/raw/master/csl-citation.json"}</w:instrText>
      </w:r>
      <w:r w:rsidR="00602879">
        <w:rPr>
          <w:rFonts w:ascii="Calibri Light" w:hAnsi="Calibri Light" w:cs="Calibri Light"/>
          <w:bCs/>
          <w:sz w:val="24"/>
          <w:szCs w:val="24"/>
          <w:lang w:val="id-ID"/>
        </w:rPr>
        <w:fldChar w:fldCharType="separate"/>
      </w:r>
      <w:r w:rsidR="00602879" w:rsidRPr="00602879">
        <w:rPr>
          <w:rFonts w:ascii="Calibri Light" w:hAnsi="Calibri Light" w:cs="Calibri Light"/>
          <w:bCs/>
          <w:noProof/>
          <w:sz w:val="24"/>
          <w:szCs w:val="24"/>
          <w:lang w:val="id-ID"/>
        </w:rPr>
        <w:t>(Fathoni et al., 2024)</w:t>
      </w:r>
      <w:r w:rsidR="00602879">
        <w:rPr>
          <w:rFonts w:ascii="Calibri Light" w:hAnsi="Calibri Light" w:cs="Calibri Light"/>
          <w:bCs/>
          <w:sz w:val="24"/>
          <w:szCs w:val="24"/>
          <w:lang w:val="id-ID"/>
        </w:rPr>
        <w:fldChar w:fldCharType="end"/>
      </w:r>
      <w:r w:rsidRPr="006D0A4B">
        <w:rPr>
          <w:rFonts w:ascii="Calibri Light" w:hAnsi="Calibri Light" w:cs="Calibri Light"/>
          <w:bCs/>
          <w:sz w:val="24"/>
          <w:szCs w:val="24"/>
          <w:lang w:val="id-ID"/>
        </w:rPr>
        <w:t>. These criteria played a crucial role in refining the dataset and ensuring a systematic and robust review process, as outlined in Table 1, which details the inclusion and exclusion criteria.</w:t>
      </w:r>
    </w:p>
    <w:tbl>
      <w:tblPr>
        <w:tblStyle w:val="PlainTable21"/>
        <w:tblW w:w="9072" w:type="dxa"/>
        <w:tblInd w:w="426" w:type="dxa"/>
        <w:tblLook w:val="04A0" w:firstRow="1" w:lastRow="0" w:firstColumn="1" w:lastColumn="0" w:noHBand="0" w:noVBand="1"/>
      </w:tblPr>
      <w:tblGrid>
        <w:gridCol w:w="1496"/>
        <w:gridCol w:w="1337"/>
        <w:gridCol w:w="1299"/>
        <w:gridCol w:w="1619"/>
        <w:gridCol w:w="1212"/>
        <w:gridCol w:w="972"/>
        <w:gridCol w:w="1137"/>
      </w:tblGrid>
      <w:tr w:rsidR="00CB5866" w:rsidRPr="00CB5866" w14:paraId="79D20230" w14:textId="77777777" w:rsidTr="00835E51">
        <w:trPr>
          <w:cnfStyle w:val="100000000000" w:firstRow="1" w:lastRow="0" w:firstColumn="0" w:lastColumn="0" w:oddVBand="0" w:evenVBand="0" w:oddHBand="0" w:evenHBand="0" w:firstRowFirstColumn="0" w:firstRowLastColumn="0" w:lastRowFirstColumn="0" w:lastRowLastColumn="0"/>
          <w:trHeight w:val="795"/>
        </w:trPr>
        <w:tc>
          <w:tcPr>
            <w:cnfStyle w:val="001000000000" w:firstRow="0" w:lastRow="0" w:firstColumn="1" w:lastColumn="0" w:oddVBand="0" w:evenVBand="0" w:oddHBand="0" w:evenHBand="0" w:firstRowFirstColumn="0" w:firstRowLastColumn="0" w:lastRowFirstColumn="0" w:lastRowLastColumn="0"/>
            <w:tcW w:w="1496" w:type="dxa"/>
            <w:shd w:val="clear" w:color="auto" w:fill="E5B8B7" w:themeFill="accent2" w:themeFillTint="66"/>
          </w:tcPr>
          <w:p w14:paraId="14FE8082" w14:textId="77777777" w:rsidR="00CB5866" w:rsidRPr="00CB5866" w:rsidRDefault="00CB5866" w:rsidP="00CB5866">
            <w:pPr>
              <w:autoSpaceDE/>
              <w:autoSpaceDN/>
              <w:spacing w:after="160" w:line="259" w:lineRule="auto"/>
              <w:rPr>
                <w:lang w:val="en-ID" w:eastAsia="en-US"/>
              </w:rPr>
            </w:pPr>
          </w:p>
        </w:tc>
        <w:tc>
          <w:tcPr>
            <w:tcW w:w="1337" w:type="dxa"/>
            <w:shd w:val="clear" w:color="auto" w:fill="E5B8B7" w:themeFill="accent2" w:themeFillTint="66"/>
          </w:tcPr>
          <w:p w14:paraId="0294A95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 xml:space="preserve">Year </w:t>
            </w:r>
          </w:p>
        </w:tc>
        <w:tc>
          <w:tcPr>
            <w:tcW w:w="1299" w:type="dxa"/>
            <w:shd w:val="clear" w:color="auto" w:fill="E5B8B7" w:themeFill="accent2" w:themeFillTint="66"/>
          </w:tcPr>
          <w:p w14:paraId="1C300A6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Subject area</w:t>
            </w:r>
          </w:p>
        </w:tc>
        <w:tc>
          <w:tcPr>
            <w:tcW w:w="1619" w:type="dxa"/>
            <w:shd w:val="clear" w:color="auto" w:fill="E5B8B7" w:themeFill="accent2" w:themeFillTint="66"/>
          </w:tcPr>
          <w:p w14:paraId="7A0AD413"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Document type</w:t>
            </w:r>
          </w:p>
        </w:tc>
        <w:tc>
          <w:tcPr>
            <w:tcW w:w="1212" w:type="dxa"/>
            <w:shd w:val="clear" w:color="auto" w:fill="E5B8B7" w:themeFill="accent2" w:themeFillTint="66"/>
          </w:tcPr>
          <w:p w14:paraId="0C76CD86"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Keyword</w:t>
            </w:r>
          </w:p>
        </w:tc>
        <w:tc>
          <w:tcPr>
            <w:tcW w:w="972" w:type="dxa"/>
            <w:shd w:val="clear" w:color="auto" w:fill="E5B8B7" w:themeFill="accent2" w:themeFillTint="66"/>
          </w:tcPr>
          <w:p w14:paraId="44B74175"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Source type</w:t>
            </w:r>
          </w:p>
        </w:tc>
        <w:tc>
          <w:tcPr>
            <w:tcW w:w="1137" w:type="dxa"/>
            <w:shd w:val="clear" w:color="auto" w:fill="E5B8B7" w:themeFill="accent2" w:themeFillTint="66"/>
          </w:tcPr>
          <w:p w14:paraId="4556ECB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Language</w:t>
            </w:r>
          </w:p>
          <w:p w14:paraId="32C2E4D8"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p>
        </w:tc>
      </w:tr>
      <w:tr w:rsidR="00CB5866" w:rsidRPr="00CB5866" w14:paraId="43620BC2" w14:textId="77777777" w:rsidTr="008D75B2">
        <w:trPr>
          <w:cnfStyle w:val="000000100000" w:firstRow="0" w:lastRow="0" w:firstColumn="0" w:lastColumn="0" w:oddVBand="0" w:evenVBand="0" w:oddHBand="1" w:evenHBand="0" w:firstRowFirstColumn="0" w:firstRowLastColumn="0" w:lastRowFirstColumn="0" w:lastRowLastColumn="0"/>
          <w:trHeight w:val="757"/>
        </w:trPr>
        <w:tc>
          <w:tcPr>
            <w:cnfStyle w:val="001000000000" w:firstRow="0" w:lastRow="0" w:firstColumn="1" w:lastColumn="0" w:oddVBand="0" w:evenVBand="0" w:oddHBand="0" w:evenHBand="0" w:firstRowFirstColumn="0" w:firstRowLastColumn="0" w:lastRowFirstColumn="0" w:lastRowLastColumn="0"/>
            <w:tcW w:w="1496" w:type="dxa"/>
          </w:tcPr>
          <w:p w14:paraId="08AAF5D5" w14:textId="77777777" w:rsidR="00CB5866" w:rsidRPr="00CB5866" w:rsidRDefault="00CB5866" w:rsidP="00CB5866">
            <w:pPr>
              <w:autoSpaceDE/>
              <w:autoSpaceDN/>
              <w:spacing w:after="160" w:line="259" w:lineRule="auto"/>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INCLUSION CRITERIA</w:t>
            </w:r>
          </w:p>
        </w:tc>
        <w:tc>
          <w:tcPr>
            <w:tcW w:w="1337" w:type="dxa"/>
          </w:tcPr>
          <w:p w14:paraId="21A5B2BD"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from 2015-2024</w:t>
            </w:r>
          </w:p>
        </w:tc>
        <w:tc>
          <w:tcPr>
            <w:tcW w:w="1299" w:type="dxa"/>
          </w:tcPr>
          <w:p w14:paraId="6CC6C5A3"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economics and business (ECON, BUSI)</w:t>
            </w:r>
          </w:p>
        </w:tc>
        <w:tc>
          <w:tcPr>
            <w:tcW w:w="1619" w:type="dxa"/>
          </w:tcPr>
          <w:p w14:paraId="2098FB46"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Only Articles.</w:t>
            </w:r>
          </w:p>
        </w:tc>
        <w:tc>
          <w:tcPr>
            <w:tcW w:w="1212" w:type="dxa"/>
          </w:tcPr>
          <w:p w14:paraId="27EC660D"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Basel Accords, Islamic banking</w:t>
            </w:r>
          </w:p>
        </w:tc>
        <w:tc>
          <w:tcPr>
            <w:tcW w:w="972" w:type="dxa"/>
          </w:tcPr>
          <w:p w14:paraId="3313CE59"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Journal</w:t>
            </w:r>
          </w:p>
        </w:tc>
        <w:tc>
          <w:tcPr>
            <w:tcW w:w="1137" w:type="dxa"/>
          </w:tcPr>
          <w:p w14:paraId="19E00D11"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English Language</w:t>
            </w:r>
          </w:p>
        </w:tc>
      </w:tr>
      <w:tr w:rsidR="00CB5866" w:rsidRPr="00CB5866" w14:paraId="53F59399" w14:textId="77777777" w:rsidTr="008D75B2">
        <w:trPr>
          <w:trHeight w:val="1145"/>
        </w:trPr>
        <w:tc>
          <w:tcPr>
            <w:cnfStyle w:val="001000000000" w:firstRow="0" w:lastRow="0" w:firstColumn="1" w:lastColumn="0" w:oddVBand="0" w:evenVBand="0" w:oddHBand="0" w:evenHBand="0" w:firstRowFirstColumn="0" w:firstRowLastColumn="0" w:lastRowFirstColumn="0" w:lastRowLastColumn="0"/>
            <w:tcW w:w="1496" w:type="dxa"/>
          </w:tcPr>
          <w:p w14:paraId="2369EF5D" w14:textId="77777777" w:rsidR="00CB5866" w:rsidRPr="00CB5866" w:rsidRDefault="00CB5866" w:rsidP="00CB5866">
            <w:pPr>
              <w:autoSpaceDE/>
              <w:autoSpaceDN/>
              <w:spacing w:after="160" w:line="259" w:lineRule="auto"/>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EXCLUSION CRITERIA</w:t>
            </w:r>
          </w:p>
        </w:tc>
        <w:tc>
          <w:tcPr>
            <w:tcW w:w="1337" w:type="dxa"/>
          </w:tcPr>
          <w:p w14:paraId="32108D1D"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research before 2014 was excluded</w:t>
            </w:r>
          </w:p>
        </w:tc>
        <w:tc>
          <w:tcPr>
            <w:tcW w:w="1299" w:type="dxa"/>
          </w:tcPr>
          <w:p w14:paraId="4002729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w:t>
            </w:r>
          </w:p>
          <w:p w14:paraId="38F20722"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field</w:t>
            </w:r>
          </w:p>
        </w:tc>
        <w:tc>
          <w:tcPr>
            <w:tcW w:w="1619" w:type="dxa"/>
          </w:tcPr>
          <w:p w14:paraId="380870C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Conference papers,Book, theises,</w:t>
            </w:r>
            <w:r w:rsidRPr="00CB5866">
              <w:rPr>
                <w:rFonts w:ascii="Calibri Light" w:hAnsi="Calibri Light" w:cs="Calibri Light"/>
                <w:color w:val="2E2E2E"/>
                <w:sz w:val="20"/>
                <w:szCs w:val="20"/>
                <w:shd w:val="clear" w:color="auto" w:fill="FFFFFF"/>
                <w:lang w:val="en-ID" w:eastAsia="en-US"/>
              </w:rPr>
              <w:t xml:space="preserve"> </w:t>
            </w:r>
            <w:r w:rsidRPr="00CB5866">
              <w:rPr>
                <w:rFonts w:ascii="Calibri Light" w:hAnsi="Calibri Light" w:cs="Calibri Light"/>
                <w:sz w:val="20"/>
                <w:szCs w:val="20"/>
                <w:lang w:val="en-ID" w:eastAsia="en-US"/>
              </w:rPr>
              <w:t>Review</w:t>
            </w:r>
          </w:p>
        </w:tc>
        <w:tc>
          <w:tcPr>
            <w:tcW w:w="1212" w:type="dxa"/>
          </w:tcPr>
          <w:p w14:paraId="36DA67F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 keywords</w:t>
            </w:r>
          </w:p>
        </w:tc>
        <w:tc>
          <w:tcPr>
            <w:tcW w:w="972" w:type="dxa"/>
          </w:tcPr>
          <w:p w14:paraId="73D25B7E"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Book series</w:t>
            </w:r>
          </w:p>
        </w:tc>
        <w:tc>
          <w:tcPr>
            <w:tcW w:w="1137" w:type="dxa"/>
          </w:tcPr>
          <w:p w14:paraId="680CF3E5"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 Languages</w:t>
            </w:r>
          </w:p>
        </w:tc>
      </w:tr>
    </w:tbl>
    <w:p w14:paraId="0CD9110B" w14:textId="4B115D80" w:rsidR="00D813BC" w:rsidRPr="00C377E7" w:rsidRDefault="00C377E7" w:rsidP="00C377E7">
      <w:pPr>
        <w:spacing w:before="120" w:after="120"/>
        <w:jc w:val="center"/>
        <w:rPr>
          <w:rFonts w:ascii="Calibri Light" w:hAnsi="Calibri Light" w:cs="Calibri Light"/>
          <w:bCs/>
          <w:sz w:val="24"/>
          <w:szCs w:val="24"/>
          <w:lang w:val="id-ID"/>
        </w:rPr>
      </w:pPr>
      <w:r w:rsidRPr="00F00D99">
        <w:rPr>
          <w:rFonts w:ascii="Calibri Light" w:hAnsi="Calibri Light" w:cs="Calibri Light"/>
          <w:b/>
          <w:sz w:val="24"/>
          <w:szCs w:val="24"/>
          <w:lang w:val="id-ID"/>
        </w:rPr>
        <w:t>Table 1.</w:t>
      </w:r>
      <w:r w:rsidRPr="00C377E7">
        <w:rPr>
          <w:rFonts w:ascii="Calibri Light" w:hAnsi="Calibri Light" w:cs="Calibri Light"/>
          <w:bCs/>
          <w:sz w:val="24"/>
          <w:szCs w:val="24"/>
          <w:lang w:val="id-ID"/>
        </w:rPr>
        <w:t xml:space="preserve"> The inclusion and the exclusion criteria for data screening</w:t>
      </w:r>
    </w:p>
    <w:p w14:paraId="183319DF" w14:textId="77777777" w:rsidR="00D813BC" w:rsidRDefault="00D813BC" w:rsidP="00334792">
      <w:pPr>
        <w:spacing w:before="120" w:after="120"/>
        <w:rPr>
          <w:rFonts w:ascii="Calibri Light" w:hAnsi="Calibri Light" w:cs="Calibri Light"/>
          <w:b/>
          <w:sz w:val="24"/>
          <w:szCs w:val="24"/>
          <w:lang w:val="id-ID"/>
        </w:rPr>
      </w:pPr>
    </w:p>
    <w:p w14:paraId="3110BACC" w14:textId="7E6F8AF7"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 xml:space="preserve">RESULT AND </w:t>
      </w:r>
      <w:bookmarkStart w:id="4" w:name="_Hlk196388253"/>
      <w:r w:rsidR="00334792" w:rsidRPr="00122F5F">
        <w:rPr>
          <w:rFonts w:ascii="Calibri Light" w:hAnsi="Calibri Light" w:cs="Calibri Light"/>
          <w:b/>
          <w:sz w:val="24"/>
          <w:szCs w:val="24"/>
          <w:lang w:val="id-ID"/>
        </w:rPr>
        <w:t>DISCUSSION</w:t>
      </w:r>
      <w:r w:rsidR="00D26ADD" w:rsidRPr="00122F5F">
        <w:rPr>
          <w:rFonts w:ascii="Calibri Light" w:hAnsi="Calibri Light" w:cs="Calibri Light"/>
          <w:b/>
          <w:sz w:val="24"/>
          <w:szCs w:val="24"/>
        </w:rPr>
        <w:t xml:space="preserve"> </w:t>
      </w:r>
    </w:p>
    <w:bookmarkEnd w:id="4"/>
    <w:p w14:paraId="0E0B8A75" w14:textId="3D5B8084" w:rsidR="0007539D" w:rsidRPr="0007539D" w:rsidRDefault="0007539D" w:rsidP="0007539D">
      <w:pPr>
        <w:spacing w:before="120" w:after="120"/>
        <w:ind w:left="440" w:right="-1" w:hanging="14"/>
        <w:jc w:val="both"/>
        <w:rPr>
          <w:rFonts w:ascii="Calibri Light" w:hAnsi="Calibri Light" w:cs="Calibri Light"/>
          <w:b/>
          <w:bCs/>
          <w:sz w:val="24"/>
          <w:szCs w:val="24"/>
          <w:lang w:val="en-ID"/>
        </w:rPr>
      </w:pPr>
      <w:r w:rsidRPr="0007539D">
        <w:rPr>
          <w:rFonts w:ascii="Calibri Light" w:hAnsi="Calibri Light" w:cs="Calibri Light"/>
          <w:b/>
          <w:bCs/>
          <w:sz w:val="24"/>
          <w:szCs w:val="24"/>
          <w:lang w:val="en-ID"/>
        </w:rPr>
        <w:t>Results</w:t>
      </w:r>
      <w:r w:rsidR="004E43C7">
        <w:rPr>
          <w:rFonts w:ascii="Calibri Light" w:hAnsi="Calibri Light" w:cs="Calibri Light"/>
          <w:b/>
          <w:bCs/>
          <w:sz w:val="24"/>
          <w:szCs w:val="24"/>
          <w:lang w:val="en-ID"/>
        </w:rPr>
        <w:t xml:space="preserve"> </w:t>
      </w:r>
      <w:r w:rsidR="004E43C7" w:rsidRPr="004E43C7">
        <w:rPr>
          <w:rFonts w:ascii="Calibri Light" w:eastAsia="MS Mincho" w:hAnsi="Calibri Light" w:cs="Calibri Light"/>
          <w:b/>
          <w:bCs/>
          <w:sz w:val="24"/>
          <w:szCs w:val="24"/>
          <w:lang w:val="en-ID" w:eastAsia="en-US"/>
        </w:rPr>
        <w:t>ANALYSIS</w:t>
      </w:r>
    </w:p>
    <w:p w14:paraId="5F3A51B2" w14:textId="37690C14" w:rsidR="00200009" w:rsidRPr="00046968" w:rsidRDefault="00200009" w:rsidP="00200009">
      <w:pPr>
        <w:autoSpaceDE/>
        <w:autoSpaceDN/>
        <w:spacing w:after="200" w:line="276" w:lineRule="auto"/>
        <w:ind w:left="426"/>
        <w:jc w:val="both"/>
        <w:rPr>
          <w:rFonts w:ascii="Calibri Light" w:eastAsia="MS Mincho" w:hAnsi="Calibri Light" w:cs="Calibri Light"/>
          <w:sz w:val="24"/>
          <w:szCs w:val="24"/>
          <w:lang w:val="en-ID" w:eastAsia="en-US"/>
        </w:rPr>
      </w:pPr>
      <w:r w:rsidRPr="00200009">
        <w:rPr>
          <w:rFonts w:ascii="Calibri Light" w:eastAsia="MS Mincho" w:hAnsi="Calibri Light" w:cs="Calibri Light"/>
          <w:sz w:val="24"/>
          <w:szCs w:val="24"/>
          <w:lang w:val="en-ID" w:eastAsia="en-US"/>
        </w:rPr>
        <w:t>The analysis in this study will be conducted from four main perspectives. First, we will examine the key characteristics of published research to explore the academic field related to Basel Accords and Islamic banking. Second, we will analyze data and present visual representations to identify research trends, leading countries, and academic institutions contributing to this field</w:t>
      </w:r>
      <w:r w:rsidR="002D33A7">
        <w:rPr>
          <w:rFonts w:ascii="Calibri Light" w:eastAsia="MS Mincho" w:hAnsi="Calibri Light" w:cs="Calibri Light"/>
          <w:sz w:val="24"/>
          <w:szCs w:val="24"/>
          <w:lang w:val="en-ID" w:eastAsia="en-US"/>
        </w:rPr>
        <w:t xml:space="preserve"> </w:t>
      </w:r>
      <w:r w:rsidR="002D33A7">
        <w:rPr>
          <w:rFonts w:ascii="Calibri Light" w:eastAsia="MS Mincho" w:hAnsi="Calibri Light" w:cs="Calibri Light"/>
          <w:sz w:val="24"/>
          <w:szCs w:val="24"/>
          <w:lang w:val="en-ID" w:eastAsia="en-US"/>
        </w:rPr>
        <w:fldChar w:fldCharType="begin" w:fldLock="1"/>
      </w:r>
      <w:r w:rsidR="002D33A7">
        <w:rPr>
          <w:rFonts w:ascii="Calibri Light" w:eastAsia="MS Mincho" w:hAnsi="Calibri Light" w:cs="Calibri Light"/>
          <w:sz w:val="24"/>
          <w:szCs w:val="24"/>
          <w:lang w:val="en-ID" w:eastAsia="en-US"/>
        </w:rPr>
        <w:instrText>ADDIN CSL_CITATION {"citationItems":[{"id":"ITEM-1","itemData":{"DOI":"10.1007/s13132-022-00933-y","ISSN":"18687865 (ISSN)","abstract":"This study aims to investigate the impact of customer knowledge, political support, and innovative advancement on the development of Islamic bank. There is a strong microeconomics ground of Islamic financing for the economy-wide conduct of good monetary issues, and issues including the procedure structure. Islamic bank clients limit the dangers related to premium-based obligation financing, and simple credit, which tormented regular banks amid the sub-prime home loan emergency. In short, when there will be sufficient knowledge and information about the Islamic banking services and products, then it will help to develop the Islamic banking system, and similar is the case for advanced innovations. Meanwhile, strong political support can also play an influential role in the development of the Islamic banking system. This study collects the data through self-administered survey from managers of Islamic banks located in the Lahore region. The results of regression analysis are obtained through SPSS. The findings revealed that customer knowledge, innovations, and political support positively and significantly influence the growth of Islamic banks in Pakistan. In other words, good knowledge, innovations, and political support can result in more Islamic banking system development. Conclusively, general monetary development of Islamic banking in Muslim nations will drive the development of Islamic money-related administrations, prompting further in Sharia-consistent system. © 2022, The Author(s), under exclusive licence to Springer Science+Business Media, LLC, part of Springer Nature.","author":[{"dropping-particle":"","family":"Abrar","given":"M","non-dropping-particle":"","parse-names":false,"suffix":""},{"dropping-particle":"","family":"Abbas","given":"S","non-dropping-particle":"","parse-names":false,"suffix":""},{"dropping-particle":"","family":"Kousar","given":"S","non-dropping-particle":"","parse-names":false,"suffix":""},{"dropping-particle":"","family":"Mushtaq","given":"M","non-dropping-particle":"","parse-names":false,"suffix":""}],"container-title":"Journal of the Knowledge Economy","id":"ITEM-1","issue":"2","issued":{"date-parts":[["2023"]]},"language":"English","note":"Export Date: 24 April 2025; Cited By: 4; Correspondence Address: S. Abbas; Climate Research Institute, Department of Geography, Konkuk University, Seoul, South Korea; email: sohail.konkuk@gmail.com; S. Kousar; Department of Economics, Lahore College of Women University (LCWU), Lahore, Pakistan; email: shaziabilal2002@gmail.com","page":"946-965","publisher":"Springer","publisher-place":"Business School, Department of Finance, Konkuk University, Seoul, South Korea","title":"Investigation on the Effects of Customer Knowledge, Political Support, and Innovation on the Growth of Islamic Banking System: a Case Study of Pakistan","type":"article-journal","volume":"14"},"uris":["http://www.mendeley.com/documents/?uuid=4a1b384b-7a63-450d-888c-572172d12cf5"]}],"mendeley":{"formattedCitation":"(Abrar et al., 2023)","plainTextFormattedCitation":"(Abrar et al., 2023)","previouslyFormattedCitation":"(Abrar et al., 2023)"},"properties":{"noteIndex":0},"schema":"https://github.com/citation-style-language/schema/raw/master/csl-citation.json"}</w:instrText>
      </w:r>
      <w:r w:rsidR="002D33A7">
        <w:rPr>
          <w:rFonts w:ascii="Calibri Light" w:eastAsia="MS Mincho" w:hAnsi="Calibri Light" w:cs="Calibri Light"/>
          <w:sz w:val="24"/>
          <w:szCs w:val="24"/>
          <w:lang w:val="en-ID" w:eastAsia="en-US"/>
        </w:rPr>
        <w:fldChar w:fldCharType="separate"/>
      </w:r>
      <w:r w:rsidR="002D33A7" w:rsidRPr="002D33A7">
        <w:rPr>
          <w:rFonts w:ascii="Calibri Light" w:eastAsia="MS Mincho" w:hAnsi="Calibri Light" w:cs="Calibri Light"/>
          <w:noProof/>
          <w:sz w:val="24"/>
          <w:szCs w:val="24"/>
          <w:lang w:val="en-ID" w:eastAsia="en-US"/>
        </w:rPr>
        <w:t>(Abrar et al., 2023)</w:t>
      </w:r>
      <w:r w:rsidR="002D33A7">
        <w:rPr>
          <w:rFonts w:ascii="Calibri Light" w:eastAsia="MS Mincho" w:hAnsi="Calibri Light" w:cs="Calibri Light"/>
          <w:sz w:val="24"/>
          <w:szCs w:val="24"/>
          <w:lang w:val="en-ID" w:eastAsia="en-US"/>
        </w:rPr>
        <w:fldChar w:fldCharType="end"/>
      </w:r>
      <w:r w:rsidRPr="00200009">
        <w:rPr>
          <w:rFonts w:ascii="Calibri Light" w:eastAsia="MS Mincho" w:hAnsi="Calibri Light" w:cs="Calibri Light"/>
          <w:sz w:val="24"/>
          <w:szCs w:val="24"/>
          <w:lang w:val="en-ID" w:eastAsia="en-US"/>
        </w:rPr>
        <w:t>. Third, we will define the conceptual structure of keywords related to Islamic banking and Basel Accords. Finally, we will apply bibliometric analysis, including keyword co-occurrence and citation network analysis, to identify current research trends, future directions, and key topics in this field</w:t>
      </w:r>
      <w:r w:rsidR="002D33A7">
        <w:rPr>
          <w:rFonts w:ascii="Calibri Light" w:eastAsia="MS Mincho" w:hAnsi="Calibri Light" w:cs="Calibri Light"/>
          <w:sz w:val="24"/>
          <w:szCs w:val="24"/>
          <w:lang w:val="en-ID" w:eastAsia="en-US"/>
        </w:rPr>
        <w:t xml:space="preserve"> </w:t>
      </w:r>
      <w:r w:rsidR="002D33A7">
        <w:rPr>
          <w:rFonts w:ascii="Calibri Light" w:eastAsia="MS Mincho" w:hAnsi="Calibri Light" w:cs="Calibri Light"/>
          <w:sz w:val="24"/>
          <w:szCs w:val="24"/>
          <w:lang w:val="en-ID" w:eastAsia="en-US"/>
        </w:rPr>
        <w:fldChar w:fldCharType="begin" w:fldLock="1"/>
      </w:r>
      <w:r w:rsidR="00804B31">
        <w:rPr>
          <w:rFonts w:ascii="Calibri Light" w:eastAsia="MS Mincho" w:hAnsi="Calibri Light" w:cs="Calibri Light"/>
          <w:sz w:val="24"/>
          <w:szCs w:val="24"/>
          <w:lang w:val="en-ID" w:eastAsia="en-US"/>
        </w:rPr>
        <w:instrText>ADDIN CSL_CITATION {"citationItems":[{"id":"ITEM-1","itemData":{"ISSN":"26007975 (ISSN)","abstract":"This research provides an in-depth examination of the crucial connection between Sharia Supervisory Boards (SSB) and Sharia Compliance Disclosure (SCD) in the context of Indonesian Islamic banks. Using secondary data from the years 2014 to 2019, sourced from a selection of Islamic Banks, this research employed panel multiple regression analysis conducted using E-Views software. The findings of this investigation yielded remarkable insights. Firstly, it was demonstrated that the expertise of SSB members played a pivotal role in significantly and positively influencing the extent of SCD. Conversely, the size and education of SSB members exerted a significant and negative influence on SCD. Intriguingly, the study revealed that SSB’s meetings and SSB’s cross-directorship did not have any impact on SCD. These findings hold profound implications for the strategic selection and composition of SSB, highlighting the paramount importance of expertise in driving robust SCD practices within Islamic Banks. In this way, this research advances our understanding of SSB dynamics and their impact on financial transparency, contributing valuable insights to the global discourse on Islamic finance. © 2023, Universiti Teknologi Mara. All rights reserved.","author":[{"dropping-particle":"","family":"Hudayati","given":"A","non-dropping-particle":"","parse-names":false,"suffix":""}],"container-title":"Management and Accounting Review","id":"ITEM-1","issue":"3","issued":{"date-parts":[["2023"]]},"language":"English","note":"Export Date: 24 April 2025; Cited By: 0; Correspondence Address: A. Hudayati; Economics Faculty, Universitas Islam Indonesia, Yogyakarta, Indonesia; email: ataina.hudayati@uii.ac.id","page":"407-428","publisher":"Universiti Teknologi Mara","publisher-place":"Department of Sharia Economics, STAI Darul Ulum, South Kalimantan, Indonesia","title":"Exploring the Nexus of Disclosure of Sharia Compliance and Governance in Islamic Banking: A Comprehensive Analysis of the Sharia Supervisory Board","type":"article-journal","volume":"22"},"uris":["http://www.mendeley.com/documents/?uuid=e457ef72-bfe9-4390-b0f4-071fb7803289"]}],"mendeley":{"formattedCitation":"(Hudayati, 2023)","plainTextFormattedCitation":"(Hudayati, 2023)","previouslyFormattedCitation":"(Hudayati, 2023)"},"properties":{"noteIndex":0},"schema":"https://github.com/citation-style-language/schema/raw/master/csl-citation.json"}</w:instrText>
      </w:r>
      <w:r w:rsidR="002D33A7">
        <w:rPr>
          <w:rFonts w:ascii="Calibri Light" w:eastAsia="MS Mincho" w:hAnsi="Calibri Light" w:cs="Calibri Light"/>
          <w:sz w:val="24"/>
          <w:szCs w:val="24"/>
          <w:lang w:val="en-ID" w:eastAsia="en-US"/>
        </w:rPr>
        <w:fldChar w:fldCharType="separate"/>
      </w:r>
      <w:r w:rsidR="002D33A7" w:rsidRPr="002D33A7">
        <w:rPr>
          <w:rFonts w:ascii="Calibri Light" w:eastAsia="MS Mincho" w:hAnsi="Calibri Light" w:cs="Calibri Light"/>
          <w:noProof/>
          <w:sz w:val="24"/>
          <w:szCs w:val="24"/>
          <w:lang w:val="en-ID" w:eastAsia="en-US"/>
        </w:rPr>
        <w:t>(Hudayati, 2023)</w:t>
      </w:r>
      <w:r w:rsidR="002D33A7">
        <w:rPr>
          <w:rFonts w:ascii="Calibri Light" w:eastAsia="MS Mincho" w:hAnsi="Calibri Light" w:cs="Calibri Light"/>
          <w:sz w:val="24"/>
          <w:szCs w:val="24"/>
          <w:lang w:val="en-ID" w:eastAsia="en-US"/>
        </w:rPr>
        <w:fldChar w:fldCharType="end"/>
      </w:r>
      <w:r w:rsidRPr="00200009">
        <w:rPr>
          <w:rFonts w:ascii="Calibri Light" w:eastAsia="MS Mincho" w:hAnsi="Calibri Light" w:cs="Calibri Light"/>
          <w:sz w:val="24"/>
          <w:szCs w:val="24"/>
          <w:lang w:val="en-ID" w:eastAsia="en-US"/>
        </w:rPr>
        <w:t>.</w:t>
      </w:r>
    </w:p>
    <w:p w14:paraId="137E9A96" w14:textId="13AA457A" w:rsidR="00046968" w:rsidRPr="00046968" w:rsidRDefault="00E649E6" w:rsidP="003F1684">
      <w:pPr>
        <w:autoSpaceDE/>
        <w:autoSpaceDN/>
        <w:spacing w:after="200" w:line="276" w:lineRule="auto"/>
        <w:ind w:left="426"/>
        <w:rPr>
          <w:rFonts w:ascii="Calibri Light" w:eastAsia="MS Mincho" w:hAnsi="Calibri Light" w:cs="Calibri Light"/>
          <w:sz w:val="24"/>
          <w:szCs w:val="24"/>
          <w:lang w:val="en-ID" w:eastAsia="en-US"/>
        </w:rPr>
      </w:pPr>
      <w:r>
        <w:rPr>
          <w:rFonts w:ascii="Calibri Light" w:eastAsia="MS Mincho" w:hAnsi="Calibri Light" w:cs="Calibri Light"/>
          <w:b/>
          <w:bCs/>
          <w:sz w:val="24"/>
          <w:szCs w:val="24"/>
          <w:lang w:val="en-ID" w:eastAsia="en-US"/>
        </w:rPr>
        <w:t xml:space="preserve">3.1. </w:t>
      </w:r>
      <w:r w:rsidR="00046968" w:rsidRPr="00200009">
        <w:rPr>
          <w:rFonts w:ascii="Calibri Light" w:eastAsia="MS Mincho" w:hAnsi="Calibri Light" w:cs="Calibri Light"/>
          <w:b/>
          <w:bCs/>
          <w:sz w:val="24"/>
          <w:szCs w:val="24"/>
          <w:lang w:val="en-ID" w:eastAsia="en-US"/>
        </w:rPr>
        <w:t>Size and Growth of Publication</w:t>
      </w:r>
    </w:p>
    <w:p w14:paraId="6C2675C7" w14:textId="77777777" w:rsidR="00750DAC" w:rsidRDefault="00046968" w:rsidP="00750DAC">
      <w:pPr>
        <w:autoSpaceDE/>
        <w:autoSpaceDN/>
        <w:spacing w:after="200" w:line="276" w:lineRule="auto"/>
        <w:ind w:left="426"/>
        <w:rPr>
          <w:rFonts w:ascii="Calibri Light" w:eastAsia="MS Mincho" w:hAnsi="Calibri Light" w:cs="Calibri Light"/>
          <w:sz w:val="24"/>
          <w:szCs w:val="24"/>
          <w:lang w:val="en-ID" w:eastAsia="en-US"/>
        </w:rPr>
      </w:pPr>
      <w:r w:rsidRPr="00046968">
        <w:rPr>
          <w:rFonts w:ascii="Calibri Light" w:eastAsia="MS Mincho" w:hAnsi="Calibri Light" w:cs="Calibri Light"/>
          <w:sz w:val="24"/>
          <w:szCs w:val="24"/>
          <w:lang w:val="en-ID" w:eastAsia="en-US"/>
        </w:rPr>
        <w:t>The 1st research question:What is the annual distribution of publications related to Basel Accords and Islamic banking over the past decade?</w:t>
      </w:r>
    </w:p>
    <w:p w14:paraId="5E03B395" w14:textId="5D771282" w:rsidR="00C377E7" w:rsidRDefault="00046968" w:rsidP="001C3DA7">
      <w:pPr>
        <w:autoSpaceDE/>
        <w:autoSpaceDN/>
        <w:spacing w:after="200" w:line="276" w:lineRule="auto"/>
        <w:ind w:left="426"/>
        <w:jc w:val="both"/>
        <w:rPr>
          <w:rFonts w:ascii="Calibri Light" w:eastAsia="MS Mincho" w:hAnsi="Calibri Light" w:cs="Calibri Light"/>
          <w:sz w:val="24"/>
          <w:szCs w:val="24"/>
          <w:lang w:val="en-ID" w:eastAsia="en-US"/>
        </w:rPr>
      </w:pPr>
      <w:r w:rsidRPr="00046968">
        <w:rPr>
          <w:rFonts w:ascii="Calibri Light" w:eastAsia="MS Mincho" w:hAnsi="Calibri Light" w:cs="Calibri Light"/>
          <w:sz w:val="24"/>
          <w:szCs w:val="24"/>
          <w:lang w:val="en-ID" w:eastAsia="en-US"/>
        </w:rPr>
        <w:t xml:space="preserve">The chart illustrates the annual growth of academic publications related to Basel Accords and Islamic Banking from 2015 to 2024. The blue bars represent the number of newly </w:t>
      </w:r>
      <w:r w:rsidRPr="00046968">
        <w:rPr>
          <w:rFonts w:ascii="Calibri Light" w:eastAsia="MS Mincho" w:hAnsi="Calibri Light" w:cs="Calibri Light"/>
          <w:sz w:val="24"/>
          <w:szCs w:val="24"/>
          <w:lang w:val="en-ID" w:eastAsia="en-US"/>
        </w:rPr>
        <w:lastRenderedPageBreak/>
        <w:t>published studies each year, showing a steady increase over time. The absence of orange</w:t>
      </w:r>
      <w:r w:rsidR="00750DAC">
        <w:rPr>
          <w:rFonts w:ascii="Calibri Light" w:eastAsia="MS Mincho" w:hAnsi="Calibri Light" w:cs="Calibri Light"/>
          <w:sz w:val="24"/>
          <w:szCs w:val="24"/>
          <w:lang w:val="en-ID" w:eastAsia="en-US"/>
        </w:rPr>
        <w:t xml:space="preserve"> </w:t>
      </w:r>
      <w:r w:rsidRPr="00046968">
        <w:rPr>
          <w:rFonts w:ascii="Calibri Light" w:eastAsia="MS Mincho" w:hAnsi="Calibri Light" w:cs="Calibri Light"/>
          <w:sz w:val="24"/>
          <w:szCs w:val="24"/>
          <w:lang w:val="en-ID" w:eastAsia="en-US"/>
        </w:rPr>
        <w:t xml:space="preserve">(Decrease) and gray (Total) bars suggests that the focus is specifically on the growth of </w:t>
      </w:r>
      <w:r w:rsidR="00750DAC" w:rsidRPr="00F00D99">
        <w:rPr>
          <w:rFonts w:eastAsia="Calibri" w:cs="Traditional Arabic"/>
          <w:noProof/>
          <w:sz w:val="24"/>
          <w:szCs w:val="24"/>
          <w:lang w:val="en-ID" w:eastAsia="en-US"/>
        </w:rPr>
        <w:drawing>
          <wp:anchor distT="0" distB="0" distL="114300" distR="114300" simplePos="0" relativeHeight="251691520" behindDoc="0" locked="0" layoutInCell="1" allowOverlap="1" wp14:anchorId="2B24792B" wp14:editId="44EA0784">
            <wp:simplePos x="0" y="0"/>
            <wp:positionH relativeFrom="column">
              <wp:posOffset>723900</wp:posOffset>
            </wp:positionH>
            <wp:positionV relativeFrom="paragraph">
              <wp:posOffset>541655</wp:posOffset>
            </wp:positionV>
            <wp:extent cx="4572000" cy="2743200"/>
            <wp:effectExtent l="0" t="0" r="0" b="6985"/>
            <wp:wrapTopAndBottom/>
            <wp:docPr id="98538311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BEBA8EAE-BF5A-486C-A8C5-ECC9F3942E4B}">
                          <a14:imgProps xmlns:a14="http://schemas.microsoft.com/office/drawing/2010/main">
                            <a14:imgLayer r:embed="rId14">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46968">
        <w:rPr>
          <w:rFonts w:ascii="Calibri Light" w:eastAsia="MS Mincho" w:hAnsi="Calibri Light" w:cs="Calibri Light"/>
          <w:sz w:val="24"/>
          <w:szCs w:val="24"/>
          <w:lang w:val="en-ID" w:eastAsia="en-US"/>
        </w:rPr>
        <w:t>research rather than overall publication trends.</w:t>
      </w:r>
    </w:p>
    <w:p w14:paraId="1275C87F" w14:textId="17EFEB23" w:rsidR="00F00D99" w:rsidRDefault="00F00D99" w:rsidP="00F00D99">
      <w:pPr>
        <w:autoSpaceDE/>
        <w:autoSpaceDN/>
        <w:spacing w:after="200" w:line="276" w:lineRule="auto"/>
        <w:ind w:left="426"/>
        <w:jc w:val="center"/>
        <w:rPr>
          <w:rFonts w:ascii="Calibri Light" w:eastAsia="MS Mincho" w:hAnsi="Calibri Light" w:cs="Calibri Light"/>
          <w:sz w:val="24"/>
          <w:szCs w:val="24"/>
          <w:lang w:val="en-ID" w:eastAsia="en-US"/>
        </w:rPr>
      </w:pPr>
      <w:r w:rsidRPr="00F00D99">
        <w:rPr>
          <w:rFonts w:ascii="Calibri Light" w:eastAsia="MS Mincho" w:hAnsi="Calibri Light" w:cs="Calibri Light"/>
          <w:b/>
          <w:bCs/>
          <w:sz w:val="24"/>
          <w:szCs w:val="24"/>
          <w:lang w:val="en-ID" w:eastAsia="en-US"/>
        </w:rPr>
        <w:t>Figure 2.</w:t>
      </w:r>
      <w:r w:rsidRPr="00F00D99">
        <w:rPr>
          <w:rFonts w:ascii="Calibri Light" w:eastAsia="MS Mincho" w:hAnsi="Calibri Light" w:cs="Calibri Light"/>
          <w:sz w:val="24"/>
          <w:szCs w:val="24"/>
          <w:lang w:val="en-ID" w:eastAsia="en-US"/>
        </w:rPr>
        <w:t xml:space="preserve"> Distribution by year</w:t>
      </w:r>
    </w:p>
    <w:p w14:paraId="0596B959" w14:textId="6DDD12E2" w:rsidR="0094630C" w:rsidRP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From the data, it is evident that the number of publications has consistently risen, reflecting growing scholarly interest in the field. The highest increase occurred in 2020 (151 publications), followed by 2022 (147) and 2021 (113). This surge could be linked to developments in Basel III regulations, risk management, and the increasing role of Islamic banking in the global financial system</w:t>
      </w:r>
      <w:r w:rsidR="001C3DA7">
        <w:rPr>
          <w:rFonts w:ascii="Calibri Light" w:eastAsia="MS Mincho" w:hAnsi="Calibri Light" w:cs="Calibri Light"/>
          <w:sz w:val="24"/>
          <w:szCs w:val="24"/>
          <w:lang w:val="en-ID" w:eastAsia="en-US"/>
        </w:rPr>
        <w:t xml:space="preserve"> </w:t>
      </w:r>
      <w:r w:rsidR="001C3DA7">
        <w:rPr>
          <w:rFonts w:ascii="Calibri Light" w:eastAsia="MS Mincho" w:hAnsi="Calibri Light" w:cs="Calibri Light"/>
          <w:sz w:val="24"/>
          <w:szCs w:val="24"/>
          <w:lang w:val="en-ID" w:eastAsia="en-US"/>
        </w:rPr>
        <w:fldChar w:fldCharType="begin" w:fldLock="1"/>
      </w:r>
      <w:r w:rsidR="001C3DA7">
        <w:rPr>
          <w:rFonts w:ascii="Calibri Light" w:eastAsia="MS Mincho" w:hAnsi="Calibri Light" w:cs="Calibri Light"/>
          <w:sz w:val="24"/>
          <w:szCs w:val="24"/>
          <w:lang w:val="en-ID" w:eastAsia="en-US"/>
        </w:rPr>
        <w:instrText>ADDIN CSL_CITATION {"citationItems":[{"id":"ITEM-1","itemData":{"DOI":"10.1142/S0217590819500620","ISSN":"02175908 (ISSN)","abstract":"Participatory financing schemes, including Musharakah and Mudarabah, are theoretically claimed to be the ideal modes of Islamic financing, but their practice is restrained by several factors. That is why Islamic banks have a consistent tendency to avoid participatory financing on the assets side throughout the world. However, recently this trend has started changing in Pakistan and Indonesia where the share of participatory finance has raised significantly in the financing portfolio of Islamic banks. The present paper explores this recent spur of participatory finance in Pakistan in terms of its domains of applications and the responsible factors. The findings lead to a novel posteriori framework which shows that the shift toward participatory financing is primarily characterized by increase in working capital financing and commodity operations financing through Musharakah mode Islamic banks. Moreover, five factors contribute to the spur of participatory financing including: (i) introducing varieties in Musharakah, (ii) enhanced applicability, (iii) high volume projects, (iv) government interventions, and (v) regulator's role. The framework can significantly advance understanding with respect to the implementation theory of participation financing within Islamic banking and related Shariah compliance and regulation.  © 2022 World Scientific Publishing Company.","author":[{"dropping-particle":"","family":"Nouman","given":"M","non-dropping-particle":"","parse-names":false,"suffix":""},{"dropping-particle":"","family":"Ullah","given":"K","non-dropping-particle":"","parse-names":false,"suffix":""},{"dropping-particle":"","family":"Jan","given":"S","non-dropping-particle":"","parse-names":false,"suffix":""}],"container-title":"Singapore Economic Review","id":"ITEM-1","issue":"1","issued":{"date-parts":[["2022"]]},"language":"English","note":"Export Date: 24 April 2025; Cited By: 9; Correspondence Address: S. Jan; Institute of Management Sciences Peshawar, Pakistan; email: shafiullah.jan@imsciences.edu.pk","page":"381-409","publisher":"World Scientific","publisher-place":"Institute of Business and Management Sciences (IBMS), The University of Agriculture Peshawar, Pakistan","title":"DOMAINS and MOTIVES of MUSHARAKAH SPUR in the ISLAMIC BANKING INDUSTRY of PAKISTAN","type":"article-journal","volume":"67"},"uris":["http://www.mendeley.com/documents/?uuid=3956b406-ff63-4221-964e-f3746db73da8"]}],"mendeley":{"formattedCitation":"(Nouman et al., 2022)","plainTextFormattedCitation":"(Nouman et al., 2022)","previouslyFormattedCitation":"(Nouman et al., 2022)"},"properties":{"noteIndex":0},"schema":"https://github.com/citation-style-language/schema/raw/master/csl-citation.json"}</w:instrText>
      </w:r>
      <w:r w:rsidR="001C3DA7">
        <w:rPr>
          <w:rFonts w:ascii="Calibri Light" w:eastAsia="MS Mincho" w:hAnsi="Calibri Light" w:cs="Calibri Light"/>
          <w:sz w:val="24"/>
          <w:szCs w:val="24"/>
          <w:lang w:val="en-ID" w:eastAsia="en-US"/>
        </w:rPr>
        <w:fldChar w:fldCharType="separate"/>
      </w:r>
      <w:r w:rsidR="001C3DA7" w:rsidRPr="001C3DA7">
        <w:rPr>
          <w:rFonts w:ascii="Calibri Light" w:eastAsia="MS Mincho" w:hAnsi="Calibri Light" w:cs="Calibri Light"/>
          <w:noProof/>
          <w:sz w:val="24"/>
          <w:szCs w:val="24"/>
          <w:lang w:val="en-ID" w:eastAsia="en-US"/>
        </w:rPr>
        <w:t>(Nouman et al., 2022)</w:t>
      </w:r>
      <w:r w:rsidR="001C3DA7">
        <w:rPr>
          <w:rFonts w:ascii="Calibri Light" w:eastAsia="MS Mincho" w:hAnsi="Calibri Light" w:cs="Calibri Light"/>
          <w:sz w:val="24"/>
          <w:szCs w:val="24"/>
          <w:lang w:val="en-ID" w:eastAsia="en-US"/>
        </w:rPr>
        <w:fldChar w:fldCharType="end"/>
      </w:r>
      <w:r w:rsidRPr="0094630C">
        <w:rPr>
          <w:rFonts w:ascii="Calibri Light" w:eastAsia="MS Mincho" w:hAnsi="Calibri Light" w:cs="Calibri Light"/>
          <w:sz w:val="24"/>
          <w:szCs w:val="24"/>
          <w:lang w:val="en-ID" w:eastAsia="en-US"/>
        </w:rPr>
        <w:t>.</w:t>
      </w:r>
    </w:p>
    <w:p w14:paraId="02514C86" w14:textId="4ED010E7" w:rsidR="0094630C" w:rsidRP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In contrast, the lowest recorded growth was in 2015 (65 publications), suggesting that research in this area was still in its early stages. Over the years, the consistent rise in publications indicates that Islamic finance and Basel regulations have become crucial topics of academic and industry discussions, with scholars actively contributing to the field</w:t>
      </w:r>
      <w:r w:rsidR="001C3DA7">
        <w:rPr>
          <w:rFonts w:ascii="Calibri Light" w:eastAsia="MS Mincho" w:hAnsi="Calibri Light" w:cs="Calibri Light"/>
          <w:sz w:val="24"/>
          <w:szCs w:val="24"/>
          <w:lang w:val="en-ID" w:eastAsia="en-US"/>
        </w:rPr>
        <w:t xml:space="preserve"> </w:t>
      </w:r>
      <w:r w:rsidR="001C3DA7">
        <w:rPr>
          <w:rFonts w:ascii="Calibri Light" w:eastAsia="MS Mincho" w:hAnsi="Calibri Light" w:cs="Calibri Light"/>
          <w:sz w:val="24"/>
          <w:szCs w:val="24"/>
          <w:lang w:val="en-ID" w:eastAsia="en-US"/>
        </w:rPr>
        <w:fldChar w:fldCharType="begin" w:fldLock="1"/>
      </w:r>
      <w:r w:rsidR="001C3DA7">
        <w:rPr>
          <w:rFonts w:ascii="Calibri Light" w:eastAsia="MS Mincho" w:hAnsi="Calibri Light" w:cs="Calibri Light"/>
          <w:sz w:val="24"/>
          <w:szCs w:val="24"/>
          <w:lang w:val="en-ID" w:eastAsia="en-US"/>
        </w:rPr>
        <w:instrText>ADDIN CSL_CITATION {"citationItems":[{"id":"ITEM-1","itemData":{"DOI":"10.1504/ijmef.2022.126888","ISSN":"17520479 (ISSN)","abstract":"In Indonesia, the Islamic banking industry has been experiencing growth since its establishment in 1992. Although its profitability has declined slightly due to Covid-19, Islamic banks have recorded higher profitability than the average banking industry nationwide. Motivated to identify the factors that determine the banking profitability, this research empirically tests the contribution of intellectual capital (measured by VAICTM), banks’ liquidity (financing-to-deposit ratio), and financing ineffectiveness (non-performing financing or NPF) to the profitability (return on assets or ROA) of Islamic banks in Indonesia. We gathered data from the published financial information comprising a total of 130 observation years. The result shows that intellectual capital, banks’ liquidity, and financing ineffectiveness impacted the profitability of Islamic banks in Indonesia. The findings of this study provide policy implications for Indonesia’s Islamic banks to apply prudential banking principles in their financing activities. Copyright © 2022 Inderscience Enterprises Ltd.","author":[{"dropping-particle":"","family":"Fitri","given":"F A","non-dropping-particle":"","parse-names":false,"suffix":""},{"dropping-particle":"","family":"Syukur","given":"M","non-dropping-particle":"","parse-names":false,"suffix":""},{"dropping-particle":"","family":"Majid","given":"M S A","non-dropping-particle":"","parse-names":false,"suffix":""},{"dropping-particle":"","family":"Farhana","given":"I","non-dropping-particle":"","parse-names":false,"suffix":""},{"dropping-particle":"","family":"Hatta","given":"F","non-dropping-particle":"","parse-names":false,"suffix":""}],"container-title":"International Journal of Monetary Economics and Finance","id":"ITEM-1","issue":"3","issued":{"date-parts":[["2022"]]},"language":"English","note":"Export Date: 24 April 2025; Cited By: 3; Correspondence Address: F.A. Fitri; Department of Accounting, Faculty of Economics and Business, Universitas Syiah Kuala (USK), Banda Aceh, Jl. Teuku Nyak Arief No. 441, 23111, Indonesia; email: fauziah.afitri@unsyiah.ac.id","page":"293-308","publisher":"Inderscience Publishers","publisher-place":"Department of Accounting, Faculty of Economics and Business, Universitas Syiah Kuala (USK), Jl. Teuku Nyak Arief No. 441, Banda Aceh, 23111, Indonesia","title":"Do intellectual capital and financing matter for the profitability of the Islamic banking industry in Indonesia?","type":"article-journal","volume":"15"},"uris":["http://www.mendeley.com/documents/?uuid=a59b395a-9099-4512-bb6e-472b5ac1e678"]}],"mendeley":{"formattedCitation":"(Fitri et al., 2022)","plainTextFormattedCitation":"(Fitri et al., 2022)","previouslyFormattedCitation":"(Fitri et al., 2022)"},"properties":{"noteIndex":0},"schema":"https://github.com/citation-style-language/schema/raw/master/csl-citation.json"}</w:instrText>
      </w:r>
      <w:r w:rsidR="001C3DA7">
        <w:rPr>
          <w:rFonts w:ascii="Calibri Light" w:eastAsia="MS Mincho" w:hAnsi="Calibri Light" w:cs="Calibri Light"/>
          <w:sz w:val="24"/>
          <w:szCs w:val="24"/>
          <w:lang w:val="en-ID" w:eastAsia="en-US"/>
        </w:rPr>
        <w:fldChar w:fldCharType="separate"/>
      </w:r>
      <w:r w:rsidR="001C3DA7" w:rsidRPr="001C3DA7">
        <w:rPr>
          <w:rFonts w:ascii="Calibri Light" w:eastAsia="MS Mincho" w:hAnsi="Calibri Light" w:cs="Calibri Light"/>
          <w:noProof/>
          <w:sz w:val="24"/>
          <w:szCs w:val="24"/>
          <w:lang w:val="en-ID" w:eastAsia="en-US"/>
        </w:rPr>
        <w:t>(Fitri et al., 2022)</w:t>
      </w:r>
      <w:r w:rsidR="001C3DA7">
        <w:rPr>
          <w:rFonts w:ascii="Calibri Light" w:eastAsia="MS Mincho" w:hAnsi="Calibri Light" w:cs="Calibri Light"/>
          <w:sz w:val="24"/>
          <w:szCs w:val="24"/>
          <w:lang w:val="en-ID" w:eastAsia="en-US"/>
        </w:rPr>
        <w:fldChar w:fldCharType="end"/>
      </w:r>
      <w:r w:rsidRPr="0094630C">
        <w:rPr>
          <w:rFonts w:ascii="Calibri Light" w:eastAsia="MS Mincho" w:hAnsi="Calibri Light" w:cs="Calibri Light"/>
          <w:sz w:val="24"/>
          <w:szCs w:val="24"/>
          <w:lang w:val="en-ID" w:eastAsia="en-US"/>
        </w:rPr>
        <w:t>.</w:t>
      </w:r>
    </w:p>
    <w:p w14:paraId="279C995B" w14:textId="7076B9CE" w:rsid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This upward trend highlights the increasing global emphasis on financial stability, risk management, and regulatory frameworks. The data suggests that research in Islamic banking and financial regulations is maturing, with more institutions and scholars recognizing its significance in shaping the financial landscape.</w:t>
      </w:r>
    </w:p>
    <w:tbl>
      <w:tblPr>
        <w:tblStyle w:val="PlainTable22"/>
        <w:tblW w:w="8079" w:type="dxa"/>
        <w:tblInd w:w="426" w:type="dxa"/>
        <w:tblLook w:val="04A0" w:firstRow="1" w:lastRow="0" w:firstColumn="1" w:lastColumn="0" w:noHBand="0" w:noVBand="1"/>
      </w:tblPr>
      <w:tblGrid>
        <w:gridCol w:w="977"/>
        <w:gridCol w:w="2307"/>
        <w:gridCol w:w="827"/>
        <w:gridCol w:w="2552"/>
        <w:gridCol w:w="1416"/>
      </w:tblGrid>
      <w:tr w:rsidR="00D26D30" w:rsidRPr="00D26D30" w14:paraId="712293B5" w14:textId="77777777" w:rsidTr="00835E51">
        <w:trPr>
          <w:cnfStyle w:val="100000000000" w:firstRow="1" w:lastRow="0" w:firstColumn="0" w:lastColumn="0" w:oddVBand="0" w:evenVBand="0" w:oddHBand="0"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0" w:type="auto"/>
            <w:shd w:val="clear" w:color="auto" w:fill="E5B8B7" w:themeFill="accent2" w:themeFillTint="66"/>
            <w:hideMark/>
          </w:tcPr>
          <w:p w14:paraId="3D867444" w14:textId="77777777" w:rsidR="00D26D30" w:rsidRPr="00D26D30" w:rsidRDefault="00D26D30" w:rsidP="00D26D30">
            <w:pPr>
              <w:autoSpaceDE/>
              <w:autoSpaceDN/>
              <w:jc w:val="center"/>
              <w:rPr>
                <w:rFonts w:ascii="Calibri Light" w:hAnsi="Calibri Light" w:cs="Calibri Light"/>
                <w:lang w:val="en-ID" w:eastAsia="en-ID"/>
              </w:rPr>
            </w:pPr>
            <w:r w:rsidRPr="00D26D30">
              <w:rPr>
                <w:rFonts w:ascii="Calibri Light" w:hAnsi="Calibri Light" w:cs="Calibri Light"/>
                <w:lang w:val="en-ID" w:eastAsia="en-ID"/>
              </w:rPr>
              <w:t>Year</w:t>
            </w:r>
          </w:p>
        </w:tc>
        <w:tc>
          <w:tcPr>
            <w:tcW w:w="0" w:type="auto"/>
            <w:shd w:val="clear" w:color="auto" w:fill="E5B8B7" w:themeFill="accent2" w:themeFillTint="66"/>
            <w:hideMark/>
          </w:tcPr>
          <w:p w14:paraId="6A2716B6"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MeanTCperArt</w:t>
            </w:r>
          </w:p>
        </w:tc>
        <w:tc>
          <w:tcPr>
            <w:tcW w:w="827" w:type="dxa"/>
            <w:shd w:val="clear" w:color="auto" w:fill="E5B8B7" w:themeFill="accent2" w:themeFillTint="66"/>
            <w:hideMark/>
          </w:tcPr>
          <w:p w14:paraId="789F454A"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 xml:space="preserve">N     </w:t>
            </w:r>
          </w:p>
        </w:tc>
        <w:tc>
          <w:tcPr>
            <w:tcW w:w="2552" w:type="dxa"/>
            <w:shd w:val="clear" w:color="auto" w:fill="E5B8B7" w:themeFill="accent2" w:themeFillTint="66"/>
            <w:hideMark/>
          </w:tcPr>
          <w:p w14:paraId="11322DC8"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MeanTCperYear</w:t>
            </w:r>
          </w:p>
        </w:tc>
        <w:tc>
          <w:tcPr>
            <w:tcW w:w="1416" w:type="dxa"/>
            <w:shd w:val="clear" w:color="auto" w:fill="E5B8B7" w:themeFill="accent2" w:themeFillTint="66"/>
            <w:hideMark/>
          </w:tcPr>
          <w:p w14:paraId="4D131BE9"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CitableYears</w:t>
            </w:r>
          </w:p>
        </w:tc>
      </w:tr>
      <w:tr w:rsidR="00D26D30" w:rsidRPr="00D26D30" w14:paraId="3756270F"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56896D54" w14:textId="77777777" w:rsidR="00D26D30" w:rsidRPr="00D26D30" w:rsidRDefault="00D26D30" w:rsidP="00D26D30">
            <w:pPr>
              <w:autoSpaceDE/>
              <w:autoSpaceDN/>
              <w:rPr>
                <w:lang w:val="en-ID" w:eastAsia="en-ID"/>
              </w:rPr>
            </w:pPr>
            <w:r w:rsidRPr="00D26D30">
              <w:rPr>
                <w:lang w:val="en-ID" w:eastAsia="en-ID"/>
              </w:rPr>
              <w:t>2015</w:t>
            </w:r>
          </w:p>
        </w:tc>
        <w:tc>
          <w:tcPr>
            <w:tcW w:w="0" w:type="auto"/>
            <w:hideMark/>
          </w:tcPr>
          <w:p w14:paraId="713422FA"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27.55</w:t>
            </w:r>
          </w:p>
        </w:tc>
        <w:tc>
          <w:tcPr>
            <w:tcW w:w="827" w:type="dxa"/>
            <w:hideMark/>
          </w:tcPr>
          <w:p w14:paraId="782ECD7F"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44</w:t>
            </w:r>
          </w:p>
        </w:tc>
        <w:tc>
          <w:tcPr>
            <w:tcW w:w="2552" w:type="dxa"/>
            <w:hideMark/>
          </w:tcPr>
          <w:p w14:paraId="368E8AEE" w14:textId="77777777" w:rsidR="00D26D30" w:rsidRPr="00D26D30" w:rsidRDefault="00D26D30" w:rsidP="00D26D30">
            <w:pPr>
              <w:autoSpaceDE/>
              <w:autoSpaceDN/>
              <w:ind w:left="-246"/>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 xml:space="preserve">     2.76</w:t>
            </w:r>
          </w:p>
        </w:tc>
        <w:tc>
          <w:tcPr>
            <w:tcW w:w="1416" w:type="dxa"/>
            <w:hideMark/>
          </w:tcPr>
          <w:p w14:paraId="1574A7C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10</w:t>
            </w:r>
          </w:p>
        </w:tc>
      </w:tr>
      <w:tr w:rsidR="00D26D30" w:rsidRPr="00D26D30" w14:paraId="748D172E"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7F253E24" w14:textId="77777777" w:rsidR="00D26D30" w:rsidRPr="00D26D30" w:rsidRDefault="00D26D30" w:rsidP="00D26D30">
            <w:pPr>
              <w:autoSpaceDE/>
              <w:autoSpaceDN/>
              <w:rPr>
                <w:lang w:val="en-ID" w:eastAsia="en-ID"/>
              </w:rPr>
            </w:pPr>
            <w:r w:rsidRPr="00D26D30">
              <w:rPr>
                <w:lang w:val="en-ID" w:eastAsia="en-ID"/>
              </w:rPr>
              <w:t>2016</w:t>
            </w:r>
          </w:p>
        </w:tc>
        <w:tc>
          <w:tcPr>
            <w:tcW w:w="0" w:type="auto"/>
            <w:hideMark/>
          </w:tcPr>
          <w:p w14:paraId="52CDE729"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20.31</w:t>
            </w:r>
          </w:p>
        </w:tc>
        <w:tc>
          <w:tcPr>
            <w:tcW w:w="827" w:type="dxa"/>
            <w:hideMark/>
          </w:tcPr>
          <w:p w14:paraId="4029E1F1"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45</w:t>
            </w:r>
          </w:p>
        </w:tc>
        <w:tc>
          <w:tcPr>
            <w:tcW w:w="2552" w:type="dxa"/>
            <w:hideMark/>
          </w:tcPr>
          <w:p w14:paraId="21CDB06C"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2.26</w:t>
            </w:r>
          </w:p>
        </w:tc>
        <w:tc>
          <w:tcPr>
            <w:tcW w:w="1416" w:type="dxa"/>
            <w:hideMark/>
          </w:tcPr>
          <w:p w14:paraId="6AF5D8DA"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9</w:t>
            </w:r>
          </w:p>
        </w:tc>
      </w:tr>
      <w:tr w:rsidR="00D26D30" w:rsidRPr="00D26D30" w14:paraId="0EC6DB67"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63BF46CE" w14:textId="77777777" w:rsidR="00D26D30" w:rsidRPr="00D26D30" w:rsidRDefault="00D26D30" w:rsidP="00D26D30">
            <w:pPr>
              <w:autoSpaceDE/>
              <w:autoSpaceDN/>
              <w:rPr>
                <w:lang w:val="en-ID" w:eastAsia="en-ID"/>
              </w:rPr>
            </w:pPr>
            <w:r w:rsidRPr="00D26D30">
              <w:rPr>
                <w:lang w:val="en-ID" w:eastAsia="en-ID"/>
              </w:rPr>
              <w:t>2017</w:t>
            </w:r>
          </w:p>
        </w:tc>
        <w:tc>
          <w:tcPr>
            <w:tcW w:w="0" w:type="auto"/>
            <w:hideMark/>
          </w:tcPr>
          <w:p w14:paraId="3C0C39DB"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37.79</w:t>
            </w:r>
          </w:p>
        </w:tc>
        <w:tc>
          <w:tcPr>
            <w:tcW w:w="827" w:type="dxa"/>
            <w:hideMark/>
          </w:tcPr>
          <w:p w14:paraId="3C146B6A"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48</w:t>
            </w:r>
          </w:p>
        </w:tc>
        <w:tc>
          <w:tcPr>
            <w:tcW w:w="2552" w:type="dxa"/>
            <w:hideMark/>
          </w:tcPr>
          <w:p w14:paraId="766987B6"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4.72</w:t>
            </w:r>
          </w:p>
        </w:tc>
        <w:tc>
          <w:tcPr>
            <w:tcW w:w="1416" w:type="dxa"/>
            <w:hideMark/>
          </w:tcPr>
          <w:p w14:paraId="498858E3"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8</w:t>
            </w:r>
          </w:p>
        </w:tc>
      </w:tr>
      <w:tr w:rsidR="00D26D30" w:rsidRPr="00D26D30" w14:paraId="4CF91A75"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7DDBB736" w14:textId="77777777" w:rsidR="00D26D30" w:rsidRPr="00D26D30" w:rsidRDefault="00D26D30" w:rsidP="00D26D30">
            <w:pPr>
              <w:autoSpaceDE/>
              <w:autoSpaceDN/>
              <w:rPr>
                <w:lang w:val="en-ID" w:eastAsia="en-ID"/>
              </w:rPr>
            </w:pPr>
            <w:r w:rsidRPr="00D26D30">
              <w:rPr>
                <w:lang w:val="en-ID" w:eastAsia="en-ID"/>
              </w:rPr>
              <w:lastRenderedPageBreak/>
              <w:t>2018</w:t>
            </w:r>
          </w:p>
        </w:tc>
        <w:tc>
          <w:tcPr>
            <w:tcW w:w="0" w:type="auto"/>
            <w:hideMark/>
          </w:tcPr>
          <w:p w14:paraId="711086AE"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35.27</w:t>
            </w:r>
          </w:p>
        </w:tc>
        <w:tc>
          <w:tcPr>
            <w:tcW w:w="827" w:type="dxa"/>
            <w:hideMark/>
          </w:tcPr>
          <w:p w14:paraId="220BA8F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70</w:t>
            </w:r>
          </w:p>
        </w:tc>
        <w:tc>
          <w:tcPr>
            <w:tcW w:w="2552" w:type="dxa"/>
            <w:hideMark/>
          </w:tcPr>
          <w:p w14:paraId="345EBB6A"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5.04</w:t>
            </w:r>
          </w:p>
        </w:tc>
        <w:tc>
          <w:tcPr>
            <w:tcW w:w="1416" w:type="dxa"/>
            <w:hideMark/>
          </w:tcPr>
          <w:p w14:paraId="3148B29E"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w:t>
            </w:r>
          </w:p>
        </w:tc>
      </w:tr>
      <w:tr w:rsidR="00D26D30" w:rsidRPr="00D26D30" w14:paraId="30373840"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0B78EA27" w14:textId="77777777" w:rsidR="00D26D30" w:rsidRPr="00D26D30" w:rsidRDefault="00D26D30" w:rsidP="00D26D30">
            <w:pPr>
              <w:autoSpaceDE/>
              <w:autoSpaceDN/>
              <w:rPr>
                <w:lang w:val="en-ID" w:eastAsia="en-ID"/>
              </w:rPr>
            </w:pPr>
            <w:r w:rsidRPr="00D26D30">
              <w:rPr>
                <w:lang w:val="en-ID" w:eastAsia="en-ID"/>
              </w:rPr>
              <w:t>2019</w:t>
            </w:r>
          </w:p>
        </w:tc>
        <w:tc>
          <w:tcPr>
            <w:tcW w:w="0" w:type="auto"/>
            <w:hideMark/>
          </w:tcPr>
          <w:p w14:paraId="38BB8002"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20.43</w:t>
            </w:r>
          </w:p>
        </w:tc>
        <w:tc>
          <w:tcPr>
            <w:tcW w:w="827" w:type="dxa"/>
            <w:hideMark/>
          </w:tcPr>
          <w:p w14:paraId="0C2A9C27"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77</w:t>
            </w:r>
          </w:p>
        </w:tc>
        <w:tc>
          <w:tcPr>
            <w:tcW w:w="2552" w:type="dxa"/>
            <w:hideMark/>
          </w:tcPr>
          <w:p w14:paraId="59B54C53"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3.40</w:t>
            </w:r>
          </w:p>
        </w:tc>
        <w:tc>
          <w:tcPr>
            <w:tcW w:w="1416" w:type="dxa"/>
            <w:hideMark/>
          </w:tcPr>
          <w:p w14:paraId="1B3DE2EC"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6</w:t>
            </w:r>
          </w:p>
        </w:tc>
      </w:tr>
      <w:tr w:rsidR="00D26D30" w:rsidRPr="00D26D30" w14:paraId="577ABB65"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5175B1C9" w14:textId="77777777" w:rsidR="00D26D30" w:rsidRPr="00D26D30" w:rsidRDefault="00D26D30" w:rsidP="00D26D30">
            <w:pPr>
              <w:autoSpaceDE/>
              <w:autoSpaceDN/>
              <w:rPr>
                <w:lang w:val="en-ID" w:eastAsia="en-ID"/>
              </w:rPr>
            </w:pPr>
            <w:r w:rsidRPr="00D26D30">
              <w:rPr>
                <w:lang w:val="en-ID" w:eastAsia="en-ID"/>
              </w:rPr>
              <w:t>2020</w:t>
            </w:r>
          </w:p>
        </w:tc>
        <w:tc>
          <w:tcPr>
            <w:tcW w:w="0" w:type="auto"/>
            <w:hideMark/>
          </w:tcPr>
          <w:p w14:paraId="2B325140"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18.31</w:t>
            </w:r>
          </w:p>
        </w:tc>
        <w:tc>
          <w:tcPr>
            <w:tcW w:w="827" w:type="dxa"/>
            <w:hideMark/>
          </w:tcPr>
          <w:p w14:paraId="4463C6F0"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74</w:t>
            </w:r>
          </w:p>
        </w:tc>
        <w:tc>
          <w:tcPr>
            <w:tcW w:w="2552" w:type="dxa"/>
            <w:hideMark/>
          </w:tcPr>
          <w:p w14:paraId="42D3B1F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3.66</w:t>
            </w:r>
          </w:p>
        </w:tc>
        <w:tc>
          <w:tcPr>
            <w:tcW w:w="1416" w:type="dxa"/>
            <w:hideMark/>
          </w:tcPr>
          <w:p w14:paraId="4E6017B8"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5</w:t>
            </w:r>
          </w:p>
        </w:tc>
      </w:tr>
      <w:tr w:rsidR="00D26D30" w:rsidRPr="00D26D30" w14:paraId="51AE9F01" w14:textId="77777777" w:rsidTr="003F1684">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0" w:type="auto"/>
            <w:hideMark/>
          </w:tcPr>
          <w:p w14:paraId="1A73EB75" w14:textId="77777777" w:rsidR="00D26D30" w:rsidRPr="00D26D30" w:rsidRDefault="00D26D30" w:rsidP="00D26D30">
            <w:pPr>
              <w:autoSpaceDE/>
              <w:autoSpaceDN/>
              <w:rPr>
                <w:lang w:val="en-ID" w:eastAsia="en-ID"/>
              </w:rPr>
            </w:pPr>
            <w:r w:rsidRPr="00D26D30">
              <w:rPr>
                <w:lang w:val="en-ID" w:eastAsia="en-ID"/>
              </w:rPr>
              <w:t>2021</w:t>
            </w:r>
          </w:p>
        </w:tc>
        <w:tc>
          <w:tcPr>
            <w:tcW w:w="0" w:type="auto"/>
            <w:hideMark/>
          </w:tcPr>
          <w:p w14:paraId="6C1CB234"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15.18</w:t>
            </w:r>
          </w:p>
        </w:tc>
        <w:tc>
          <w:tcPr>
            <w:tcW w:w="827" w:type="dxa"/>
            <w:hideMark/>
          </w:tcPr>
          <w:p w14:paraId="23ED78C4"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73</w:t>
            </w:r>
          </w:p>
        </w:tc>
        <w:tc>
          <w:tcPr>
            <w:tcW w:w="2552" w:type="dxa"/>
            <w:hideMark/>
          </w:tcPr>
          <w:p w14:paraId="683EC50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3.45</w:t>
            </w:r>
          </w:p>
        </w:tc>
        <w:tc>
          <w:tcPr>
            <w:tcW w:w="1416" w:type="dxa"/>
            <w:hideMark/>
          </w:tcPr>
          <w:p w14:paraId="4B1A795C"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w:t>
            </w:r>
          </w:p>
        </w:tc>
      </w:tr>
      <w:tr w:rsidR="00D26D30" w:rsidRPr="00D26D30" w14:paraId="45B0E4B1"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3316C860" w14:textId="77777777" w:rsidR="00D26D30" w:rsidRPr="00D26D30" w:rsidRDefault="00D26D30" w:rsidP="00D26D30">
            <w:pPr>
              <w:autoSpaceDE/>
              <w:autoSpaceDN/>
              <w:rPr>
                <w:lang w:val="en-ID" w:eastAsia="en-ID"/>
              </w:rPr>
            </w:pPr>
            <w:r w:rsidRPr="00D26D30">
              <w:rPr>
                <w:lang w:val="en-ID" w:eastAsia="en-ID"/>
              </w:rPr>
              <w:t>2022</w:t>
            </w:r>
          </w:p>
        </w:tc>
        <w:tc>
          <w:tcPr>
            <w:tcW w:w="0" w:type="auto"/>
            <w:hideMark/>
          </w:tcPr>
          <w:p w14:paraId="0C11CAA4"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9.59</w:t>
            </w:r>
          </w:p>
        </w:tc>
        <w:tc>
          <w:tcPr>
            <w:tcW w:w="827" w:type="dxa"/>
            <w:hideMark/>
          </w:tcPr>
          <w:p w14:paraId="2197BF29"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80</w:t>
            </w:r>
          </w:p>
        </w:tc>
        <w:tc>
          <w:tcPr>
            <w:tcW w:w="2552" w:type="dxa"/>
            <w:hideMark/>
          </w:tcPr>
          <w:p w14:paraId="558D499B"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3.20</w:t>
            </w:r>
          </w:p>
        </w:tc>
        <w:tc>
          <w:tcPr>
            <w:tcW w:w="1416" w:type="dxa"/>
            <w:hideMark/>
          </w:tcPr>
          <w:p w14:paraId="284DA49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w:t>
            </w:r>
          </w:p>
        </w:tc>
      </w:tr>
      <w:tr w:rsidR="00D26D30" w:rsidRPr="00D26D30" w14:paraId="1FF1B0A1" w14:textId="77777777" w:rsidTr="003F1684">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0" w:type="auto"/>
            <w:hideMark/>
          </w:tcPr>
          <w:p w14:paraId="2E4222FC" w14:textId="77777777" w:rsidR="00D26D30" w:rsidRPr="00D26D30" w:rsidRDefault="00D26D30" w:rsidP="00D26D30">
            <w:pPr>
              <w:autoSpaceDE/>
              <w:autoSpaceDN/>
              <w:rPr>
                <w:lang w:val="en-ID" w:eastAsia="en-ID"/>
              </w:rPr>
            </w:pPr>
            <w:r w:rsidRPr="00D26D30">
              <w:rPr>
                <w:lang w:val="en-ID" w:eastAsia="en-ID"/>
              </w:rPr>
              <w:t>2023</w:t>
            </w:r>
          </w:p>
        </w:tc>
        <w:tc>
          <w:tcPr>
            <w:tcW w:w="0" w:type="auto"/>
            <w:hideMark/>
          </w:tcPr>
          <w:p w14:paraId="3A44D85E"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2.40</w:t>
            </w:r>
          </w:p>
        </w:tc>
        <w:tc>
          <w:tcPr>
            <w:tcW w:w="827" w:type="dxa"/>
            <w:hideMark/>
          </w:tcPr>
          <w:p w14:paraId="7E2D582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97</w:t>
            </w:r>
          </w:p>
        </w:tc>
        <w:tc>
          <w:tcPr>
            <w:tcW w:w="2552" w:type="dxa"/>
            <w:hideMark/>
          </w:tcPr>
          <w:p w14:paraId="2C9CA1DF"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1.20</w:t>
            </w:r>
          </w:p>
        </w:tc>
        <w:tc>
          <w:tcPr>
            <w:tcW w:w="1416" w:type="dxa"/>
            <w:hideMark/>
          </w:tcPr>
          <w:p w14:paraId="0FFAB4AB"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w:t>
            </w:r>
          </w:p>
        </w:tc>
      </w:tr>
    </w:tbl>
    <w:p w14:paraId="79B51F19" w14:textId="3476F9BE" w:rsidR="00D26D30" w:rsidRPr="00D26D30" w:rsidRDefault="00D26D30" w:rsidP="0094630C">
      <w:pPr>
        <w:autoSpaceDE/>
        <w:autoSpaceDN/>
        <w:spacing w:after="200" w:line="276" w:lineRule="auto"/>
        <w:ind w:left="426"/>
        <w:jc w:val="both"/>
        <w:rPr>
          <w:rFonts w:ascii="Calibri Light" w:eastAsia="MS Mincho" w:hAnsi="Calibri Light" w:cs="Calibri Light"/>
          <w:sz w:val="32"/>
          <w:szCs w:val="32"/>
          <w:lang w:val="en-ID" w:eastAsia="en-US"/>
        </w:rPr>
      </w:pPr>
      <w:r w:rsidRPr="00D26D30">
        <w:rPr>
          <w:rFonts w:ascii="Calibri Light" w:hAnsi="Calibri Light" w:cs="Calibri Light"/>
          <w:b/>
          <w:bCs/>
          <w:sz w:val="24"/>
          <w:szCs w:val="24"/>
        </w:rPr>
        <w:t xml:space="preserve">Table 2: </w:t>
      </w:r>
      <w:r w:rsidRPr="00D26D30">
        <w:rPr>
          <w:rFonts w:ascii="Calibri Light" w:hAnsi="Calibri Light" w:cs="Calibri Light"/>
          <w:sz w:val="24"/>
          <w:szCs w:val="24"/>
        </w:rPr>
        <w:t>Average Citation Per Year in Selected Publications using R-studio</w:t>
      </w:r>
    </w:p>
    <w:p w14:paraId="0C27587B" w14:textId="3C0DE057" w:rsidR="00D26D30" w:rsidRDefault="003F1684"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This table presents the average citation per year in selected research publications. It includes key metrics such as Mean Total Citations per Article (MeanTCperArt), the number of articles published (N), the Mean Total Citations per Year (MeanTCperYear), and the number of citable years for each publication period</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{"citationItems":[{"id":"ITEM-1","itemData":{"DOI":"10.1002/ijfe.2115","ISSN":"10769307 (ISSN)","abstract":"Islamic banking has gleaned considerable attention recently owing to its quantum growth. This study examines the asymmetric association between Islamic banking development (IBD) and economic growth (EG) in Pakistan that spans 2007Q1 to 2017Q4. We apply the non-linear autoregressive distributed lag (NARDL) model of Shin et al., (2014). Our findings confirm co-integration between IBD and EG in Pakistan. The positive (negative) shocks of IBD have significant positive (negative) association with EG in the long-run; however, only positive shocks have significant positive relationship with EG in the short run. We observe that the interconnection between IBD-EG is asymmetric/non-linear in the long-run, whereas symmetric/linear in the short run. We conclude that unlike the linear models, the non-linear models provide realistic results by capturing hidden asymmetries, thereby assisting policymakers in useful decision making. © 2020 John Wiley &amp; Sons, Ltd.","author":[{"dropping-particle":"","family":"Ullah","given":"A","non-dropping-particle":"","parse-names":false,"suffix":""},{"dropping-particle":"","family":"Zhao","given":"X","non-dropping-particle":"","parse-names":false,"suffix":""},{"dropping-particle":"","family":"Kamal","given":"M A","non-dropping-particle":"","parse-names":false,"suffix":""},{"dropping-particle":"","family":"Riaz","given":"A","non-dropping-particle":"","parse-names":false,"suffix":""},{"dropping-particle":"","family":"Zheng","given":"B","non-dropping-particle":"","parse-names":false,"suffix":""}],"container-title":"International Journal of Finance and Economics","id":"ITEM-1","issue":"4","issued":{"date-parts":[["2021"]]},"language":"English","note":"Export Date: 24 April 2025; Cited By: 25; Correspondence Address: A. Ullah; School of Economics, Henan University, Kaifeng, China; email: assad@henu.edu.cn","page":"6168-6187","publisher":"John Wiley and Sons Ltd","publisher-place":"School of Economics, Henan University, Kaifeng, China","title":"Exploring asymmetric relationship between Islamic banking development and economic growth in Pakistan: Fresh evidence from a non-linear ARDL approach","type":"article-journal","volume":"26"},"uris":["http://www.mendeley.com/documents/?uuid=e6a874a7-5d18-43ac-bea6-5590437d437b"]}],"mendeley":{"formattedCitation":"(A. Ullah et al., 2021)","plainTextFormattedCitation":"(A. Ullah et al., 2021)","previouslyFormattedCitation":"(A. Ullah et al., 2021)"},"properties":{"noteIndex":0},"schema":"https://github.com/citation-style-language/schema/raw/master/csl-citation.json"}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(A. Ullah et al., 2021)</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The data reflects the citation trends over time, showing variations in research impact and relevance. The citation analysis in Table 2. Average Citation Per Year in Selected Publications provides insights into citation trends across different years. The data indicate that older publications have had more time to accumulate citations, while recent ones, particularly 2022 and 2023, show lower citation counts due to their limited exposure time. The highest Mean Total Citations per Article (Mean TC per Art) is observed in 2017, reaching 37.79 with 48 articles. However, the highest Mean Total Citations per Year (Mean TC per Year) is recorded in 2018, at 5.04, over 7 citable years. In contrast, research published in 2023 has the lowest Mean TC per Art of 2.40 and a Mean TC per Year of 1.20, reflecting its recent publication status and limited citation accumulation. Between 2015 and 2020, the Mean TC per Year fluctuated, peaking in 2018 and declining afterward. The Mean TC per Art also shows variation, with a decline from 2017 (37.79) to 2021 (15.18) and further decreasing in subsequent years</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{"citationItems":[{"id":"ITEM-1","itemData":{"DOI":"10.1108/IMEFM-04-2023-0144","ISSN":"17538394 (ISSN)","abstract":"Purpose: This study aims to attempt to investigate the factors that influence non-Muslims’ withdrawal behavioural intention from Islamic banking in Malaysia. Design/methodology/approach: The push–pull–mooring approach is used to examine the determinants of withdrawal intention by non-Muslims from Islamic banking in Malaysia. Variables used in this study include religiosity (RELG) under push, deposit guarantee (DG), rate of return (RR), Islamic banks’ specific factors (IBSF) under pull and mooring factors as social influence (SI) and voluntary switching (VS) as the determinants of withdrawal intention from Islamic banking. In this study, the SPSS Statistics Version 22 and smart partial least squares were used to measure the withdrawal level. Findings: Three variables, namely, SI, RR and IBSF are found to significantly influence the withdrawal behaviour intention. Meanwhile, three other variables, namely, RELG, DG and VS are not significant. Practical implications: This study provides valuable insights pertaining to non-Muslim consumer withdrawal behaviour from Islamic banks. Bank managers, marketers and regulators could use these findings in developing effective strategies to increase and retain customer withdrawal. Originality/value: This study expands the understanding of key determinants of the non-Muslim withdrawal behaviour from Islamic banks in Malaysia. To the best of the authors’ knowledge, this research is among the pioneer empirical study to assess the issue. © 2023, Emerald Publishing Limited.","author":[{"dropping-particle":"","family":"Mohd Thas Thaker","given":"H","non-dropping-particle":"","parse-names":false,"suffix":""},{"dropping-particle":"","family":"Lelchumanan","given":"B","non-dropping-particle":"","parse-names":false,"suffix":""},{"dropping-particle":"","family":"Ah Mand","given":"A","non-dropping-particle":"","parse-names":false,"suffix":""},{"dropping-particle":"","family":"Khaliq","given":"A","non-dropping-particle":"","parse-names":false,"suffix":""}],"container-title":"International Journal of Islamic and Middle Eastern Finance and Management","id":"ITEM-1","issue":"1","issued":{"date-parts":[["2024"]]},"language":"English","note":"Export Date: 24 April 2025; Cited By: 1; Correspondence Address: H. Mohd Thas Thaker; Kulliyyah of Economics and Management Sciences, International Islamic University Malaysia, Kuala Lumpur, Malaysia; email: hassanfinance21@yahoo.com","page":"195-212","publisher":"Emerald Publishing","publisher-place":"Kulliyyah of Economics and Management Sciences, International Islamic University Malaysia, Kuala Lumpur, Malaysia","title":"Push – pull – mooring determinants of non-Muslims’ withdrawal from Islamic banking: evidence from Malaysia","type":"article-journal","volume":"17"},"uris":["http://www.mendeley.com/documents/?uuid=8baa2a9c-3ce9-4b33-ab55-8dd6c766ff8e"]}],"mendeley":{"formattedCitation":"(Mohd Thas Thaker et al., 2024)","plainTextFormattedCitation":"(Mohd Thas Thaker et al., 2024)","previouslyFormattedCitation":"(Mohd Thas Thaker et al.,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(Mohd Thas Thaker et al.,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This trend indicates that earlier studies continue to receive more citations over time, reinforcing their impact, while newer research is still gaining academic recognition</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{"citationItems":[{"id":"ITEM-1","itemData":{"DOI":"10.1108/IJLMA-11-2023-0250","ISSN":"1754243X (ISSN)","abstract":"Purpose: The primary aim of this study is to explore challenges and prospects of Islamic banking system in non-Muslim states to foster regulatory frameworks of the system. Design/methodology/approach: Content analysis as an integral part of qualitative research was used. Secondary data through the exploration of cursory literature was taken into consideration. Findings: The findings identified three prime challenges, namely, regulatory, operational and institutional, which are impeding the smooth activities and performances of Islamic banks in using innovative Islamic products and services that can favourably compete with products and services of conventional banking system in non-Muslim states. In addition, strengthening the adoption and performance of Islamic banking in non-Muslim states can efficiently and effectively address the identified and multifarious regulatory, operational and institutional challenges to achieve financial inclusion and overall economic growth. Research limitations/implications: Challenges encountered and prodigies or potentials of operating Islamic banking system by most of non-Muslim countries remains a pivotal aspect that needs research attention in the recent. Practical implications: Nonetheless, the limitation of this study is that the study relies on the use of secondary data. However, it has provided a substantial direction for future studies in empirically exploring the variables of this study. Social implications: Indeed, 19th century was a remarkable turning point in the development and expansion of Islamic banking system in the Muslim world. Many predominant Muslim countries such as Malaysia, Indonesia, Saudi Arabia, Bangladesh, Pakistan, among others have been efficiently and effectively operating Islamic banking system within the framework of Islamic legal provisions. Many non-Muslim countries such as Australia, the UK, USA, etc., have also adopted Islamic banking system. Originality/value: It is noted that policy directions of the study among others should address the regulatory frameworks that is Shari’ah-compliant in the operation of Islamic banking system in non-Muslim states. It is therefore suggested that the policymakers, Islamic financial experts and regulators should use the innovation that could bring competitiveness into the operation of Islamic banking system in non-Muslim states. © 2024, Emerald Publishing Limited.","author":[{"dropping-particle":"","family":"Amuda","given":"Y J","non-dropping-particle":"","parse-names":false,"suffix":""},{"dropping-particle":"","family":"Al-Nasser","given":"S A","non-dropping-particle":"","parse-names":false,"suffix":""}],"container-title":"International Journal of Law and Management","id":"ITEM-1","issued":{"date-parts":[["2024"]]},"language":"English","note":"Export Date: 24 April 2025; Cited By: 4; Correspondence Address: Y.J. Amuda; College of Law, Prince Sultan University, Riyadh, Saudi Arabia; email: yusuffja@psu.edu.sa","publisher":"Emerald Publishing","publisher-place":"College of Law, Prince Sultan University, Riyadh, Saudi Arabia","title":"Exploring encounters and prodigies of Islamic banks in non-Muslim states: towards enhancing regulatory frameworks of Islamic banking system","type":"article-journal"},"uris":["http://www.mendeley.com/documents/?uuid=2781d09d-f948-4caf-9cce-16aa873d299a"]}],"mendeley":{"formattedCitation":"(Amuda &amp; Al-Nasser, 2024)","plainTextFormattedCitation":"(Amuda &amp; Al-Nasser, 2024)","previouslyFormattedCitation":"(Amuda &amp; Al-Nasser,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(Amuda &amp; Al-Nasser,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w:t>
      </w:r>
    </w:p>
    <w:p w14:paraId="55E7C2B3" w14:textId="38F5EC14" w:rsidR="003F1684" w:rsidRDefault="003F1684"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Overall, the data suggest that citation patterns align with publication recency, with older studies accumulating more citations due to their longer availability. However, the steady number of publications in recent years highlights continued research interest in the field.</w:t>
      </w:r>
    </w:p>
    <w:p w14:paraId="628C99C0" w14:textId="77777777" w:rsidR="003F1684" w:rsidRPr="003F1684" w:rsidRDefault="003F1684" w:rsidP="003F1684">
      <w:pPr>
        <w:autoSpaceDE/>
        <w:autoSpaceDN/>
        <w:spacing w:after="200" w:line="276" w:lineRule="auto"/>
        <w:ind w:left="426"/>
        <w:rPr>
          <w:rFonts w:ascii="Calibri Light" w:eastAsia="MS Mincho" w:hAnsi="Calibri Light" w:cs="Calibri Light"/>
          <w:b/>
          <w:bCs/>
          <w:sz w:val="24"/>
          <w:szCs w:val="24"/>
          <w:lang w:val="en-ID" w:eastAsia="en-US"/>
        </w:rPr>
      </w:pPr>
      <w:r w:rsidRPr="003F1684">
        <w:rPr>
          <w:rFonts w:ascii="Calibri Light" w:eastAsia="MS Mincho" w:hAnsi="Calibri Light" w:cs="Calibri Light"/>
          <w:b/>
          <w:bCs/>
          <w:sz w:val="24"/>
          <w:szCs w:val="24"/>
          <w:lang w:val="en-ID" w:eastAsia="en-US"/>
        </w:rPr>
        <w:t>3.2. Influential Authors and Journals Analysis</w:t>
      </w:r>
    </w:p>
    <w:p w14:paraId="46F336B0" w14:textId="77777777" w:rsidR="003F1684" w:rsidRPr="003F1684" w:rsidRDefault="003F1684" w:rsidP="003F1684">
      <w:pPr>
        <w:autoSpaceDE/>
        <w:autoSpaceDN/>
        <w:spacing w:after="200" w:line="276" w:lineRule="auto"/>
        <w:ind w:left="426"/>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The 2nd research question,Which journals and authors are the most influential in research on Basel Accords and Islamic banking?</w:t>
      </w:r>
    </w:p>
    <w:p w14:paraId="355F2271" w14:textId="2754BE3B" w:rsidR="00217165" w:rsidRDefault="003F1684" w:rsidP="00217165">
      <w:pPr>
        <w:autoSpaceDE/>
        <w:autoSpaceDN/>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 xml:space="preserve">The Figure 3. presents an analysis of the most influential authors in the research field based on the number of publications or citations. The bar chart indicates that Hassan, M.K. is the most influential author, significantly surpassing others in terms of publication or citation count. Following him, researchers such as Ibrahim, M.H., Safiullah, M., and Kabir Hassan, M. have made notable contributions, albeit to a lesser extent.This distribution highlights </w:t>
      </w:r>
      <w:r w:rsidRPr="003F1684">
        <w:rPr>
          <w:rFonts w:ascii="Calibri Light" w:eastAsia="MS Mincho" w:hAnsi="Calibri Light" w:cs="Calibri Light"/>
          <w:sz w:val="24"/>
          <w:szCs w:val="24"/>
          <w:lang w:val="en-ID" w:eastAsia="en-US"/>
        </w:rPr>
        <w:lastRenderedPageBreak/>
        <w:t>that certain scholars have a substantial impact on the field, reflecting their role in shaping research developments</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{"citationItems":[{"id":"ITEM-1","itemData":{"DOI":"10.1108/JIABR-02-2022-0047","ISSN":"17590817 (ISSN)","abstract":"Purpose: Bank lending is the major source of monetary expansion. Bank-led money creation is a key issue in both conventional and Islamic financial systems. The purpose of this paper is to examine the issues related to Islamic banking money creation. In this conceptual paper, the authors investigate the involvement of profit and loss sharing (PLS) in money creation and especially how can PLS limit money creation “out of nothing.” In this regard, the authors examine the potential of the PLS principle in tackling the excessive money creation phenomenon. Design/methodology/approach: This study uses a normative approach regarding Islamic bank money creation that fits Sharia directives. In fact, this study discusses “what ought to be,” that is, the values and norms of PLS money creation that impede excessive money creation. Findings: Overall, Islamic banks create money differently compared to conventional ones. Especially, by avoiding a purely financial intermediary, money creation under the PLS principle sustains a strong relationship with the real economy and leads to a lower money multiplier. Therefore, PLS mechanisms allow financing through real assets and not credit assets “out of nothing.” This could prevent excessive money creation from causing harmful effects on indebtedness and financial instability. Practical implications: PLS offers a valuable resolution for banking system money creation through the optimization of Islamic bank financing by facilitating the separation of the monetary function from the credit one. This reform thought reinforces the stability value of money allowing it to fully perform its functions with reference to the directives of Sharia. This especially allows the integrity and purchasing power of money, the reduction of the gap between the evolution of both real and financial economies and, consequently, the indebtedness and crisis. It is recommended to promote PLS financing by reforming institutional and regulatory constraints. Originality/value: This study addresses the contemporary issue of money creation by Islamic banks through the PLS approach. The conceptual framework of this paper highlights the reformist role of PLS in limiting money creation through Mudarabah approach within fractional reserve banking. © 2023, Emerald Publishing Limited.","author":[{"dropping-particle":"","family":"Jedidia","given":"K","non-dropping-particle":"Ben","parse-names":false,"suffix":""},{"dropping-particle":"","family":"Hamza","given":"H","non-dropping-particle":"","parse-names":false,"suffix":""}],"container-title":"Journal of Islamic Accounting and Business Research","id":"ITEM-1","issue":"3","issued":{"date-parts":[["2024"]]},"language":"English","note":"Export Date: 24 April 2025; Cited By: 2; Correspondence Address: K. Ben Jedidia; Department of Economics and Quantitative Methods, ISCAE, Manouba University, Manouba, Tunisia; email: khoutembj@yahoo.fr","page":"422-442","publisher":"Emerald Publishing","publisher-place":"Department of Economics and Quantitative Methods, ISCAE, Manouba University, Manouba, Tunisia","title":"Does PLS in Islamic banking limit excessive money creation?","type":"article-journal","volume":"15"},"uris":["http://www.mendeley.com/documents/?uuid=2eba3c45-e942-4441-b7ae-6761d914786b"]}],"mendeley":{"formattedCitation":"(Ben Jedidia &amp; Hamza, 2024)","plainTextFormattedCitation":"(Ben Jedidia &amp; Hamza, 2024)","previouslyFormattedCitation":"(Ben Jedidia &amp; Hamza,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(Ben Jedidia &amp; Hamza,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xml:space="preserve">. Such an analysis can be valuable for </w:t>
      </w:r>
    </w:p>
    <w:p w14:paraId="064B362F" w14:textId="21E769EA" w:rsidR="003F1684" w:rsidRDefault="003F1684" w:rsidP="00217165">
      <w:pPr>
        <w:autoSpaceDE/>
        <w:autoSpaceDN/>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identifying key authors whose works serve as foundational references in the literature and for guiding future research directions.</w:t>
      </w:r>
    </w:p>
    <w:p w14:paraId="46005EE1" w14:textId="52FE216D" w:rsidR="00AD05B1" w:rsidRDefault="00217165" w:rsidP="00AD05B1">
      <w:pPr>
        <w:autoSpaceDE/>
        <w:autoSpaceDN/>
        <w:spacing w:after="200" w:line="276" w:lineRule="auto"/>
        <w:ind w:left="426"/>
        <w:jc w:val="center"/>
        <w:rPr>
          <w:rFonts w:ascii="Calibri Light" w:eastAsia="MS Mincho" w:hAnsi="Calibri Light" w:cs="Calibri Light"/>
          <w:sz w:val="24"/>
          <w:szCs w:val="24"/>
          <w:lang w:val="en-ID" w:eastAsia="en-US"/>
        </w:rPr>
      </w:pPr>
      <w:r w:rsidRPr="00AD05B1">
        <w:rPr>
          <w:rFonts w:eastAsia="Calibri" w:cs="Traditional Arabic"/>
          <w:noProof/>
          <w:sz w:val="24"/>
          <w:szCs w:val="24"/>
          <w:lang w:val="en-ID" w:eastAsia="en-US"/>
        </w:rPr>
        <w:drawing>
          <wp:anchor distT="0" distB="0" distL="114300" distR="114300" simplePos="0" relativeHeight="251693568" behindDoc="0" locked="0" layoutInCell="1" allowOverlap="1" wp14:anchorId="61FD4E7D" wp14:editId="5FE9943C">
            <wp:simplePos x="0" y="0"/>
            <wp:positionH relativeFrom="margin">
              <wp:posOffset>475615</wp:posOffset>
            </wp:positionH>
            <wp:positionV relativeFrom="paragraph">
              <wp:posOffset>255270</wp:posOffset>
            </wp:positionV>
            <wp:extent cx="4714240" cy="2182495"/>
            <wp:effectExtent l="0" t="0" r="0" b="8255"/>
            <wp:wrapTopAndBottom/>
            <wp:docPr id="19026907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714240" cy="21824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C156B7" w14:textId="2EF8A8FC" w:rsidR="00AD05B1" w:rsidRDefault="00217165" w:rsidP="00217165">
      <w:pPr>
        <w:autoSpaceDE/>
        <w:autoSpaceDN/>
        <w:spacing w:after="200" w:line="276" w:lineRule="auto"/>
        <w:jc w:val="center"/>
        <w:rPr>
          <w:rFonts w:ascii="Calibri Light" w:eastAsia="MS Mincho" w:hAnsi="Calibri Light" w:cs="Calibri Light"/>
          <w:sz w:val="24"/>
          <w:szCs w:val="24"/>
          <w:lang w:val="en-ID" w:eastAsia="en-US"/>
        </w:rPr>
      </w:pPr>
      <w:r w:rsidRPr="00217165">
        <w:rPr>
          <w:rFonts w:ascii="Calibri Light" w:eastAsia="MS Mincho" w:hAnsi="Calibri Light" w:cs="Calibri Light"/>
          <w:b/>
          <w:bCs/>
          <w:sz w:val="24"/>
          <w:szCs w:val="24"/>
          <w:lang w:val="en-ID" w:eastAsia="en-US"/>
        </w:rPr>
        <w:t>Figure 3.</w:t>
      </w:r>
      <w:r w:rsidRPr="00217165">
        <w:rPr>
          <w:rFonts w:ascii="Calibri Light" w:eastAsia="MS Mincho" w:hAnsi="Calibri Light" w:cs="Calibri Light"/>
          <w:sz w:val="24"/>
          <w:szCs w:val="24"/>
          <w:lang w:val="en-ID" w:eastAsia="en-US"/>
        </w:rPr>
        <w:t xml:space="preserve"> Document by Authors </w:t>
      </w:r>
      <w:r w:rsidRPr="00AD05B1">
        <w:rPr>
          <w:rFonts w:eastAsia="Calibri" w:cs="Traditional Arabic"/>
          <w:noProof/>
          <w:sz w:val="24"/>
          <w:szCs w:val="24"/>
          <w:lang w:val="en-ID" w:eastAsia="en-US"/>
        </w:rPr>
        <w:drawing>
          <wp:anchor distT="0" distB="0" distL="114300" distR="114300" simplePos="0" relativeHeight="251695616" behindDoc="0" locked="0" layoutInCell="1" allowOverlap="1" wp14:anchorId="5802DCCB" wp14:editId="4C1279E5">
            <wp:simplePos x="0" y="0"/>
            <wp:positionH relativeFrom="margin">
              <wp:posOffset>363220</wp:posOffset>
            </wp:positionH>
            <wp:positionV relativeFrom="paragraph">
              <wp:posOffset>2620645</wp:posOffset>
            </wp:positionV>
            <wp:extent cx="5040630" cy="3044190"/>
            <wp:effectExtent l="57150" t="57150" r="45720" b="60960"/>
            <wp:wrapTopAndBottom/>
            <wp:docPr id="91573471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7" cstate="print">
                      <a:extLst>
                        <a:ext uri="{BEBA8EAE-BF5A-486C-A8C5-ECC9F3942E4B}">
                          <a14:imgProps xmlns:a14="http://schemas.microsoft.com/office/drawing/2010/main">
                            <a14:imgLayer r:embed="rId18">
                              <a14:imgEffect>
                                <a14:saturation sat="400000"/>
                              </a14:imgEffect>
                            </a14:imgLayer>
                          </a14:imgProps>
                        </a:ext>
                        <a:ext uri="{28A0092B-C50C-407E-A947-70E740481C1C}">
                          <a14:useLocalDpi xmlns:a14="http://schemas.microsoft.com/office/drawing/2010/main" val="0"/>
                        </a:ext>
                      </a:extLst>
                    </a:blip>
                    <a:srcRect t="3976" r="596"/>
                    <a:stretch/>
                  </pic:blipFill>
                  <pic:spPr bwMode="auto">
                    <a:xfrm>
                      <a:off x="0" y="0"/>
                      <a:ext cx="5040630" cy="3044190"/>
                    </a:xfrm>
                    <a:prstGeom prst="rect">
                      <a:avLst/>
                    </a:prstGeom>
                    <a:ln>
                      <a:solidFill>
                        <a:sysClr val="windowText" lastClr="000000">
                          <a:lumMod val="95000"/>
                          <a:lumOff val="5000"/>
                        </a:sysClr>
                      </a:solidFill>
                    </a:ln>
                    <a:effectLst>
                      <a:innerShdw blurRad="63500" dist="50800" dir="13500000">
                        <a:prstClr val="black">
                          <a:alpha val="50000"/>
                        </a:prstClr>
                      </a:innerShdw>
                      <a:softEdge rad="112500"/>
                    </a:effectLst>
                    <a:scene3d>
                      <a:camera prst="orthographicFront">
                        <a:rot lat="0" lon="0" rev="0"/>
                      </a:camera>
                      <a:lightRig rig="brightRoom" dir="t">
                        <a:rot lat="0" lon="0" rev="600000"/>
                      </a:lightRig>
                    </a:scene3d>
                    <a:sp3d prstMaterial="metal">
                      <a:bevelT w="38100" h="57150" prst="angle"/>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C7469E" w14:textId="7E1EC398" w:rsidR="00217165" w:rsidRDefault="00217165" w:rsidP="00217165">
      <w:pPr>
        <w:autoSpaceDE/>
        <w:autoSpaceDN/>
        <w:spacing w:after="200" w:line="276" w:lineRule="auto"/>
        <w:ind w:left="426"/>
        <w:jc w:val="center"/>
        <w:rPr>
          <w:rFonts w:ascii="Calibri Light" w:eastAsia="MS Mincho" w:hAnsi="Calibri Light" w:cs="Calibri Light"/>
          <w:sz w:val="24"/>
          <w:szCs w:val="24"/>
          <w:lang w:val="en-ID" w:eastAsia="en-US"/>
        </w:rPr>
      </w:pPr>
      <w:r w:rsidRPr="00217165">
        <w:rPr>
          <w:rFonts w:ascii="Calibri Light" w:eastAsia="MS Mincho" w:hAnsi="Calibri Light" w:cs="Calibri Light"/>
          <w:b/>
          <w:bCs/>
          <w:sz w:val="24"/>
          <w:szCs w:val="24"/>
          <w:lang w:val="en-ID" w:eastAsia="en-US"/>
        </w:rPr>
        <w:t>Figure 4.</w:t>
      </w:r>
      <w:r w:rsidRPr="00217165">
        <w:rPr>
          <w:rFonts w:ascii="Calibri Light" w:eastAsia="MS Mincho" w:hAnsi="Calibri Light" w:cs="Calibri Light"/>
          <w:sz w:val="24"/>
          <w:szCs w:val="24"/>
          <w:lang w:val="en-ID" w:eastAsia="en-US"/>
        </w:rPr>
        <w:t xml:space="preserve"> Bibliographic coupling with Authors</w:t>
      </w:r>
    </w:p>
    <w:p w14:paraId="1B120939" w14:textId="7B643EA5" w:rsidR="00674C01" w:rsidRPr="00674C01" w:rsidRDefault="00674C01" w:rsidP="00674C01">
      <w:pPr>
        <w:autoSpaceDE/>
        <w:autoSpaceDN/>
        <w:spacing w:after="200" w:line="276" w:lineRule="auto"/>
        <w:ind w:left="426"/>
        <w:jc w:val="both"/>
        <w:rPr>
          <w:rFonts w:ascii="Calibri Light" w:eastAsia="MS Mincho" w:hAnsi="Calibri Light" w:cs="Calibri Light"/>
          <w:sz w:val="24"/>
          <w:szCs w:val="24"/>
          <w:lang w:val="en-ID" w:eastAsia="en-US"/>
        </w:rPr>
      </w:pPr>
      <w:r w:rsidRPr="00674C01">
        <w:rPr>
          <w:rFonts w:ascii="Calibri Light" w:eastAsia="MS Mincho" w:hAnsi="Calibri Light" w:cs="Calibri Light"/>
          <w:sz w:val="24"/>
          <w:szCs w:val="24"/>
          <w:lang w:val="en-ID" w:eastAsia="en-US"/>
        </w:rPr>
        <w:t xml:space="preserve">Figure 4. The co-authorship network visualization provides insights into the collaborative structure of research on Basel Accords and Islamic banking. The analysis highlights Hassan, M. Kabir as a central figure, with extensive academic collaborations spanning multiple researchers. His strong presence in the network suggests a significant influence in shaping the discourse on risk management, Islamic finance, and regulatory frameworks. The distribution of nodes and connections further indicates the formation of distinct research </w:t>
      </w:r>
      <w:r w:rsidRPr="00674C01">
        <w:rPr>
          <w:rFonts w:ascii="Calibri Light" w:eastAsia="MS Mincho" w:hAnsi="Calibri Light" w:cs="Calibri Light"/>
          <w:sz w:val="24"/>
          <w:szCs w:val="24"/>
          <w:lang w:val="en-ID" w:eastAsia="en-US"/>
        </w:rPr>
        <w:lastRenderedPageBreak/>
        <w:t>clusters, where scholars work within specific thematic areas while maintaining links to the broader academic community</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{"citationItems":[{"id":"ITEM-1","itemData":{"DOI":"10.1504/IJEBR.2021.118378","ISSN":"17569850 (ISSN)","abstract":"This study aims to investigate the level of disclosure of Islamic banking in Bahrain by the web-based disclosure. The web-based disclosure method was implemented to determine the quantity of “the level of web-based disclosure of Islamic banks in Bahrain” by using an index that consists of 90 items. The findings of the 'descriptive analysis' indicated that the overall level of web-based disclosure was 73.3%. The regression results showed a “positive relationship between the independent variables (firm size, age, and profitability) and the level of web-based disclosure”. The results of this paper help the “Islamic banking in Bahrain” to increase the level of web-based disclosure to reach full online financial reporting disclosure (OFRD) to satisfy the stakeholders. The outcomes of this study will be useful elsewhere. © 2021 Inderscience Enterprises Ltd.","author":[{"dropping-particle":"","family":"Sarea","given":"A M","non-dropping-particle":"","parse-names":false,"suffix":""},{"dropping-particle":"","family":"Khalid","given":"A","non-dropping-particle":"","parse-names":false,"suffix":""},{"dropping-particle":"","family":"Shamsuddin","given":"A B","non-dropping-particle":"","parse-names":false,"suffix":""},{"dropping-particle":"","family":"Hawaldar","given":"I","non-dropping-particle":"","parse-names":false,"suffix":""},{"dropping-particle":"","family":"Hossen","given":"Z","non-dropping-particle":"","parse-names":false,"suffix":""}],"container-title":"International Journal of Economics and Business Research","id":"ITEM-1","issue":"4","issued":{"date-parts":[["2021"]]},"language":"English","note":"Export Date: 24 April 2025; Cited By: 2; Correspondence Address: A.M. Sarea; Department of Accounting and Economics, College of Business and Finance, Ahlia University, Manama, 319, Bahrain; email: adelsarea@yahoo.com","page":"311-327","publisher":"Inderscience Publishers","publisher-place":"Department of Accounting and Economics, College of Business and Finance, Ahlia University, Manama, 319, Bahrain","title":"Online financial reporting disclosure in Islamic banking: Evidence from Bahrain","type":"article-journal","volume":"22"},"uris":["http://www.mendeley.com/documents/?uuid=0ff1e48c-b082-49c3-9614-1a1990c14e3e"]}],"mendeley":{"formattedCitation":"(Sarea et al., 2021)","plainTextFormattedCitation":"(Sarea et al., 2021)","previouslyFormattedCitation":"(Sarea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(Sarea et al., 2021)</w:t>
      </w:r>
      <w:r w:rsidR="00C0389E">
        <w:rPr>
          <w:rFonts w:ascii="Calibri Light" w:eastAsia="MS Mincho" w:hAnsi="Calibri Light" w:cs="Calibri Light"/>
          <w:sz w:val="24"/>
          <w:szCs w:val="24"/>
          <w:lang w:val="en-ID" w:eastAsia="en-US"/>
        </w:rPr>
        <w:fldChar w:fldCharType="end"/>
      </w:r>
      <w:r w:rsidRPr="00674C01">
        <w:rPr>
          <w:rFonts w:ascii="Calibri Light" w:eastAsia="MS Mincho" w:hAnsi="Calibri Light" w:cs="Calibri Light"/>
          <w:sz w:val="24"/>
          <w:szCs w:val="24"/>
          <w:lang w:val="en-ID" w:eastAsia="en-US"/>
        </w:rPr>
        <w:t>.</w:t>
      </w:r>
    </w:p>
    <w:p w14:paraId="29CC3B4A" w14:textId="5F54090B" w:rsidR="00674C01" w:rsidRDefault="00674C01" w:rsidP="00674C01">
      <w:pPr>
        <w:autoSpaceDE/>
        <w:autoSpaceDN/>
        <w:spacing w:after="200" w:line="276" w:lineRule="auto"/>
        <w:ind w:left="426"/>
        <w:jc w:val="both"/>
        <w:rPr>
          <w:rFonts w:ascii="Calibri Light" w:eastAsia="MS Mincho" w:hAnsi="Calibri Light" w:cs="Calibri Light"/>
          <w:sz w:val="24"/>
          <w:szCs w:val="24"/>
          <w:lang w:val="en-ID" w:eastAsia="en-US"/>
        </w:rPr>
      </w:pPr>
      <w:r w:rsidRPr="00674C01">
        <w:rPr>
          <w:rFonts w:ascii="Calibri Light" w:eastAsia="MS Mincho" w:hAnsi="Calibri Light" w:cs="Calibri Light"/>
          <w:sz w:val="24"/>
          <w:szCs w:val="24"/>
          <w:lang w:val="en-ID" w:eastAsia="en-US"/>
        </w:rPr>
        <w:t>The color gradient from blue (2018) to yellow (2024) reveals the temporal evolution of research collaborations. Recent contributions appear around Ali, Muhammad and Ismail, Abdul Ghafar, signaling emerging research directions. In contrast, well-established collaborations, particularly those linked to Kabir Hassan, M., reflect sustained contributions over time. The presence of multiple independent clusters suggests diversity in research perspectives, with some groups focusing on regulatory frameworks and others on Islamic financial stability. This network structure underscores the dynamic and evolving nature of academic discourse in this field</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{"citationItems":[{"id":"ITEM-1","itemData":{"DOI":"10.1108/IJPPM-06-2020-0331","ISSN":"17410401 (ISSN)","abstract":"Purpose: The purpose of this paper is to examine whether and how Islamic banks' financing affects corporate investment efficiency. Design/methodology/approach: To achieve the research purpose, an empirical model was constructed to describe the relationship between Islamic banks' financing and corporate investment efficiency. The empirical model was tested through generalized method of moments (GMM) estimation technique using a panel data of 163 Malaysian listed firms for the period 2007–2017. Findings: This study provides evidence that Islamic banks' financing plays an important role in enhancing investment efficiency and that this positive effect comes mainly from non-PLS contracts. Moreover, the results show that the effect of Islamic banks' financing in preventing suboptimal investments is stronger in the financial crisis period. The results also reveal that the contribution of Islamic banks' financing in reducing suboptimal investments is more prominent when firms face over-investment problems. Research limitations/implications: This research contributes to the debate on the financial implications of Islamic banks' financing modes by exploring their effect on corporate investment efficiency. Practical implications: From a managerial perspective, the research findings are beneficial to Islamic bank managers to the extent that they highlight the role of Islamic financial contracts in improving corporate investment efficiency. In addition, the lower effect of PLS contracts on investment efficiency implies that policymakers in Malaysia should multiply their efforts to further expand the PLS financing. Originality/value: This paper offers some insights on the role of Islamic banks' financing in mitigating agency conflicts and reducing asymmetric information problems. It is the first attempt focusing on the role of Islamic financing in fostering corporate investment decisions. © 2020, Emerald Publishing Limited.","author":[{"dropping-particle":"","family":"Guizani","given":"M","non-dropping-particle":"","parse-names":false,"suffix":""},{"dropping-particle":"","family":"Ajmi","given":"A N","non-dropping-particle":"","parse-names":false,"suffix":""}],"container-title":"International Journal of Productivity and Performance Management","id":"ITEM-1","issue":"5","issued":{"date-parts":[["2022"]]},"language":"English","note":"Export Date: 24 April 2025; Cited By: 6; Correspondence Address: M. Guizani; Department of Accounting and Finance, High Institute of Computer Science and Management in Kairouan, University of Kairouan, Kairouan, Tunisia; email: guizani_m@yahoo.fr","page":"1854-1871","publisher":"Emerald Group Holdings Ltd.","publisher-place":"Department of Accounting and Finance, High Institute of Computer Science and Management in Kairouan, University of Kairouan, Kairouan, Tunisia","title":"Islamic banking and corporate investment efficiency: empirical evidence from Malaysia","type":"article-journal","volume":"71"},"uris":["http://www.mendeley.com/documents/?uuid=5bbba9b5-583b-403e-a9c1-cef14e165028"]}],"mendeley":{"formattedCitation":"(Guizani &amp; Ajmi, 2022)","plainTextFormattedCitation":"(Guizani &amp; Ajmi, 2022)","previouslyFormattedCitation":"(Guizani &amp; Ajmi, 2022)"},"properties":{"noteIndex":0},"schema":"https://github.com/citation-style-language/schema/raw/master/csl-citation.json"}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(Guizani &amp; Ajmi, 2022)</w:t>
      </w:r>
      <w:r w:rsidR="00C0389E">
        <w:rPr>
          <w:rFonts w:ascii="Calibri Light" w:eastAsia="MS Mincho" w:hAnsi="Calibri Light" w:cs="Calibri Light"/>
          <w:sz w:val="24"/>
          <w:szCs w:val="24"/>
          <w:lang w:val="en-ID" w:eastAsia="en-US"/>
        </w:rPr>
        <w:fldChar w:fldCharType="end"/>
      </w:r>
      <w:r w:rsidRPr="00674C01">
        <w:rPr>
          <w:rFonts w:ascii="Calibri Light" w:eastAsia="MS Mincho" w:hAnsi="Calibri Light" w:cs="Calibri Light"/>
          <w:sz w:val="24"/>
          <w:szCs w:val="24"/>
          <w:lang w:val="en-ID" w:eastAsia="en-US"/>
        </w:rPr>
        <w:t>.</w:t>
      </w:r>
    </w:p>
    <w:p w14:paraId="4548813A" w14:textId="77777777" w:rsidR="008C62AD" w:rsidRDefault="008C62AD" w:rsidP="008C62AD">
      <w:pPr>
        <w:autoSpaceDE/>
        <w:autoSpaceDN/>
        <w:spacing w:after="200" w:line="276" w:lineRule="auto"/>
        <w:ind w:left="426"/>
        <w:rPr>
          <w:rFonts w:ascii="Calibri Light" w:eastAsia="MS Mincho" w:hAnsi="Calibri Light" w:cs="Calibri Light"/>
          <w:b/>
          <w:bCs/>
          <w:sz w:val="24"/>
          <w:szCs w:val="24"/>
          <w:rtl/>
          <w:lang w:val="en-ID" w:eastAsia="en-US"/>
        </w:rPr>
      </w:pPr>
      <w:r w:rsidRPr="008C62AD">
        <w:rPr>
          <w:rFonts w:ascii="Calibri Light" w:eastAsia="MS Mincho" w:hAnsi="Calibri Light" w:cs="Calibri Light"/>
          <w:b/>
          <w:bCs/>
          <w:sz w:val="24"/>
          <w:szCs w:val="24"/>
          <w:lang w:val="en-ID" w:eastAsia="en-US"/>
        </w:rPr>
        <w:t>3.3.Country Wise Publication and Citation</w:t>
      </w:r>
    </w:p>
    <w:p w14:paraId="0916EC3E" w14:textId="5EA4E372" w:rsidR="008F1989" w:rsidRPr="008F1989" w:rsidRDefault="008F1989" w:rsidP="008F1989">
      <w:pPr>
        <w:autoSpaceDE/>
        <w:autoSpaceDN/>
        <w:spacing w:after="200" w:line="276" w:lineRule="auto"/>
        <w:ind w:left="426"/>
        <w:rPr>
          <w:rFonts w:ascii="Calibri Light" w:eastAsia="MS Mincho" w:hAnsi="Calibri Light" w:cs="Calibri Light"/>
          <w:sz w:val="24"/>
          <w:szCs w:val="24"/>
          <w:lang w:val="en-ID" w:eastAsia="en-US"/>
        </w:rPr>
      </w:pPr>
      <w:r w:rsidRPr="008F1989">
        <w:rPr>
          <w:rFonts w:ascii="Calibri Light" w:eastAsia="MS Mincho" w:hAnsi="Calibri Light" w:cs="Calibri Light"/>
          <w:sz w:val="24"/>
          <w:szCs w:val="24"/>
          <w:lang w:val="en-ID" w:eastAsia="en-US"/>
        </w:rPr>
        <w:t>The 3rd research question is: What countries have contributed most significantly to the research on Basel Accords and Islamic banking, and how has their scholarly output evolved over time?</w:t>
      </w:r>
    </w:p>
    <w:p w14:paraId="099278C6" w14:textId="18EBECE1"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Figure 5 presents a global map illustrating the geographical distribution of academic publications related to the topic "The Legal Evolution of Basel Accords and Their Impact on Islamic Banking Regulations" during the period from 2015 to 2024. The color gradient ranges from light blue to dark blue, with darker shades indicating higher research output</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{"citationItems":[{"id":"ITEM-1","itemData":{"ISSN":"15441458 (ISSN)","abstract":"The purpose of this research is to measure the impact of consumer attitude, social norms and perceived behavior on the intention to adopt Islamic banking by freelancers in Pakistan. The sample of the study is taken from the young freelance professionals that are currently working it the city of Mirpur Azad Kashmir. The number of respondents is limited to 150. Correlation, reliability, regression and ANOVA tests are performed to check the accuracy and association of the data variables. The results showed that the variables of religiosity and subjective norms has a positive impact on the behavioral intention to adopt Islamic banking. There for the research team can conclude that religiosity has an impact on the intention of the free lancers of the city of Mirpur to adopt to Islamic banking and subjective norms also has an impact on the intention of the free lancers of the city of Mirpur to adopt to Islamic banking. The study also notes that subjective norms also have an effect the intention to adopt there for allowing customers to know of the ethical and socially responsible practices can also help them to adopt. For any future researchers the study recommends that they can apply the same model in another area to see the results of add or remove variables to see the difference it can make. © 2021, Academy of Strategic Management Journal. All Rights Reserved.","author":[{"dropping-particle":"","family":"Hermawati","given":"A","non-dropping-particle":"","parse-names":false,"suffix":""},{"dropping-particle":"","family":"Ali","given":"S","non-dropping-particle":"","parse-names":false,"suffix":""},{"dropping-particle":"","family":"Fettry","given":"S","non-dropping-particle":"","parse-names":false,"suffix":""},{"dropping-particle":"","family":"Hendarto","given":"T","non-dropping-particle":"","parse-names":false,"suffix":""},{"dropping-particle":"","family":"Husin","given":"H","non-dropping-particle":"","parse-names":false,"suffix":""}],"container-title":"Academy of Strategic Management Journal","id":"ITEM-1","issue":"2","issued":{"date-parts":[["2021"]]},"language":"English","note":"Export Date: 24 April 2025; Cited By: 0","page":"1-16","publisher":"Allied Business Academies","publisher-place":"Universitas Widyagama Malang, Indonesia","title":"Freelancers Intentions Towards Adoption Of Islamic Banking","type":"article-journal","volume":"20"},"uris":["http://www.mendeley.com/documents/?uuid=c800acff-5255-4a33-9978-b98e97ff7f06"]}],"mendeley":{"formattedCitation":"(Hermawati et al., 2021)","plainTextFormattedCitation":"(Hermawati et al., 2021)","previouslyFormattedCitation":"(Hermawati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(Hermawati et al., 2021)</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53300138" w14:textId="4FF520B2"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Malaysia and Indonesia emerge as the most prolific contributors, marked by darker hues, reflecting their strong institutional and scholarly engagement in aligning Islamic banking regulations with the Basel regulatory framework. Saudi Arabia, the United Arab Emirates, and Bahrain also demonstrate significant involvement, suggesting growing academic interest in legal harmonization between international financial standards and Shariah-compliant banking</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{"citationItems":[{"id":"ITEM-1","itemData":{"DOI":"10.1504/IJMEF.2024.139028","ISSN":"17520479 (ISSN)","abstract":"The emergence of the Islamic banking system is to accommodate the demand of Muslims for financing that complies with their religious values. Islamic banking is important in the global economy because 34.8% of world population are Muslims. However, the market share of Islamic banks in Indonesia is still low. Therefore, the purpose of this study is to assess the factors influencing Indonesian customers’ acceptance of Islamic banking using the technology acceptance model. This study found that perceived usefulness and religiosity directly influences user acceptance. In addition, user acceptance is also indirectly influenced by perceived ease of use and trust. Copyright © 2024 Inderscience Enterprises Ltd.","author":[{"dropping-particle":"","family":"Faturohman","given":"T","non-dropping-particle":"","parse-names":false,"suffix":""},{"dropping-particle":"","family":"Purwono","given":"M Z","non-dropping-particle":"","parse-names":false,"suffix":""},{"dropping-particle":"","family":"Ooi","given":"S K","non-dropping-particle":"","parse-names":false,"suffix":""}],"container-title":"International Journal of Monetary Economics and Finance","id":"ITEM-1","issue":"2-3","issued":{"date-parts":[["2024"]]},"language":"English","note":"Export Date: 24 April 2025; Cited By: 0; Correspondence Address: T. Faturohman; School of Business and Management, Institut Teknologi Bandung, Bandung, 40132, Indonesia; email: taufik.f@sbm-itb.ac.id","page":"229-237","publisher":"Inderscience Publishers","publisher-place":"School of Business and Management, Institut Teknologi Bandung, Bandung, 40132, Indonesia","title":"User acceptance of Islamic banking in Indonesia: the implementation of technology acceptance models","type":"article-journal","volume":"17"},"uris":["http://www.mendeley.com/documents/?uuid=8838fad6-5a28-4127-9687-351ec2ff3211"]}],"mendeley":{"formattedCitation":"(Faturohman et al., 2024)","plainTextFormattedCitation":"(Faturohman et al., 2024)","previouslyFormattedCitation":"(Faturohman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(Faturohman et al., 2024)</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r w:rsidR="00C0389E">
        <w:rPr>
          <w:rFonts w:ascii="Calibri Light" w:eastAsia="MS Mincho" w:hAnsi="Calibri Light" w:cs="Calibri Light"/>
          <w:sz w:val="24"/>
          <w:szCs w:val="24"/>
          <w:lang w:val="en-ID" w:eastAsia="en-US"/>
        </w:rPr>
        <w:t xml:space="preserve"> </w:t>
      </w:r>
    </w:p>
    <w:p w14:paraId="73ABB182" w14:textId="22F26855"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In contrast, countries such as the United States, the United Kingdom, and Australia show moderate research activity. Although Islamic banking is not the dominant financial system in these regions, the academic focus indicates a cross-cultural and comparative interest in the legal dimensions of Islamic finance within global regulatory paradigms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{"citationItems":[{"id":"ITEM-1","itemData":{"DOI":"10.21098/jimf.v7i3.1376","ISSN":"24606146 (ISSN)","abstract":"This paper examines the market discipline of Islamic banks, as manifested by the responses of depositors with regard to their deposits and profit-sharing ratio to the fundamentals of the banks in the case of Indonesia. We analyse the supply and demand function of deposits using panel data from 10 Islamic banks from 2010 Q1 to 2019 Q4. We empirically find that market discipline in Indonesian Islamic banks is relatively weak, and conjecture that this is for two reasons. First, religious depositors have driven the unusual behaviour of Islamic banks, as we find that they stay with the same bank, even if it has poor fundamental conditions. Second, the profit and loss sharing mechanism means that Islamic bank depositors do not have great flexibility in demanding a higher rate relevant to the risk they must bear. This is because depositors’ actual return is set to be consistent with the actual profit obtained from the banks’ lending activities. Our results lead to the call for policymakers to effectively monitor the fundamental conditions of Islamic banks and to collaborate with agencies and organisations that promote Islamic bank development in Indonesia. © 2019 Bank Indonesia Institute. All rights reserved.","author":[{"dropping-particle":"","family":"Suliyono","given":"J","non-dropping-particle":"","parse-names":false,"suffix":""},{"dropping-particle":"","family":"Risfandy","given":"T","non-dropping-particle":"","parse-names":false,"suffix":""}],"container-title":"Journal of Islamic Monetary Economics and Finance","id":"ITEM-1","issue":"3","issued":{"date-parts":[["2021"]]},"language":"English","note":"Export Date: 24 April 2025; Cited By: 5","page":"457-472","publisher":"Bank Indonesia Institute","publisher-place":"Faculty of Economics and Business, Universitas Sebelas Maret, Indonesia","title":"ISLAMIC BANKING MARKET DISCIPLINE IN INDONESIA","type":"article-journal","volume":"7"},"uris":["http://www.mendeley.com/documents/?uuid=432a601e-b154-446e-8e91-fbf4096c359e"]}],"mendeley":{"formattedCitation":"(Suliyono &amp; Risfandy, 2021)","plainTextFormattedCitation":"(Suliyono &amp; Risfandy, 2021)","previouslyFormattedCitation":"(Suliyono &amp; Risfandy,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(Suliyono &amp; Risfandy, 2021)</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2F417EB3" w14:textId="4FC4465D" w:rsid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 xml:space="preserve">This distribution highlights the increasing global recognition of the importance of regulatory convergence between Islamic banking systems and Basel Accords, especially in countries with dual banking systems or in the process of financial regulatory reform. Future research contributions are expected to expand, particularly in emerging economies </w:t>
      </w:r>
      <w:r w:rsidRPr="008C62AD">
        <w:rPr>
          <w:rFonts w:ascii="Calibri Light" w:eastAsia="MS Mincho" w:hAnsi="Calibri Light" w:cs="Calibri Light"/>
          <w:sz w:val="24"/>
          <w:szCs w:val="24"/>
          <w:lang w:val="en-ID" w:eastAsia="en-US"/>
        </w:rPr>
        <w:lastRenderedPageBreak/>
        <w:t>seeking to balance international compliance with faith-based financial practices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{"citationItems":[{"id":"ITEM-1","itemData":{"DOI":"10.5267/j.uscm.2023.9.022","ISSN":"22916822 (ISSN)","abstract":"This research delves into the intricate nexus between integrated reporting, corporate governance, and financial sustainability in Islamic banking. The study scrutinized a collection of research spanning diverse geographies and periods, emphasizing factors like board dynamics, audit committee proficiency, sustainability disclosures, and the implementation of value-centric strategies. The distillation of insights from an initial pool of 173 studies, which was meticulously narrowed down to 30 through rigorous criteria, indicates a prevalent positive association between these determinants and the financial robustness of Islamic banks. Such findings accentuate the pivotal role of syncing banking operations with the intrinsically sustainable tenets of Islamic finance. This harmony can notably spur sustainable development, potentially drawing more investors and boosting the stature of the Islamic banking domain. Furthermore, this study sheds light on potential avenues for upcoming research, including the analysis of managerial competencies' influence on varying Corporate Social Responsibility (CSR) classifications and the examination of the ramifications of sustainability benchmarks, cultural variances, legal structures, and Islamic statutes in diverse nations. This investigation provides critical insights for professionals and decision-makers in Islamic banking, facilitating a deeper understanding of practices that strengthen financial sustainability. © 2024 by the authors; licensee Growing Science, Canada.","author":[{"dropping-particle":"","family":"Yusuf","given":"M","non-dropping-particle":"","parse-names":false,"suffix":""},{"dropping-particle":"","family":"Dasawaty","given":"E S","non-dropping-particle":"","parse-names":false,"suffix":""},{"dropping-particle":"","family":"Esra","given":"M A","non-dropping-particle":"","parse-names":false,"suffix":""},{"dropping-particle":"","family":"Apriwenni","given":"P","non-dropping-particle":"","parse-names":false,"suffix":""},{"dropping-particle":"","family":"Meiden","given":"C","non-dropping-particle":"","parse-names":false,"suffix":""},{"dropping-particle":"","family":"Fahlevi","given":"M","non-dropping-particle":"","parse-names":false,"suffix":""}],"container-title":"Uncertain Supply Chain Management","id":"ITEM-1","issue":"1","issued":{"date-parts":[["2024"]]},"language":"English","note":"Export Date: 24 April 2025; Cited By: 13; Correspondence Address: M. Yusuf; Institut Teknologi dan Bisnis Bank Rakyat Indonesia, Jakarta, Indonesia; email: myusuf@privietlab.org","page":"273-290","publisher":"Growing Science","publisher-place":"Institut Teknologi dan Bisnis Bank Rakyat Indonesia, Jakarta, Indonesia","title":"Integrated reporting, corporate governance, and financial sustainability in Islamic banking","type":"article-journal","volume":"12"},"uris":["http://www.mendeley.com/documents/?uuid=271f3b1b-9640-43ed-84a5-139a1d5d60e2"]}],"mendeley":{"formattedCitation":"(Yusuf et al., 2024)","plainTextFormattedCitation":"(Yusuf et al., 2024)","previouslyFormattedCitation":"(Yusuf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(Yusuf et al., 2024)</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79BBE9BC" w14:textId="4725590A" w:rsidR="00D46384" w:rsidRDefault="00D46384"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D46384">
        <w:rPr>
          <w:rFonts w:eastAsia="Calibri" w:cs="Traditional Arabic"/>
          <w:noProof/>
          <w:sz w:val="24"/>
          <w:szCs w:val="24"/>
          <w:lang w:val="en-ID" w:eastAsia="en-US"/>
        </w:rPr>
        <w:drawing>
          <wp:inline distT="0" distB="0" distL="0" distR="0" wp14:anchorId="7ED5B284" wp14:editId="791D0310">
            <wp:extent cx="5022167" cy="2551926"/>
            <wp:effectExtent l="0" t="0" r="7620" b="1270"/>
            <wp:docPr id="9392561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17393" cy="2600313"/>
                    </a:xfrm>
                    <a:prstGeom prst="rect">
                      <a:avLst/>
                    </a:prstGeom>
                    <a:noFill/>
                    <a:ln>
                      <a:noFill/>
                    </a:ln>
                  </pic:spPr>
                </pic:pic>
              </a:graphicData>
            </a:graphic>
          </wp:inline>
        </w:drawing>
      </w:r>
    </w:p>
    <w:p w14:paraId="75A8B826" w14:textId="77349EB7" w:rsidR="00D46384" w:rsidRDefault="00D46384" w:rsidP="00D46384">
      <w:pPr>
        <w:autoSpaceDE/>
        <w:autoSpaceDN/>
        <w:spacing w:after="200" w:line="276" w:lineRule="auto"/>
        <w:ind w:left="426"/>
        <w:jc w:val="center"/>
        <w:rPr>
          <w:rFonts w:ascii="Calibri Light" w:eastAsia="MS Mincho" w:hAnsi="Calibri Light" w:cs="Calibri Light"/>
          <w:sz w:val="24"/>
          <w:szCs w:val="24"/>
          <w:lang w:val="en-ID" w:eastAsia="en-US"/>
        </w:rPr>
      </w:pPr>
      <w:r w:rsidRPr="00D46384">
        <w:rPr>
          <w:rFonts w:ascii="Calibri Light" w:eastAsia="MS Mincho" w:hAnsi="Calibri Light" w:cs="Calibri Light"/>
          <w:b/>
          <w:bCs/>
          <w:sz w:val="24"/>
          <w:szCs w:val="24"/>
          <w:lang w:val="en-ID" w:eastAsia="en-US"/>
        </w:rPr>
        <w:t>Figure 5:</w:t>
      </w:r>
      <w:r w:rsidRPr="00D46384">
        <w:rPr>
          <w:rFonts w:ascii="Calibri Light" w:eastAsia="MS Mincho" w:hAnsi="Calibri Light" w:cs="Calibri Light"/>
          <w:sz w:val="24"/>
          <w:szCs w:val="24"/>
          <w:lang w:val="en-ID" w:eastAsia="en-US"/>
        </w:rPr>
        <w:t xml:space="preserve"> Global Distribution of Research on Basel Accords and Islamic Banking Regulations (2015–2024)</w:t>
      </w:r>
    </w:p>
    <w:p w14:paraId="4CC71139" w14:textId="128FF43E"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Figure 6 presents a bibliometric overview of selected countries that have contributed significantly to the scholarly discourse during the period 2015–2024. The table captures three core indicators: number of documents, total citations, and total link strength (which reflects the extent of international collaboration)</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{"citationItems":[{"id":"ITEM-1","itemData":{"DOI":"10.1080/23322039.2024.2378961","ISSN":"23322039 (ISSN)","abstract":"Sharia product development in Indonesia faces unique challenges in terms of strategy and innovation compared with conventional products. Islamic banking managers must adhere to Sharia principles to maintain customer trust and comply with Islamic law. Compliance with Sharia principles is not only a religious obligation but also the foundation of the business model. This study used qualitative methods, specifically semi-structured interviews, to validate the Sharia product development practices in Indonesia. Seven experts from diverse backgrounds were interviewed, and their responses were thematically analysed using NVivo version 12. The findings confirm that the Sharia supervisory board and Islamic banking management play crucial roles in developing Sharia products. They collaborate to ensure that Sharia products adhere to the principles, meet customer needs, and comply with relevant regulations and standards. This collaboration enables efficient development of Sharia products that align with values and meet market demands. Moreover, their involvement goes beyond their compliance. They also contribute to the ethical and responsible growth of Islamic banking by fostering customer trust and confidence. Their commitment to upholding the core principles of Islamic banking establishes a solid foundation for the sustainable development of Sharia-compliant products in the global market. © 2024 The Author(s). Published by Informa UK Limited, trading as Taylor &amp; Francis Group.","author":[{"dropping-particle":"","family":"Faizi","given":"F","non-dropping-particle":"","parse-names":false,"suffix":""}],"container-title":"Cogent Economics and Finance","id":"ITEM-1","issue":"1","issued":{"date-parts":[["2024"]]},"language":"English","note":"Export Date: 24 April 2025; Cited By: 1; Correspondence Address: F. Faizi; Department of Islamic Economics, Faculty of Economics and Business, Universitas Pembangunan Nasional Veteran Jakarta, Depok, Indonesia; email: faizi.feb@upnvj.ac.id","publisher":"Cogent OA","publisher-place":"Department of Islamic Economics, Faculty of Economics and Business, Universitas Pembangunan Nasional Veteran Jakarta, Depok, Indonesia","title":"How are Islamic banking products developed? Evidence from emerging country","type":"article-journal","volume":"12"},"uris":["http://www.mendeley.com/documents/?uuid=16baa1b9-e6a1-4667-bda6-5a93583dc9e4"]}],"mendeley":{"formattedCitation":"(Faizi, 2024)","plainTextFormattedCitation":"(Faizi, 2024)","previouslyFormattedCitation":"(Faizi,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(Faizi, 2024)</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0BECA70E" w14:textId="37CC3288"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Malaysia leads with 347 publications and a striking 5,411 citations, as well as the highest total link strength (1,206), underlining its central role as a global hub in the research domain. This evidences Malaysia’s leadership in both output and influence within Islamic banking and Basel-related regulatory studies, likely supported by its strong institutional commitment to Islamic finance. Pakistan follows with 114 documents and 1,936 citations, showing robust academic engagement. The United States, despite having only 70 documents, shows high efficiency with 1,776 citations and notable international collaboration (704 link strength), highlighting its scholarly influence despite fewer contributions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{"citationItems":[{"id":"ITEM-1","itemData":{"DOI":"10.1108/IMEFM-05-2021-0189","ISSN":"17538394 (ISSN)","abstract":"Purpose: The purpose of this study is to develop and thereafter validate a Sharīʿah-based FinTech Money Creation Free [SFMCF] model for Islamic banking. Design/methodology/approach: The study has adopted a qualitative research methodology, using three approaches, namely, a survey of the literature to identify the research gap and the variables needed for developing the model, content analysis to construct the variables into a model and semi-structured interview with 10 experts in banking, Sharīʿah and Financial Technology (FinTech) to validate the SFMCF model. Findings: The major findings of the study lie in developing the SFMCF model for Islamic banking, empirical validation of the model’s viability and acceptability and the implications for the main stakeholders of Islamic banks. Research limitations/implications: The SFMCF model is specific to Islamic banking and its validation is based on the views of 10 experts. Practical implications: The SFMCF would necessitate changes to the central bank regulatory framework, convince Islamic banks to forego their powers and advantages of creating money and enhance their abilities to fully adopt Sharīʿah-compliant FinTech. Social implications: The proposed model if implemented would change positively the perception of the society particularly the stakeholders of Islamic banks and restore their trust and confidence about the direction of the institution toward achieving the Sharīʿah objectives. Originality/value: The novelty of this work lies in developing and validating the viability and acceptability of the SFMCF model for Islamic banking. © 2021, Emerald Publishing Limited.","author":[{"dropping-particle":"","family":"Altwijry","given":"O I","non-dropping-particle":"","parse-names":false,"suffix":""},{"dropping-particle":"","family":"Mohammed","given":"M O","non-dropping-particle":"","parse-names":false,"suffix":""},{"dropping-particle":"","family":"Hassan","given":"M K","non-dropping-particle":"","parse-names":false,"suffix":""},{"dropping-particle":"","family":"Selim","given":"M","non-dropping-particle":"","parse-names":false,"suffix":""}],"container-title":"International Journal of Islamic and Middle Eastern Finance and Management","id":"ITEM-1","issue":"4","issued":{"date-parts":[["2022"]]},"language":"English","note":"Export Date: 24 April 2025; Cited By: 5; Correspondence Address: M.O. Mohammed; Department of Economics, International Islamic University Malaysia, Kuala Lumpur, Malaysia; email: mustafa@iium.edu.my","page":"739-758","publisher":"Emerald Group Holdings Ltd.","publisher-place":"College of Business and Economics, Qassim University College of Business, Buraidah, Saudi Arabia","title":"Developing a Shari’ah based FinTech Money Creation Free [SFMCF] model for Islamic banking","type":"article-journal","volume":"15"},"uris":["http://www.mendeley.com/documents/?uuid=5eeb0e53-6071-4779-b355-9440cd1b17fe"]}],"mendeley":{"formattedCitation":"(Altwijry et al., 2022)","plainTextFormattedCitation":"(Altwijry et al., 2022)","previouslyFormattedCitation":"(Altwijry et al., 2022)"},"properties":{"noteIndex":0},"schema":"https://github.com/citation-style-language/schema/raw/master/csl-citation.json"}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(Altwijry et al., 2022)</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10D1746B" w14:textId="3133B41A"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Other notable contributors include Indonesia (201 documents, 1,876 citations), the United Kingdom (100 documents, 1,966 citations), and Saudi Arabia (85 documents, 1,330 citations), each demonstrating meaningful contributions in terms of quantity and impact. Meanwhile, France, Australia, Tunisia, and Bangladesh show varying levels of engagement. Although their total outputs and link strengths are comparatively lower, countries like Australia (1,520 citations from 53 documents) demonstrate relatively high citation-to-document ratios, indicating influential publications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{"citationItems":[{"id":"ITEM-1","itemData":{"DOI":"10.1108/JIMA-12-2023-0397","ISSN":"17590833 (ISSN)","abstract":"Purpose: The fact that Islamic banking in Indonesia held only a 7% market share in 2023 is ironic, considering that Indonesia has the largest Muslim population in the world. Beyond differences in ethnicity, race and religious understanding, Indonesia’s sociopolitical diversity also presents an intriguing study area about consumer decisions to use financial services. This study aims to investigate the influence of sociopolitical identity on attitudes and intentions to participate in Islamic banking in Indonesia using the theory of reasoned action as a basis. Design/methodology/approach: This study used SEM-PLS to investigate the intention to participate in Islamic banking among Muslim communities in Indonesia. Its focus on prediction and theory building aligns perfectly with the objectives of this study, making it the most appropriate methodological choice. The sample used in this study comprised 343 respondents. The structural model was used to test the relationship between intention to participate in Islamic banking and religiosity, subjective norms, attitudes and sociopolitical identity, with reputation as mediation. Findings: This study found that three variables significantly affect the intention to participate in Islamic banks: attitude (AT), reputation (RP) and subjective norms (SN). Sociopolitical identity (SP) and religiosity (RE) do not have a direct effect. However, sociopolitical identity (SP), attitudes (AT) and religiosity (RE) have been proven to have an indirect impact through reputation (RP) as mediation, and only subjective norms (SN) have not. Practical implications: This study implies that Islamic banking needs to consider non-marketing aspects because, based on its findings, non-marketing factors such as sociopolitical identity and religiosity have been proven to influence the intention to participate in Islamic banking in Indonesia. Originality/value: This study’s respondents were two Muslim communities in Indonesia with the largest mass and assets, namely, Nahdhatul Ulama and Muhammadiyah. The inclusion of non-marketing aspects, such as sociopolitical identity, in the research model added value, which is still rarely researched. © 2024, Emerald Publishing Limited.","author":[{"dropping-particle":"","family":"Fathoni","given":"M A","non-dropping-particle":"","parse-names":false,"suffix":""},{"dropping-particle":"","family":"Rodoni","given":"A","non-dropping-particle":"","parse-names":false,"suffix":""},{"dropping-particle":"","family":"Arif","given":"M N R","non-dropping-particle":"Al","parse-names":false,"suffix":""},{"dropping-particle":"","family":"Hidayah","given":"N","non-dropping-particle":"","parse-names":false,"suffix":""}],"container-title":"Journal of Islamic Marketing","id":"ITEM-1","issued":{"date-parts":[["2024"]]},"language":"English","note":"Export Date: 24 April 2025; Cited By: 2; Correspondence Address: M.A. Fathoni; Department of Islamic Economics, Universitas Pembangunan Nasional Veteran Jakarta, Jakarta, Indonesia; email: mfathoni@upnvj.ac.id","publisher":"Emerald Publishing","publisher-place":"Department of Islamic Economics, Universitas Pembangunan Nasional Veteran Jakarta, Jakarta, Indonesia","title":"Intention to participate in Islamic banking in Indonesia: Does socio-political identity matter?","type":"article-journal"},"uris":["http://www.mendeley.com/documents/?uuid=205db91e-486d-4044-bc07-058be02c4c82"]}],"mendeley":{"formattedCitation":"(Fathoni et al., 2024)","plainTextFormattedCitation":"(Fathoni et al., 2024)","previouslyFormattedCitation":"(Fathoni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(Fathoni et al., 2024)</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338E9F0B" w14:textId="5152262D" w:rsid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lastRenderedPageBreak/>
        <w:t>The total link strength metric further enriches this analysis by highlighting the depth of collaboration. Countries with higher link strength are more embedded in international research networks, which is crucial for knowledge exchange and mutual development of regulatory frameworks in Islamic finance. Overall, this bibliometric mapping underscores the pivotal role of Southeast Asian and selected Western nations in shaping the academic trajectory of Basel compliance in the Islamic banking sector. The observed trends suggest a growing convergence of international scholarly efforts to address the regulatory challenges and opportunities inherent in aligning Islamic financial principles with global banking standards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7774E4">
        <w:rPr>
          <w:rFonts w:ascii="Calibri Light" w:eastAsia="MS Mincho" w:hAnsi="Calibri Light" w:cs="Calibri Light"/>
          <w:sz w:val="24"/>
          <w:szCs w:val="24"/>
          <w:lang w:val="en-ID" w:eastAsia="en-US"/>
        </w:rPr>
        <w:instrText>ADDIN CSL_CITATION {"citationItems":[{"id":"ITEM-1","itemData":{"DOI":"10.1108/JIABR-05-2020-0171","ISSN":"17590817 (ISSN)","abstract":"Purpose: The purpose of this study is to examine the contribution of academic and professional institutions in promoting the awareness and knowledge of Islamic banking and finance in Nigeria. Design/methodology/approach: The data were generated through a documentary research method by examining the Benchmark Minimum Academic Standards (BMAS) for Nigerian universities and Nigerian university curricula for the relevant undergraduate programs, as well as examination syllabi and training brochures for the relevant professional associations. Findings: The study found that universities do not promote significantly the awareness and knowledge of Islamic banking and finance. Similarly, the relevant professional associations through their examinations and training programs contribute little or nothing to the promotion of awareness and knowledge. Research limitations/implications: This study solely relied upon documentary evidence upon which the findings were based. In addition, for academic institutions, only undergraduate BMAS and curricula were examined. Practical implications: There should be collaborations between the National University Commission of Nigeria, relevant Islamic and non-Islamic professional bodies and Nigerian Universities to ensure that courses (subjects) that could promote the awareness and knowledge of Islamic banking and finance are fully integrated into academic and professional curricula and training programs. Social implications: The integration of an adequate number of relevant courses/topics into academic curricula and professional institution examination syllabi and their Mandatory Continuing Professional Development programs would greatly contribute to the production of competent and skillful employees to work for the growth and development of the Islamic banking and finance industry. Originality/value: This study provides better ways of ensuring that knowledgeable and qualified employees are produced to work for the sustainability of the global Islamic banking and finance industry. © 2021, Emerald Publishing Limited.","author":[{"dropping-particle":"","family":"Umar","given":"U H","non-dropping-particle":"","parse-names":false,"suffix":""},{"dropping-particle":"","family":"AbuBakar","given":"M","non-dropping-particle":"","parse-names":false,"suffix":""},{"dropping-particle":"","family":"Baita","given":"A J","non-dropping-particle":"","parse-names":false,"suffix":""},{"dropping-particle":"","family":"Kademi","given":"T T","non-dropping-particle":"","parse-names":false,"suffix":""},{"dropping-particle":"","family":"Haron","given":"M H","non-dropping-particle":"","parse-names":false,"suffix":""}],"container-title":"Journal of Islamic Accounting and Business Research","id":"ITEM-1","issue":"3","issued":{"date-parts":[["2021"]]},"language":"English","note":"Export Date: 24 April 2025; Cited By: 9; Correspondence Address: U.H. Umar; Department of Finance, School of Business and Economics, Universiti Brunei Darussalam, Gadong, Brunei Darussalam; email: uhumar21@gmail.com","page":"401-417","publisher":"Emerald Group Holdings Ltd.","publisher-place":"Department of Finance, School of Business and Economics, Universiti Brunei Darussalam, Gadong, Brunei Darussalam","title":"Do academic and professional institutions promote the awareness and knowledge of Islamic banking and finance in Nigeria?","type":"article-journal","volume":"12"},"uris":["http://www.mendeley.com/documents/?uuid=b33fbfbe-f092-4c61-b7e4-1161c6244543"]}],"mendeley":{"formattedCitation":"(Umar et al., 2021)","plainTextFormattedCitation":"(Umar et al., 2021)","previouslyFormattedCitation":"(Umar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(Umar et al., 2021)</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10D7E8E6" w14:textId="26DA74E7" w:rsid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eastAsia="Calibri" w:cs="Traditional Arabic"/>
          <w:b/>
          <w:bCs/>
          <w:noProof/>
          <w:sz w:val="24"/>
          <w:szCs w:val="24"/>
          <w:lang w:val="en-ID" w:eastAsia="en-US"/>
        </w:rPr>
        <w:drawing>
          <wp:inline distT="0" distB="0" distL="0" distR="0" wp14:anchorId="25C37A6A" wp14:editId="573C0CB3">
            <wp:extent cx="5730875" cy="2438400"/>
            <wp:effectExtent l="0" t="0" r="3175" b="0"/>
            <wp:docPr id="110940375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0875" cy="2438400"/>
                    </a:xfrm>
                    <a:prstGeom prst="rect">
                      <a:avLst/>
                    </a:prstGeom>
                    <a:noFill/>
                  </pic:spPr>
                </pic:pic>
              </a:graphicData>
            </a:graphic>
          </wp:inline>
        </w:drawing>
      </w:r>
    </w:p>
    <w:p w14:paraId="15374C36" w14:textId="77777777" w:rsidR="00B06D1D" w:rsidRDefault="00B06D1D" w:rsidP="00B06D1D">
      <w:pPr>
        <w:pStyle w:val="NormalWeb"/>
        <w:jc w:val="center"/>
        <w:rPr>
          <w:rFonts w:ascii="Calibri Light" w:hAnsi="Calibri Light" w:cs="Calibri Light"/>
        </w:rPr>
      </w:pPr>
      <w:r w:rsidRPr="00B06D1D">
        <w:rPr>
          <w:rFonts w:ascii="Calibri Light" w:hAnsi="Calibri Light" w:cs="Calibri Light"/>
          <w:b/>
          <w:bCs/>
        </w:rPr>
        <w:t>Figure 6</w:t>
      </w:r>
      <w:r w:rsidRPr="00B06D1D">
        <w:rPr>
          <w:rFonts w:ascii="Calibri Light" w:hAnsi="Calibri Light" w:cs="Calibri Light"/>
          <w:b/>
          <w:bCs/>
          <w:rtl/>
        </w:rPr>
        <w:t>.</w:t>
      </w:r>
      <w:r w:rsidRPr="00B06D1D">
        <w:rPr>
          <w:rFonts w:ascii="Calibri Light" w:hAnsi="Calibri Light" w:cs="Calibri Light"/>
        </w:rPr>
        <w:t xml:space="preserve"> Bibliometric Comparison of Leading Countries in Basel and Islamic Banking Research</w:t>
      </w:r>
    </w:p>
    <w:p w14:paraId="4D3F7AC5" w14:textId="77777777" w:rsidR="00B06D1D" w:rsidRPr="00B06D1D" w:rsidRDefault="00B06D1D" w:rsidP="00B06D1D">
      <w:pPr>
        <w:pStyle w:val="NormalWeb"/>
        <w:jc w:val="center"/>
        <w:rPr>
          <w:rFonts w:ascii="Calibri Light" w:hAnsi="Calibri Light" w:cs="Calibri Light"/>
        </w:rPr>
      </w:pPr>
    </w:p>
    <w:p w14:paraId="3C4098EB" w14:textId="3F1341F9" w:rsidR="00B06D1D" w:rsidRDefault="00B06D1D" w:rsidP="00B06D1D">
      <w:pPr>
        <w:autoSpaceDE/>
        <w:autoSpaceDN/>
        <w:spacing w:after="200" w:line="276" w:lineRule="auto"/>
        <w:ind w:left="426"/>
        <w:jc w:val="both"/>
        <w:rPr>
          <w:rFonts w:ascii="Calibri Light" w:eastAsia="MS Mincho" w:hAnsi="Calibri Light" w:cs="Calibri Light"/>
          <w:sz w:val="24"/>
          <w:szCs w:val="24"/>
          <w:rtl/>
          <w:lang w:eastAsia="en-US"/>
        </w:rPr>
      </w:pPr>
      <w:r w:rsidRPr="00B06D1D">
        <w:rPr>
          <w:rFonts w:ascii="Calibri Light" w:eastAsia="MS Mincho" w:hAnsi="Calibri Light" w:cs="Calibri Light"/>
          <w:sz w:val="24"/>
          <w:szCs w:val="24"/>
          <w:lang w:eastAsia="en-US"/>
        </w:rPr>
        <w:t xml:space="preserve">VOSviewer was utilized to visualize the bibliographic relationships and linkages among countries contributing to the literature on the Basel Accords and their impact on Islamic banking regulations, as illustrated in the figure above. The minimum threshold for inclusion in the analysis was set at five publications per country, resulting in 45 countries being classified into nine color-coded clusters based on the strength of their bibliographic connections. Malaysia appears as the central node in the red cluster, representing the most influential and highly cited country in this field </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0900AD">
        <w:rPr>
          <w:rFonts w:ascii="Calibri Light" w:eastAsia="MS Mincho" w:hAnsi="Calibri Light" w:cs="Calibri Light"/>
          <w:sz w:val="24"/>
          <w:szCs w:val="24"/>
          <w:lang w:eastAsia="en-US"/>
        </w:rPr>
        <w:instrText>ADDIN CSL_CITATION {"citationItems":[{"id":"ITEM-1","itemData":{"DOI":"10.1057/s41283-023-00135-z","ISSN":"14603799 (ISSN)","abstract":"This study employs a systematic review approach to examine the existing body of literature on risk management in Islamic banking. The focus of this work is to analyze published manuscripts to provide a comprehensive overview of the current state of research in this field. After conducting an extensive examination of eighty articles classified as Q1 and Q2, we have identified six prominent risk themes. These themes include stability and resilience, risk-taking behavior, credit risk, Shariah non-compliance risk, liquidity risk, and other pertinent concerns that span various disciplines. The assessment yielded four key themes pertaining to the risk management of the Islamic banking system, namely prudential regulation, environment and sustainability, cybersecurity, and risk-taking behavior. Two risk frameworks were provided based on the identified themes. The microframework encompasses internal and external risk elements that influence the bank's basic activities and risk feedback system. The macro-framework encompasses several elements that influence the risk management environment for Islamic banks (IB), including exogenous institutional factors, domestic endogenous factors, and global endogenous factors. Thematic discoveries are incorporated to identify potential avenues for future research and policy consequences. © 2023, The Author(s), under exclusive licence to Springer Nature Limited.","author":[{"dropping-particle":"","family":"Hassan","given":"M K","non-dropping-particle":"","parse-names":false,"suffix":""},{"dropping-particle":"","family":"Sohel","given":"M N I","non-dropping-particle":"","parse-names":false,"suffix":""},{"dropping-particle":"","family":"Choudhury","given":"T","non-dropping-particle":"","parse-names":false,"suffix":""},{"dropping-particle":"","family":"Rashid","given":"M","non-dropping-particle":"","parse-names":false,"suffix":""}],"container-title":"Risk Management","id":"ITEM-1","issue":"1","issued":{"date-parts":[["2024"]]},"language":"English","note":"Export Date: 24 April 2025; Cited By: 1; Correspondence Address: M. Rashid; Christ Church Business School, Canterbury Christ Church University, Canterbury, United Kingdom; email: mamunur.rashid@canterbury.ac.uk","publisher":"Palgrave Macmillan","publisher-place":"University of New Orleans, New Orleans, United States","title":"A systematic literature review of risks in Islamic banking system: research agenda and future research directions","type":"article-journal","volume":"26"},"uris":["http://www.mendeley.com/documents/?uuid=29be0313-4205-4f75-bd8e-843b0f350c6d"]}],"mendeley":{"formattedCitation":"(Hassan et al., 2024)","plainTextFormattedCitation":"(Hassan et al., 2024)","previouslyFormattedCitation":"(M. K. Hassan et al., 2024)"},"properties":{"noteIndex":0},"schema":"https://github.com/citation-style-language/schema/raw/master/csl-citation.json"}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0900AD" w:rsidRPr="000900AD">
        <w:rPr>
          <w:rFonts w:ascii="Calibri Light" w:eastAsia="MS Mincho" w:hAnsi="Calibri Light" w:cs="Calibri Light"/>
          <w:noProof/>
          <w:sz w:val="24"/>
          <w:szCs w:val="24"/>
          <w:lang w:eastAsia="en-US"/>
        </w:rPr>
        <w:t>(Hassan et al., 2024)</w:t>
      </w:r>
      <w:r w:rsidR="007774E4">
        <w:rPr>
          <w:rFonts w:ascii="Calibri Light" w:eastAsia="MS Mincho" w:hAnsi="Calibri Light" w:cs="Calibri Light"/>
          <w:sz w:val="24"/>
          <w:szCs w:val="24"/>
          <w:lang w:eastAsia="en-US"/>
        </w:rPr>
        <w:fldChar w:fldCharType="end"/>
      </w:r>
      <w:r w:rsidRPr="00B06D1D">
        <w:rPr>
          <w:rFonts w:ascii="Calibri Light" w:eastAsia="MS Mincho" w:hAnsi="Calibri Light" w:cs="Calibri Light"/>
          <w:sz w:val="24"/>
          <w:szCs w:val="24"/>
          <w:lang w:eastAsia="en-US"/>
        </w:rPr>
        <w:t>. Indonesia serves as the core of the pink cluster, indicating a relatively independent yet connected research pathway, particularly with countries like Iraq and Switzerland. Saudi Arabia and Pakistan are also key nodes within their respective clusters, with strong linkages to countries such as the United Kingdom, Jordan, and China, reflecting a diverse and collaborative research landscape. The thickness of the lines connecting countries represents the strength of their bibliographic coupling—thicker lines indicate stronger co-citation ties—while the size of each node corresponds to the number of citations received, making this map a powerful tool to highlight active research hubs and regional collaborations in the evolving academic discourse on Basel regulations and Islamic banking</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7774E4">
        <w:rPr>
          <w:rFonts w:ascii="Calibri Light" w:eastAsia="MS Mincho" w:hAnsi="Calibri Light" w:cs="Calibri Light"/>
          <w:sz w:val="24"/>
          <w:szCs w:val="24"/>
          <w:lang w:eastAsia="en-US"/>
        </w:rPr>
        <w:instrText>ADDIN CSL_CITATION {"citationItems":[{"id":"ITEM-1","itemData":{"DOI":"10.48161/qaj.v4n1a198","ISSN":"27098206 (ISSN)","abstract":"Sharia Banking is a business entity that carries out the function of collecting funds from parties with a surplus of funds and then channeling them to parties with a deficit of funds and providing other financial services based on Islamic sharia principles. This article analyzes. This type of research uses normative legal research, using a conceptual approach and a statutory approach as well as the Koran and hadith, primary and secondary. Legal materials obtained and analyzed qualitatively and then presented descriptively. The article aims to explain in general, the principles of sharia financing business activities include justice ('adl), balance (tawazun), kemashlahatan (maslahah), universalism (alamiyah), and do not contain gharar, maisir, usury, zhulm, risywah, and other haram objects. Financing or financing is funding provided by one party to another to support planned investments, both carried out by themselves and institutions. In other words, financing is funding issued to support planned investments. Law Number 10 of 1998 states that financing based on sharia principles is the provision of money or bills that are equated with it based on an agreement or agreement between a bank and another party that requires the financed party to return the money or bill after a certain period of time in return or profit sharing. © 2024, Qubahan. All rights reserved.","author":[{"dropping-particle":"","family":"Syah","given":"D","non-dropping-particle":"","parse-names":false,"suffix":""},{"dropping-particle":"","family":"Rahmadani","given":"G","non-dropping-particle":"","parse-names":false,"suffix":""}],"container-title":"Qubahan Academic Journal ","id":"ITEM-1","issue":"1","issued":{"date-parts":[["2024"]]},"language":"English","note":"Export Date: 24 April 2025; Cited By: 0; Correspondence Address: D. Syah; Department of Law, Faculty of Law, Universitas Islam Sumatera Utara, Indonesia; email: danialsyah@fh.uisu.ac.id","page":"300-309","publisher":"Qubahan","publisher-place":"Department of Law, Faculty of Law, Universitas Islam Sumatera Utara, Indonesia","title":"The Profit-Sharing System in Financing Islamic Banking","type":"article-journal","volume":"4"},"uris":["http://www.mendeley.com/documents/?uuid=0aa12dbd-6a6e-457e-89f5-c01d54a34ffd"]}],"mendeley":{"formattedCitation":"(Syah &amp; Rahmadani, 2024)","plainTextFormattedCitation":"(Syah &amp; Rahmadani, 2024)","previouslyFormattedCitation":"(Syah &amp; Rahmadani, 2024)"},"properties":{"noteIndex":0},"schema":"https://github.com/citation-style-language/schema/raw/master/csl-citation.json"}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(Syah &amp; Rahmadani, 2024)</w:t>
      </w:r>
      <w:r w:rsidR="007774E4">
        <w:rPr>
          <w:rFonts w:ascii="Calibri Light" w:eastAsia="MS Mincho" w:hAnsi="Calibri Light" w:cs="Calibri Light"/>
          <w:sz w:val="24"/>
          <w:szCs w:val="24"/>
          <w:lang w:eastAsia="en-US"/>
        </w:rPr>
        <w:fldChar w:fldCharType="end"/>
      </w:r>
      <w:r w:rsidRPr="00B06D1D">
        <w:rPr>
          <w:rFonts w:ascii="Calibri Light" w:eastAsia="MS Mincho" w:hAnsi="Calibri Light" w:cs="Calibri Light"/>
          <w:sz w:val="24"/>
          <w:szCs w:val="24"/>
          <w:lang w:eastAsia="en-US"/>
        </w:rPr>
        <w:t>.</w:t>
      </w:r>
    </w:p>
    <w:p w14:paraId="6F1472B7" w14:textId="5FA85F18" w:rsidR="008F1989" w:rsidRDefault="007774E4" w:rsidP="007774E4">
      <w:pPr>
        <w:autoSpaceDE/>
        <w:autoSpaceDN/>
        <w:spacing w:after="200" w:line="276" w:lineRule="auto"/>
        <w:ind w:left="426"/>
        <w:jc w:val="both"/>
        <w:rPr>
          <w:rFonts w:ascii="Calibri Light" w:eastAsia="MS Mincho" w:hAnsi="Calibri Light" w:cs="Calibri Light"/>
          <w:sz w:val="24"/>
          <w:szCs w:val="24"/>
          <w:lang w:eastAsia="en-US"/>
        </w:rPr>
      </w:pPr>
      <w:r w:rsidRPr="008F1989">
        <w:rPr>
          <w:rFonts w:eastAsia="Calibri" w:cs="Traditional Arabic"/>
          <w:noProof/>
          <w:sz w:val="24"/>
          <w:szCs w:val="24"/>
          <w:lang w:val="en-ID" w:eastAsia="en-US"/>
        </w:rPr>
        <w:lastRenderedPageBreak/>
        <w:drawing>
          <wp:anchor distT="0" distB="0" distL="114300" distR="114300" simplePos="0" relativeHeight="251697664" behindDoc="0" locked="0" layoutInCell="1" allowOverlap="1" wp14:anchorId="4052B1DA" wp14:editId="41855D4B">
            <wp:simplePos x="0" y="0"/>
            <wp:positionH relativeFrom="margin">
              <wp:posOffset>334010</wp:posOffset>
            </wp:positionH>
            <wp:positionV relativeFrom="paragraph">
              <wp:posOffset>501015</wp:posOffset>
            </wp:positionV>
            <wp:extent cx="5316220" cy="2370455"/>
            <wp:effectExtent l="0" t="0" r="0" b="0"/>
            <wp:wrapTopAndBottom/>
            <wp:docPr id="5415610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6220" cy="2370455"/>
                    </a:xfrm>
                    <a:prstGeom prst="rect">
                      <a:avLst/>
                    </a:prstGeom>
                    <a:noFill/>
                  </pic:spPr>
                </pic:pic>
              </a:graphicData>
            </a:graphic>
            <wp14:sizeRelH relativeFrom="margin">
              <wp14:pctWidth>0</wp14:pctWidth>
            </wp14:sizeRelH>
            <wp14:sizeRelV relativeFrom="margin">
              <wp14:pctHeight>0</wp14:pctHeight>
            </wp14:sizeRelV>
          </wp:anchor>
        </w:drawing>
      </w:r>
    </w:p>
    <w:p w14:paraId="112FEA88" w14:textId="357651E4" w:rsidR="008F1989" w:rsidRDefault="008F1989" w:rsidP="008F1989">
      <w:pPr>
        <w:autoSpaceDE/>
        <w:autoSpaceDN/>
        <w:spacing w:after="200" w:line="276" w:lineRule="auto"/>
        <w:ind w:left="426"/>
        <w:jc w:val="center"/>
        <w:rPr>
          <w:rFonts w:ascii="Calibri Light" w:eastAsia="MS Mincho" w:hAnsi="Calibri Light" w:cs="Calibri Light"/>
          <w:sz w:val="24"/>
          <w:szCs w:val="24"/>
          <w:rtl/>
          <w:lang w:eastAsia="en-US"/>
        </w:rPr>
      </w:pPr>
      <w:bookmarkStart w:id="5" w:name="_Hlk196319795"/>
      <w:r w:rsidRPr="008F1989">
        <w:rPr>
          <w:rFonts w:ascii="Calibri Light" w:eastAsia="MS Mincho" w:hAnsi="Calibri Light" w:cs="Calibri Light"/>
          <w:b/>
          <w:bCs/>
          <w:sz w:val="24"/>
          <w:szCs w:val="24"/>
          <w:lang w:eastAsia="en-US"/>
        </w:rPr>
        <w:t>Figure 7.</w:t>
      </w:r>
      <w:r w:rsidRPr="008F1989">
        <w:rPr>
          <w:rFonts w:ascii="Calibri Light" w:eastAsia="MS Mincho" w:hAnsi="Calibri Light" w:cs="Calibri Light"/>
          <w:sz w:val="24"/>
          <w:szCs w:val="24"/>
          <w:lang w:eastAsia="en-US"/>
        </w:rPr>
        <w:t xml:space="preserve"> </w:t>
      </w:r>
      <w:bookmarkEnd w:id="5"/>
      <w:r w:rsidRPr="008F1989">
        <w:rPr>
          <w:rFonts w:ascii="Calibri Light" w:eastAsia="MS Mincho" w:hAnsi="Calibri Light" w:cs="Calibri Light"/>
          <w:sz w:val="24"/>
          <w:szCs w:val="24"/>
          <w:lang w:eastAsia="en-US"/>
        </w:rPr>
        <w:t>Bibliographic Coupling Network of Countries</w:t>
      </w:r>
    </w:p>
    <w:p w14:paraId="1E821FDF" w14:textId="037FE01B" w:rsidR="00923573" w:rsidRPr="00923573" w:rsidRDefault="005A6A0E" w:rsidP="00E363A9">
      <w:pPr>
        <w:autoSpaceDE/>
        <w:autoSpaceDN/>
        <w:spacing w:after="200" w:line="276" w:lineRule="auto"/>
        <w:ind w:left="426"/>
        <w:jc w:val="both"/>
        <w:rPr>
          <w:rFonts w:ascii="Calibri Light" w:eastAsia="MS Mincho" w:hAnsi="Calibri Light" w:cs="Calibri Light"/>
          <w:b/>
          <w:bCs/>
          <w:sz w:val="24"/>
          <w:szCs w:val="24"/>
          <w:lang w:eastAsia="en-US"/>
        </w:rPr>
      </w:pPr>
      <w:r w:rsidRPr="005A6A0E">
        <w:rPr>
          <w:rFonts w:ascii="Calibri Light" w:eastAsia="MS Mincho" w:hAnsi="Calibri Light" w:cs="Calibri Light"/>
          <w:b/>
          <w:bCs/>
          <w:sz w:val="24"/>
          <w:szCs w:val="24"/>
          <w:lang w:eastAsia="en-US"/>
        </w:rPr>
        <w:t>3.</w:t>
      </w:r>
      <w:r>
        <w:rPr>
          <w:rFonts w:ascii="Calibri Light" w:eastAsia="MS Mincho" w:hAnsi="Calibri Light" w:cs="Calibri Light" w:hint="cs"/>
          <w:b/>
          <w:bCs/>
          <w:sz w:val="24"/>
          <w:szCs w:val="24"/>
          <w:rtl/>
          <w:lang w:eastAsia="en-US"/>
        </w:rPr>
        <w:t>4</w:t>
      </w:r>
      <w:r w:rsidRPr="005A6A0E">
        <w:rPr>
          <w:rFonts w:ascii="Calibri Light" w:eastAsia="MS Mincho" w:hAnsi="Calibri Light" w:cs="Calibri Light"/>
          <w:b/>
          <w:bCs/>
          <w:sz w:val="24"/>
          <w:szCs w:val="24"/>
          <w:lang w:eastAsia="en-US"/>
        </w:rPr>
        <w:t>.</w:t>
      </w:r>
      <w:r>
        <w:rPr>
          <w:rFonts w:ascii="Calibri Light" w:eastAsia="MS Mincho" w:hAnsi="Calibri Light" w:cs="Calibri Light" w:hint="cs"/>
          <w:b/>
          <w:bCs/>
          <w:sz w:val="24"/>
          <w:szCs w:val="24"/>
          <w:rtl/>
          <w:lang w:eastAsia="en-US"/>
        </w:rPr>
        <w:t xml:space="preserve"> </w:t>
      </w:r>
      <w:r w:rsidR="00E363A9" w:rsidRPr="00E363A9">
        <w:rPr>
          <w:rFonts w:ascii="Calibri Light" w:eastAsia="MS Mincho" w:hAnsi="Calibri Light" w:cs="Calibri Light"/>
          <w:b/>
          <w:bCs/>
          <w:sz w:val="24"/>
          <w:szCs w:val="24"/>
          <w:lang w:eastAsia="en-US"/>
        </w:rPr>
        <w:t>Top Sources and Institutions in Islamic Banking Research</w:t>
      </w:r>
    </w:p>
    <w:p w14:paraId="52FA7FC8" w14:textId="2E973812" w:rsidR="008D5536" w:rsidRDefault="00923573" w:rsidP="008D5536">
      <w:pPr>
        <w:autoSpaceDE/>
        <w:autoSpaceDN/>
        <w:spacing w:after="200" w:line="276" w:lineRule="auto"/>
        <w:ind w:left="426"/>
        <w:jc w:val="both"/>
        <w:rPr>
          <w:rFonts w:ascii="Calibri Light" w:eastAsia="MS Mincho" w:hAnsi="Calibri Light" w:cs="Calibri Light"/>
          <w:sz w:val="24"/>
          <w:szCs w:val="24"/>
          <w:rtl/>
          <w:lang w:eastAsia="en-US"/>
        </w:rPr>
      </w:pPr>
      <w:r w:rsidRPr="00923573">
        <w:rPr>
          <w:rFonts w:ascii="Calibri Light" w:eastAsia="MS Mincho" w:hAnsi="Calibri Light" w:cs="Calibri Light"/>
          <w:sz w:val="24"/>
          <w:szCs w:val="24"/>
          <w:lang w:eastAsia="en-US"/>
        </w:rPr>
        <w:t xml:space="preserve">The 4th research question is: </w:t>
      </w:r>
      <w:r w:rsidR="008D5536" w:rsidRPr="008D5536">
        <w:rPr>
          <w:rFonts w:ascii="Calibri Light" w:eastAsia="MS Mincho" w:hAnsi="Calibri Light" w:cs="Calibri Light"/>
          <w:sz w:val="24"/>
          <w:szCs w:val="24"/>
          <w:lang w:eastAsia="en-US"/>
        </w:rPr>
        <w:t>Which sources and institutions have most influenced Islamic banking research and its development</w:t>
      </w:r>
      <w:r w:rsidR="008D5536">
        <w:rPr>
          <w:rFonts w:ascii="Calibri Light" w:eastAsia="MS Mincho" w:hAnsi="Calibri Light" w:cs="Calibri Light"/>
          <w:sz w:val="24"/>
          <w:szCs w:val="24"/>
          <w:lang w:eastAsia="en-US"/>
        </w:rPr>
        <w:t>?</w:t>
      </w:r>
    </w:p>
    <w:p w14:paraId="74416116" w14:textId="326A1B75" w:rsidR="00706053" w:rsidRDefault="008D5536" w:rsidP="008D5536">
      <w:pPr>
        <w:autoSpaceDE/>
        <w:autoSpaceDN/>
        <w:spacing w:after="200" w:line="276" w:lineRule="auto"/>
        <w:ind w:left="426"/>
        <w:jc w:val="both"/>
        <w:rPr>
          <w:rFonts w:ascii="Calibri Light" w:eastAsia="MS Mincho" w:hAnsi="Calibri Light" w:cs="Calibri Light"/>
          <w:sz w:val="24"/>
          <w:szCs w:val="24"/>
          <w:rtl/>
          <w:lang w:eastAsia="en-US"/>
        </w:rPr>
      </w:pPr>
      <w:r w:rsidRPr="008D5536">
        <w:rPr>
          <w:rFonts w:ascii="Calibri Light" w:eastAsia="MS Mincho" w:hAnsi="Calibri Light" w:cs="Calibri Light"/>
          <w:b/>
          <w:bCs/>
          <w:sz w:val="24"/>
          <w:szCs w:val="24"/>
          <w:lang w:eastAsia="en-US"/>
        </w:rPr>
        <w:t xml:space="preserve"> </w:t>
      </w:r>
      <w:r w:rsidRPr="008D5536">
        <w:rPr>
          <w:rFonts w:ascii="Calibri Light" w:eastAsia="MS Mincho" w:hAnsi="Calibri Light" w:cs="Calibri Light"/>
          <w:sz w:val="24"/>
          <w:szCs w:val="24"/>
          <w:lang w:eastAsia="en-US"/>
        </w:rPr>
        <w:t xml:space="preserve">Figure </w:t>
      </w:r>
      <w:r w:rsidR="001F582A">
        <w:rPr>
          <w:rFonts w:ascii="Calibri Light" w:eastAsia="MS Mincho" w:hAnsi="Calibri Light" w:cs="Calibri Light"/>
          <w:sz w:val="24"/>
          <w:szCs w:val="24"/>
          <w:lang w:eastAsia="en-US"/>
        </w:rPr>
        <w:t>8</w:t>
      </w:r>
      <w:r w:rsidR="00706053" w:rsidRPr="00706053">
        <w:rPr>
          <w:rFonts w:ascii="Calibri Light" w:eastAsia="MS Mincho" w:hAnsi="Calibri Light" w:cs="Calibri Light"/>
          <w:sz w:val="24"/>
          <w:szCs w:val="24"/>
          <w:lang w:eastAsia="en-US"/>
        </w:rPr>
        <w:t xml:space="preserve"> presents an analysis of the most influential academic institutions in the field of Islamic banking research, based on the number of publications indexed in the Scopus database. The International Islamic University Malaysia (IIUM) ranks first with 78 publications, followed by Universiti Malaya (44 publications) and INCEIF University (42 publications), reflecting the leading role of Malaysian institutions in this area</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7774E4">
        <w:rPr>
          <w:rFonts w:ascii="Calibri Light" w:eastAsia="MS Mincho" w:hAnsi="Calibri Light" w:cs="Calibri Light"/>
          <w:sz w:val="24"/>
          <w:szCs w:val="24"/>
          <w:lang w:eastAsia="en-US"/>
        </w:rPr>
        <w:instrText>ADDIN CSL_CITATION {"citationItems":[{"id":"ITEM-1","itemData":{"DOI":"10.1108/IJOES-03-2021-0053","ISSN":"25149369 (ISSN)","abstract":"Purpose: Islamic banking industry with all of its exponential growth and global recognition has been under criticism for the past two decades. However, the problem signifies further when such criticism is made from within the organization and is well supported by outside (the customers). The purpose of this study is to provide a coherent exploration to investigate the factors that polarize its employees and customers across many parts of the world. Design/methodology/approach: To investigate the phenomenon, a total of 30 responses were taken through interviews 15 each from customers and employees. Afterwards, the data was analysed and summarized into two categories. In doing so, the top five Malaysia’s Islamic banks were shortlisted to collect data from employees and customers. Findings: A detailed thematic analysis resulted in six themes (Contradiction between theory and practice, Islamic banking knowledge and awareness, inadequate Shariah training, employees’ background, Shariah compliance, Islamic banking benefits) for employees and five (Islamic banking benefits, applying Shariah in Islamic banking, knowledge of Islamic banking, Islamic banking promotion, Islamic banking employees’ behaviour) for customers, respectively. Research limitations/implications: The results have stronger implications for both practice and theory as organizations can assess stakeholders and their perceptions about Islamic banking. Another implication is the comparative examination of employees and customers which can potentially affect decision and policy making in Islamic banks. Islamic banks can also address employment-related issues related to employees’ behaviour vis-à-vis marketing-related problems faced by its customers that will ultimately improve its global market share and strategic positioning. Originality/value: The study is based on the importance of Islamic banking in Malaysia and explores the factors that potentially create a positive or negative insight into Islamic banking – both in employees and customers. © 2021, Emerald Publishing Limited.","author":[{"dropping-particle":"","family":"Ali","given":"S A","non-dropping-particle":"","parse-names":false,"suffix":""},{"dropping-particle":"","family":"Loussaief","given":"A","non-dropping-particle":"","parse-names":false,"suffix":""},{"dropping-particle":"","family":"Ahmed","given":"M","non-dropping-particle":"","parse-names":false,"suffix":""}],"container-title":"International Journal of Ethics and Systems","id":"ITEM-1","issue":"2","issued":{"date-parts":[["2022"]]},"language":"English","note":"Export Date: 24 April 2025; Cited By: 5; Correspondence Address: S.A. Ali; University of Management and Technology, Lahore, Main Campus, Pakistan; email: sahmedzaidi@gmail.com","page":"209-234","publisher":"Emerald Group Holdings Ltd.","publisher-place":"University of Management and Technology, Main Campus, Lahore, Pakistan","title":"A comparative analysis of employees’ and customers’ attitude towards Islamic banking","type":"article-journal","volume":"38"},"uris":["http://www.mendeley.com/documents/?uuid=79aadb05-bdf0-4026-9d34-1841afbc081c"]}],"mendeley":{"formattedCitation":"(S. A. Ali et al., 2022)","plainTextFormattedCitation":"(S. A. Ali et al., 2022)","previouslyFormattedCitation":"(S. A. Ali et al., 2022)"},"properties":{"noteIndex":0},"schema":"https://github.com/citation-style-language/schema/raw/master/csl-citation.json"}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(S. A. Ali et al., 2022)</w:t>
      </w:r>
      <w:r w:rsidR="007774E4">
        <w:rPr>
          <w:rFonts w:ascii="Calibri Light" w:eastAsia="MS Mincho" w:hAnsi="Calibri Light" w:cs="Calibri Light"/>
          <w:sz w:val="24"/>
          <w:szCs w:val="24"/>
          <w:lang w:eastAsia="en-US"/>
        </w:rPr>
        <w:fldChar w:fldCharType="end"/>
      </w:r>
      <w:r w:rsidR="00706053" w:rsidRPr="00706053">
        <w:rPr>
          <w:rFonts w:ascii="Calibri Light" w:eastAsia="MS Mincho" w:hAnsi="Calibri Light" w:cs="Calibri Light"/>
          <w:sz w:val="24"/>
          <w:szCs w:val="24"/>
          <w:lang w:eastAsia="en-US"/>
        </w:rPr>
        <w:t>. The accompanying Pareto curve indicates that a substantial portion of research output is concentrated within a limited number of institutions, with the top three alone accounting for nearly half of the total publications. This concentration highlights Malaysia’s position as an academic and intellectual hub in the development of Islamic banking studies, particularly in the context of aligning Sharia principles with the regulatory requirements of the Basel Accords. This analysis underscores the importance of institutional contributions in shaping academic discourse on the legal and regulatory challenges facing Islamic banks within the framework of international financial regulation</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{"citationItems":[{"id":"ITEM-1","itemData":{"DOI":"10.4197/Islec.35-2.4","ISSN":"10187383 (ISSN)","abstract":"The adoption of the Islamic Financial Services Board (IFSB) criteria for Islamic banks is more challenging for a bigger number of supervisory and regulatory authorities than for conventional banks. This paper investigated the IFSB-15 standard; revised capital adequacy standard for institutions offering Islamic financial services [excluding islamic insurance (takāful) institutions and islamic collective investment schemes], by evaluating the possibility of its adoption within a dual banking system and introduced an analysis of the effects of Islamic banks in Pakistan. The study found that in practise, investment account holders are treated as conventional depositors that are capital-guaranteed rather than basing that allocation on the basis of profit and loss sharing (PLS) in accordance to Sharīʿah norms and stipulations. This treatment forced Islamic banking institutions to take a market-perspective approach to profit distribution. This makes them ensure a steady profit pay-out (paying a competitive rate of return by accepting displaced commercial risk). The paper therefore suggested that the implementation of technical standards has to be accompanied with institutional growth, like that involved in the Islamic banking structure and institutional capacity in accordace to the substance of Sharīʿah norms and stipulations rather than the form. © 2022,Journal of King Abdulaziz University, Islamic Economics. All Rights Reserved.","author":[{"dropping-particle":"","family":"Ali","given":"A","non-dropping-particle":"","parse-names":false,"suffix":""},{"dropping-particle":"","family":"Zulkhibri","given":"M","non-dropping-particle":"","parse-names":false,"suffix":""},{"dropping-particle":"","family":"Kishwar","given":"T","non-dropping-particle":"","parse-names":false,"suffix":""}],"container-title":"Journal of King Abdulaziz University, Islamic Economics","id":"ITEM-1","issue":"2","issued":{"date-parts":[["2022"]]},"language":"English","note":"Export Date: 24 April 2025; Cited By: 0","page":"55-76","publisher":"King Abdulaziz University Scientific Publishing Center","publisher-place":"COMMECS Institute of Business and Emerging Sciences, Karachi, Pakistan","title":"IFSB Standards Adoption and Its Impact on Islamic Banking Practices: Evidence from Pakistan","type":"article-journal","volume":"35"},"uris":["http://www.mendeley.com/documents/?uuid=79b5ec51-66cc-4dbd-b8b7-bb0b29ae952a"]}],"mendeley":{"formattedCitation":"(A. Ali et al., 2022)","plainTextFormattedCitation":"(A. Ali et al., 2022)","previouslyFormattedCitation":"(A. Ali et al., 2022)"},"properties":{"noteIndex":0},"schema":"https://github.com/citation-style-language/schema/raw/master/csl-citation.json"}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(A. Ali et al., 2022)</w:t>
      </w:r>
      <w:r w:rsidR="007774E4">
        <w:rPr>
          <w:rFonts w:ascii="Calibri Light" w:eastAsia="MS Mincho" w:hAnsi="Calibri Light" w:cs="Calibri Light"/>
          <w:sz w:val="24"/>
          <w:szCs w:val="24"/>
          <w:lang w:eastAsia="en-US"/>
        </w:rPr>
        <w:fldChar w:fldCharType="end"/>
      </w:r>
      <w:r w:rsidR="00706053" w:rsidRPr="00706053">
        <w:rPr>
          <w:rFonts w:ascii="Calibri Light" w:eastAsia="MS Mincho" w:hAnsi="Calibri Light" w:cs="Calibri Light"/>
          <w:sz w:val="24"/>
          <w:szCs w:val="24"/>
          <w:lang w:eastAsia="en-US"/>
        </w:rPr>
        <w:t>.</w:t>
      </w:r>
    </w:p>
    <w:p w14:paraId="7B32F76F" w14:textId="77777777" w:rsidR="00706053" w:rsidRPr="00923573" w:rsidRDefault="00706053" w:rsidP="00706053">
      <w:pPr>
        <w:autoSpaceDE/>
        <w:autoSpaceDN/>
        <w:spacing w:after="200" w:line="276" w:lineRule="auto"/>
        <w:ind w:left="426"/>
        <w:jc w:val="both"/>
        <w:rPr>
          <w:rFonts w:ascii="Calibri Light" w:eastAsia="MS Mincho" w:hAnsi="Calibri Light" w:cs="Calibri Light"/>
          <w:sz w:val="24"/>
          <w:szCs w:val="24"/>
          <w:lang w:eastAsia="en-US"/>
        </w:rPr>
      </w:pPr>
    </w:p>
    <w:p w14:paraId="70BCC519" w14:textId="0666BACE" w:rsidR="008F1989" w:rsidRPr="00CB660C" w:rsidRDefault="00CB660C" w:rsidP="00CB660C">
      <w:pPr>
        <w:autoSpaceDE/>
        <w:autoSpaceDN/>
        <w:spacing w:after="200" w:line="276" w:lineRule="auto"/>
        <w:jc w:val="center"/>
        <w:rPr>
          <w:rFonts w:ascii="Calibri Light" w:eastAsia="MS Mincho" w:hAnsi="Calibri Light" w:cs="Calibri Light"/>
          <w:sz w:val="24"/>
          <w:szCs w:val="24"/>
          <w:lang w:val="en-GB" w:eastAsia="en-US"/>
        </w:rPr>
      </w:pPr>
      <w:r w:rsidRPr="00706053">
        <w:rPr>
          <w:rFonts w:eastAsia="Calibri" w:cs="Traditional Arabic"/>
          <w:noProof/>
          <w:sz w:val="24"/>
          <w:szCs w:val="24"/>
          <w:lang w:val="en-ID" w:eastAsia="en-US"/>
        </w:rPr>
        <w:lastRenderedPageBreak/>
        <w:drawing>
          <wp:anchor distT="0" distB="0" distL="114300" distR="114300" simplePos="0" relativeHeight="251699712" behindDoc="0" locked="0" layoutInCell="1" allowOverlap="1" wp14:anchorId="7EF6B9B8" wp14:editId="7FD6CA5A">
            <wp:simplePos x="0" y="0"/>
            <wp:positionH relativeFrom="margin">
              <wp:align>center</wp:align>
            </wp:positionH>
            <wp:positionV relativeFrom="paragraph">
              <wp:posOffset>34946</wp:posOffset>
            </wp:positionV>
            <wp:extent cx="5162550" cy="2585085"/>
            <wp:effectExtent l="0" t="0" r="0" b="5715"/>
            <wp:wrapTopAndBottom/>
            <wp:docPr id="124755429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68943" cy="258874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5A4B" w:rsidRPr="00706053">
        <w:rPr>
          <w:rFonts w:ascii="Calibri Light" w:eastAsia="MS Mincho" w:hAnsi="Calibri Light" w:cs="Calibri Light"/>
          <w:b/>
          <w:bCs/>
          <w:sz w:val="24"/>
          <w:szCs w:val="24"/>
          <w:lang w:eastAsia="en-US"/>
        </w:rPr>
        <w:t xml:space="preserve">Figure </w:t>
      </w:r>
      <w:r w:rsidR="008D75B2">
        <w:rPr>
          <w:rFonts w:ascii="Calibri Light" w:eastAsia="MS Mincho" w:hAnsi="Calibri Light" w:cs="Calibri Light"/>
          <w:b/>
          <w:bCs/>
          <w:sz w:val="24"/>
          <w:szCs w:val="24"/>
          <w:lang w:eastAsia="en-US"/>
        </w:rPr>
        <w:t>8</w:t>
      </w:r>
      <w:r w:rsidR="00B75A4B" w:rsidRPr="00706053">
        <w:rPr>
          <w:rFonts w:ascii="Calibri Light" w:eastAsia="MS Mincho" w:hAnsi="Calibri Light" w:cs="Calibri Light"/>
          <w:b/>
          <w:bCs/>
          <w:sz w:val="24"/>
          <w:szCs w:val="24"/>
          <w:lang w:eastAsia="en-US"/>
        </w:rPr>
        <w:t>.</w:t>
      </w:r>
      <w:r w:rsidR="00B75A4B" w:rsidRPr="00706053">
        <w:rPr>
          <w:rFonts w:ascii="Calibri Light" w:eastAsia="MS Mincho" w:hAnsi="Calibri Light" w:cs="Calibri Light"/>
          <w:sz w:val="24"/>
          <w:szCs w:val="24"/>
          <w:lang w:eastAsia="en-US"/>
        </w:rPr>
        <w:t xml:space="preserve"> Top Contributing Institutions in Islamic Banking Research</w:t>
      </w:r>
      <w:r w:rsidR="00B75A4B" w:rsidRPr="00706053">
        <w:rPr>
          <w:rFonts w:eastAsia="Calibri" w:cs="Traditional Arabic"/>
          <w:noProof/>
          <w:sz w:val="24"/>
          <w:szCs w:val="24"/>
          <w:lang w:val="en-ID" w:eastAsia="en-US"/>
        </w:rPr>
        <w:t xml:space="preserve"> </w:t>
      </w:r>
    </w:p>
    <w:tbl>
      <w:tblPr>
        <w:tblStyle w:val="PlainTable21"/>
        <w:tblW w:w="0" w:type="auto"/>
        <w:tblLook w:val="04A0" w:firstRow="1" w:lastRow="0" w:firstColumn="1" w:lastColumn="0" w:noHBand="0" w:noVBand="1"/>
      </w:tblPr>
      <w:tblGrid>
        <w:gridCol w:w="2232"/>
        <w:gridCol w:w="1008"/>
        <w:gridCol w:w="762"/>
        <w:gridCol w:w="848"/>
        <w:gridCol w:w="2344"/>
        <w:gridCol w:w="1441"/>
      </w:tblGrid>
      <w:tr w:rsidR="00B75A4B" w14:paraId="08CCC053" w14:textId="77777777" w:rsidTr="00835E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shd w:val="clear" w:color="auto" w:fill="E5B8B7" w:themeFill="accent2" w:themeFillTint="66"/>
          </w:tcPr>
          <w:p w14:paraId="50120BFC" w14:textId="6BADE5CB" w:rsidR="009C7D8B" w:rsidRPr="005A1BE1" w:rsidRDefault="009C7D8B" w:rsidP="001834D8">
            <w:pPr>
              <w:autoSpaceDE/>
              <w:autoSpaceDN/>
              <w:spacing w:after="200" w:line="276" w:lineRule="auto"/>
              <w:jc w:val="center"/>
              <w:rPr>
                <w:rFonts w:ascii="Calibri Light" w:eastAsia="MS Mincho" w:hAnsi="Calibri Light" w:cs="Calibri Light"/>
                <w:b w:val="0"/>
                <w:bCs w:val="0"/>
                <w:lang w:eastAsia="en-US"/>
              </w:rPr>
            </w:pPr>
            <w:r w:rsidRPr="005A1BE1">
              <w:rPr>
                <w:rFonts w:ascii="Calibri Light" w:eastAsia="MS Mincho" w:hAnsi="Calibri Light" w:cs="Calibri Light"/>
                <w:lang w:eastAsia="en-US"/>
              </w:rPr>
              <w:t>Source/Journal</w:t>
            </w:r>
          </w:p>
        </w:tc>
        <w:tc>
          <w:tcPr>
            <w:tcW w:w="1008" w:type="dxa"/>
            <w:shd w:val="clear" w:color="auto" w:fill="E5B8B7" w:themeFill="accent2" w:themeFillTint="66"/>
          </w:tcPr>
          <w:p w14:paraId="5F629D5C" w14:textId="7D59067E" w:rsidR="009C7D8B" w:rsidRPr="005A1BE1" w:rsidRDefault="009C7D8B" w:rsidP="001834D8">
            <w:pPr>
              <w:autoSpaceDE/>
              <w:autoSpaceDN/>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TP</w:t>
            </w:r>
          </w:p>
        </w:tc>
        <w:tc>
          <w:tcPr>
            <w:tcW w:w="762" w:type="dxa"/>
            <w:shd w:val="clear" w:color="auto" w:fill="E5B8B7" w:themeFill="accent2" w:themeFillTint="66"/>
          </w:tcPr>
          <w:p w14:paraId="653BB1F4" w14:textId="555B9799" w:rsidR="009C7D8B" w:rsidRPr="005A1BE1" w:rsidRDefault="009C7D8B" w:rsidP="00706053">
            <w:pPr>
              <w:autoSpaceDE/>
              <w:autoSpaceDN/>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TC</w:t>
            </w:r>
          </w:p>
        </w:tc>
        <w:tc>
          <w:tcPr>
            <w:tcW w:w="848" w:type="dxa"/>
            <w:shd w:val="clear" w:color="auto" w:fill="E5B8B7" w:themeFill="accent2" w:themeFillTint="66"/>
          </w:tcPr>
          <w:p w14:paraId="772A6E7C" w14:textId="7E7944A4" w:rsidR="009C7D8B" w:rsidRPr="005A1BE1" w:rsidRDefault="009C7D8B" w:rsidP="009C7D8B">
            <w:pPr>
              <w:autoSpaceDE/>
              <w:autoSpaceDN/>
              <w:spacing w:after="200" w:line="276" w:lineRule="auto"/>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9C7D8B">
              <w:rPr>
                <w:rFonts w:ascii="Calibri Light" w:eastAsia="MS Mincho" w:hAnsi="Calibri Light" w:cs="Calibri Light"/>
                <w:lang w:eastAsia="en-US"/>
              </w:rPr>
              <w:t>Cite score</w:t>
            </w:r>
          </w:p>
        </w:tc>
        <w:tc>
          <w:tcPr>
            <w:tcW w:w="2344" w:type="dxa"/>
            <w:shd w:val="clear" w:color="auto" w:fill="E5B8B7" w:themeFill="accent2" w:themeFillTint="66"/>
          </w:tcPr>
          <w:p w14:paraId="2098033E" w14:textId="1EF4F32D" w:rsidR="009C7D8B" w:rsidRPr="005A1BE1" w:rsidRDefault="009C7D8B" w:rsidP="00DD6F37">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The most</w:t>
            </w:r>
            <w:r w:rsidR="00DD6F37">
              <w:rPr>
                <w:rFonts w:ascii="Calibri Light" w:eastAsia="MS Mincho" w:hAnsi="Calibri Light" w:cs="Calibri Light"/>
                <w:lang w:eastAsia="en-US"/>
              </w:rPr>
              <w:t xml:space="preserve"> </w:t>
            </w:r>
            <w:r w:rsidRPr="005A1BE1">
              <w:rPr>
                <w:rFonts w:ascii="Calibri Light" w:eastAsia="MS Mincho" w:hAnsi="Calibri Light" w:cs="Calibri Light"/>
                <w:lang w:eastAsia="en-US"/>
              </w:rPr>
              <w:t>cited</w:t>
            </w:r>
          </w:p>
          <w:p w14:paraId="3E26CE2F" w14:textId="02C11CDF" w:rsidR="009C7D8B" w:rsidRPr="005A1BE1" w:rsidRDefault="009C7D8B" w:rsidP="00DD6F37">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article</w:t>
            </w:r>
          </w:p>
        </w:tc>
        <w:tc>
          <w:tcPr>
            <w:tcW w:w="1441" w:type="dxa"/>
            <w:shd w:val="clear" w:color="auto" w:fill="E5B8B7" w:themeFill="accent2" w:themeFillTint="66"/>
          </w:tcPr>
          <w:p w14:paraId="71C0B42B" w14:textId="66A0036D" w:rsidR="009C7D8B" w:rsidRPr="005A1BE1" w:rsidRDefault="008003D6" w:rsidP="008003D6">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8003D6">
              <w:rPr>
                <w:rFonts w:ascii="Calibri Light" w:eastAsia="MS Mincho" w:hAnsi="Calibri Light" w:cs="Calibri Light"/>
                <w:lang w:eastAsia="en-US"/>
              </w:rPr>
              <w:t>Publisher</w:t>
            </w:r>
          </w:p>
        </w:tc>
      </w:tr>
      <w:tr w:rsidR="00B75A4B" w14:paraId="22343749" w14:textId="77777777" w:rsidTr="00835E51">
        <w:trPr>
          <w:cnfStyle w:val="000000100000" w:firstRow="0" w:lastRow="0" w:firstColumn="0" w:lastColumn="0" w:oddVBand="0" w:evenVBand="0" w:oddHBand="1" w:evenHBand="0" w:firstRowFirstColumn="0" w:firstRowLastColumn="0" w:lastRowFirstColumn="0" w:lastRowLastColumn="0"/>
          <w:trHeight w:val="1178"/>
        </w:trPr>
        <w:tc>
          <w:tcPr>
            <w:cnfStyle w:val="001000000000" w:firstRow="0" w:lastRow="0" w:firstColumn="1" w:lastColumn="0" w:oddVBand="0" w:evenVBand="0" w:oddHBand="0" w:evenHBand="0" w:firstRowFirstColumn="0" w:firstRowLastColumn="0" w:lastRowFirstColumn="0" w:lastRowLastColumn="0"/>
            <w:tcW w:w="2232" w:type="dxa"/>
          </w:tcPr>
          <w:p w14:paraId="31FAD671" w14:textId="2190B9EF" w:rsidR="009C7D8B" w:rsidRPr="003E017E" w:rsidRDefault="009C7D8B" w:rsidP="00B75A4B">
            <w:pPr>
              <w:autoSpaceDE/>
              <w:autoSpaceDN/>
              <w:spacing w:after="200" w:line="276" w:lineRule="auto"/>
              <w:rPr>
                <w:rFonts w:ascii="Calibri Light" w:eastAsia="MS Mincho" w:hAnsi="Calibri Light" w:cs="Calibri Light"/>
                <w:lang w:val="en-ID" w:eastAsia="en-US"/>
              </w:rPr>
            </w:pPr>
            <w:r w:rsidRPr="003E017E">
              <w:rPr>
                <w:rFonts w:ascii="Calibri Light" w:eastAsia="MS Mincho" w:hAnsi="Calibri Light" w:cs="Calibri Light"/>
                <w:lang w:val="en-ID" w:eastAsia="en-US"/>
              </w:rPr>
              <w:t>Journal of</w:t>
            </w:r>
            <w:r w:rsidR="00B75A4B">
              <w:rPr>
                <w:rFonts w:ascii="Calibri Light" w:eastAsia="MS Mincho" w:hAnsi="Calibri Light" w:cs="Calibri Light"/>
                <w:lang w:val="en-ID" w:eastAsia="en-US"/>
              </w:rPr>
              <w:t xml:space="preserve"> </w:t>
            </w:r>
            <w:r w:rsidRPr="003E017E">
              <w:rPr>
                <w:rFonts w:ascii="Calibri Light" w:eastAsia="MS Mincho" w:hAnsi="Calibri Light" w:cs="Calibri Light"/>
                <w:lang w:val="en-ID" w:eastAsia="en-US"/>
              </w:rPr>
              <w:t>Islamic Accounting and Business Research</w:t>
            </w:r>
          </w:p>
        </w:tc>
        <w:tc>
          <w:tcPr>
            <w:tcW w:w="1008" w:type="dxa"/>
          </w:tcPr>
          <w:p w14:paraId="623ACC81"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7F017FEB" w14:textId="1676AF96" w:rsidR="009C7D8B" w:rsidRDefault="00AD5DCB"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312</w:t>
            </w:r>
          </w:p>
        </w:tc>
        <w:tc>
          <w:tcPr>
            <w:tcW w:w="762" w:type="dxa"/>
          </w:tcPr>
          <w:p w14:paraId="7DD0DAC0"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77955686" w14:textId="04C467DA" w:rsidR="009C7D8B" w:rsidRDefault="00AD5DCB"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1.493</w:t>
            </w:r>
          </w:p>
        </w:tc>
        <w:tc>
          <w:tcPr>
            <w:tcW w:w="848" w:type="dxa"/>
          </w:tcPr>
          <w:p w14:paraId="4DB13024" w14:textId="77777777" w:rsidR="001C1AEE" w:rsidRDefault="001C1AEE" w:rsidP="009C7D8B">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1AC0ED2C" w14:textId="5064FFAB" w:rsidR="009C7D8B" w:rsidRDefault="009C7D8B" w:rsidP="009C7D8B">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9C7D8B">
              <w:rPr>
                <w:rFonts w:ascii="Calibri Light" w:eastAsia="MS Mincho" w:hAnsi="Calibri Light" w:cs="Calibri Light"/>
                <w:lang w:eastAsia="en-US"/>
              </w:rPr>
              <w:t>4.8</w:t>
            </w:r>
          </w:p>
        </w:tc>
        <w:tc>
          <w:tcPr>
            <w:tcW w:w="2344" w:type="dxa"/>
          </w:tcPr>
          <w:p w14:paraId="6D23B34B" w14:textId="77777777" w:rsidR="009C7D8B" w:rsidRDefault="002E4286" w:rsidP="008003D6">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val="en-ID" w:eastAsia="en-US"/>
              </w:rPr>
            </w:pPr>
            <w:r w:rsidRPr="002E4286">
              <w:rPr>
                <w:rFonts w:ascii="Calibri Light" w:eastAsia="MS Mincho" w:hAnsi="Calibri Light" w:cs="Calibri Light"/>
                <w:lang w:val="en-ID" w:eastAsia="en-US"/>
              </w:rPr>
              <w:t>Corporate Social Performance And Financial Stability: Evidence From Islamic, Social And Conventional Banking Models</w:t>
            </w:r>
          </w:p>
          <w:p w14:paraId="37255222" w14:textId="0A2D43D3" w:rsidR="00771574" w:rsidRPr="002E4286" w:rsidRDefault="00771574" w:rsidP="008003D6">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val="en-ID" w:eastAsia="en-US"/>
              </w:rPr>
            </w:pPr>
          </w:p>
        </w:tc>
        <w:tc>
          <w:tcPr>
            <w:tcW w:w="1441" w:type="dxa"/>
          </w:tcPr>
          <w:p w14:paraId="2DCCBB25" w14:textId="0715CC78" w:rsidR="009C7D8B" w:rsidRDefault="008003D6" w:rsidP="008003D6">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8003D6">
              <w:rPr>
                <w:rFonts w:ascii="Calibri Light" w:eastAsia="MS Mincho" w:hAnsi="Calibri Light" w:cs="Calibri Light"/>
                <w:lang w:eastAsia="en-US"/>
              </w:rPr>
              <w:t>Bank Indonesia Institute</w:t>
            </w:r>
          </w:p>
        </w:tc>
      </w:tr>
      <w:tr w:rsidR="00B75A4B" w14:paraId="20734782" w14:textId="77777777" w:rsidTr="00835E51">
        <w:trPr>
          <w:trHeight w:val="1655"/>
        </w:trPr>
        <w:tc>
          <w:tcPr>
            <w:cnfStyle w:val="001000000000" w:firstRow="0" w:lastRow="0" w:firstColumn="1" w:lastColumn="0" w:oddVBand="0" w:evenVBand="0" w:oddHBand="0" w:evenHBand="0" w:firstRowFirstColumn="0" w:firstRowLastColumn="0" w:lastRowFirstColumn="0" w:lastRowLastColumn="0"/>
            <w:tcW w:w="2232" w:type="dxa"/>
          </w:tcPr>
          <w:p w14:paraId="6CB9296A" w14:textId="77777777" w:rsidR="001C1AEE" w:rsidRDefault="001C1AEE" w:rsidP="00B75A4B">
            <w:pPr>
              <w:autoSpaceDE/>
              <w:autoSpaceDN/>
              <w:spacing w:after="200" w:line="276" w:lineRule="auto"/>
              <w:jc w:val="center"/>
              <w:rPr>
                <w:rFonts w:ascii="Calibri Light" w:eastAsia="MS Mincho" w:hAnsi="Calibri Light" w:cs="Calibri Light"/>
                <w:b w:val="0"/>
                <w:bCs w:val="0"/>
                <w:lang w:eastAsia="en-US"/>
              </w:rPr>
            </w:pPr>
          </w:p>
          <w:p w14:paraId="4839B1E1" w14:textId="15C975CE" w:rsidR="009C7D8B" w:rsidRDefault="00BF672B" w:rsidP="00B75A4B">
            <w:pPr>
              <w:autoSpaceDE/>
              <w:autoSpaceDN/>
              <w:spacing w:after="200" w:line="276" w:lineRule="auto"/>
              <w:jc w:val="center"/>
              <w:rPr>
                <w:rFonts w:ascii="Calibri Light" w:eastAsia="MS Mincho" w:hAnsi="Calibri Light" w:cs="Calibri Light"/>
                <w:lang w:eastAsia="en-US"/>
              </w:rPr>
            </w:pPr>
            <w:r w:rsidRPr="00BF672B">
              <w:rPr>
                <w:rFonts w:ascii="Calibri Light" w:eastAsia="MS Mincho" w:hAnsi="Calibri Light" w:cs="Calibri Light"/>
                <w:lang w:eastAsia="en-US"/>
              </w:rPr>
              <w:t>Journal Of Islamic Marketing</w:t>
            </w:r>
          </w:p>
        </w:tc>
        <w:tc>
          <w:tcPr>
            <w:tcW w:w="1008" w:type="dxa"/>
          </w:tcPr>
          <w:p w14:paraId="192A9205"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6869CDB7" w14:textId="2D75BEEF" w:rsidR="009C7D8B" w:rsidRDefault="00AD5DC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469</w:t>
            </w:r>
          </w:p>
        </w:tc>
        <w:tc>
          <w:tcPr>
            <w:tcW w:w="762" w:type="dxa"/>
          </w:tcPr>
          <w:p w14:paraId="0F1D9713"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3E05E289" w14:textId="11309054" w:rsidR="009C7D8B" w:rsidRDefault="00AD5DC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3.960</w:t>
            </w:r>
          </w:p>
        </w:tc>
        <w:tc>
          <w:tcPr>
            <w:tcW w:w="848" w:type="dxa"/>
          </w:tcPr>
          <w:p w14:paraId="1C8AD992"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1464D5A2" w14:textId="7D395BFC" w:rsidR="009C7D8B" w:rsidRDefault="0081566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8.4</w:t>
            </w:r>
          </w:p>
        </w:tc>
        <w:tc>
          <w:tcPr>
            <w:tcW w:w="2344" w:type="dxa"/>
          </w:tcPr>
          <w:p w14:paraId="207FD71F" w14:textId="77777777" w:rsidR="009C7D8B" w:rsidRDefault="0043726F" w:rsidP="0043726F">
            <w:pPr>
              <w:autoSpaceDE/>
              <w:autoSpaceDN/>
              <w:spacing w:after="200" w:line="276" w:lineRule="auto"/>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Readiness to change in Islamic banking: the significance of adaptability and Islamic work ethics</w:t>
            </w:r>
          </w:p>
          <w:p w14:paraId="02D081AF" w14:textId="166A0744" w:rsidR="00771574" w:rsidRDefault="00771574" w:rsidP="0043726F">
            <w:pPr>
              <w:autoSpaceDE/>
              <w:autoSpaceDN/>
              <w:spacing w:after="200" w:line="276" w:lineRule="auto"/>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tc>
        <w:tc>
          <w:tcPr>
            <w:tcW w:w="1441" w:type="dxa"/>
          </w:tcPr>
          <w:p w14:paraId="140BB6DF" w14:textId="7EF3140B" w:rsidR="009C7D8B" w:rsidRDefault="0043726F" w:rsidP="0043726F">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Emerald Publishing</w:t>
            </w:r>
          </w:p>
        </w:tc>
      </w:tr>
      <w:tr w:rsidR="00B75A4B" w14:paraId="68CC5CB4" w14:textId="77777777" w:rsidTr="00835E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tcPr>
          <w:p w14:paraId="018AFD14" w14:textId="59D41E0F" w:rsidR="009C7D8B" w:rsidRDefault="00AD5DCB" w:rsidP="00B75A4B">
            <w:pPr>
              <w:autoSpaceDE/>
              <w:autoSpaceDN/>
              <w:spacing w:after="200" w:line="276" w:lineRule="auto"/>
              <w:rPr>
                <w:rFonts w:ascii="Calibri Light" w:eastAsia="MS Mincho" w:hAnsi="Calibri Light" w:cs="Calibri Light"/>
                <w:lang w:eastAsia="en-US"/>
              </w:rPr>
            </w:pPr>
            <w:r w:rsidRPr="00AD5DCB">
              <w:rPr>
                <w:rFonts w:ascii="Calibri Light" w:eastAsia="MS Mincho" w:hAnsi="Calibri Light" w:cs="Calibri Light"/>
                <w:lang w:eastAsia="en-US"/>
              </w:rPr>
              <w:t>International Journal Of Islamic And Middle Eastern Finance And Management</w:t>
            </w:r>
          </w:p>
        </w:tc>
        <w:tc>
          <w:tcPr>
            <w:tcW w:w="1008" w:type="dxa"/>
          </w:tcPr>
          <w:p w14:paraId="139E1F86"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4C1B9A3E" w14:textId="76EA3FCA" w:rsidR="009C7D8B" w:rsidRDefault="00534EF0"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224</w:t>
            </w:r>
          </w:p>
        </w:tc>
        <w:tc>
          <w:tcPr>
            <w:tcW w:w="762" w:type="dxa"/>
          </w:tcPr>
          <w:p w14:paraId="17A0DB9F"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59F91C48" w14:textId="342C03F7" w:rsidR="009C7D8B" w:rsidRDefault="00534EF0"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1.208</w:t>
            </w:r>
          </w:p>
        </w:tc>
        <w:tc>
          <w:tcPr>
            <w:tcW w:w="848" w:type="dxa"/>
          </w:tcPr>
          <w:p w14:paraId="191A9FEB" w14:textId="77777777" w:rsidR="001C1AEE" w:rsidRDefault="001C1AEE" w:rsidP="00815661">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55E2223C" w14:textId="111621C8" w:rsidR="009C7D8B" w:rsidRDefault="00815661" w:rsidP="00815661">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815661">
              <w:rPr>
                <w:rFonts w:ascii="Calibri Light" w:eastAsia="MS Mincho" w:hAnsi="Calibri Light" w:cs="Calibri Light"/>
                <w:lang w:eastAsia="en-US"/>
              </w:rPr>
              <w:t>5.4</w:t>
            </w:r>
          </w:p>
        </w:tc>
        <w:tc>
          <w:tcPr>
            <w:tcW w:w="2344" w:type="dxa"/>
          </w:tcPr>
          <w:p w14:paraId="44BEE0B4" w14:textId="1B901309" w:rsidR="009C7D8B" w:rsidRDefault="0043726F" w:rsidP="0043726F">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Factors affecting SMEs’ choice of banks in Oman: an emphasis on Islamic banks</w:t>
            </w:r>
          </w:p>
        </w:tc>
        <w:tc>
          <w:tcPr>
            <w:tcW w:w="1441" w:type="dxa"/>
          </w:tcPr>
          <w:p w14:paraId="69BF3E77" w14:textId="1B537AE2" w:rsidR="009C7D8B" w:rsidRDefault="0043726F" w:rsidP="0043726F">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Emerald Publishing</w:t>
            </w:r>
          </w:p>
        </w:tc>
      </w:tr>
      <w:tr w:rsidR="00B75A4B" w14:paraId="518EE525" w14:textId="77777777" w:rsidTr="00835E51">
        <w:tc>
          <w:tcPr>
            <w:cnfStyle w:val="001000000000" w:firstRow="0" w:lastRow="0" w:firstColumn="1" w:lastColumn="0" w:oddVBand="0" w:evenVBand="0" w:oddHBand="0" w:evenHBand="0" w:firstRowFirstColumn="0" w:firstRowLastColumn="0" w:lastRowFirstColumn="0" w:lastRowLastColumn="0"/>
            <w:tcW w:w="2232" w:type="dxa"/>
          </w:tcPr>
          <w:p w14:paraId="030D60CD" w14:textId="3A48FEC7" w:rsidR="009C7D8B" w:rsidRDefault="00AD5DCB" w:rsidP="001C1AEE">
            <w:pPr>
              <w:autoSpaceDE/>
              <w:autoSpaceDN/>
              <w:spacing w:after="200" w:line="276" w:lineRule="auto"/>
              <w:jc w:val="center"/>
              <w:rPr>
                <w:rFonts w:ascii="Calibri Light" w:eastAsia="MS Mincho" w:hAnsi="Calibri Light" w:cs="Calibri Light"/>
                <w:lang w:eastAsia="en-US"/>
              </w:rPr>
            </w:pPr>
            <w:r w:rsidRPr="00AD5DCB">
              <w:rPr>
                <w:rFonts w:ascii="Calibri Light" w:eastAsia="MS Mincho" w:hAnsi="Calibri Light" w:cs="Calibri Light"/>
                <w:lang w:eastAsia="en-US"/>
              </w:rPr>
              <w:lastRenderedPageBreak/>
              <w:t>Journal Of Islamic Monetary Economics And Finance</w:t>
            </w:r>
          </w:p>
        </w:tc>
        <w:tc>
          <w:tcPr>
            <w:tcW w:w="1008" w:type="dxa"/>
          </w:tcPr>
          <w:p w14:paraId="3CFCDB45"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3347522B" w14:textId="17B2AF54"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143</w:t>
            </w:r>
          </w:p>
        </w:tc>
        <w:tc>
          <w:tcPr>
            <w:tcW w:w="762" w:type="dxa"/>
          </w:tcPr>
          <w:p w14:paraId="56B412D1"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52281037" w14:textId="4B74B0EB"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275</w:t>
            </w:r>
          </w:p>
        </w:tc>
        <w:tc>
          <w:tcPr>
            <w:tcW w:w="848" w:type="dxa"/>
          </w:tcPr>
          <w:p w14:paraId="7DFB9293"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73036516" w14:textId="5542C7E5"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1.9</w:t>
            </w:r>
          </w:p>
        </w:tc>
        <w:tc>
          <w:tcPr>
            <w:tcW w:w="2344" w:type="dxa"/>
          </w:tcPr>
          <w:p w14:paraId="7D72B598" w14:textId="77777777" w:rsidR="009C7D8B" w:rsidRDefault="00771574" w:rsidP="00771574">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771574">
              <w:rPr>
                <w:rFonts w:ascii="Calibri Light" w:eastAsia="MS Mincho" w:hAnsi="Calibri Light" w:cs="Calibri Light"/>
                <w:lang w:eastAsia="en-US"/>
              </w:rPr>
              <w:t>CORPORATE SOCIAL PERFORMANCE AND FINANCIAL STABILITY: EVIDENCE FROM ISLAMIC, SOCIAL AND CONVENTIONAL BANKING MODELS</w:t>
            </w:r>
          </w:p>
          <w:p w14:paraId="66030198" w14:textId="6E871C07" w:rsidR="00055DD9" w:rsidRDefault="00055DD9" w:rsidP="00771574">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tc>
        <w:tc>
          <w:tcPr>
            <w:tcW w:w="1441" w:type="dxa"/>
          </w:tcPr>
          <w:p w14:paraId="1C61087A" w14:textId="78DD7829" w:rsidR="009C7D8B" w:rsidRDefault="00771574"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771574">
              <w:rPr>
                <w:rFonts w:ascii="Calibri Light" w:eastAsia="MS Mincho" w:hAnsi="Calibri Light" w:cs="Calibri Light"/>
                <w:lang w:eastAsia="en-US"/>
              </w:rPr>
              <w:t>Bank Indonesia Institute</w:t>
            </w:r>
          </w:p>
        </w:tc>
      </w:tr>
      <w:tr w:rsidR="00B75A4B" w14:paraId="4F9ADA26" w14:textId="77777777" w:rsidTr="00835E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tcPr>
          <w:p w14:paraId="10557A7E" w14:textId="77777777" w:rsidR="001C1AEE" w:rsidRDefault="001C1AEE" w:rsidP="00706053">
            <w:pPr>
              <w:autoSpaceDE/>
              <w:autoSpaceDN/>
              <w:spacing w:after="200" w:line="276" w:lineRule="auto"/>
              <w:jc w:val="center"/>
              <w:rPr>
                <w:rFonts w:ascii="Calibri Light" w:eastAsia="MS Mincho" w:hAnsi="Calibri Light" w:cs="Calibri Light"/>
                <w:b w:val="0"/>
                <w:bCs w:val="0"/>
                <w:lang w:eastAsia="en-US"/>
              </w:rPr>
            </w:pPr>
          </w:p>
          <w:p w14:paraId="71F99873" w14:textId="0F6427BF" w:rsidR="009C7D8B" w:rsidRDefault="00AD5DCB" w:rsidP="00706053">
            <w:pPr>
              <w:autoSpaceDE/>
              <w:autoSpaceDN/>
              <w:spacing w:after="200" w:line="276" w:lineRule="auto"/>
              <w:jc w:val="center"/>
              <w:rPr>
                <w:rFonts w:ascii="Calibri Light" w:eastAsia="MS Mincho" w:hAnsi="Calibri Light" w:cs="Calibri Light"/>
                <w:lang w:eastAsia="en-US"/>
              </w:rPr>
            </w:pPr>
            <w:r w:rsidRPr="00AD5DCB">
              <w:rPr>
                <w:rFonts w:ascii="Calibri Light" w:eastAsia="MS Mincho" w:hAnsi="Calibri Light" w:cs="Calibri Light"/>
                <w:lang w:eastAsia="en-US"/>
              </w:rPr>
              <w:t>Banks And Bank Systems</w:t>
            </w:r>
          </w:p>
        </w:tc>
        <w:tc>
          <w:tcPr>
            <w:tcW w:w="1008" w:type="dxa"/>
          </w:tcPr>
          <w:p w14:paraId="3D2BB993" w14:textId="77777777" w:rsidR="00835E51" w:rsidRDefault="00835E51"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0F5A7615" w14:textId="3733114E"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293</w:t>
            </w:r>
          </w:p>
        </w:tc>
        <w:tc>
          <w:tcPr>
            <w:tcW w:w="762" w:type="dxa"/>
          </w:tcPr>
          <w:p w14:paraId="77C3D4B4" w14:textId="77777777" w:rsidR="00835E51" w:rsidRDefault="00835E51"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1C70B250" w14:textId="517B06E1"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776</w:t>
            </w:r>
          </w:p>
        </w:tc>
        <w:tc>
          <w:tcPr>
            <w:tcW w:w="848" w:type="dxa"/>
          </w:tcPr>
          <w:p w14:paraId="5D5134D1"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042488B1" w14:textId="5EF7A3BB"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2.6</w:t>
            </w:r>
          </w:p>
        </w:tc>
        <w:tc>
          <w:tcPr>
            <w:tcW w:w="2344" w:type="dxa"/>
          </w:tcPr>
          <w:p w14:paraId="670F54DE" w14:textId="77777777" w:rsidR="00055DD9" w:rsidRDefault="007E4168" w:rsidP="001C1AEE">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7E4168">
              <w:rPr>
                <w:rFonts w:ascii="Calibri Light" w:eastAsia="MS Mincho" w:hAnsi="Calibri Light" w:cs="Calibri Light"/>
                <w:lang w:eastAsia="en-US"/>
              </w:rPr>
              <w:t>How does global economic policy uncertainty affect Islamic bank performance? An exploration from heterogeneous sample</w:t>
            </w:r>
          </w:p>
          <w:p w14:paraId="2A7560C2" w14:textId="6C553050" w:rsidR="001C1AEE" w:rsidRDefault="001C1AEE" w:rsidP="001C1AEE">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tc>
        <w:tc>
          <w:tcPr>
            <w:tcW w:w="1441" w:type="dxa"/>
          </w:tcPr>
          <w:p w14:paraId="740DC711" w14:textId="318900A4" w:rsidR="009C7D8B" w:rsidRDefault="007E4168"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7E4168">
              <w:rPr>
                <w:rFonts w:ascii="Calibri Light" w:eastAsia="MS Mincho" w:hAnsi="Calibri Light" w:cs="Calibri Light"/>
                <w:lang w:eastAsia="en-US"/>
              </w:rPr>
              <w:t>Business Perspectives</w:t>
            </w:r>
          </w:p>
        </w:tc>
      </w:tr>
    </w:tbl>
    <w:p w14:paraId="474CB66A" w14:textId="77777777" w:rsidR="003E017E" w:rsidRDefault="003E017E" w:rsidP="003E017E">
      <w:pPr>
        <w:autoSpaceDE/>
        <w:autoSpaceDN/>
        <w:spacing w:after="200" w:line="276" w:lineRule="auto"/>
        <w:ind w:left="426"/>
        <w:rPr>
          <w:rFonts w:ascii="Calibri Light" w:eastAsia="MS Mincho" w:hAnsi="Calibri Light" w:cs="Calibri Light"/>
          <w:sz w:val="24"/>
          <w:szCs w:val="24"/>
          <w:lang w:eastAsia="en-US"/>
        </w:rPr>
      </w:pPr>
      <w:r w:rsidRPr="003E017E">
        <w:rPr>
          <w:rFonts w:ascii="Calibri Light" w:eastAsia="MS Mincho" w:hAnsi="Calibri Light" w:cs="Calibri Light"/>
          <w:sz w:val="24"/>
          <w:szCs w:val="24"/>
          <w:lang w:eastAsia="en-US"/>
        </w:rPr>
        <w:t xml:space="preserve">TP= Total publications, TC= total citations </w:t>
      </w:r>
    </w:p>
    <w:p w14:paraId="1EBA4C29" w14:textId="7E797C41" w:rsidR="001834D8" w:rsidRDefault="003E017E" w:rsidP="003E017E">
      <w:pPr>
        <w:autoSpaceDE/>
        <w:autoSpaceDN/>
        <w:spacing w:after="200" w:line="276" w:lineRule="auto"/>
        <w:ind w:left="426"/>
        <w:jc w:val="center"/>
        <w:rPr>
          <w:rFonts w:ascii="Calibri Light" w:eastAsia="MS Mincho" w:hAnsi="Calibri Light" w:cs="Calibri Light"/>
          <w:sz w:val="24"/>
          <w:szCs w:val="24"/>
          <w:rtl/>
          <w:lang w:eastAsia="en-US"/>
        </w:rPr>
      </w:pPr>
      <w:r w:rsidRPr="00A03679">
        <w:rPr>
          <w:rFonts w:ascii="Calibri Light" w:eastAsia="MS Mincho" w:hAnsi="Calibri Light" w:cs="Calibri Light"/>
          <w:b/>
          <w:bCs/>
          <w:sz w:val="24"/>
          <w:szCs w:val="24"/>
          <w:lang w:eastAsia="en-US"/>
        </w:rPr>
        <w:t xml:space="preserve">Table </w:t>
      </w:r>
      <w:r w:rsidR="00A03679" w:rsidRPr="00A03679">
        <w:rPr>
          <w:rFonts w:ascii="Calibri Light" w:eastAsia="MS Mincho" w:hAnsi="Calibri Light" w:cs="Calibri Light"/>
          <w:b/>
          <w:bCs/>
          <w:sz w:val="24"/>
          <w:szCs w:val="24"/>
          <w:lang w:eastAsia="en-US"/>
        </w:rPr>
        <w:t>3</w:t>
      </w:r>
      <w:r w:rsidRPr="00A03679">
        <w:rPr>
          <w:rFonts w:ascii="Calibri Light" w:eastAsia="MS Mincho" w:hAnsi="Calibri Light" w:cs="Calibri Light"/>
          <w:b/>
          <w:bCs/>
          <w:sz w:val="24"/>
          <w:szCs w:val="24"/>
          <w:lang w:eastAsia="en-US"/>
        </w:rPr>
        <w:t>.</w:t>
      </w:r>
      <w:r w:rsidRPr="003E017E">
        <w:rPr>
          <w:rFonts w:ascii="Calibri Light" w:eastAsia="MS Mincho" w:hAnsi="Calibri Light" w:cs="Calibri Light"/>
          <w:sz w:val="24"/>
          <w:szCs w:val="24"/>
          <w:lang w:eastAsia="en-US"/>
        </w:rPr>
        <w:t xml:space="preserve"> Summary of the most relevant journals</w:t>
      </w:r>
    </w:p>
    <w:p w14:paraId="2851AA7E" w14:textId="2BAC214F" w:rsidR="009E336E" w:rsidRDefault="009E336E" w:rsidP="009E336E">
      <w:pPr>
        <w:autoSpaceDE/>
        <w:autoSpaceDN/>
        <w:spacing w:after="200" w:line="276" w:lineRule="auto"/>
        <w:ind w:left="426"/>
        <w:jc w:val="both"/>
        <w:rPr>
          <w:rFonts w:ascii="Calibri Light" w:eastAsia="MS Mincho" w:hAnsi="Calibri Light" w:cs="Calibri Light"/>
          <w:sz w:val="24"/>
          <w:szCs w:val="24"/>
          <w:rtl/>
          <w:lang w:eastAsia="en-US"/>
        </w:rPr>
      </w:pPr>
      <w:r w:rsidRPr="009E336E">
        <w:rPr>
          <w:rFonts w:ascii="Calibri Light" w:eastAsia="MS Mincho" w:hAnsi="Calibri Light" w:cs="Calibri Light"/>
          <w:sz w:val="24"/>
          <w:szCs w:val="24"/>
          <w:lang w:eastAsia="en-US"/>
        </w:rPr>
        <w:t>Table</w:t>
      </w:r>
      <w:r w:rsidR="00BB50DF">
        <w:rPr>
          <w:rFonts w:ascii="Calibri Light" w:eastAsia="MS Mincho" w:hAnsi="Calibri Light" w:cs="Calibri Light"/>
          <w:sz w:val="24"/>
          <w:szCs w:val="24"/>
          <w:lang w:eastAsia="en-US"/>
        </w:rPr>
        <w:t xml:space="preserve"> 3 </w:t>
      </w:r>
      <w:r w:rsidRPr="009E336E">
        <w:rPr>
          <w:rFonts w:ascii="Calibri Light" w:eastAsia="MS Mincho" w:hAnsi="Calibri Light" w:cs="Calibri Light"/>
          <w:sz w:val="24"/>
          <w:szCs w:val="24"/>
          <w:lang w:eastAsia="en-US"/>
        </w:rPr>
        <w:t xml:space="preserve">presents a comparative analysis of the most prominent academic journals specializing in Islamic accounting, </w:t>
      </w:r>
      <w:r w:rsidR="00BB50DF">
        <w:rPr>
          <w:rFonts w:ascii="Calibri Light" w:eastAsia="MS Mincho" w:hAnsi="Calibri Light" w:cs="Calibri Light"/>
          <w:sz w:val="24"/>
          <w:szCs w:val="24"/>
          <w:lang w:eastAsia="en-US"/>
        </w:rPr>
        <w:t>banking</w:t>
      </w:r>
      <w:r w:rsidRPr="009E336E">
        <w:rPr>
          <w:rFonts w:ascii="Calibri Light" w:eastAsia="MS Mincho" w:hAnsi="Calibri Light" w:cs="Calibri Light"/>
          <w:sz w:val="24"/>
          <w:szCs w:val="24"/>
          <w:lang w:eastAsia="en-US"/>
        </w:rPr>
        <w:t xml:space="preserve"> and finance, based on scientific productivity (total publications), academic impact (total citations), and research quality (CiteScore)</w:t>
      </w:r>
      <w:r w:rsidR="00C6181C">
        <w:rPr>
          <w:rFonts w:ascii="Calibri Light" w:eastAsia="MS Mincho" w:hAnsi="Calibri Light" w:cs="Calibri Light"/>
          <w:sz w:val="24"/>
          <w:szCs w:val="24"/>
          <w:lang w:eastAsia="en-US"/>
        </w:rPr>
        <w:t xml:space="preserve"> </w:t>
      </w:r>
      <w:r w:rsidR="00C6181C">
        <w:rPr>
          <w:rFonts w:ascii="Calibri Light" w:eastAsia="MS Mincho" w:hAnsi="Calibri Light" w:cs="Calibri Light"/>
          <w:sz w:val="24"/>
          <w:szCs w:val="24"/>
          <w:lang w:eastAsia="en-US"/>
        </w:rPr>
        <w:fldChar w:fldCharType="begin" w:fldLock="1"/>
      </w:r>
      <w:r w:rsidR="00C56155">
        <w:rPr>
          <w:rFonts w:ascii="Calibri Light" w:eastAsia="MS Mincho" w:hAnsi="Calibri Light" w:cs="Calibri Light"/>
          <w:sz w:val="24"/>
          <w:szCs w:val="24"/>
          <w:lang w:eastAsia="en-US"/>
        </w:rPr>
        <w:instrText>ADDIN CSL_CITATION {"citationItems":[{"id":"ITEM-1","itemData":{"ISSN":"2965-730X","author":[{"dropping-particle":"","family":"Ali","given":"Mohamad","non-dropping-particle":"","parse-names":false,"suffix":""},{"dropping-particle":"","family":"Tamami","given":"Fauziyah Qurrota A’yun","non-dropping-particle":"","parse-names":false,"suffix":""},{"dropping-particle":"","family":"Rahmawati","given":"Siti","non-dropping-particle":"","parse-names":false,"suffix":""},{"dropping-particle":"","family":"Elbanna","given":"Mariam","non-dropping-particle":"","parse-names":false,"suffix":""},{"dropping-particle":"","family":"AN","given":"Andri Nirwana","non-dropping-particle":"","parse-names":false,"suffix":""}],"container-title":"Journal of Lifestyle and SDGs Review","id":"ITEM-1","issue":"1","issued":{"date-parts":[["2025"]]},"page":"e03295-e03295","title":"Tracking Education Transformation Towards Sustainable Development Goals: A Bibliometric Review on the Influence of Socioeconomic Factors in the Education Ecosystem","type":"article-journal","volume":"5"},"uris":["http://www.mendeley.com/documents/?uuid=1790e42b-64c2-48a0-857d-df3572910017"]}],"mendeley":{"formattedCitation":"(M. Ali et al., 2025)","plainTextFormattedCitation":"(M. Ali et al., 2025)","previouslyFormattedCitation":"(M. Ali et al., 2025)"},"properties":{"noteIndex":0},"schema":"https://github.com/citation-style-language/schema/raw/master/csl-citation.json"}</w:instrText>
      </w:r>
      <w:r w:rsidR="00C6181C">
        <w:rPr>
          <w:rFonts w:ascii="Calibri Light" w:eastAsia="MS Mincho" w:hAnsi="Calibri Light" w:cs="Calibri Light"/>
          <w:sz w:val="24"/>
          <w:szCs w:val="24"/>
          <w:lang w:eastAsia="en-US"/>
        </w:rPr>
        <w:fldChar w:fldCharType="separate"/>
      </w:r>
      <w:r w:rsidR="00C6181C" w:rsidRPr="00C6181C">
        <w:rPr>
          <w:rFonts w:ascii="Calibri Light" w:eastAsia="MS Mincho" w:hAnsi="Calibri Light" w:cs="Calibri Light"/>
          <w:noProof/>
          <w:sz w:val="24"/>
          <w:szCs w:val="24"/>
          <w:lang w:eastAsia="en-US"/>
        </w:rPr>
        <w:t>(M. Ali et al., 2025)</w:t>
      </w:r>
      <w:r w:rsidR="00C6181C">
        <w:rPr>
          <w:rFonts w:ascii="Calibri Light" w:eastAsia="MS Mincho" w:hAnsi="Calibri Light" w:cs="Calibri Light"/>
          <w:sz w:val="24"/>
          <w:szCs w:val="24"/>
          <w:lang w:eastAsia="en-US"/>
        </w:rPr>
        <w:fldChar w:fldCharType="end"/>
      </w:r>
      <w:r w:rsidRPr="009E336E">
        <w:rPr>
          <w:rFonts w:ascii="Calibri Light" w:eastAsia="MS Mincho" w:hAnsi="Calibri Light" w:cs="Calibri Light"/>
          <w:sz w:val="24"/>
          <w:szCs w:val="24"/>
          <w:lang w:eastAsia="en-US"/>
        </w:rPr>
        <w:t>. The Journal of Islamic Marketing stands out as the most influential, with the highest number of citations and the highest CiteScore, reflecting its distinguished academic status in the field. The significance of this analysis lies in its ability to guide</w:t>
      </w:r>
      <w:r w:rsidR="00BB50DF">
        <w:rPr>
          <w:rFonts w:ascii="Calibri Light" w:eastAsia="MS Mincho" w:hAnsi="Calibri Light" w:cs="Calibri Light"/>
          <w:sz w:val="24"/>
          <w:szCs w:val="24"/>
          <w:lang w:eastAsia="en-US"/>
        </w:rPr>
        <w:t xml:space="preserve"> </w:t>
      </w:r>
      <w:r w:rsidRPr="009E336E">
        <w:rPr>
          <w:rFonts w:ascii="Calibri Light" w:eastAsia="MS Mincho" w:hAnsi="Calibri Light" w:cs="Calibri Light"/>
          <w:sz w:val="24"/>
          <w:szCs w:val="24"/>
          <w:lang w:eastAsia="en-US"/>
        </w:rPr>
        <w:t>toward the most credible and impactful sources in the discipline, particularly when constructing the theoretical framework or selecting relevant literature. In the context of my research in Islamic economic law, referring to these journals is essential to enhance the credibility of the study and to rely on well-established and up-to-date scholarly literature in the field</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{"citationItems":[{"id":"ITEM-1","itemData":{"DOI":"10.1177/1350508420939245","ISSN":"13505084 (ISSN)","abstract":"In this article, we use the critical theory literature to describe the processes of co-optation by which capitalism engages with its radical alternatives in order to subvert their emancipatory potential. We chose the global Islamic banking industry as our empirical context, which represents bold efforts to build a radical alternative embedded in Islamic moral precepts. However, we observed that the performative intent of capitalist discourse, reflected in a strong preoccupation with effectiveness and efficiency, has come to dominate all economic claims in the Islamic banking industry. The oppositional ideas that were intended to disturb the economic status quo now reproduce it along with its privileges, despite the vaulted rhetoric about establishing a genuine alternative. The article ends by mapping out some implications of re-introducing co-optation in the critical theory literature. © The Author(s) 2020.","author":[{"dropping-particle":"","family":"Ul-Haq","given":"S","non-dropping-particle":"","parse-names":false,"suffix":""},{"dropping-particle":"","family":"Lone","given":"R A","non-dropping-particle":"","parse-names":false,"suffix":""},{"dropping-particle":"","family":"Ashraf","given":"N","non-dropping-particle":"","parse-names":false,"suffix":""}],"container-title":"Organization","id":"ITEM-1","issue":"1","issued":{"date-parts":[["2022"]]},"language":"English","note":"Export Date: 24 April 2025; Cited By: 13; Correspondence Address: N. Ashraf; Montpellier Business School, France; email: naeem.ashrf@gmail.com","page":"129-154","publisher":"SAGE Publications Ltd","publisher-place":"Karachi School of Business and Leadership, Pakistan","title":"A theory of capitalist co-optation of radical alternatives: The case of Islamic banking industry","type":"article-journal","volume":"29"},"uris":["http://www.mendeley.com/documents/?uuid=0eb88330-f38b-47a2-aa86-53b52d19b927"]}],"mendeley":{"formattedCitation":"(Ul-Haq et al., 2022)","plainTextFormattedCitation":"(Ul-Haq et al., 2022)","previouslyFormattedCitation":"(Ul-Haq et al., 2022)"},"properties":{"noteIndex":0},"schema":"https://github.com/citation-style-language/schema/raw/master/csl-citation.json"}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(Ul-Haq et al., 2022)</w:t>
      </w:r>
      <w:r w:rsidR="00BF5A85">
        <w:rPr>
          <w:rFonts w:ascii="Calibri Light" w:eastAsia="MS Mincho" w:hAnsi="Calibri Light" w:cs="Calibri Light"/>
          <w:sz w:val="24"/>
          <w:szCs w:val="24"/>
          <w:lang w:eastAsia="en-US"/>
        </w:rPr>
        <w:fldChar w:fldCharType="end"/>
      </w:r>
      <w:r w:rsidRPr="009E336E">
        <w:rPr>
          <w:rFonts w:ascii="Calibri Light" w:eastAsia="MS Mincho" w:hAnsi="Calibri Light" w:cs="Calibri Light"/>
          <w:sz w:val="24"/>
          <w:szCs w:val="24"/>
          <w:lang w:eastAsia="en-US"/>
        </w:rPr>
        <w:t>.</w:t>
      </w:r>
    </w:p>
    <w:p w14:paraId="5AC30BE7" w14:textId="0D6C7110" w:rsidR="001A4C9F" w:rsidRDefault="001A4C9F" w:rsidP="003E017E">
      <w:pPr>
        <w:autoSpaceDE/>
        <w:autoSpaceDN/>
        <w:spacing w:after="200" w:line="276" w:lineRule="auto"/>
        <w:ind w:left="426"/>
        <w:jc w:val="center"/>
        <w:rPr>
          <w:rFonts w:ascii="Calibri Light" w:eastAsia="MS Mincho" w:hAnsi="Calibri Light" w:cs="Calibri Light"/>
          <w:sz w:val="24"/>
          <w:szCs w:val="24"/>
          <w:rtl/>
          <w:lang w:eastAsia="en-US"/>
        </w:rPr>
      </w:pPr>
      <w:r>
        <w:rPr>
          <w:noProof/>
        </w:rPr>
        <w:lastRenderedPageBreak/>
        <w:drawing>
          <wp:inline distT="0" distB="0" distL="0" distR="0" wp14:anchorId="6D6810D8" wp14:editId="54601888">
            <wp:extent cx="4582140" cy="2638096"/>
            <wp:effectExtent l="0" t="0" r="9525" b="0"/>
            <wp:docPr id="90692071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03097" cy="2650162"/>
                    </a:xfrm>
                    <a:prstGeom prst="rect">
                      <a:avLst/>
                    </a:prstGeom>
                    <a:noFill/>
                    <a:ln>
                      <a:noFill/>
                    </a:ln>
                  </pic:spPr>
                </pic:pic>
              </a:graphicData>
            </a:graphic>
          </wp:inline>
        </w:drawing>
      </w:r>
    </w:p>
    <w:p w14:paraId="1612541A" w14:textId="40C3F1A3" w:rsidR="001A4C9F" w:rsidRDefault="001A4C9F" w:rsidP="001A4C9F">
      <w:pPr>
        <w:autoSpaceDE/>
        <w:autoSpaceDN/>
        <w:spacing w:after="200" w:line="276" w:lineRule="auto"/>
        <w:ind w:left="426"/>
        <w:jc w:val="center"/>
        <w:rPr>
          <w:rFonts w:ascii="Calibri Light" w:eastAsia="MS Mincho" w:hAnsi="Calibri Light" w:cs="Calibri Light"/>
          <w:sz w:val="24"/>
          <w:szCs w:val="24"/>
          <w:rtl/>
          <w:lang w:eastAsia="en-US"/>
        </w:rPr>
      </w:pPr>
      <w:r w:rsidRPr="001A4C9F">
        <w:rPr>
          <w:rFonts w:ascii="Calibri Light" w:eastAsia="MS Mincho" w:hAnsi="Calibri Light" w:cs="Calibri Light"/>
          <w:b/>
          <w:bCs/>
          <w:sz w:val="24"/>
          <w:szCs w:val="24"/>
          <w:lang w:eastAsia="en-US"/>
        </w:rPr>
        <w:t xml:space="preserve">Figure </w:t>
      </w:r>
      <w:r w:rsidR="001F582A">
        <w:rPr>
          <w:rFonts w:ascii="Calibri Light" w:eastAsia="MS Mincho" w:hAnsi="Calibri Light" w:cs="Calibri Light"/>
          <w:b/>
          <w:bCs/>
          <w:sz w:val="24"/>
          <w:szCs w:val="24"/>
          <w:lang w:eastAsia="en-US"/>
        </w:rPr>
        <w:t>9</w:t>
      </w:r>
      <w:r w:rsidRPr="001A4C9F">
        <w:rPr>
          <w:rFonts w:ascii="Calibri Light" w:eastAsia="MS Mincho" w:hAnsi="Calibri Light" w:cs="Calibri Light"/>
          <w:b/>
          <w:bCs/>
          <w:sz w:val="24"/>
          <w:szCs w:val="24"/>
          <w:lang w:eastAsia="en-US"/>
        </w:rPr>
        <w:t>.</w:t>
      </w:r>
      <w:r w:rsidRPr="001A4C9F">
        <w:rPr>
          <w:rFonts w:ascii="Calibri Light" w:eastAsia="MS Mincho" w:hAnsi="Calibri Light" w:cs="Calibri Light"/>
          <w:sz w:val="24"/>
          <w:szCs w:val="24"/>
          <w:lang w:eastAsia="en-US"/>
        </w:rPr>
        <w:t xml:space="preserve"> The Top 10 Journals according to Scopus ranking</w:t>
      </w:r>
    </w:p>
    <w:p w14:paraId="474BE7FE" w14:textId="00F79E72" w:rsidR="008F1989" w:rsidRPr="00E758FF" w:rsidRDefault="00E758FF" w:rsidP="00B06D1D">
      <w:pPr>
        <w:autoSpaceDE/>
        <w:autoSpaceDN/>
        <w:spacing w:after="200" w:line="276" w:lineRule="auto"/>
        <w:ind w:left="426"/>
        <w:jc w:val="both"/>
        <w:rPr>
          <w:rFonts w:ascii="Calibri Light" w:eastAsia="MS Mincho" w:hAnsi="Calibri Light" w:cs="Calibri Light"/>
          <w:b/>
          <w:bCs/>
          <w:sz w:val="24"/>
          <w:szCs w:val="24"/>
          <w:rtl/>
          <w:lang w:eastAsia="en-US"/>
        </w:rPr>
      </w:pPr>
      <w:r w:rsidRPr="00E758FF">
        <w:rPr>
          <w:rFonts w:ascii="Calibri Light" w:eastAsia="MS Mincho" w:hAnsi="Calibri Light" w:cs="Calibri Light"/>
          <w:b/>
          <w:bCs/>
          <w:sz w:val="24"/>
          <w:szCs w:val="24"/>
          <w:lang w:eastAsia="en-US"/>
        </w:rPr>
        <w:t>3.</w:t>
      </w:r>
      <w:r>
        <w:rPr>
          <w:rFonts w:ascii="Calibri Light" w:eastAsia="MS Mincho" w:hAnsi="Calibri Light" w:cs="Calibri Light" w:hint="cs"/>
          <w:b/>
          <w:bCs/>
          <w:sz w:val="24"/>
          <w:szCs w:val="24"/>
          <w:rtl/>
          <w:lang w:eastAsia="en-US"/>
        </w:rPr>
        <w:t>5</w:t>
      </w:r>
      <w:r w:rsidRPr="00E758FF">
        <w:rPr>
          <w:rFonts w:ascii="Calibri Light" w:eastAsia="MS Mincho" w:hAnsi="Calibri Light" w:cs="Calibri Light"/>
          <w:b/>
          <w:bCs/>
          <w:sz w:val="24"/>
          <w:szCs w:val="24"/>
          <w:lang w:eastAsia="en-US"/>
        </w:rPr>
        <w:t>.</w:t>
      </w:r>
      <w:r>
        <w:rPr>
          <w:rFonts w:ascii="Calibri Light" w:eastAsia="MS Mincho" w:hAnsi="Calibri Light" w:cs="Calibri Light" w:hint="cs"/>
          <w:b/>
          <w:bCs/>
          <w:sz w:val="24"/>
          <w:szCs w:val="24"/>
          <w:rtl/>
          <w:lang w:eastAsia="en-US"/>
        </w:rPr>
        <w:t xml:space="preserve"> </w:t>
      </w:r>
      <w:r w:rsidRPr="00E758FF">
        <w:rPr>
          <w:rFonts w:ascii="Calibri Light" w:eastAsia="MS Mincho" w:hAnsi="Calibri Light" w:cs="Calibri Light"/>
          <w:b/>
          <w:bCs/>
          <w:sz w:val="24"/>
          <w:szCs w:val="24"/>
          <w:lang w:eastAsia="en-US"/>
        </w:rPr>
        <w:t>Word Analysis using Most Frequent Words</w:t>
      </w:r>
    </w:p>
    <w:p w14:paraId="21A4B217" w14:textId="0ED9A596" w:rsidR="00E758FF" w:rsidRPr="00E758FF" w:rsidRDefault="00E758FF" w:rsidP="00BF5A85">
      <w:pPr>
        <w:autoSpaceDE/>
        <w:autoSpaceDN/>
        <w:spacing w:after="200" w:line="276" w:lineRule="auto"/>
        <w:ind w:left="426"/>
        <w:jc w:val="both"/>
        <w:rPr>
          <w:rFonts w:ascii="Calibri Light" w:eastAsia="MS Mincho" w:hAnsi="Calibri Light" w:cs="Calibri Light"/>
          <w:sz w:val="24"/>
          <w:szCs w:val="24"/>
          <w:lang w:eastAsia="en-US"/>
        </w:rPr>
      </w:pPr>
      <w:r w:rsidRPr="00E758FF">
        <w:rPr>
          <w:rFonts w:ascii="Calibri Light" w:eastAsia="MS Mincho" w:hAnsi="Calibri Light" w:cs="Calibri Light"/>
          <w:sz w:val="24"/>
          <w:szCs w:val="24"/>
          <w:lang w:eastAsia="en-US"/>
        </w:rPr>
        <w:t xml:space="preserve">Figure </w:t>
      </w:r>
      <w:r w:rsidR="001F582A">
        <w:rPr>
          <w:rFonts w:ascii="Calibri Light" w:eastAsia="MS Mincho" w:hAnsi="Calibri Light" w:cs="Calibri Light"/>
          <w:sz w:val="24"/>
          <w:szCs w:val="24"/>
          <w:lang w:eastAsia="en-US"/>
        </w:rPr>
        <w:t>10</w:t>
      </w:r>
      <w:r>
        <w:rPr>
          <w:rFonts w:ascii="Calibri Light" w:eastAsia="MS Mincho" w:hAnsi="Calibri Light" w:cs="Calibri Light"/>
          <w:sz w:val="24"/>
          <w:szCs w:val="24"/>
          <w:lang w:eastAsia="en-US"/>
        </w:rPr>
        <w:t xml:space="preserve"> </w:t>
      </w:r>
      <w:r w:rsidRPr="00E758FF">
        <w:rPr>
          <w:rFonts w:ascii="Calibri Light" w:eastAsia="MS Mincho" w:hAnsi="Calibri Light" w:cs="Calibri Light"/>
          <w:sz w:val="24"/>
          <w:szCs w:val="24"/>
          <w:lang w:eastAsia="en-US"/>
        </w:rPr>
        <w:t>show a keyword co-occurrence network generated using VOSviewer based on bibliometric data derived from 1,149   publications collected from the Scopus database</w:t>
      </w:r>
      <w:r w:rsidR="00C6181C">
        <w:rPr>
          <w:rFonts w:ascii="Calibri Light" w:eastAsia="MS Mincho" w:hAnsi="Calibri Light" w:cs="Calibri Light"/>
          <w:sz w:val="24"/>
          <w:szCs w:val="24"/>
          <w:lang w:eastAsia="en-US"/>
        </w:rPr>
        <w:t xml:space="preserve"> </w:t>
      </w:r>
      <w:r w:rsidR="00C6181C">
        <w:rPr>
          <w:rFonts w:ascii="Calibri Light" w:eastAsia="MS Mincho" w:hAnsi="Calibri Light" w:cs="Calibri Light"/>
          <w:sz w:val="24"/>
          <w:szCs w:val="24"/>
          <w:lang w:eastAsia="en-US"/>
        </w:rPr>
        <w:fldChar w:fldCharType="begin" w:fldLock="1"/>
      </w:r>
      <w:r w:rsidR="00C6181C">
        <w:rPr>
          <w:rFonts w:ascii="Calibri Light" w:eastAsia="MS Mincho" w:hAnsi="Calibri Light" w:cs="Calibri Light"/>
          <w:sz w:val="24"/>
          <w:szCs w:val="24"/>
          <w:lang w:eastAsia="en-US"/>
        </w:rPr>
        <w:instrText>ADDIN CSL_CITATION {"citationItems":[{"id":"ITEM-1","itemData":{"DOI":"https://doi.org/10.23917/qist.v4i1.7360","ISSN":"2828-2779","abstract":"This study aims to conduct a bibliometric analysis of research intersecting the Sustainable Development Goals (SDGs) and Maqasid Shariah Tafsir, with a focus on using VOSviewer software to visualize research patterns and trends. The analysis spans the last decade, exploring publication trends over time, influential journals, prolific authors, and the most productive countries and institutions in this field. The results show a significant growth in research integrating Maqasid Shariah principles, focusing on the preservation of religion, life, intellect, lineage, and wealth, with the 17 SDGs, such as poverty eradication, quality education, and environmental sustainability. The analysis also highlights key research keywords and emerging themes, such as ethical governance, social justice, and economic sustainability. Using VOSviewer helps create visual maps of research networks, providing insights into relationships between authors, institutions, and keywords. The analysis reveals the prominent role of specific countries and institutions that support research in this area, emphasizing the importance of interdisciplinary collaboration in advancing this discourse. The study provides a foundation for understanding the relationship between Shariah principles and the SDGs, opening avenues for future research aimed at enhancing the use of Islamic values to address global sustainability challenges. The findings assist policymakers and researchers in identifying research gaps and collaboration opportunities for greater impact.","author":[{"dropping-particle":"","family":"Elbanna","given":"Mariam","non-dropping-particle":"","parse-names":false,"suffix":""},{"dropping-particle":"","family":"Wadi","given":"Munshid Falih","non-dropping-particle":"","parse-names":false,"suffix":""},{"dropping-particle":"","family":"Radiamoda","given":"Anwar M.","non-dropping-particle":"","parse-names":false,"suffix":""},{"dropping-particle":"","family":"Matsuyama","given":"Yohei","non-dropping-particle":"","parse-names":false,"suffix":""},{"dropping-particle":"Bin","family":"Ishak","given":"Mohamad Haeqal","non-dropping-particle":"","parse-names":false,"suffix":""}],"container-title":"QiST: Journal of Quran and Tafseer Studies","id":"ITEM-1","issue":"1","issued":{"date-parts":[["2025","1","3"]]},"page":"1-22","title":"A Bibliometric Analysis of Sustainable Development Goals (SDGs) Through the Lens of Maqasid Shariah Tafsir","type":"article-journal","volume":"4"},"uris":["http://www.mendeley.com/documents/?uuid=d931fe88-e306-4ffa-8e96-190819c6bf2a"]}],"mendeley":{"formattedCitation":"(Elbanna et al., 2025)","plainTextFormattedCitation":"(Elbanna et al., 2025)","previouslyFormattedCitation":"(Elbanna et al., 2025)"},"properties":{"noteIndex":0},"schema":"https://github.com/citation-style-language/schema/raw/master/csl-citation.json"}</w:instrText>
      </w:r>
      <w:r w:rsidR="00C6181C">
        <w:rPr>
          <w:rFonts w:ascii="Calibri Light" w:eastAsia="MS Mincho" w:hAnsi="Calibri Light" w:cs="Calibri Light"/>
          <w:sz w:val="24"/>
          <w:szCs w:val="24"/>
          <w:lang w:eastAsia="en-US"/>
        </w:rPr>
        <w:fldChar w:fldCharType="separate"/>
      </w:r>
      <w:r w:rsidR="00C6181C" w:rsidRPr="00C6181C">
        <w:rPr>
          <w:rFonts w:ascii="Calibri Light" w:eastAsia="MS Mincho" w:hAnsi="Calibri Light" w:cs="Calibri Light"/>
          <w:noProof/>
          <w:sz w:val="24"/>
          <w:szCs w:val="24"/>
          <w:lang w:eastAsia="en-US"/>
        </w:rPr>
        <w:t>(Elbanna et al., 2025)</w:t>
      </w:r>
      <w:r w:rsidR="00C6181C">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xml:space="preserve">. From this dataset, a total of 2,655 keywords were initially extracted. For the purpose of clarity and analytical significance, a minimum co-occurrence threshold of five was applied—meaning only keywords that appeared at least five times across the dataset were included in the final analysis. As a result, 167 keywords met this criterion and were used to construct the visual network displayed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{"citationItems":[{"id":"ITEM-1","itemData":{"DOI":"10.1002/ijfe.1986","ISSN":"10769307 (ISSN)","abstract":"This paper empirically investigates whether intellectual capital (IC) and shariah governance jointly affect the economic performance of Islamic banks (IBs). In contrast to prior research, this paper disaggregate IC and corporate governance features and examine whether the two are jointly related to economic performance. These relationships are further explored before, during and after the financial crisis based on a sample of 64 Islamic banks operating in different regions during the period 2007–2014. The required data to calculate different constituents of IC efficiency and governance mechanism is hand collected from 512 annual reports. After controlling for other corporate governance and bank-specific characteristics (operational type, bank size, listing status, risk, type of auditor, accounting standard and region), we find both intellectual capital efficiency and shariah governance proxies (size and dominance of prominent scholars of shariah supervisory board) to have a significant positive relationship with accounting measure of performance. However, based on market performance measure, only one proxy for shariah governance mechanism, that is, prominent scholars on SSB, is found to be significant but in the negative direction. These results provide important insights into the relationship between IC efficiency, corporate governance and performance in Islamic banking business model and have policy and practical implications. © 2020 The Authors. International Journal of Finance &amp; Economics published by John Wiley &amp; Sons Ltd.","author":[{"dropping-particle":"","family":"Nawaz","given":"T","non-dropping-particle":"","parse-names":false,"suffix":""},{"dropping-particle":"","family":"Haniffa","given":"R","non-dropping-particle":"","parse-names":false,"suffix":""},{"dropping-particle":"","family":"Hudaib","given":"M","non-dropping-particle":"","parse-names":false,"suffix":""}],"container-title":"International Journal of Finance and Economics","id":"ITEM-1","issue":"3","issued":{"date-parts":[["2021"]]},"language":"English","note":"Export Date: 24 April 2025; Cited By: 41; Correspondence Address: T. Nawaz; Department of Accounting, Finance and Economics, Plymouth Business School, University of Plymouth, Plymouth, United Kingdom; email: tnawaz@plymouth.ac.uk","page":"3770-3787","publisher":"John Wiley and Sons Ltd","publisher-place":"Department of Accounting, Finance and Economics, Plymouth Business School, University of Plymouth, Plymouth, United Kingdom","title":"On intellectual capital efficiency and shariah governance in Islamic banking business model","type":"article-journal","volume":"26"},"uris":["http://www.mendeley.com/documents/?uuid=29e8403d-d67c-40ae-927e-425440d1211e"]}],"mendeley":{"formattedCitation":"(Nawaz et al., 2021)","plainTextFormattedCitation":"(Nawaz et al., 2021)","previouslyFormattedCitation":"(Nawaz et al., 2021)"},"properties":{"noteIndex":0},"schema":"https://github.com/citation-style-language/schema/raw/master/csl-citation.json"}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(Nawaz et al., 2021)</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69AE9CD9" w14:textId="0586AA52" w:rsidR="008F1989" w:rsidRDefault="00E758FF" w:rsidP="00E758FF">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ascii="Calibri Light" w:eastAsia="MS Mincho" w:hAnsi="Calibri Light" w:cs="Calibri Light"/>
          <w:sz w:val="24"/>
          <w:szCs w:val="24"/>
          <w:lang w:eastAsia="en-US"/>
        </w:rPr>
        <w:t>The network is visually organized into distinct clusters, each represented by a different color, to signify closely related keywords that frequently appear together within the literature</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{"citationItems":[{"id":"ITEM-1","itemData":{"DOI":"10.1108/QRFM-04-2024-0108","ISSN":"17554179 (ISSN)","abstract":"Purpose: This paper aims to explore Islamic banking through the lens of Maqasid Shariah so that it can be reimagined to achieve societal well-being and greater confidence of Islamic banking stakeholders in Islamic banking products and practices. Additionally, it aims to identify the gap between Islamic banking theory and its existing practices. Design/methodology/approach: This paper uses the qualitative content analysis method based on the data gathered through semistructured interviews with Islamic banking stakeholders, including Shariah scholars, Islamic economics and finance researchers and Islamic bankers. Findings: This study suggests that Maqasid Shariah represents Islam’s holistic view as a comprehensive code of life that considers individual and societal well-being. If an Islamic bank needs Shariah compliance, it is required to comply with Maqasid Shariah as well. For this purpose, this study proposes that Islamic banks should adopt value-based intermediation. Findings further suggest that the Islamic banks of Pakistan are realizing the Maqasid Aammah and many of the Maqasid Khassah relevant to Islamic banking and finance. It is revealed that Islamic banks are not merely working to maximize shareholders’ wealth but are conducting real economic activities, which bring employment, and distribute charity funds besides corporate social responsibility for the community’s welfare. This study proposes that Islamic banks, along with corporate financing and sovereign Sukuk, should also provide microfinancing to the underprivileged segments of society, which will empower and uplift their communities. This way, IBF practices can be harmonized with the idealized ones Islamic economists advocate. Ultimately, this study proposes specific reforms in Islamic banking in the light of Maqasid Shariah. Originality/value: To the best of the authors’ knowledge, this is the first study that contributes to Islamic economics and finance knowledge by integrating different perspectives of Shariah scholars, bankers and economists on Islamic banking. It also offers context for policy implications, especially regarding financial engineering. © 2024, Emerald Publishing Limited.","author":[{"dropping-particle":"","family":"Sheikh","given":"R","non-dropping-particle":"","parse-names":false,"suffix":""},{"dropping-particle":"","family":"Hussain","given":"K","non-dropping-particle":"","parse-names":false,"suffix":""}],"container-title":"Qualitative Research in Financial Markets","id":"ITEM-1","issued":{"date-parts":[["2024"]]},"language":"English","note":"Export Date: 24 April 2025; Cited By: 0; Correspondence Address: R. Sheikh; Riphah School of Leadership, Riphah International University, Islamabad, Pakistan; email: rafiullah.sheikh@riphah.edu.pk","publisher":"Emerald Publishing","publisher-place":"Riphah School of Leadership, Riphah International University, Islamabad, Pakistan","title":"Reimagining Islamic banking in the light of Maqasid Shariah","type":"article-journal"},"uris":["http://www.mendeley.com/documents/?uuid=bf705165-5e95-42e8-b7b5-8e7f8b4684e9"]}],"mendeley":{"formattedCitation":"(Sheikh &amp; Hussain, 2024)","plainTextFormattedCitation":"(Sheikh &amp; Hussain, 2024)","previouslyFormattedCitation":"(Sheikh &amp; Hussain, 2024)"},"properties":{"noteIndex":0},"schema":"https://github.com/citation-style-language/schema/raw/master/csl-citation.json"}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(Sheikh &amp; Hussain, 2024)</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The size of each keyword label reflects its frequency of occurrence, while the proximity and thickness of the lines (edges) between keywords indicate the strength of their co-occurrence relationships</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{"citationItems":[{"id":"ITEM-1","itemData":{"DOI":"10.21098/jimf.v9i4.1784","ISSN":"24606146 (ISSN)","abstract":"This article analyzes the performance of Islamic banking in Malaysia and Indonesia using a comprehensive evaluation framework. Malaysia is known for its leading role in Islamic finance, while Indonesia has faced criticism for slower growth. The study argues that assessing Islamic banking performance solely based on financial metrics is insufficient and proposes a broader framework based on the Maqasid Shariah (objectives of Islamic law) for a more objective standard. Using data from 2010 to 2019, the study constructs a Maqasid Shariah Index of Islamic Bank (MSI-iB) and adopts a T-test as well as a panel data model to evaluate their performance. The index includes five sub-indices representing different aspects of the Maqasid Shariah framework. Results show varied scores among Islamic banks in both countries with no statistical difference between the two countries, but with Indonesia leading in religiosity and intellectuality dimensions and Malaysia leading in the posterity dimension. These results challenge the perception that Malaysia’s Islamic banking performance is inherently superior to Indonesia’s based solely on financial metrics. Considering the Maqasid Shariah framework is crucial to evaluating Islamic banking performance, highlighting the significance of non-financial indicators. The study concludes that a comprehensive perspective is necessary, incorporating both financial and non-financial factors, to assess overall performance. © 2023 Bank Indonesia Institute. All Rights Reserved.","author":[{"dropping-particle":"","family":"Hakam Naja","given":"A","non-dropping-particle":"","parse-names":false,"suffix":""}],"container-title":"Journal of Islamic Monetary Economics and Finance","id":"ITEM-1","issue":"4","issued":{"date-parts":[["2023"]]},"language":"English","note":"Export Date: 24 April 2025; Cited By: 3; Correspondence Address: A. Hakam Naja; Padjadjaran University, Indonesia; email: hakamnaja219@gmail.com","page":"611-636","publisher":"Bank Indonesia Institute","publisher-place":"Padjadjaran University, Indonesia","title":"IS ISLAMIC BANKING PERFORMANCE IN MALAYSIA TRULY BETTER THAN INDONESIA?","type":"article-journal","volume":"9"},"uris":["http://www.mendeley.com/documents/?uuid=6657084a-1697-47d7-81d2-31ad655620a0"]}],"mendeley":{"formattedCitation":"(Hakam Naja, 2023)","plainTextFormattedCitation":"(Hakam Naja, 2023)","previouslyFormattedCitation":"(Hakam Naja, 2023)"},"properties":{"noteIndex":0},"schema":"https://github.com/citation-style-language/schema/raw/master/csl-citation.json"}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(Hakam Naja, 2023)</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At the center of the map, the term “Islamic banking” serves as the core node, surrounded by several overlapping thematic clusters, each distinguished by a unique color. The dark blue cluster represents core themes such as “corporate governance,” “financial development,” and “Shariah”, highlighting the structural and regulatory foundations of Islamic banking. In contrast, the red cluster focuses on terms such as “conventional banks,” “credit risk,” and “Basel accord,” reflecting comparative analyses between Islamic and conventional banking systems, particularly in the context of risk and regulation</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{"citationItems":[{"id":"ITEM-1","itemData":{"DOI":"10.22495/jgrv13i2siart3","ISSN":"22209352 (ISSN)","abstract":"This study investigates the pivotal role of robust legal instruments in driving the outstanding performance of Malaysia’s Islamic banking industry. Our primary objective is to discern the correlation between the regulatory framework’s legal strength and the industry’s achievements. To achieve this, we embark on a comprehensive exploration of the historical progression of Islamic banking in Malaysia. We scrutinize the dynamics and milestones that have shaped the industry, with particular emphasis on its impressive growth. We then delve into the development of the regulatory frameworks, analyzing how the availability of strong legal instruments has contributed to the sector’s triumph. This study finding the presence of robust legal instruments has been a catalyst for the ascension of Malaysia’s Islamic banking industry. Coupled with accommodating regulations and responsive regulatory institutions, these legal foundations have underpinned the sector’s remarkable success. This study underscores the critical importance of having sufficient legal instruments to nurture the Islamic banking industry. We recommend that governments aspiring to bolster Islamic banking’s performance consider the provision of such legal frameworks. Consequently, this research carries significant implications for policymakers and industry stakeholders alike, offering insights into the essential ingredients for fostering a thriving Islamic banking sector. © 2024 The Authors.","author":[{"dropping-particle":"","family":"Triyanta","given":"A","non-dropping-particle":"","parse-names":false,"suffix":""},{"dropping-particle":"","family":"Hassan","given":"R","non-dropping-particle":"","parse-names":false,"suffix":""}],"container-title":"Journal of Governance and Regulation","id":"ITEM-1","issue":"2 (special issue)","issued":{"date-parts":[["2024"]]},"language":"English","note":"Export Date: 24 April 2025; Cited By: 0","page":"267-274","publisher":"Virtus Interpress","publisher-place":"Universitas Islam Indonesia, Yogyakarta, Indonesia","title":"THE CONNECTION BETWEEN ROBUST LEGAL INSTRUMENTS AND THE EXCEPTIONAL PERFORMANCE OF THE ISLAMIC BANKING INDUSTRY","type":"article-journal","volume":"13"},"uris":["http://www.mendeley.com/documents/?uuid=f59f57ed-4881-4100-9572-814b8f418cd0"]}],"mendeley":{"formattedCitation":"(Triyanta &amp; Hassan, 2024)","plainTextFormattedCitation":"(Triyanta &amp; Hassan, 2024)","previouslyFormattedCitation":"(Triyanta &amp; Hassan, 2024)"},"properties":{"noteIndex":0},"schema":"https://github.com/citation-style-language/schema/raw/master/csl-citation.json"}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(Triyanta &amp; Hassan, 2024)</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03F8D3AD" w14:textId="77777777" w:rsidR="008F1989" w:rsidRDefault="008F1989" w:rsidP="00B06D1D">
      <w:pPr>
        <w:autoSpaceDE/>
        <w:autoSpaceDN/>
        <w:spacing w:after="200" w:line="276" w:lineRule="auto"/>
        <w:ind w:left="426"/>
        <w:jc w:val="both"/>
        <w:rPr>
          <w:rFonts w:ascii="Calibri Light" w:eastAsia="MS Mincho" w:hAnsi="Calibri Light" w:cs="Calibri Light"/>
          <w:sz w:val="24"/>
          <w:szCs w:val="24"/>
          <w:rtl/>
          <w:lang w:eastAsia="en-US"/>
        </w:rPr>
      </w:pPr>
    </w:p>
    <w:p w14:paraId="75956F56" w14:textId="508E5CD4" w:rsidR="008F1989" w:rsidRDefault="00E758FF" w:rsidP="00B06D1D">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eastAsia="Calibri" w:cs="Traditional Arabic"/>
          <w:noProof/>
          <w:sz w:val="24"/>
          <w:szCs w:val="24"/>
          <w:lang w:val="en-ID" w:eastAsia="en-US"/>
        </w:rPr>
        <w:lastRenderedPageBreak/>
        <w:drawing>
          <wp:anchor distT="0" distB="0" distL="114300" distR="114300" simplePos="0" relativeHeight="251701760" behindDoc="0" locked="0" layoutInCell="1" allowOverlap="1" wp14:anchorId="008C175F" wp14:editId="57E96958">
            <wp:simplePos x="0" y="0"/>
            <wp:positionH relativeFrom="margin">
              <wp:align>center</wp:align>
            </wp:positionH>
            <wp:positionV relativeFrom="paragraph">
              <wp:posOffset>210575</wp:posOffset>
            </wp:positionV>
            <wp:extent cx="4826000" cy="3018155"/>
            <wp:effectExtent l="0" t="0" r="0" b="0"/>
            <wp:wrapTopAndBottom/>
            <wp:docPr id="213476263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26000" cy="30181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9EA645" w14:textId="2A0507B0" w:rsidR="008F1989" w:rsidRDefault="00E758FF" w:rsidP="00E758FF">
      <w:pPr>
        <w:autoSpaceDE/>
        <w:autoSpaceDN/>
        <w:spacing w:after="200" w:line="276" w:lineRule="auto"/>
        <w:ind w:left="426"/>
        <w:jc w:val="center"/>
        <w:rPr>
          <w:rFonts w:ascii="Calibri Light" w:eastAsia="MS Mincho" w:hAnsi="Calibri Light" w:cs="Calibri Light"/>
          <w:sz w:val="24"/>
          <w:szCs w:val="24"/>
          <w:rtl/>
          <w:lang w:eastAsia="en-US"/>
        </w:rPr>
      </w:pPr>
      <w:r w:rsidRPr="00E758FF">
        <w:rPr>
          <w:rFonts w:ascii="Calibri Light" w:eastAsia="MS Mincho" w:hAnsi="Calibri Light" w:cs="Calibri Light"/>
          <w:b/>
          <w:bCs/>
          <w:sz w:val="24"/>
          <w:szCs w:val="24"/>
          <w:lang w:eastAsia="en-US"/>
        </w:rPr>
        <w:t xml:space="preserve">Figure </w:t>
      </w:r>
      <w:r w:rsidR="001F582A">
        <w:rPr>
          <w:rFonts w:ascii="Calibri Light" w:eastAsia="MS Mincho" w:hAnsi="Calibri Light" w:cs="Calibri Light"/>
          <w:b/>
          <w:bCs/>
          <w:sz w:val="24"/>
          <w:szCs w:val="24"/>
          <w:lang w:eastAsia="en-US"/>
        </w:rPr>
        <w:t>10</w:t>
      </w:r>
      <w:r w:rsidRPr="00E758FF">
        <w:rPr>
          <w:rFonts w:ascii="Calibri Light" w:eastAsia="MS Mincho" w:hAnsi="Calibri Light" w:cs="Calibri Light"/>
          <w:b/>
          <w:bCs/>
          <w:sz w:val="24"/>
          <w:szCs w:val="24"/>
          <w:lang w:eastAsia="en-US"/>
        </w:rPr>
        <w:t xml:space="preserve">. </w:t>
      </w:r>
      <w:r w:rsidRPr="00E758FF">
        <w:rPr>
          <w:rFonts w:ascii="Calibri Light" w:eastAsia="MS Mincho" w:hAnsi="Calibri Light" w:cs="Calibri Light"/>
          <w:sz w:val="24"/>
          <w:szCs w:val="24"/>
          <w:lang w:eastAsia="en-US"/>
        </w:rPr>
        <w:t>Keyword co-occurrence network</w:t>
      </w:r>
    </w:p>
    <w:p w14:paraId="616D599D" w14:textId="1A40BE5E" w:rsidR="00E758FF" w:rsidRPr="00E758FF" w:rsidRDefault="00E758FF" w:rsidP="00E758FF">
      <w:pPr>
        <w:autoSpaceDE/>
        <w:autoSpaceDN/>
        <w:spacing w:after="200" w:line="276" w:lineRule="auto"/>
        <w:ind w:left="426"/>
        <w:jc w:val="both"/>
        <w:rPr>
          <w:rFonts w:ascii="Calibri Light" w:eastAsia="MS Mincho" w:hAnsi="Calibri Light" w:cs="Calibri Light"/>
          <w:sz w:val="24"/>
          <w:szCs w:val="24"/>
          <w:lang w:eastAsia="en-US"/>
        </w:rPr>
      </w:pPr>
      <w:r w:rsidRPr="00E758FF">
        <w:rPr>
          <w:rFonts w:ascii="Calibri Light" w:eastAsia="MS Mincho" w:hAnsi="Calibri Light" w:cs="Calibri Light"/>
          <w:sz w:val="24"/>
          <w:szCs w:val="24"/>
          <w:lang w:eastAsia="en-US"/>
        </w:rPr>
        <w:t>The green cluster encompasses behavioral and social concepts like “trust,” “service quality,” and “religiosity,” indicating a growing research interest in customer perception and satisfaction within Islamic finance. The orange cluster explores themes related to “corporate social responsibility” and “sustainable development,” emphasizing the ethical and socially responsible dimensions of Islamic banking. On the other hand, the purple cluster reflects the geographical scope of the literature, with countries such as “Indonesia,” “Pakistan,” and “Malaysia” featuring prominently, as they represent key markets for Islamic financial services. The light blue cluster addresses technical and financial aspects, including “financial performance” and “regression analysis.” Meanwhile, the yellow cluster highlights key Islamic finance instruments such as “Murabaha” and “Musharakah,” shedding light on the operational mechanisms within Islamic banks</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{"citationItems":[{"id":"ITEM-1","itemData":{"DOI":"10.1016/j.cpa.2022.102449","ISSN":"10452354 (ISSN)","abstract":"This paper explores the manner in which a range of issues relating to emotional propensities – including ethics, trust, fear and institutional exploitation of these – shape perceptions about the Islamic banking industry in the UK. Much of the ethos and practice of Shariah that originally defined such activities have been lost amidst the hegemony of global capital(ism) and a lack of innovation, transparency and social concern have been cited as potential sources of alienation for consumers otherwise likely to be interested in Islamic financial services. However, understanding regarding the impact of emotion in this context is very limited, despite potentially representing motivations for a broad range of financial decision-making. A critical accounting framework is used here to interpret evidence from a series of 32 interviews conducted with UK-based Muslims. The analysis unmasks the hidden interests of Islamic banks and suggests that enhanced stakeholder participation might be transformational in terms of meeting societal needs provided that the complex, but powerful, impact of emotional propensities is recognised. © 2022 The Authors","author":[{"dropping-particle":"","family":"Riaz","given":"U","non-dropping-particle":"","parse-names":false,"suffix":""},{"dropping-particle":"","family":"Burton","given":"B","non-dropping-particle":"","parse-names":false,"suffix":""},{"dropping-particle":"","family":"Fearfull","given":"A","non-dropping-particle":"","parse-names":false,"suffix":""}],"container-title":"Critical Perspectives on Accounting","id":"ITEM-1","issued":{"date-parts":[["2023"]]},"language":"English","note":"Export Date: 24 April 2025; Cited By: 11; Correspondence Address: U. Riaz; Aston Business School, Aston University, Birmingham, Aston Street, B4 7ET, United Kingdom; email: u.riaz@aston.ac.uk","publisher":"Academic Press","publisher-place":"Aston Business School, Aston University, Aston Street, Birmingham, B4 7ET, United Kingdom","title":"Emotional propensities and the contemporary Islamic banking industry","type":"article-journal","volume":"94"},"uris":["http://www.mendeley.com/documents/?uuid=6d571bc6-e28a-4bb0-b3b5-d4c9e9ba748c"]}],"mendeley":{"formattedCitation":"(Riaz et al., 2023)","plainTextFormattedCitation":"(Riaz et al., 2023)","previouslyFormattedCitation":"(Riaz et al., 2023)"},"properties":{"noteIndex":0},"schema":"https://github.com/citation-style-language/schema/raw/master/csl-citation.json"}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(Riaz et al., 2023)</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413C8AB9" w14:textId="3B13C71C" w:rsidR="008F1989" w:rsidRDefault="00E758FF" w:rsidP="00E758FF">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ascii="Calibri Light" w:eastAsia="MS Mincho" w:hAnsi="Calibri Light" w:cs="Calibri Light"/>
          <w:sz w:val="24"/>
          <w:szCs w:val="24"/>
          <w:lang w:eastAsia="en-US"/>
        </w:rPr>
        <w:t>This visualization provides a structured overview of the main research themes, subtopics, and interconnections within the field of Islamic banking.</w:t>
      </w:r>
    </w:p>
    <w:tbl>
      <w:tblPr>
        <w:tblStyle w:val="PlainTable23"/>
        <w:tblW w:w="8505" w:type="dxa"/>
        <w:tblInd w:w="284" w:type="dxa"/>
        <w:tblLook w:val="04A0" w:firstRow="1" w:lastRow="0" w:firstColumn="1" w:lastColumn="0" w:noHBand="0" w:noVBand="1"/>
      </w:tblPr>
      <w:tblGrid>
        <w:gridCol w:w="2254"/>
        <w:gridCol w:w="2254"/>
        <w:gridCol w:w="2254"/>
        <w:gridCol w:w="1743"/>
      </w:tblGrid>
      <w:tr w:rsidR="00415A81" w:rsidRPr="00415A81" w14:paraId="127492BE" w14:textId="77777777" w:rsidTr="001C1A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shd w:val="clear" w:color="auto" w:fill="E5B8B7" w:themeFill="accent2" w:themeFillTint="66"/>
          </w:tcPr>
          <w:p w14:paraId="6A88AB7A" w14:textId="77777777" w:rsidR="00415A81" w:rsidRPr="00415A81" w:rsidRDefault="00415A81" w:rsidP="00415A81">
            <w:pPr>
              <w:autoSpaceDE/>
              <w:autoSpaceDN/>
              <w:rPr>
                <w:rFonts w:ascii="Calibri Light" w:hAnsi="Calibri Light" w:cs="Calibri Light"/>
                <w:lang w:val="en-ID" w:eastAsia="en-US"/>
              </w:rPr>
            </w:pPr>
            <w:r w:rsidRPr="00415A81">
              <w:rPr>
                <w:rFonts w:ascii="Calibri Light" w:hAnsi="Calibri Light" w:cs="Calibri Light"/>
                <w:lang w:val="en-ID" w:eastAsia="en-US"/>
              </w:rPr>
              <w:t>keywords</w:t>
            </w:r>
          </w:p>
        </w:tc>
        <w:tc>
          <w:tcPr>
            <w:tcW w:w="2254" w:type="dxa"/>
            <w:shd w:val="clear" w:color="auto" w:fill="E5B8B7" w:themeFill="accent2" w:themeFillTint="66"/>
          </w:tcPr>
          <w:p w14:paraId="1827468F"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Cluster</w:t>
            </w:r>
          </w:p>
        </w:tc>
        <w:tc>
          <w:tcPr>
            <w:tcW w:w="2254" w:type="dxa"/>
            <w:shd w:val="clear" w:color="auto" w:fill="E5B8B7" w:themeFill="accent2" w:themeFillTint="66"/>
          </w:tcPr>
          <w:p w14:paraId="35CA8A41"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Occurrences</w:t>
            </w:r>
          </w:p>
        </w:tc>
        <w:tc>
          <w:tcPr>
            <w:tcW w:w="1743" w:type="dxa"/>
            <w:shd w:val="clear" w:color="auto" w:fill="E5B8B7" w:themeFill="accent2" w:themeFillTint="66"/>
          </w:tcPr>
          <w:p w14:paraId="3626C332"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Total link</w:t>
            </w:r>
          </w:p>
          <w:p w14:paraId="081B1801"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Strength</w:t>
            </w:r>
          </w:p>
        </w:tc>
      </w:tr>
      <w:tr w:rsidR="00415A81" w:rsidRPr="00415A81" w14:paraId="2A4DFFED"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D2E353A" w14:textId="77777777" w:rsidR="00415A81" w:rsidRPr="00415A81" w:rsidRDefault="00415A81" w:rsidP="00415A81">
            <w:pPr>
              <w:autoSpaceDE/>
              <w:autoSpaceDN/>
              <w:rPr>
                <w:lang w:val="en-ID" w:eastAsia="en-US"/>
              </w:rPr>
            </w:pPr>
            <w:r w:rsidRPr="00415A81">
              <w:rPr>
                <w:lang w:val="en-ID" w:eastAsia="en-US"/>
              </w:rPr>
              <w:t>Islamic banking</w:t>
            </w:r>
          </w:p>
        </w:tc>
        <w:tc>
          <w:tcPr>
            <w:tcW w:w="2254" w:type="dxa"/>
          </w:tcPr>
          <w:p w14:paraId="10BCC060"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342CCF3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559</w:t>
            </w:r>
          </w:p>
        </w:tc>
        <w:tc>
          <w:tcPr>
            <w:tcW w:w="1743" w:type="dxa"/>
          </w:tcPr>
          <w:p w14:paraId="3616F8A7"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818</w:t>
            </w:r>
          </w:p>
        </w:tc>
      </w:tr>
      <w:tr w:rsidR="00415A81" w:rsidRPr="00415A81" w14:paraId="33F25D18"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D5FF819" w14:textId="77777777" w:rsidR="00415A81" w:rsidRPr="00415A81" w:rsidRDefault="00415A81" w:rsidP="00415A81">
            <w:pPr>
              <w:autoSpaceDE/>
              <w:autoSpaceDN/>
              <w:rPr>
                <w:lang w:val="en-ID" w:eastAsia="en-US"/>
              </w:rPr>
            </w:pPr>
            <w:r w:rsidRPr="00415A81">
              <w:rPr>
                <w:lang w:val="en-ID" w:eastAsia="en-US"/>
              </w:rPr>
              <w:t xml:space="preserve">Basel accord </w:t>
            </w:r>
          </w:p>
        </w:tc>
        <w:tc>
          <w:tcPr>
            <w:tcW w:w="2254" w:type="dxa"/>
          </w:tcPr>
          <w:p w14:paraId="35BD981F"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2</w:t>
            </w:r>
          </w:p>
        </w:tc>
        <w:tc>
          <w:tcPr>
            <w:tcW w:w="2254" w:type="dxa"/>
          </w:tcPr>
          <w:p w14:paraId="4581AA37"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30</w:t>
            </w:r>
          </w:p>
        </w:tc>
        <w:tc>
          <w:tcPr>
            <w:tcW w:w="1743" w:type="dxa"/>
          </w:tcPr>
          <w:p w14:paraId="1A6BC85D"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41</w:t>
            </w:r>
          </w:p>
        </w:tc>
      </w:tr>
      <w:tr w:rsidR="00415A81" w:rsidRPr="00415A81" w14:paraId="4BD65387"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73EA3C3B" w14:textId="77777777" w:rsidR="00415A81" w:rsidRPr="00415A81" w:rsidRDefault="00415A81" w:rsidP="00415A81">
            <w:pPr>
              <w:autoSpaceDE/>
              <w:autoSpaceDN/>
              <w:rPr>
                <w:lang w:val="en-ID" w:eastAsia="en-US"/>
              </w:rPr>
            </w:pPr>
            <w:r w:rsidRPr="00415A81">
              <w:rPr>
                <w:lang w:val="en-ID" w:eastAsia="en-US"/>
              </w:rPr>
              <w:t xml:space="preserve">Islamic finance </w:t>
            </w:r>
          </w:p>
        </w:tc>
        <w:tc>
          <w:tcPr>
            <w:tcW w:w="2254" w:type="dxa"/>
          </w:tcPr>
          <w:p w14:paraId="7C158D74"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61E09C3E"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104</w:t>
            </w:r>
          </w:p>
        </w:tc>
        <w:tc>
          <w:tcPr>
            <w:tcW w:w="1743" w:type="dxa"/>
          </w:tcPr>
          <w:p w14:paraId="00D6CF2B"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166</w:t>
            </w:r>
          </w:p>
        </w:tc>
      </w:tr>
      <w:tr w:rsidR="00415A81" w:rsidRPr="00415A81" w14:paraId="5C0047C5"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784F30A4" w14:textId="77777777" w:rsidR="00415A81" w:rsidRPr="00415A81" w:rsidRDefault="00415A81" w:rsidP="00415A81">
            <w:pPr>
              <w:autoSpaceDE/>
              <w:autoSpaceDN/>
              <w:rPr>
                <w:lang w:val="en-ID" w:eastAsia="en-US"/>
              </w:rPr>
            </w:pPr>
            <w:r w:rsidRPr="00415A81">
              <w:rPr>
                <w:lang w:val="en-ID" w:eastAsia="en-US"/>
              </w:rPr>
              <w:t xml:space="preserve">Banking </w:t>
            </w:r>
          </w:p>
        </w:tc>
        <w:tc>
          <w:tcPr>
            <w:tcW w:w="2254" w:type="dxa"/>
          </w:tcPr>
          <w:p w14:paraId="1109FDA4"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5</w:t>
            </w:r>
          </w:p>
        </w:tc>
        <w:tc>
          <w:tcPr>
            <w:tcW w:w="2254" w:type="dxa"/>
          </w:tcPr>
          <w:p w14:paraId="47542C02"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90</w:t>
            </w:r>
          </w:p>
        </w:tc>
        <w:tc>
          <w:tcPr>
            <w:tcW w:w="1743" w:type="dxa"/>
          </w:tcPr>
          <w:p w14:paraId="032921BF"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342</w:t>
            </w:r>
          </w:p>
        </w:tc>
      </w:tr>
      <w:tr w:rsidR="00415A81" w:rsidRPr="00415A81" w14:paraId="12E224F6"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1CE30EE" w14:textId="77777777" w:rsidR="00415A81" w:rsidRPr="00415A81" w:rsidRDefault="00415A81" w:rsidP="00415A81">
            <w:pPr>
              <w:autoSpaceDE/>
              <w:autoSpaceDN/>
              <w:rPr>
                <w:lang w:val="en-ID" w:eastAsia="en-US"/>
              </w:rPr>
            </w:pPr>
            <w:r w:rsidRPr="00415A81">
              <w:rPr>
                <w:lang w:val="en-ID" w:eastAsia="en-US"/>
              </w:rPr>
              <w:t xml:space="preserve">Islamic Marketing </w:t>
            </w:r>
          </w:p>
        </w:tc>
        <w:tc>
          <w:tcPr>
            <w:tcW w:w="2254" w:type="dxa"/>
          </w:tcPr>
          <w:p w14:paraId="2E37D535"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7</w:t>
            </w:r>
          </w:p>
        </w:tc>
        <w:tc>
          <w:tcPr>
            <w:tcW w:w="2254" w:type="dxa"/>
          </w:tcPr>
          <w:p w14:paraId="2EFB1551"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14</w:t>
            </w:r>
          </w:p>
        </w:tc>
        <w:tc>
          <w:tcPr>
            <w:tcW w:w="1743" w:type="dxa"/>
          </w:tcPr>
          <w:p w14:paraId="716D8DB4"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21</w:t>
            </w:r>
          </w:p>
        </w:tc>
      </w:tr>
      <w:tr w:rsidR="00415A81" w:rsidRPr="00415A81" w14:paraId="7F2C91FD"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8B09A82" w14:textId="77777777" w:rsidR="00415A81" w:rsidRPr="00415A81" w:rsidRDefault="00415A81" w:rsidP="00415A81">
            <w:pPr>
              <w:autoSpaceDE/>
              <w:autoSpaceDN/>
              <w:rPr>
                <w:lang w:val="en-ID" w:eastAsia="en-US"/>
              </w:rPr>
            </w:pPr>
            <w:r w:rsidRPr="00415A81">
              <w:rPr>
                <w:lang w:val="en-ID" w:eastAsia="en-US"/>
              </w:rPr>
              <w:t>Islamic Economics</w:t>
            </w:r>
          </w:p>
        </w:tc>
        <w:tc>
          <w:tcPr>
            <w:tcW w:w="2254" w:type="dxa"/>
          </w:tcPr>
          <w:p w14:paraId="7A2415FC"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w:t>
            </w:r>
          </w:p>
        </w:tc>
        <w:tc>
          <w:tcPr>
            <w:tcW w:w="2254" w:type="dxa"/>
          </w:tcPr>
          <w:p w14:paraId="556C5D8E"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11</w:t>
            </w:r>
          </w:p>
        </w:tc>
        <w:tc>
          <w:tcPr>
            <w:tcW w:w="1743" w:type="dxa"/>
          </w:tcPr>
          <w:p w14:paraId="394DF7EA"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10</w:t>
            </w:r>
          </w:p>
        </w:tc>
      </w:tr>
      <w:tr w:rsidR="00415A81" w:rsidRPr="00415A81" w14:paraId="35B532A8"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6BE989C6" w14:textId="77777777" w:rsidR="00415A81" w:rsidRPr="00415A81" w:rsidRDefault="00415A81" w:rsidP="00415A81">
            <w:pPr>
              <w:autoSpaceDE/>
              <w:autoSpaceDN/>
              <w:rPr>
                <w:lang w:val="en-ID" w:eastAsia="en-US"/>
              </w:rPr>
            </w:pPr>
            <w:r w:rsidRPr="00415A81">
              <w:rPr>
                <w:lang w:val="en-ID" w:eastAsia="en-US"/>
              </w:rPr>
              <w:t>Financial crisis</w:t>
            </w:r>
          </w:p>
        </w:tc>
        <w:tc>
          <w:tcPr>
            <w:tcW w:w="2254" w:type="dxa"/>
          </w:tcPr>
          <w:p w14:paraId="79575C4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w:t>
            </w:r>
          </w:p>
        </w:tc>
        <w:tc>
          <w:tcPr>
            <w:tcW w:w="2254" w:type="dxa"/>
          </w:tcPr>
          <w:p w14:paraId="277CDB0E"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29</w:t>
            </w:r>
          </w:p>
        </w:tc>
        <w:tc>
          <w:tcPr>
            <w:tcW w:w="1743" w:type="dxa"/>
          </w:tcPr>
          <w:p w14:paraId="7BEC5CE8"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83</w:t>
            </w:r>
          </w:p>
        </w:tc>
      </w:tr>
      <w:tr w:rsidR="00415A81" w:rsidRPr="00415A81" w14:paraId="49927C17"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36532F9" w14:textId="77777777" w:rsidR="00415A81" w:rsidRPr="00415A81" w:rsidRDefault="00415A81" w:rsidP="00415A81">
            <w:pPr>
              <w:autoSpaceDE/>
              <w:autoSpaceDN/>
              <w:rPr>
                <w:lang w:val="en-ID" w:eastAsia="en-US"/>
              </w:rPr>
            </w:pPr>
            <w:r w:rsidRPr="00415A81">
              <w:rPr>
                <w:lang w:val="en-ID" w:eastAsia="en-US"/>
              </w:rPr>
              <w:t>Basal iii</w:t>
            </w:r>
          </w:p>
        </w:tc>
        <w:tc>
          <w:tcPr>
            <w:tcW w:w="2254" w:type="dxa"/>
          </w:tcPr>
          <w:p w14:paraId="5C612910"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w:t>
            </w:r>
          </w:p>
        </w:tc>
        <w:tc>
          <w:tcPr>
            <w:tcW w:w="2254" w:type="dxa"/>
          </w:tcPr>
          <w:p w14:paraId="167123E8"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16</w:t>
            </w:r>
          </w:p>
        </w:tc>
        <w:tc>
          <w:tcPr>
            <w:tcW w:w="1743" w:type="dxa"/>
          </w:tcPr>
          <w:p w14:paraId="0D7B2DA3"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31</w:t>
            </w:r>
          </w:p>
        </w:tc>
      </w:tr>
      <w:tr w:rsidR="00415A81" w:rsidRPr="00415A81" w14:paraId="3F6AF6E0"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3AF48D6" w14:textId="77777777" w:rsidR="00415A81" w:rsidRPr="00415A81" w:rsidRDefault="00415A81" w:rsidP="00415A81">
            <w:pPr>
              <w:autoSpaceDE/>
              <w:autoSpaceDN/>
              <w:rPr>
                <w:lang w:val="en-ID" w:eastAsia="en-US"/>
              </w:rPr>
            </w:pPr>
            <w:r w:rsidRPr="00415A81">
              <w:rPr>
                <w:lang w:val="en-ID" w:eastAsia="en-US"/>
              </w:rPr>
              <w:lastRenderedPageBreak/>
              <w:t>fintech</w:t>
            </w:r>
          </w:p>
        </w:tc>
        <w:tc>
          <w:tcPr>
            <w:tcW w:w="2254" w:type="dxa"/>
          </w:tcPr>
          <w:p w14:paraId="468A0259"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3788EA8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10</w:t>
            </w:r>
          </w:p>
        </w:tc>
        <w:tc>
          <w:tcPr>
            <w:tcW w:w="1743" w:type="dxa"/>
          </w:tcPr>
          <w:p w14:paraId="1A9ACB03"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24</w:t>
            </w:r>
          </w:p>
        </w:tc>
      </w:tr>
      <w:tr w:rsidR="00415A81" w:rsidRPr="00415A81" w14:paraId="41BD57A2"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58DBF7A" w14:textId="77777777" w:rsidR="00415A81" w:rsidRPr="00415A81" w:rsidRDefault="00415A81" w:rsidP="00415A81">
            <w:pPr>
              <w:autoSpaceDE/>
              <w:autoSpaceDN/>
              <w:rPr>
                <w:lang w:val="en-ID" w:eastAsia="en-US"/>
              </w:rPr>
            </w:pPr>
            <w:r w:rsidRPr="00415A81">
              <w:rPr>
                <w:lang w:val="en-ID" w:eastAsia="en-US"/>
              </w:rPr>
              <w:t>sharia</w:t>
            </w:r>
          </w:p>
        </w:tc>
        <w:tc>
          <w:tcPr>
            <w:tcW w:w="2254" w:type="dxa"/>
          </w:tcPr>
          <w:p w14:paraId="29F76577"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w:t>
            </w:r>
          </w:p>
        </w:tc>
        <w:tc>
          <w:tcPr>
            <w:tcW w:w="2254" w:type="dxa"/>
          </w:tcPr>
          <w:p w14:paraId="12FC5E46"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12</w:t>
            </w:r>
          </w:p>
        </w:tc>
        <w:tc>
          <w:tcPr>
            <w:tcW w:w="1743" w:type="dxa"/>
          </w:tcPr>
          <w:p w14:paraId="76B96750"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25</w:t>
            </w:r>
          </w:p>
        </w:tc>
      </w:tr>
    </w:tbl>
    <w:p w14:paraId="5F6A1AA2" w14:textId="3983B35A" w:rsidR="008F1989" w:rsidRDefault="00415A81" w:rsidP="00415A81">
      <w:pPr>
        <w:autoSpaceDE/>
        <w:autoSpaceDN/>
        <w:spacing w:after="200" w:line="276" w:lineRule="auto"/>
        <w:ind w:left="426"/>
        <w:jc w:val="center"/>
        <w:rPr>
          <w:rFonts w:ascii="Calibri Light" w:eastAsia="MS Mincho" w:hAnsi="Calibri Light" w:cs="Calibri Light"/>
          <w:sz w:val="24"/>
          <w:szCs w:val="24"/>
          <w:rtl/>
          <w:lang w:eastAsia="en-US"/>
        </w:rPr>
      </w:pPr>
      <w:r w:rsidRPr="00415A81">
        <w:rPr>
          <w:rFonts w:ascii="Calibri Light" w:eastAsia="MS Mincho" w:hAnsi="Calibri Light" w:cs="Calibri Light"/>
          <w:b/>
          <w:bCs/>
          <w:sz w:val="24"/>
          <w:szCs w:val="24"/>
          <w:lang w:eastAsia="en-US"/>
        </w:rPr>
        <w:t xml:space="preserve">Table </w:t>
      </w:r>
      <w:r w:rsidR="001A4C9F">
        <w:rPr>
          <w:rFonts w:ascii="Calibri Light" w:eastAsia="MS Mincho" w:hAnsi="Calibri Light" w:cs="Calibri Light" w:hint="cs"/>
          <w:b/>
          <w:bCs/>
          <w:sz w:val="24"/>
          <w:szCs w:val="24"/>
          <w:rtl/>
          <w:lang w:eastAsia="en-US"/>
        </w:rPr>
        <w:t>4</w:t>
      </w:r>
      <w:r w:rsidRPr="00415A81">
        <w:rPr>
          <w:rFonts w:ascii="Calibri Light" w:eastAsia="MS Mincho" w:hAnsi="Calibri Light" w:cs="Calibri Light"/>
          <w:b/>
          <w:bCs/>
          <w:sz w:val="24"/>
          <w:szCs w:val="24"/>
          <w:lang w:eastAsia="en-US"/>
        </w:rPr>
        <w:t>.</w:t>
      </w:r>
      <w:r w:rsidRPr="00415A81">
        <w:rPr>
          <w:rFonts w:ascii="Calibri Light" w:eastAsia="MS Mincho" w:hAnsi="Calibri Light" w:cs="Calibri Light"/>
          <w:sz w:val="24"/>
          <w:szCs w:val="24"/>
          <w:lang w:eastAsia="en-US"/>
        </w:rPr>
        <w:t>The top 10 keywords on occurrence</w:t>
      </w:r>
    </w:p>
    <w:p w14:paraId="21D2CBBB" w14:textId="1C7524ED" w:rsidR="008F1989" w:rsidRDefault="00546E89" w:rsidP="00B06D1D">
      <w:pPr>
        <w:autoSpaceDE/>
        <w:autoSpaceDN/>
        <w:spacing w:after="200" w:line="276" w:lineRule="auto"/>
        <w:ind w:left="426"/>
        <w:jc w:val="both"/>
        <w:rPr>
          <w:rFonts w:ascii="Calibri Light" w:eastAsia="MS Mincho" w:hAnsi="Calibri Light" w:cs="Calibri Light"/>
          <w:sz w:val="24"/>
          <w:szCs w:val="24"/>
          <w:lang w:eastAsia="en-US"/>
        </w:rPr>
      </w:pPr>
      <w:r w:rsidRPr="00415A81">
        <w:rPr>
          <w:rFonts w:eastAsia="Calibri" w:cs="Traditional Arabic"/>
          <w:noProof/>
          <w:sz w:val="24"/>
          <w:szCs w:val="24"/>
          <w:lang w:val="en-ID" w:eastAsia="en-US"/>
        </w:rPr>
        <w:drawing>
          <wp:anchor distT="0" distB="0" distL="114300" distR="114300" simplePos="0" relativeHeight="251703808" behindDoc="0" locked="0" layoutInCell="1" allowOverlap="1" wp14:anchorId="755B90D5" wp14:editId="54A0AEE5">
            <wp:simplePos x="0" y="0"/>
            <wp:positionH relativeFrom="margin">
              <wp:align>right</wp:align>
            </wp:positionH>
            <wp:positionV relativeFrom="paragraph">
              <wp:posOffset>2173947</wp:posOffset>
            </wp:positionV>
            <wp:extent cx="5377180" cy="2246630"/>
            <wp:effectExtent l="0" t="0" r="0" b="1270"/>
            <wp:wrapTopAndBottom/>
            <wp:docPr id="46765379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77180" cy="22466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15A81" w:rsidRPr="00415A81">
        <w:rPr>
          <w:rFonts w:ascii="Calibri Light" w:eastAsia="MS Mincho" w:hAnsi="Calibri Light" w:cs="Calibri Light"/>
          <w:sz w:val="24"/>
          <w:szCs w:val="24"/>
          <w:lang w:eastAsia="en-US"/>
        </w:rPr>
        <w:t xml:space="preserve">Table </w:t>
      </w:r>
      <w:r w:rsidR="001A4C9F">
        <w:rPr>
          <w:rFonts w:ascii="Calibri Light" w:eastAsia="MS Mincho" w:hAnsi="Calibri Light" w:cs="Calibri Light" w:hint="cs"/>
          <w:sz w:val="24"/>
          <w:szCs w:val="24"/>
          <w:rtl/>
          <w:lang w:eastAsia="en-US"/>
        </w:rPr>
        <w:t>4</w:t>
      </w:r>
      <w:r w:rsidR="00415A81" w:rsidRPr="00415A81">
        <w:rPr>
          <w:rFonts w:ascii="Calibri Light" w:eastAsia="MS Mincho" w:hAnsi="Calibri Light" w:cs="Calibri Light"/>
          <w:sz w:val="24"/>
          <w:szCs w:val="24"/>
          <w:lang w:eastAsia="en-US"/>
        </w:rPr>
        <w:t xml:space="preserve"> presents key terms frequently appearing in the literature on Islamic banking, distributed across different conceptual clusters. "Islamic banking" ranks highest in both frequency (559) and total link strength (818), followed by "Islamic finance" and "Banking", highlighting their central role in the field. Terms such as "Basel accord" and "Basel III" appear in separate clusters, indicating a research focus on risk and financial regulation. Meanwhile, "Fintech" and "Islamic Marketing" reflect a shift toward technology and Islamic consumer behavior. Concepts like "Sharia" and "Islamic economics" emphasize the field's ethical and jurisprudential dimensions, showcasing the thematic diversity and interdisciplinary nature of Islamic banking research</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{"citationItems":[{"id":"ITEM-1","itemData":{"DOI":"10.1108/JM2-10-2020-0256","ISSN":"17465664 (ISSN)","abstract":"Purpose: This paper aims to compare perceptions of Islamic bank customers concerning FinTech services in Malaysia and Saudi Arabia. It also investigates the level to which customers are willing to adapt FinTech services. Design/methodology/approach: Primary data was collected from May to September 2019 using a questionnaire to survey 102 Islamic bank customers in Malaysia and 147 in Saudi Arabia. The data are analyzed based on Structural Equation Modelling using the partial least squares approach. Findings: The findings show that knowledge, attitude and subjective norms are the highly significant determining factors that influence customers’ opinions on adapting to new technology, but awareness demonstrates only a moderately positive effect. Moreover, the impact of these factors on the intention to adopt FinTech services significantly differs between Malaysian and Saudi Arabian customers. Originality/value: This is an original study based on primary data on customers of Islamic banking in Malaysia and Saudi Arabia. It provides some novel insights into how the banking industry can boost customers’ confidence and enhance their patronage by adopting FinTech in their business operation model. These findings should be of value to senior management, policymakers and regulators in the banking industry in both Muslim and non-Muslim countries. © 2021, Emerald Publishing Limited.","author":[{"dropping-particle":"","family":"Oladapo","given":"I A","non-dropping-particle":"","parse-names":false,"suffix":""},{"dropping-particle":"","family":"Hamoudah","given":"M M","non-dropping-particle":"","parse-names":false,"suffix":""},{"dropping-particle":"","family":"Alam","given":"M M","non-dropping-particle":"","parse-names":false,"suffix":""},{"dropping-particle":"","family":"Olaopa","given":"O R","non-dropping-particle":"","parse-names":false,"suffix":""},{"dropping-particle":"","family":"Muda","given":"R","non-dropping-particle":"","parse-names":false,"suffix":""}],"container-title":"Journal of Modelling in Management","id":"ITEM-1","issue":"4","issued":{"date-parts":[["2022"]]},"language":"English","note":"Export Date: 24 April 2025; Cited By: 39; Correspondence Address: I.A. Oladapo; Department of Economics, College of Business Administration, Imam Abdulrahman Bin Faisal University, Dammam, Saudi Arabia; email: iaoladapo@iau.edu.sa","page":"1241-1261","publisher":"Emerald Publishing","publisher-place":"Department of Economics, College of Business Administration, Imam Abdulrahman Bin Faisal University, Dammam, Saudi Arabia","title":"Customers’ perceptions of FinTech adaptability in the Islamic banking sector: comparative study on Malaysia and Saudi Arabia","type":"article-journal","volume":"17"},"uris":["http://www.mendeley.com/documents/?uuid=89d15f42-af9a-4532-8235-bc86bae60458"]}],"mendeley":{"formattedCitation":"(Oladapo et al., 2022)","plainTextFormattedCitation":"(Oladapo et al., 2022)","previouslyFormattedCitation":"(Oladapo et al., 2022)"},"properties":{"noteIndex":0},"schema":"https://github.com/citation-style-language/schema/raw/master/csl-citation.json"}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(Oladapo et al., 2022)</w:t>
      </w:r>
      <w:r w:rsidR="00BF5A85">
        <w:rPr>
          <w:rFonts w:ascii="Calibri Light" w:eastAsia="MS Mincho" w:hAnsi="Calibri Light" w:cs="Calibri Light"/>
          <w:sz w:val="24"/>
          <w:szCs w:val="24"/>
          <w:lang w:eastAsia="en-US"/>
        </w:rPr>
        <w:fldChar w:fldCharType="end"/>
      </w:r>
      <w:r w:rsidR="00415A81" w:rsidRPr="00415A81">
        <w:rPr>
          <w:rFonts w:ascii="Calibri Light" w:eastAsia="MS Mincho" w:hAnsi="Calibri Light" w:cs="Calibri Light"/>
          <w:sz w:val="24"/>
          <w:szCs w:val="24"/>
          <w:lang w:eastAsia="en-US"/>
        </w:rPr>
        <w:t>.</w:t>
      </w:r>
    </w:p>
    <w:p w14:paraId="7C91667F" w14:textId="36266D2D" w:rsidR="00415A81" w:rsidRDefault="00546E89" w:rsidP="00546E89">
      <w:pPr>
        <w:autoSpaceDE/>
        <w:autoSpaceDN/>
        <w:spacing w:after="200" w:line="276" w:lineRule="auto"/>
        <w:ind w:left="426"/>
        <w:jc w:val="center"/>
        <w:rPr>
          <w:rFonts w:ascii="Calibri Light" w:eastAsia="MS Mincho" w:hAnsi="Calibri Light" w:cs="Calibri Light"/>
          <w:sz w:val="24"/>
          <w:szCs w:val="24"/>
          <w:rtl/>
          <w:lang w:eastAsia="en-US"/>
        </w:rPr>
      </w:pPr>
      <w:r w:rsidRPr="00546E89">
        <w:rPr>
          <w:rFonts w:ascii="Calibri Light" w:eastAsia="MS Mincho" w:hAnsi="Calibri Light" w:cs="Calibri Light"/>
          <w:b/>
          <w:bCs/>
          <w:sz w:val="24"/>
          <w:szCs w:val="24"/>
          <w:lang w:eastAsia="en-US"/>
        </w:rPr>
        <w:t xml:space="preserve">Figure </w:t>
      </w:r>
      <w:r w:rsidR="001A4C9F">
        <w:rPr>
          <w:rFonts w:ascii="Calibri Light" w:eastAsia="MS Mincho" w:hAnsi="Calibri Light" w:cs="Calibri Light" w:hint="cs"/>
          <w:b/>
          <w:bCs/>
          <w:sz w:val="24"/>
          <w:szCs w:val="24"/>
          <w:rtl/>
          <w:lang w:eastAsia="en-US"/>
        </w:rPr>
        <w:t>1</w:t>
      </w:r>
      <w:r w:rsidR="001F582A">
        <w:rPr>
          <w:rFonts w:ascii="Calibri Light" w:eastAsia="MS Mincho" w:hAnsi="Calibri Light" w:cs="Calibri Light"/>
          <w:b/>
          <w:bCs/>
          <w:sz w:val="24"/>
          <w:szCs w:val="24"/>
          <w:lang w:eastAsia="en-US"/>
        </w:rPr>
        <w:t>1</w:t>
      </w:r>
      <w:r w:rsidRPr="00546E89">
        <w:rPr>
          <w:rFonts w:ascii="Calibri Light" w:eastAsia="MS Mincho" w:hAnsi="Calibri Light" w:cs="Calibri Light"/>
          <w:b/>
          <w:bCs/>
          <w:sz w:val="24"/>
          <w:szCs w:val="24"/>
          <w:lang w:eastAsia="en-US"/>
        </w:rPr>
        <w:t>.</w:t>
      </w:r>
      <w:r>
        <w:rPr>
          <w:rFonts w:ascii="Calibri Light" w:eastAsia="MS Mincho" w:hAnsi="Calibri Light" w:cs="Calibri Light"/>
          <w:b/>
          <w:bCs/>
          <w:sz w:val="24"/>
          <w:szCs w:val="24"/>
          <w:lang w:eastAsia="en-US"/>
        </w:rPr>
        <w:t xml:space="preserve"> </w:t>
      </w:r>
      <w:r w:rsidRPr="00546E89">
        <w:rPr>
          <w:rFonts w:ascii="Calibri Light" w:eastAsia="MS Mincho" w:hAnsi="Calibri Light" w:cs="Calibri Light"/>
          <w:sz w:val="24"/>
          <w:szCs w:val="24"/>
          <w:lang w:eastAsia="en-US"/>
        </w:rPr>
        <w:t>The word cloud of strategic Basel and Islamic Banking research</w:t>
      </w:r>
    </w:p>
    <w:p w14:paraId="2AAF43EF" w14:textId="40D3E6ED" w:rsidR="008F1989" w:rsidRDefault="00546E89" w:rsidP="00B06D1D">
      <w:pPr>
        <w:autoSpaceDE/>
        <w:autoSpaceDN/>
        <w:spacing w:after="200" w:line="276" w:lineRule="auto"/>
        <w:ind w:left="426"/>
        <w:jc w:val="both"/>
        <w:rPr>
          <w:rFonts w:ascii="Calibri Light" w:eastAsia="MS Mincho" w:hAnsi="Calibri Light" w:cs="Calibri Light"/>
          <w:sz w:val="24"/>
          <w:szCs w:val="24"/>
          <w:rtl/>
          <w:lang w:eastAsia="en-US"/>
        </w:rPr>
      </w:pPr>
      <w:r w:rsidRPr="00546E89">
        <w:rPr>
          <w:rFonts w:ascii="Calibri Light" w:eastAsia="MS Mincho" w:hAnsi="Calibri Light" w:cs="Calibri Light"/>
          <w:sz w:val="24"/>
          <w:szCs w:val="24"/>
          <w:lang w:eastAsia="en-US"/>
        </w:rPr>
        <w:t xml:space="preserve">Figure </w:t>
      </w:r>
      <w:r w:rsidR="001A4C9F">
        <w:rPr>
          <w:rFonts w:ascii="Calibri Light" w:eastAsia="MS Mincho" w:hAnsi="Calibri Light" w:cs="Calibri Light" w:hint="cs"/>
          <w:sz w:val="24"/>
          <w:szCs w:val="24"/>
          <w:rtl/>
          <w:lang w:eastAsia="en-US"/>
        </w:rPr>
        <w:t>1</w:t>
      </w:r>
      <w:r w:rsidR="001F582A">
        <w:rPr>
          <w:rFonts w:ascii="Calibri Light" w:eastAsia="MS Mincho" w:hAnsi="Calibri Light" w:cs="Calibri Light"/>
          <w:sz w:val="24"/>
          <w:szCs w:val="24"/>
          <w:lang w:eastAsia="en-US"/>
        </w:rPr>
        <w:t>1</w:t>
      </w:r>
      <w:r w:rsidRPr="00546E89">
        <w:rPr>
          <w:rFonts w:ascii="Calibri Light" w:eastAsia="MS Mincho" w:hAnsi="Calibri Light" w:cs="Calibri Light"/>
          <w:sz w:val="24"/>
          <w:szCs w:val="24"/>
          <w:lang w:eastAsia="en-US"/>
        </w:rPr>
        <w:t xml:space="preserve"> presents a word cloud in the image above highlights the central focus on topics related to Basel Accords and Islamic Banking, with frequent associations to key economic and financial concepts. The prominence of terms such as Basel Accords, Islamic Banking, economy, Islam, and bank reflects the dominant themes within this research field. It is evident that regulatory frameworks and Sharia-compliant financial practices form the core of scholarly interest. The inclusion of words like finance, regulation, risk, and compliance indicates a strong emphasis on the legal and economic dimensions of banking operations. Furthermore, the presence of terms such as development, stability, and growth suggests a broader concern with the macroeconomic implications and the evolving role of Islamic finance within global financial systems</w:t>
      </w:r>
      <w:r w:rsidR="00465FB0">
        <w:rPr>
          <w:rFonts w:ascii="Calibri Light" w:eastAsia="MS Mincho" w:hAnsi="Calibri Light" w:cs="Calibri Light"/>
          <w:sz w:val="24"/>
          <w:szCs w:val="24"/>
          <w:lang w:eastAsia="en-US"/>
        </w:rPr>
        <w:t xml:space="preserve"> </w:t>
      </w:r>
      <w:r w:rsidR="00465FB0">
        <w:rPr>
          <w:rFonts w:ascii="Calibri Light" w:eastAsia="MS Mincho" w:hAnsi="Calibri Light" w:cs="Calibri Light"/>
          <w:sz w:val="24"/>
          <w:szCs w:val="24"/>
          <w:lang w:eastAsia="en-US"/>
        </w:rPr>
        <w:fldChar w:fldCharType="begin" w:fldLock="1"/>
      </w:r>
      <w:r w:rsidR="00465FB0">
        <w:rPr>
          <w:rFonts w:ascii="Calibri Light" w:eastAsia="MS Mincho" w:hAnsi="Calibri Light" w:cs="Calibri Light"/>
          <w:sz w:val="24"/>
          <w:szCs w:val="24"/>
          <w:lang w:eastAsia="en-US"/>
        </w:rPr>
        <w:instrText>ADDIN CSL_CITATION {"citationItems":[{"id":"ITEM-1","itemData":{"DOI":"10.1108/JIMA-02-2023-0036","ISSN":"17590833 (ISSN)","abstract":"Purpose: This study aims to investigate the comparative importance of factors influencing the customer shift behavior from conventional to Islamic banking for consumer finance in Pakistan. Design/methodology/approach: First, a comprehensive analysis of the existing literature was conducted to identify a broad range of factors related to customer shift behavior. Through an expert sampling, 14 essential factors were chosen for further investigation. Second, a questionnaire was developed using the analytical hierarchy process (AHP). This questionnaire was then distributed among customers who had previously been using conventional banking services but had made a shift toward Islamic banking. The purpose of this questionnaire was to gather data and insights regarding their motivations and decision-making process behind the shift, and a sample 215 customers are taken in the study. Findings: The results of AHP depicts that the religiosity is a most important factor influencing customers to shift from conventional to Islamic banking, and the second most important factor is pricing. The other subsequent important factors are reputation of the bank, marketing and promotion, service quality, behavior of banks staff, Shariah compliance, management, convenience, fastness and charges/fees. Whereas documentation, ambiance and recommendation are found least important factors to patronize Islamic banking. Practical implications: The study recommends Islamic banks to create awareness, concentrating on religious factor to have a greater impact on growth of Islamic banking and shrinking of conventional banking. Further, it suggests Islamic banks to apply Shariah-recommended approach of doing business, to help community in best possible way and to launch differentiated marketing techniques to attract customers. It also proposes regulatory authorities to provide facilitation to Islamic banking business by providing level playing field similar to conventional banking, tax equality and conversion of public financing from conventional banking to Islamic banking. Originality/value: The originality of this study lies in its comprehensive analysis of factors influencing consumer shift behavior from conventional to Islamic banking in the context of consumer finance in Pakistan. By using the AHP, the study provides a structured approach to understanding the relative importance of these factors. This is the uniqueness of the paper that it applies the AHP for the analysis. Furthermore…","author":[{"dropping-particle":"","family":"Ahmad","given":"M","non-dropping-particle":"","parse-names":false,"suffix":""},{"dropping-particle":"","family":"Zafar","given":"M B","non-dropping-particle":"","parse-names":false,"suffix":""},{"dropping-particle":"","family":"Perveen","given":"A","non-dropping-particle":"","parse-names":false,"suffix":""}],"container-title":"Journal of Islamic Marketing","id":"ITEM-1","issue":"5","issued":{"date-parts":[["2024"]]},"language":"English","note":"Export Date: 24 April 2025; Cited By: 7; Correspondence Address: M.B. Zafar; School of Islamic Economics, Banking and Finance, Minhaj University Lahore, Lahore, Pakistan; email: bilalezafar@gmail.com","page":"1280-1302","publisher":"Emerald Publishing","publisher-place":"Sheikh Zayed Islamic Center, University of Karachi, Karachi, Pakistan","title":"Consumer shift behavior from conventional to Islamic banking: decision-making analysis through AHP","type":"article-journal","volume":"15"},"uris":["http://www.mendeley.com/documents/?uuid=cc961569-f30a-4986-98d8-8b7ae94f986f"]}],"mendeley":{"formattedCitation":"(Ahmad et al., 2024)","plainTextFormattedCitation":"(Ahmad et al., 2024)","previouslyFormattedCitation":"(Ahmad et al., 2024)"},"properties":{"noteIndex":0},"schema":"https://github.com/citation-style-language/schema/raw/master/csl-citation.json"}</w:instrText>
      </w:r>
      <w:r w:rsidR="00465FB0">
        <w:rPr>
          <w:rFonts w:ascii="Calibri Light" w:eastAsia="MS Mincho" w:hAnsi="Calibri Light" w:cs="Calibri Light"/>
          <w:sz w:val="24"/>
          <w:szCs w:val="24"/>
          <w:lang w:eastAsia="en-US"/>
        </w:rPr>
        <w:fldChar w:fldCharType="separate"/>
      </w:r>
      <w:r w:rsidR="00465FB0" w:rsidRPr="00465FB0">
        <w:rPr>
          <w:rFonts w:ascii="Calibri Light" w:eastAsia="MS Mincho" w:hAnsi="Calibri Light" w:cs="Calibri Light"/>
          <w:noProof/>
          <w:sz w:val="24"/>
          <w:szCs w:val="24"/>
          <w:lang w:eastAsia="en-US"/>
        </w:rPr>
        <w:t>(Ahmad et al., 2024)</w:t>
      </w:r>
      <w:r w:rsidR="00465FB0">
        <w:rPr>
          <w:rFonts w:ascii="Calibri Light" w:eastAsia="MS Mincho" w:hAnsi="Calibri Light" w:cs="Calibri Light"/>
          <w:sz w:val="24"/>
          <w:szCs w:val="24"/>
          <w:lang w:eastAsia="en-US"/>
        </w:rPr>
        <w:fldChar w:fldCharType="end"/>
      </w:r>
      <w:r w:rsidRPr="00546E89">
        <w:rPr>
          <w:rFonts w:ascii="Calibri Light" w:eastAsia="MS Mincho" w:hAnsi="Calibri Light" w:cs="Calibri Light"/>
          <w:sz w:val="24"/>
          <w:szCs w:val="24"/>
          <w:lang w:eastAsia="en-US"/>
        </w:rPr>
        <w:t>.</w:t>
      </w:r>
    </w:p>
    <w:p w14:paraId="09411317" w14:textId="77777777" w:rsidR="00E434D8" w:rsidRDefault="00E434D8" w:rsidP="00E434D8">
      <w:pPr>
        <w:autoSpaceDE/>
        <w:autoSpaceDN/>
        <w:spacing w:after="200" w:line="276" w:lineRule="auto"/>
        <w:ind w:left="426"/>
        <w:jc w:val="both"/>
        <w:rPr>
          <w:rFonts w:ascii="Calibri Light" w:eastAsia="MS Mincho" w:hAnsi="Calibri Light" w:cs="Calibri Light"/>
          <w:b/>
          <w:sz w:val="24"/>
          <w:szCs w:val="24"/>
          <w:rtl/>
          <w:lang w:eastAsia="en-US"/>
        </w:rPr>
      </w:pPr>
      <w:r w:rsidRPr="00E434D8">
        <w:rPr>
          <w:rFonts w:ascii="Calibri Light" w:eastAsia="MS Mincho" w:hAnsi="Calibri Light" w:cs="Calibri Light"/>
          <w:b/>
          <w:sz w:val="24"/>
          <w:szCs w:val="24"/>
          <w:lang w:val="id-ID" w:eastAsia="en-US"/>
        </w:rPr>
        <w:t>DISCUSSION</w:t>
      </w:r>
      <w:r w:rsidRPr="00E434D8">
        <w:rPr>
          <w:rFonts w:ascii="Calibri Light" w:eastAsia="MS Mincho" w:hAnsi="Calibri Light" w:cs="Calibri Light"/>
          <w:b/>
          <w:sz w:val="24"/>
          <w:szCs w:val="24"/>
          <w:lang w:eastAsia="en-US"/>
        </w:rPr>
        <w:t xml:space="preserve"> </w:t>
      </w:r>
    </w:p>
    <w:p w14:paraId="118E711B" w14:textId="1C4EF694" w:rsidR="00E434D8" w:rsidRPr="00E434D8" w:rsidRDefault="00E434D8" w:rsidP="00E434D8">
      <w:pPr>
        <w:autoSpaceDE/>
        <w:autoSpaceDN/>
        <w:spacing w:after="200" w:line="276" w:lineRule="auto"/>
        <w:ind w:left="426"/>
        <w:jc w:val="both"/>
        <w:rPr>
          <w:rFonts w:ascii="Calibri Light" w:eastAsia="MS Mincho" w:hAnsi="Calibri Light" w:cs="Calibri Light"/>
          <w:b/>
          <w:sz w:val="24"/>
          <w:szCs w:val="24"/>
          <w:lang w:val="id-ID" w:eastAsia="en-US"/>
        </w:rPr>
      </w:pPr>
      <w:r w:rsidRPr="00E434D8">
        <w:rPr>
          <w:rFonts w:ascii="Calibri Light" w:eastAsia="MS Mincho" w:hAnsi="Calibri Light" w:cs="Calibri Light"/>
          <w:sz w:val="24"/>
          <w:szCs w:val="24"/>
          <w:lang w:val="en-ID" w:eastAsia="en-US"/>
        </w:rPr>
        <w:lastRenderedPageBreak/>
        <w:t>The bibliometric analysis in this study shows a significant growth in research related to the Basel Accords and Islamic banking, reflecting the increasing interest in this dynamic academic field. Since 2015, there has been a steady rise in publications addressing the impact of Basel regulations on Islamic banking systems, with notable peaks in 2020 and 2022. This trend aligns with major regulatory shifts like Basel III and the growing role of Islamic banking in the global financial system. The rise in publications responds to the growing challenges related to financial stability, risk management, and the role of Islamic banks in providing finance in compliance with Sharia principles, making it a focal point for academic discussions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{"citationItems":[{"id":"ITEM-1","itemData":{"DOI":"10.1016/j.jretconser.2021.102558","ISSN":"09696989 (ISSN)","abstract":"Increased support from customers for Islamic financial services is very important to create resilience and competitiveness in the Islamic banking industry. By highlighting certain social activities, this paper estimates the role of Islamic banks’ CSR in influencing customer loyalty, both individually and through the integrated roles of image, trust, satisfaction, and reputation. These paths explore how CSR makes customers impressed, convinced, satisfied, amazed, and ultimately loyal to Islamic banks. The empirical analysis of partial least square structural equation modeling (n = 283) has shown that CSR directly and positively impacts loyalty. Indirectly, these two aspects have an insignificant relationship through the serial roles of image-reputation and satisfaction-reputation, but significant through the single role of reputation and the serial role of trust-reputation. This study has resulted in an updated prediction model of Islamic banking customer loyalty. The practical implication lies in the importance of developing CSR to generate trust and reputation which ultimately increase customer loyalty toward Islamic banks. © 2021 Elsevier Ltd","author":[{"dropping-particle":"","family":"Muflih","given":"M","non-dropping-particle":"","parse-names":false,"suffix":""}],"container-title":"Journal of Retailing and Consumer Services","id":"ITEM-1","issued":{"date-parts":[["2021"]]},"language":"English","note":"Export Date: 24 April 2025; Cited By: 59","publisher":"Elsevier Ltd","publisher-place":"Accounting Department, Politeknik Negeri Bandung, Indonesia","title":"The link between corporate social responsibility and customer loyalty: Empirical evidence from the Islamic banking industry","type":"article-journal","volume":"61"},"uris":["http://www.mendeley.com/documents/?uuid=73eadbe0-359c-4a33-97cb-b9346f6612e4"]}],"mendeley":{"formattedCitation":"(Muflih, 2021)","plainTextFormattedCitation":"(Muflih, 2021)","previouslyFormattedCitation":"(Muflih, 2021)"},"properties":{"noteIndex":0},"schema":"https://github.com/citation-style-language/schema/raw/master/csl-citation.json"}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(Muflih, 2021)</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2095E5D6" w14:textId="0E781062"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The analysis of influential authors highlights Dr. M.K. Hassan as a key figure, whose contributions have significantly shaped research in this area. These contributions serve as foundational references in understanding the research trends, reflecting the importance of in-depth studies to develop regulatory frameworks for Islamic banking and guide academic discourse on the alignment of global financial standards with Sharia-compliant practices. This role is crucial in ensuring that Islamic banking systems adhere to international standards while addressing the unique challenges they face in global financial markets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{"citationItems":[{"id":"ITEM-1","itemData":{"DOI":"10.1016/j.iref.2022.02.014","ISSN":"10590560 (ISSN)","abstract":"In this paper, we examine the use of book-to-market equity (BE/ME) as a determinant of asset correlations in the Basel Accord on regulatory capital requirements. Utilizing an international sample from 38 countries during 1989–2017, we discover that asset correlations, controlling for firm size and default probability, are negatively associated with BE/ME. We further decompose BE/ME according to Daniel and Titman (2006) and Penman et al. (2007) to explore why BE/ME can capture variations in asset correlations. The former method demonstrates that obligors with higher assets-in-place (higher BE/ME) exhibit lower asset correlations, and the latter approach reveals that obligors with higher operating risk have lower asset correlations. These findings suggest that BE/ME is potentially a crucial factor in improving estimates of asset correlations and reducing bank regulatory capital arbitrage. © 2022 Elsevier Inc.","author":[{"dropping-particle":"","family":"Ho","given":"K.-C.","non-dropping-particle":"","parse-names":false,"suffix":""},{"dropping-particle":"","family":"Lee","given":"S.-C.","non-dropping-particle":"","parse-names":false,"suffix":""},{"dropping-particle":"","family":"Chen","given":"J.-L.","non-dropping-particle":"","parse-names":false,"suffix":""}],"container-title":"International Review of Economics and Finance","id":"ITEM-1","issued":{"date-parts":[["2022"]]},"language":"English","note":"Export Date: 24 April 2025; Cited By: 2; Correspondence Address: J.-L. Chen; College of Business, Valparaiso University, Valparaiso, 1909 Chapel Dr, 46383, United States; email: jiunlin.chen@valpo.edu","page":"258-274","publisher":"Elsevier Inc.","publisher-place":"School of Finance, Fuzhou University of International Studies and Trade, China","title":"Book-to-market equity and asset correlations—An international study","type":"article-journal","volume":"79"},"uris":["http://www.mendeley.com/documents/?uuid=3e5e2f66-8098-44d5-85d2-584ee8c4b992"]}],"mendeley":{"formattedCitation":"(Ho et al., 2022)","plainTextFormattedCitation":"(Ho et al., 2022)","previouslyFormattedCitation":"(Ho et al., 2022)"},"properties":{"noteIndex":0},"schema":"https://github.com/citation-style-language/schema/raw/master/csl-citation.json"}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(Ho et al., 2022)</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319F1218" w14:textId="3A0385A1"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Geographical analysis reveals that Islamic countries, especially Malaysia and Indonesia, have been central in academic research on the Basel Accords and Islamic banking. This can be attributed to their advanced institutional frameworks for Islamic finance, positioning them as leading research hubs in this field</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{"citationItems":[{"id":"ITEM-1","itemData":{"DOI":"10.1017/bap.2021.16","ISSN":"13695258 (ISSN)","abstract":"Recent developments in the international banking system, especially the 2007-9 crisis and subsequent wave of postcrisis regulation, have drawn increasing attention to the structural power of banks and banking systems. States need a functioning financial system to ensure the overall health of their economies, so states must shape policy to protect their financial firms. National financial systems may be dominated either by banks or by capital markets. In states where banks dominate provision of capital, states must shape policy to protect their banks because of their structural importance, independent of any lobbying or other direct action on the part of banks to exercise instrumental power. The entangling of structural and instrumental power means studying differences in structural power requires either careful case-study work or cross-national comparison of responses to a common shock. The implementation of the 2011 Basel III Accords provides just such an opportunity. This article offers a quantitative analysis of a new dataset of implementation of Basel III components in the Basel Committee on Banking Stability member states from 2011 to 2019 and demonstrates the structural power of banks in bank-based systems to accelerate implementation of favorable policies and slow implementation of unfavorable ones.  © The Author(s), 2021.","author":[{"dropping-particle":"","family":"Mitchell","given":"C","non-dropping-particle":"","parse-names":false,"suffix":""}],"container-title":"Business and Politics","id":"ITEM-1","issue":"1","issued":{"date-parts":[["2022"]]},"language":"English","note":"Export Date: 24 April 2025; Cited By: 5; Correspondence Address: C. Mitchell; Mount Holyoke College, South Hadley, 01075, United States; email: mitchell@mtholyoke.edu","page":"1-17","publisher":"Cambridge University Press","publisher-place":"Mount Holyoke College, South Hadley, 01075, MA, United States","title":"The Power of Delay: Banking System Structure and Implementation of the Basel Accords","type":"article-journal","volume":"24"},"uris":["http://www.mendeley.com/documents/?uuid=0c034651-1adc-475c-9c22-3baf0c4efbe8"]}],"mendeley":{"formattedCitation":"(Mitchell, 2022)","plainTextFormattedCitation":"(Mitchell, 2022)","previouslyFormattedCitation":"(Mitchell, 2022)"},"properties":{"noteIndex":0},"schema":"https://github.com/citation-style-language/schema/raw/master/csl-citation.json"}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(Mitchell, 2022)</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 On the other hand, countries like the United Kingdom and the United States, while not dominant in Islamic banking, still contribute to comparative studies between conventional and Islamic banking systems, reflecting a cross-cultural interest in regulatory alignment. This dynamic points to an increasing need for international collaboration between Western and Islamic countries in developing regulatory frameworks that integrate global financial practices with Islamic financial principles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{"citationItems":[{"id":"ITEM-1","itemData":{"DOI":"10.1002/ijfe.2637","ISSN":"10769307 (ISSN)","abstract":"Using data for Italy from 1994 to 2015, we appraise the nexus between Basel II and III accords and both the cost and the profit inefficiency of profit-oriented and mutual cooperative banks. Our analysis further deals with the effects of the regulation in different market structures. To assess the efficiency of the two types of banks under scrutiny, a stochastic frontier approach has been proposed. The evidence reported in this paper indicates that the regulatory framework of the Basel accords had heterogeneous effects on the efficiency of Italian banking institutions. Specifically, Basel II is associated with a contraction in the profit inefficiency and an increase in the cost inefficiency for mutual cooperative banks. On the other hand, Basel III worsened the profit inefficiency, though it is found to reduce the profit inefficiency of mutual cooperative banks, with no significant impact on cost inefficiency. Furthermore, once we control for the degree of market competition, the effects of the regulation are shown to be statistically insignificant. The advent of the 2008 recession and the application of the revenue inefficiency do not alter the main findings. There is also some evidence of spatial effects of the Basel II regulation at the LMA level. © 2022 The Authors. International Journal of Finance &amp; Economics published by John Wiley &amp; Sons Ltd.","author":[{"dropping-particle":"","family":"Barra","given":"C","non-dropping-particle":"","parse-names":false,"suffix":""},{"dropping-particle":"","family":"Papaccio","given":"A","non-dropping-particle":"","parse-names":false,"suffix":""},{"dropping-particle":"","family":"Ruggiero","given":"N","non-dropping-particle":"","parse-names":false,"suffix":""}],"container-title":"International Journal of Finance and Economics","id":"ITEM-1","issue":"4","issued":{"date-parts":[["2023"]]},"language":"English","note":"Export Date: 24 April 2025; Cited By: 3; Correspondence Address: C. Barra; Department of Economics and Statistics (DISES), Centre for Labour Economics and Economic Policy (CELPE), University of Salerno, Fisciano, Via Giovanni Paolo II, 84084, Italy; email: cbarra@unisa.it","page":"4079-4119","publisher":"John Wiley and Sons Ltd","publisher-place":"Department of Economics and Statistics (DISES), Centre for Labour Economics and Economic Policy (CELPE), University of Salerno, Fisciano, Italy","title":"Basel accords and banking inefficiency: Evidence from the Italian local market","type":"article-journal","volume":"28"},"uris":["http://www.mendeley.com/documents/?uuid=80f38133-cfa6-43be-af3d-2a29936783b3"]}],"mendeley":{"formattedCitation":"(Barra et al., 2023)","plainTextFormattedCitation":"(Barra et al., 2023)","previouslyFormattedCitation":"(Barra et al., 2023)"},"properties":{"noteIndex":0},"schema":"https://github.com/citation-style-language/schema/raw/master/csl-citation.json"}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(Barra et al., 2023)</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3E85E3E8" w14:textId="1C56557F"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Furthermore, the bibliometric networks provide a comprehensive view of the research evolution in this field, with increasing focus on topics such as corporate governance, risk management, and sustainability within Islamic banking. These themes are reflected in the various semantic clusters that dominate the literature, illustrating the close connections between global financial risks and Sharia-compliant practices. Islamic finance is gaining more attention as social and economic transformations occur, with a growing interest in topics like corporate social responsibility and sustainable development in Islamic banking</w:t>
      </w:r>
      <w:r w:rsidR="00C6181C">
        <w:rPr>
          <w:rFonts w:ascii="Calibri Light" w:eastAsia="MS Mincho" w:hAnsi="Calibri Light" w:cs="Calibri Light"/>
          <w:sz w:val="24"/>
          <w:szCs w:val="24"/>
          <w:lang w:val="en-ID" w:eastAsia="en-US"/>
        </w:rPr>
        <w:fldChar w:fldCharType="begin" w:fldLock="1"/>
      </w:r>
      <w:r w:rsidR="00C6181C">
        <w:rPr>
          <w:rFonts w:ascii="Calibri Light" w:eastAsia="MS Mincho" w:hAnsi="Calibri Light" w:cs="Calibri Light"/>
          <w:sz w:val="24"/>
          <w:szCs w:val="24"/>
          <w:lang w:val="en-ID" w:eastAsia="en-US"/>
        </w:rPr>
        <w:instrText>ADDIN CSL_CITATION {"citationItems":[{"id":"ITEM-1","itemData":{"DOI":"10.31893/multirev.2024132","ISSN":"25953982","abstract":"This study aims to reveal the ethics of sharia accounting: the ethics and contextualization of documenting the economics of sharia, muamalah, and accounts payable, as well as their execution in an Islamic environment, and the ramifications of al-Baqarah: 282 if applied. This research method employs qualitative and descriptive research methods, the data source is literature study, specifically the collection of documents containing primary data from al-Baqarah: 282 and secondary sources, and the approach is content analysis, normative-theological, and phenomenological. The results of the study indicate that in the contextualization of sharia accounting, muamalah, accounts payable, and so on, must be based on the general principles of sharia, namely, responsibility, fairness, honesty, legitimacy, good personality, continuity (continuity), and muqabalah (matching). This is per the spirit of sharia accounting as stated in al-Baqarah: 282. If this implementation is violated, it can harm all actors of economic transactions, both major and minor, personal and social, in this world and the hereafter.","author":[{"dropping-particle":"","family":"Muthoifin","given":"Muthoifin","non-dropping-particle":"","parse-names":false,"suffix":""},{"dropping-particle":"","family":"Amelia","given":"Ishma","non-dropping-particle":"","parse-names":false,"suffix":""},{"dropping-particle":"","family":"Eprahim Ali","given":"Aisha Bahaaeldin","non-dropping-particle":"","parse-names":false,"suffix":""}],"container-title":"Multidisciplinary Reviews","id":"ITEM-1","issue":"8","issued":{"date-parts":[["2024"]]},"title":"Islamic accounting: Ethics and contextualization of recording in Muamalah transactions","type":"article-journal","volume":"7"},"uris":["http://www.mendeley.com/documents/?uuid=70ee3ab1-de26-4a29-9949-d4bc0429ddd4"]}],"mendeley":{"formattedCitation":"(Muthoifin et al., 2024)","plainTextFormattedCitation":"(Muthoifin et al., 2024)","previouslyFormattedCitation":"(Muthoifin et al., 2024)"},"properties":{"noteIndex":0},"schema":"https://github.com/citation-style-language/schema/raw/master/csl-citation.json"}</w:instrText>
      </w:r>
      <w:r w:rsidR="00C6181C">
        <w:rPr>
          <w:rFonts w:ascii="Calibri Light" w:eastAsia="MS Mincho" w:hAnsi="Calibri Light" w:cs="Calibri Light"/>
          <w:sz w:val="24"/>
          <w:szCs w:val="24"/>
          <w:lang w:val="en-ID" w:eastAsia="en-US"/>
        </w:rPr>
        <w:fldChar w:fldCharType="separate"/>
      </w:r>
      <w:r w:rsidR="00C6181C" w:rsidRPr="00C6181C">
        <w:rPr>
          <w:rFonts w:ascii="Calibri Light" w:eastAsia="MS Mincho" w:hAnsi="Calibri Light" w:cs="Calibri Light"/>
          <w:noProof/>
          <w:sz w:val="24"/>
          <w:szCs w:val="24"/>
          <w:lang w:val="en-ID" w:eastAsia="en-US"/>
        </w:rPr>
        <w:t>(Muthoifin et al., 2024)</w:t>
      </w:r>
      <w:r w:rsidR="00C6181C">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6D8BF202" w14:textId="781B49A6" w:rsidR="00E434D8" w:rsidRPr="00E434D8" w:rsidRDefault="00E434D8" w:rsidP="00232961">
      <w:pPr>
        <w:autoSpaceDE/>
        <w:autoSpaceDN/>
        <w:spacing w:after="200" w:line="276" w:lineRule="auto"/>
        <w:ind w:left="426"/>
        <w:jc w:val="both"/>
        <w:rPr>
          <w:rFonts w:ascii="Calibri Light" w:eastAsia="MS Mincho" w:hAnsi="Calibri Light" w:cs="Calibri Light"/>
          <w:sz w:val="24"/>
          <w:szCs w:val="24"/>
          <w:rtl/>
          <w:lang w:val="en-ID" w:eastAsia="en-US"/>
        </w:rPr>
      </w:pPr>
      <w:r w:rsidRPr="00E434D8">
        <w:rPr>
          <w:rFonts w:ascii="Calibri Light" w:eastAsia="MS Mincho" w:hAnsi="Calibri Light" w:cs="Calibri Light"/>
          <w:sz w:val="24"/>
          <w:szCs w:val="24"/>
          <w:lang w:val="en-ID" w:eastAsia="en-US"/>
        </w:rPr>
        <w:t xml:space="preserve">Through these trends, this study emphasizes the importance of continued research in the field of Islamic banking and its development within the global regulatory framework. The </w:t>
      </w:r>
      <w:r w:rsidRPr="00E434D8">
        <w:rPr>
          <w:rFonts w:ascii="Calibri Light" w:eastAsia="MS Mincho" w:hAnsi="Calibri Light" w:cs="Calibri Light"/>
          <w:sz w:val="24"/>
          <w:szCs w:val="24"/>
          <w:lang w:val="en-ID" w:eastAsia="en-US"/>
        </w:rPr>
        <w:lastRenderedPageBreak/>
        <w:t>alignment of conventional banking systems with Sharia principles is essential for addressing contemporary financial challenges, opening doors for researchers and policymakers to develop innovative solutions that contribute to global financial stability</w:t>
      </w:r>
      <w:r w:rsidR="00465FB0">
        <w:rPr>
          <w:rFonts w:ascii="Calibri Light" w:eastAsia="MS Mincho" w:hAnsi="Calibri Light" w:cs="Calibri Light"/>
          <w:sz w:val="24"/>
          <w:szCs w:val="24"/>
          <w:lang w:val="en-ID" w:eastAsia="en-US"/>
        </w:rPr>
        <w:t xml:space="preserve"> </w:t>
      </w:r>
      <w:r w:rsidRPr="00E434D8">
        <w:rPr>
          <w:rFonts w:ascii="Calibri Light" w:eastAsia="MS Mincho" w:hAnsi="Calibri Light" w:cs="Calibri Light"/>
          <w:sz w:val="24"/>
          <w:szCs w:val="24"/>
          <w:lang w:val="en-ID" w:eastAsia="en-US"/>
        </w:rPr>
        <w:t>.</w:t>
      </w:r>
    </w:p>
    <w:p w14:paraId="5D5458E0" w14:textId="77777777" w:rsidR="00741058" w:rsidRPr="002003B1" w:rsidRDefault="00741058" w:rsidP="00781D8B">
      <w:pPr>
        <w:numPr>
          <w:ilvl w:val="0"/>
          <w:numId w:val="28"/>
        </w:numPr>
        <w:autoSpaceDE/>
        <w:autoSpaceDN/>
        <w:spacing w:line="240" w:lineRule="atLeast"/>
        <w:ind w:left="426" w:hanging="426"/>
        <w:rPr>
          <w:rFonts w:ascii="Calibri Light" w:hAnsi="Calibri Light" w:cs="Calibri Light"/>
          <w:b/>
          <w:color w:val="A6A6A6"/>
          <w:sz w:val="24"/>
          <w:szCs w:val="24"/>
        </w:rPr>
      </w:pPr>
      <w:r w:rsidRPr="00122F5F">
        <w:rPr>
          <w:rFonts w:ascii="Calibri Light" w:hAnsi="Calibri Light" w:cs="Calibri Light"/>
          <w:b/>
          <w:sz w:val="24"/>
          <w:szCs w:val="24"/>
        </w:rPr>
        <w:t>CONCLUSION</w:t>
      </w:r>
      <w:r w:rsidRPr="00122F5F">
        <w:rPr>
          <w:rFonts w:ascii="Calibri Light" w:hAnsi="Calibri Light" w:cs="Calibri Light"/>
          <w:b/>
          <w:color w:val="7030A0"/>
          <w:sz w:val="23"/>
        </w:rPr>
        <w:t xml:space="preserve"> </w:t>
      </w:r>
    </w:p>
    <w:p w14:paraId="4C49085A" w14:textId="6FD11D1B" w:rsidR="006254AD" w:rsidRPr="006254AD" w:rsidRDefault="006254AD" w:rsidP="002D33A7">
      <w:pPr>
        <w:tabs>
          <w:tab w:val="left" w:pos="3900"/>
        </w:tabs>
        <w:spacing w:before="120" w:after="120"/>
        <w:ind w:right="-1"/>
        <w:jc w:val="both"/>
        <w:rPr>
          <w:rFonts w:ascii="Calibri Light" w:hAnsi="Calibri Light" w:cs="Calibri Light"/>
          <w:sz w:val="24"/>
          <w:szCs w:val="24"/>
          <w:lang w:val="en-ID"/>
        </w:rPr>
      </w:pPr>
      <w:r w:rsidRPr="006254AD">
        <w:rPr>
          <w:rFonts w:ascii="Calibri Light" w:hAnsi="Calibri Light" w:cs="Calibri Light"/>
          <w:sz w:val="24"/>
          <w:szCs w:val="24"/>
          <w:lang w:val="en-ID"/>
        </w:rPr>
        <w:t>This study provides a comprehensive bibliometric analysis of the intersection between the Basel Accords and Islamic banking, revealing key trends and the continued growth of academic publications in this field since 2015, with notable increases in recent years. The findings suggest that research in this area is steadily expanding, reflecting the growing interest in discussions surrounding risk management frameworks and Sharia-compliant banking practices in light of global financial regulations.</w:t>
      </w:r>
      <w:r w:rsidR="001F582A">
        <w:rPr>
          <w:rFonts w:ascii="Calibri Light" w:hAnsi="Calibri Light" w:cs="Calibri Light"/>
          <w:sz w:val="24"/>
          <w:szCs w:val="24"/>
          <w:lang w:val="en-ID"/>
        </w:rPr>
        <w:t xml:space="preserve"> </w:t>
      </w:r>
      <w:r w:rsidRPr="006254AD">
        <w:rPr>
          <w:rFonts w:ascii="Calibri Light" w:hAnsi="Calibri Light" w:cs="Calibri Light"/>
          <w:sz w:val="24"/>
          <w:szCs w:val="24"/>
          <w:lang w:val="en-ID"/>
        </w:rPr>
        <w:t>Geographical data analysis highlights the significant contributions of Asian and Middle Eastern countries, with particular focus on nations striving to align global financial systems with Islamic banking practices. Additionally, keyword network analysis shows that research in Islamic banking has become more diversified, with increasing interest in themes such as corporate governance, financial stability, social responsibility, and emerging technological innovations like fintech.</w:t>
      </w:r>
      <w:r w:rsidR="002D33A7">
        <w:rPr>
          <w:rFonts w:ascii="Calibri Light" w:hAnsi="Calibri Light" w:cs="Calibri Light"/>
          <w:sz w:val="24"/>
          <w:szCs w:val="24"/>
          <w:lang w:val="en-ID"/>
        </w:rPr>
        <w:t xml:space="preserve"> </w:t>
      </w:r>
      <w:r w:rsidRPr="006254AD">
        <w:rPr>
          <w:rFonts w:ascii="Calibri Light" w:hAnsi="Calibri Light" w:cs="Calibri Light"/>
          <w:sz w:val="24"/>
          <w:szCs w:val="24"/>
          <w:lang w:val="en-ID"/>
        </w:rPr>
        <w:t>The study underscores the importance of ongoing collaboration among researchers and global academic institutions to establish effective regulatory frameworks that are Sharia-compliant, in order to enhance the sustainability and effectiveness of Islamic banking within the global financial system. In conclusion, this study highlights the continued need for research and development in this field to ensure the integration of Islamic banking into the future global financial landscape.</w:t>
      </w:r>
    </w:p>
    <w:p w14:paraId="2B98BE3C" w14:textId="77777777" w:rsidR="00741058" w:rsidRPr="00122F5F" w:rsidRDefault="006E466B" w:rsidP="00C44781">
      <w:pPr>
        <w:pStyle w:val="ListParagraph"/>
        <w:tabs>
          <w:tab w:val="left" w:pos="3900"/>
        </w:tabs>
        <w:spacing w:before="120" w:after="120" w:line="240" w:lineRule="auto"/>
        <w:ind w:left="0" w:right="-1"/>
        <w:contextualSpacing w:val="0"/>
        <w:jc w:val="both"/>
        <w:rPr>
          <w:rFonts w:ascii="Calibri Light" w:hAnsi="Calibri Light" w:cs="Calibri Light"/>
          <w:noProof w:val="0"/>
          <w:color w:val="FF0000"/>
          <w:sz w:val="23"/>
          <w:rtl/>
        </w:rPr>
      </w:pPr>
      <w:r>
        <w:rPr>
          <w:rFonts w:ascii="Calibri Light" w:hAnsi="Calibri Light" w:cs="Calibri Light"/>
          <w:color w:val="FF0000"/>
          <w:sz w:val="23"/>
        </w:rPr>
        <w:tab/>
      </w:r>
    </w:p>
    <w:p w14:paraId="1DC6C091" w14:textId="77777777" w:rsidR="00741058" w:rsidRPr="00122F5F" w:rsidRDefault="00F369EC" w:rsidP="00F369EC">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r w:rsidR="00741058" w:rsidRPr="00122F5F">
        <w:rPr>
          <w:rFonts w:ascii="Calibri Light" w:hAnsi="Calibri Light" w:cs="Calibri Light"/>
          <w:b/>
          <w:color w:val="7030A0"/>
          <w:sz w:val="24"/>
          <w:szCs w:val="24"/>
        </w:rPr>
        <w:t xml:space="preserve"> </w:t>
      </w:r>
    </w:p>
    <w:p w14:paraId="6CD63A10" w14:textId="77777777" w:rsidR="00E810D4" w:rsidRPr="00ED1805" w:rsidRDefault="00E810D4" w:rsidP="00ED1805">
      <w:pPr>
        <w:pStyle w:val="ListParagraph"/>
        <w:spacing w:before="120" w:after="120"/>
        <w:ind w:left="440" w:right="-1" w:hanging="14"/>
        <w:jc w:val="both"/>
        <w:rPr>
          <w:rFonts w:ascii="Calibri Light" w:hAnsi="Calibri Light" w:cs="Calibri Light"/>
          <w:sz w:val="24"/>
          <w:szCs w:val="22"/>
          <w:lang w:val="en-ID"/>
        </w:rPr>
      </w:pPr>
      <w:r w:rsidRPr="00E810D4">
        <w:rPr>
          <w:sz w:val="24"/>
          <w:szCs w:val="24"/>
          <w:lang w:val="en-ID" w:eastAsia="en-ID"/>
        </w:rPr>
        <w:t xml:space="preserve"> </w:t>
      </w:r>
      <w:r w:rsidRPr="00ED1805">
        <w:rPr>
          <w:rFonts w:ascii="Calibri Light" w:hAnsi="Calibri Light" w:cs="Calibri Light"/>
          <w:sz w:val="24"/>
          <w:szCs w:val="22"/>
          <w:lang w:val="en-ID"/>
        </w:rPr>
        <w:t>The author would like to thank the editors and anonymous reviewers for their assistance</w:t>
      </w:r>
      <w:r w:rsidR="00A526EF">
        <w:rPr>
          <w:rFonts w:ascii="Calibri Light" w:hAnsi="Calibri Light" w:cs="Calibri Light"/>
          <w:sz w:val="24"/>
          <w:szCs w:val="22"/>
          <w:lang w:val="en-ID"/>
        </w:rPr>
        <w:t xml:space="preserve"> </w:t>
      </w:r>
      <w:r w:rsidRPr="00ED1805">
        <w:rPr>
          <w:rFonts w:ascii="Calibri Light" w:hAnsi="Calibri Light" w:cs="Calibri Light"/>
          <w:sz w:val="24"/>
          <w:szCs w:val="22"/>
          <w:lang w:val="en-ID"/>
        </w:rPr>
        <w:t>in</w:t>
      </w:r>
      <w:r w:rsidR="00ED1805">
        <w:rPr>
          <w:rFonts w:ascii="Calibri Light" w:hAnsi="Calibri Light" w:cs="Calibri Light"/>
          <w:sz w:val="24"/>
          <w:szCs w:val="22"/>
          <w:lang w:val="en-ID"/>
        </w:rPr>
        <w:t xml:space="preserve"> </w:t>
      </w:r>
      <w:r w:rsidRPr="00ED1805">
        <w:rPr>
          <w:rFonts w:ascii="Calibri Light" w:hAnsi="Calibri Light" w:cs="Calibri Light"/>
          <w:sz w:val="24"/>
          <w:szCs w:val="22"/>
          <w:lang w:val="en-ID"/>
        </w:rPr>
        <w:t>improving the quality of the research documents.</w:t>
      </w:r>
    </w:p>
    <w:p w14:paraId="717E6B46" w14:textId="77777777" w:rsidR="00741058" w:rsidRDefault="00741058" w:rsidP="001602A0">
      <w:pPr>
        <w:numPr>
          <w:ilvl w:val="0"/>
          <w:numId w:val="28"/>
        </w:numPr>
        <w:spacing w:line="240" w:lineRule="atLeast"/>
        <w:jc w:val="both"/>
        <w:rPr>
          <w:rFonts w:ascii="Calibri Light" w:hAnsi="Calibri Light" w:cs="Calibri Light"/>
          <w:b/>
          <w:color w:val="7030A0"/>
          <w:sz w:val="24"/>
          <w:szCs w:val="24"/>
        </w:rPr>
      </w:pPr>
      <w:r w:rsidRPr="00122F5F">
        <w:rPr>
          <w:rFonts w:ascii="Calibri Light" w:hAnsi="Calibri Light" w:cs="Calibri Light"/>
          <w:b/>
          <w:sz w:val="24"/>
          <w:szCs w:val="24"/>
        </w:rPr>
        <w:t>REFERENCES</w:t>
      </w:r>
      <w:r w:rsidRPr="00122F5F">
        <w:rPr>
          <w:rFonts w:ascii="Calibri Light" w:hAnsi="Calibri Light" w:cs="Calibri Light"/>
          <w:b/>
          <w:color w:val="7030A0"/>
          <w:sz w:val="24"/>
          <w:szCs w:val="24"/>
        </w:rPr>
        <w:t xml:space="preserve"> </w:t>
      </w:r>
    </w:p>
    <w:p w14:paraId="3FCA2595" w14:textId="1655258F"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Pr>
          <w:rFonts w:ascii="Calibri Light" w:hAnsi="Calibri Light" w:cs="Calibri Light"/>
          <w:b/>
          <w:color w:val="7030A0"/>
          <w:sz w:val="24"/>
          <w:szCs w:val="24"/>
        </w:rPr>
        <w:fldChar w:fldCharType="begin" w:fldLock="1"/>
      </w:r>
      <w:r w:rsidRPr="000900AD">
        <w:rPr>
          <w:rFonts w:ascii="Calibri Light" w:hAnsi="Calibri Light" w:cs="Calibri Light"/>
          <w:b/>
          <w:color w:val="7030A0"/>
          <w:sz w:val="24"/>
          <w:szCs w:val="24"/>
        </w:rPr>
        <w:instrText xml:space="preserve">ADDIN Mendeley Bibliography CSL_BIBLIOGRAPHY </w:instrText>
      </w:r>
      <w:r>
        <w:rPr>
          <w:rFonts w:ascii="Calibri Light" w:hAnsi="Calibri Light" w:cs="Calibri Light"/>
          <w:b/>
          <w:color w:val="7030A0"/>
          <w:sz w:val="24"/>
          <w:szCs w:val="24"/>
        </w:rPr>
        <w:fldChar w:fldCharType="separate"/>
      </w:r>
      <w:r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Pr="000900AD">
        <w:rPr>
          <w:rFonts w:ascii="Calibri Light" w:hAnsi="Calibri Light" w:cs="Calibri Light"/>
          <w:i/>
          <w:iCs/>
          <w:sz w:val="24"/>
        </w:rPr>
        <w:t>Journal of the Knowledge Economy</w:t>
      </w:r>
      <w:r w:rsidRPr="000900AD">
        <w:rPr>
          <w:rFonts w:ascii="Calibri Light" w:hAnsi="Calibri Light" w:cs="Calibri Light"/>
          <w:sz w:val="24"/>
        </w:rPr>
        <w:t xml:space="preserve">, </w:t>
      </w:r>
      <w:r w:rsidRPr="000900AD">
        <w:rPr>
          <w:rFonts w:ascii="Calibri Light" w:hAnsi="Calibri Light" w:cs="Calibri Light"/>
          <w:i/>
          <w:iCs/>
          <w:sz w:val="24"/>
        </w:rPr>
        <w:t>14</w:t>
      </w:r>
      <w:r w:rsidRPr="000900AD">
        <w:rPr>
          <w:rFonts w:ascii="Calibri Light" w:hAnsi="Calibri Light" w:cs="Calibri Light"/>
          <w:sz w:val="24"/>
        </w:rPr>
        <w:t>(2), 946–965. https://doi.org/10.1007/s13132-022-00933-y</w:t>
      </w:r>
    </w:p>
    <w:p w14:paraId="4910A98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1F44AF8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290EC82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3722430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w:t>
      </w:r>
      <w:r w:rsidRPr="000900AD">
        <w:rPr>
          <w:rFonts w:ascii="Calibri Light" w:hAnsi="Calibri Light" w:cs="Calibri Light"/>
          <w:sz w:val="24"/>
        </w:rPr>
        <w:lastRenderedPageBreak/>
        <w:t xml:space="preserve">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38727E3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1B601A6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50E1E43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04FDFDE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1F028FE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4056D2C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5DE1EC6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3F37BEE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58A4862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3ABC64C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68723C5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0181DBF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 xml:space="preserve">(2–3), 229–237. </w:t>
      </w:r>
      <w:r w:rsidRPr="000900AD">
        <w:rPr>
          <w:rFonts w:ascii="Calibri Light" w:hAnsi="Calibri Light" w:cs="Calibri Light"/>
          <w:sz w:val="24"/>
        </w:rPr>
        <w:lastRenderedPageBreak/>
        <w:t>https://doi.org/10.1504/IJMEF.2024.139028</w:t>
      </w:r>
    </w:p>
    <w:p w14:paraId="6DDFED4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429E2A7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International Journal of Productivity 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48CEDCE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42FCADE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72A8750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439E358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2779626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76C1C14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02204D7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2C484FC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6D2A648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(1), 1–17. https://doi.org/10.1017/bap.2021.16</w:t>
      </w:r>
    </w:p>
    <w:p w14:paraId="0E60A0D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w:t>
      </w:r>
      <w:r w:rsidRPr="000900AD">
        <w:rPr>
          <w:rFonts w:ascii="Calibri Light" w:hAnsi="Calibri Light" w:cs="Calibri Light"/>
          <w:sz w:val="24"/>
        </w:rPr>
        <w:lastRenderedPageBreak/>
        <w:t xml:space="preserve">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2C05FD8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7CDC76E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30C9E7E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4CD2C2D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4C88985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2F49990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35805D5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1889842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6E9EE8A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6150933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https://doi.org/10.1108/QRFM-04-2024-0108</w:t>
      </w:r>
    </w:p>
    <w:p w14:paraId="6B2C1CD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165A391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1E4E20E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3651BC3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78AEC34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63865C3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348BEF7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776E610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63D590DE" w14:textId="5F568C67" w:rsidR="000900AD" w:rsidRDefault="000900AD" w:rsidP="008847ED">
      <w:pPr>
        <w:spacing w:line="240" w:lineRule="atLeast"/>
        <w:ind w:left="1276" w:hanging="502"/>
        <w:jc w:val="both"/>
        <w:rPr>
          <w:rFonts w:ascii="Calibri Light" w:hAnsi="Calibri Light" w:cs="Calibri Light"/>
          <w:b/>
          <w:color w:val="7030A0"/>
          <w:sz w:val="24"/>
          <w:szCs w:val="24"/>
        </w:rPr>
      </w:pPr>
      <w:r>
        <w:rPr>
          <w:rFonts w:ascii="Calibri Light" w:hAnsi="Calibri Light" w:cs="Calibri Light"/>
          <w:b/>
          <w:color w:val="7030A0"/>
          <w:sz w:val="24"/>
          <w:szCs w:val="24"/>
        </w:rPr>
        <w:fldChar w:fldCharType="end"/>
      </w:r>
    </w:p>
    <w:p w14:paraId="4800F6BB" w14:textId="2060A454" w:rsidR="000900AD" w:rsidRPr="000900AD" w:rsidRDefault="003C27F1"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Pr>
          <w:rFonts w:ascii="Calibri Light" w:hAnsi="Calibri Light" w:cs="Calibri Light"/>
          <w:b/>
          <w:color w:val="A6A6A6"/>
          <w:sz w:val="24"/>
          <w:szCs w:val="24"/>
        </w:rPr>
        <w:fldChar w:fldCharType="begin" w:fldLock="1"/>
      </w:r>
      <w:r w:rsidRPr="000900AD">
        <w:rPr>
          <w:rFonts w:ascii="Calibri Light" w:hAnsi="Calibri Light" w:cs="Calibri Light"/>
          <w:b/>
          <w:color w:val="A6A6A6"/>
          <w:sz w:val="24"/>
          <w:szCs w:val="24"/>
        </w:rPr>
        <w:instrText xml:space="preserve">ADDIN Mendeley Bibliography CSL_BIBLIOGRAPHY </w:instrText>
      </w:r>
      <w:r>
        <w:rPr>
          <w:rFonts w:ascii="Calibri Light" w:hAnsi="Calibri Light" w:cs="Calibri Light"/>
          <w:b/>
          <w:color w:val="A6A6A6"/>
          <w:sz w:val="24"/>
          <w:szCs w:val="24"/>
        </w:rPr>
        <w:fldChar w:fldCharType="separate"/>
      </w:r>
      <w:r w:rsidR="000900AD"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000900AD" w:rsidRPr="000900AD">
        <w:rPr>
          <w:rFonts w:ascii="Calibri Light" w:hAnsi="Calibri Light" w:cs="Calibri Light"/>
          <w:i/>
          <w:iCs/>
          <w:sz w:val="24"/>
        </w:rPr>
        <w:t>Journal of the Knowledge Economy</w:t>
      </w:r>
      <w:r w:rsidR="000900AD" w:rsidRPr="000900AD">
        <w:rPr>
          <w:rFonts w:ascii="Calibri Light" w:hAnsi="Calibri Light" w:cs="Calibri Light"/>
          <w:sz w:val="24"/>
        </w:rPr>
        <w:t xml:space="preserve">, </w:t>
      </w:r>
      <w:r w:rsidR="000900AD" w:rsidRPr="000900AD">
        <w:rPr>
          <w:rFonts w:ascii="Calibri Light" w:hAnsi="Calibri Light" w:cs="Calibri Light"/>
          <w:i/>
          <w:iCs/>
          <w:sz w:val="24"/>
        </w:rPr>
        <w:t>14</w:t>
      </w:r>
      <w:r w:rsidR="000900AD" w:rsidRPr="000900AD">
        <w:rPr>
          <w:rFonts w:ascii="Calibri Light" w:hAnsi="Calibri Light" w:cs="Calibri Light"/>
          <w:sz w:val="24"/>
        </w:rPr>
        <w:t>(2), 946–965. https://doi.org/10.1007/s13132-022-00933-y</w:t>
      </w:r>
    </w:p>
    <w:p w14:paraId="68064C4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54AA4D8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246C7A2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7095E7C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41EA9CE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6093413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w:t>
      </w:r>
      <w:r w:rsidRPr="000900AD">
        <w:rPr>
          <w:rFonts w:ascii="Calibri Light" w:hAnsi="Calibri Light" w:cs="Calibri Light"/>
          <w:sz w:val="24"/>
        </w:rPr>
        <w:lastRenderedPageBreak/>
        <w:t xml:space="preserve">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0C3A6E6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38AACD9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0B9F22E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730BD9F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28B5492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4DC3F2A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71418F5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7B24FB2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54C425C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03EAA4C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(2–3), 229–237. https://doi.org/10.1504/IJMEF.2024.139028</w:t>
      </w:r>
    </w:p>
    <w:p w14:paraId="5BBF48F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545E34A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 xml:space="preserve">International Journal of Productivity </w:t>
      </w:r>
      <w:r w:rsidRPr="000900AD">
        <w:rPr>
          <w:rFonts w:ascii="Calibri Light" w:hAnsi="Calibri Light" w:cs="Calibri Light"/>
          <w:i/>
          <w:iCs/>
          <w:sz w:val="24"/>
        </w:rPr>
        <w:lastRenderedPageBreak/>
        <w:t>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3D176C4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46A17F5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3C9EF22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38BC182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22F6AE0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6C7E84E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4CBC72C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748BD0E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32D9DF8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(1), 1–17. https://doi.org/10.1017/bap.2021.16</w:t>
      </w:r>
    </w:p>
    <w:p w14:paraId="6B60D4B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7CCE7EA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18DD897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w:t>
      </w:r>
      <w:r w:rsidRPr="000900AD">
        <w:rPr>
          <w:rFonts w:ascii="Calibri Light" w:hAnsi="Calibri Light" w:cs="Calibri Light"/>
          <w:sz w:val="24"/>
        </w:rPr>
        <w:lastRenderedPageBreak/>
        <w:t xml:space="preserve">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05EE4D2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2212A53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4059E75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540D71D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22D6030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073EF1E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14D39E1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15638F8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https://doi.org/10.1108/QRFM-04-2024-0108</w:t>
      </w:r>
    </w:p>
    <w:p w14:paraId="2786CF7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79D2E23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2A3E840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3B5C8F4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68F0BB1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7645E1E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71F758F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391DE39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3D107B4C" w14:textId="08D051EE" w:rsidR="001602A0" w:rsidRPr="00540F02" w:rsidRDefault="003C27F1" w:rsidP="008847ED">
      <w:pPr>
        <w:spacing w:line="240" w:lineRule="atLeast"/>
        <w:ind w:left="1276" w:hanging="502"/>
        <w:jc w:val="both"/>
        <w:rPr>
          <w:rFonts w:ascii="Calibri Light" w:hAnsi="Calibri Light" w:cs="Calibri Light"/>
          <w:b/>
          <w:color w:val="A6A6A6"/>
          <w:sz w:val="24"/>
          <w:szCs w:val="24"/>
          <w:lang w:val="id-ID"/>
        </w:rPr>
      </w:pPr>
      <w:r>
        <w:rPr>
          <w:rFonts w:ascii="Calibri Light" w:hAnsi="Calibri Light" w:cs="Calibri Light"/>
          <w:b/>
          <w:color w:val="A6A6A6"/>
          <w:sz w:val="24"/>
          <w:szCs w:val="24"/>
          <w:lang w:val="id-ID"/>
        </w:rPr>
        <w:fldChar w:fldCharType="end"/>
      </w:r>
    </w:p>
    <w:p w14:paraId="4DF8EF8D" w14:textId="6E047032" w:rsidR="000900AD" w:rsidRPr="000900AD" w:rsidRDefault="00A33DAA"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Pr>
          <w:rFonts w:ascii="Calibri Light" w:hAnsi="Calibri Light" w:cs="Calibri Light"/>
          <w:color w:val="A6A6A6"/>
          <w:sz w:val="24"/>
          <w:szCs w:val="24"/>
        </w:rPr>
        <w:fldChar w:fldCharType="begin" w:fldLock="1"/>
      </w:r>
      <w:r w:rsidRPr="000900AD">
        <w:rPr>
          <w:rFonts w:ascii="Calibri Light" w:hAnsi="Calibri Light" w:cs="Calibri Light"/>
          <w:color w:val="A6A6A6"/>
          <w:sz w:val="24"/>
          <w:szCs w:val="24"/>
        </w:rPr>
        <w:instrText xml:space="preserve">ADDIN Mendeley Bibliography CSL_BIBLIOGRAPHY </w:instrText>
      </w:r>
      <w:r>
        <w:rPr>
          <w:rFonts w:ascii="Calibri Light" w:hAnsi="Calibri Light" w:cs="Calibri Light"/>
          <w:color w:val="A6A6A6"/>
          <w:sz w:val="24"/>
          <w:szCs w:val="24"/>
        </w:rPr>
        <w:fldChar w:fldCharType="separate"/>
      </w:r>
      <w:r w:rsidR="000900AD"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000900AD" w:rsidRPr="000900AD">
        <w:rPr>
          <w:rFonts w:ascii="Calibri Light" w:hAnsi="Calibri Light" w:cs="Calibri Light"/>
          <w:i/>
          <w:iCs/>
          <w:sz w:val="24"/>
        </w:rPr>
        <w:t>Journal of the Knowledge Economy</w:t>
      </w:r>
      <w:r w:rsidR="000900AD" w:rsidRPr="000900AD">
        <w:rPr>
          <w:rFonts w:ascii="Calibri Light" w:hAnsi="Calibri Light" w:cs="Calibri Light"/>
          <w:sz w:val="24"/>
        </w:rPr>
        <w:t xml:space="preserve">, </w:t>
      </w:r>
      <w:r w:rsidR="000900AD" w:rsidRPr="000900AD">
        <w:rPr>
          <w:rFonts w:ascii="Calibri Light" w:hAnsi="Calibri Light" w:cs="Calibri Light"/>
          <w:i/>
          <w:iCs/>
          <w:sz w:val="24"/>
        </w:rPr>
        <w:t>14</w:t>
      </w:r>
      <w:r w:rsidR="000900AD" w:rsidRPr="000900AD">
        <w:rPr>
          <w:rFonts w:ascii="Calibri Light" w:hAnsi="Calibri Light" w:cs="Calibri Light"/>
          <w:sz w:val="24"/>
        </w:rPr>
        <w:t>(2), 946–965. https://doi.org/10.1007/s13132-022-00933-y</w:t>
      </w:r>
    </w:p>
    <w:p w14:paraId="620AD14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540BBEE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61A8690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14D23711"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5F9754E0"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4B9FFD1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53BCAABA"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07EE7FD5"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63AAD52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2BC15ED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3461289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0E5FF13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11B4BCB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5DB7AE9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6AB28E7B"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5F10EF8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(2–3), 229–237. https://doi.org/10.1504/IJMEF.2024.139028</w:t>
      </w:r>
    </w:p>
    <w:p w14:paraId="27C20EF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w:t>
      </w:r>
      <w:r w:rsidRPr="000900AD">
        <w:rPr>
          <w:rFonts w:ascii="Calibri Light" w:hAnsi="Calibri Light" w:cs="Calibri Light"/>
          <w:sz w:val="24"/>
        </w:rPr>
        <w:lastRenderedPageBreak/>
        <w:t xml:space="preserve">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5AC61744"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International Journal of Productivity 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7C77623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0B00DCD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3B25B2F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304FC62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7F70F1B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2AF62B36"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40E48AC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1AAC340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5B53EA0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 xml:space="preserve">(1), 1–17. </w:t>
      </w:r>
      <w:r w:rsidRPr="000900AD">
        <w:rPr>
          <w:rFonts w:ascii="Calibri Light" w:hAnsi="Calibri Light" w:cs="Calibri Light"/>
          <w:sz w:val="24"/>
        </w:rPr>
        <w:lastRenderedPageBreak/>
        <w:t>https://doi.org/10.1017/bap.2021.16</w:t>
      </w:r>
    </w:p>
    <w:p w14:paraId="3D46A67A"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5A6D612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3135C06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762427E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641CCBD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3FC51D5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0804A1A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34BB2D5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0BC7EF27"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102E5EA6"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5DF1B19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sz w:val="24"/>
        </w:rPr>
        <w:lastRenderedPageBreak/>
        <w:t>https://doi.org/10.1108/QRFM-04-2024-0108</w:t>
      </w:r>
    </w:p>
    <w:p w14:paraId="1C37AD6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1F04FCD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1D63F66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1EF0BFC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14F9565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3C72DBF1"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1D6C823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66CB833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046DB4D8" w14:textId="06F6C2B0" w:rsidR="000900AD" w:rsidRPr="000900AD" w:rsidRDefault="00A33DAA" w:rsidP="008847ED">
      <w:pPr>
        <w:pStyle w:val="ListParagraph"/>
        <w:numPr>
          <w:ilvl w:val="0"/>
          <w:numId w:val="33"/>
        </w:numPr>
        <w:ind w:left="1276" w:hanging="502"/>
        <w:jc w:val="both"/>
      </w:pPr>
      <w:r>
        <w:rPr>
          <w:color w:val="A6A6A6"/>
          <w:szCs w:val="24"/>
        </w:rPr>
        <w:fldChar w:fldCharType="end"/>
      </w:r>
      <w:r w:rsidR="00804B31">
        <w:rPr>
          <w:color w:val="A6A6A6"/>
          <w:szCs w:val="24"/>
        </w:rPr>
        <w:fldChar w:fldCharType="begin" w:fldLock="1"/>
      </w:r>
      <w:r w:rsidR="00804B31">
        <w:rPr>
          <w:color w:val="A6A6A6"/>
          <w:szCs w:val="24"/>
        </w:rPr>
        <w:instrText xml:space="preserve">ADDIN Mendeley Bibliography CSL_BIBLIOGRAPHY </w:instrText>
      </w:r>
      <w:r w:rsidR="00804B31">
        <w:rPr>
          <w:color w:val="A6A6A6"/>
          <w:szCs w:val="24"/>
        </w:rPr>
        <w:fldChar w:fldCharType="separate"/>
      </w:r>
      <w:r w:rsidR="000900AD" w:rsidRPr="000900AD">
        <w:t xml:space="preserve">Abrar, M., Abbas, S., Kousar, S., &amp; Mushtaq, M. (2023). Investigation on the Effects of Customer Knowledge, Political Support, and Innovation on the Growth of Islamic Banking System: a Case Study of Pakistan. </w:t>
      </w:r>
      <w:r w:rsidR="000900AD" w:rsidRPr="000900AD">
        <w:rPr>
          <w:i/>
          <w:iCs/>
        </w:rPr>
        <w:t>Journal of the Knowledge Economy</w:t>
      </w:r>
      <w:r w:rsidR="000900AD" w:rsidRPr="000900AD">
        <w:t xml:space="preserve">, </w:t>
      </w:r>
      <w:r w:rsidR="000900AD" w:rsidRPr="000900AD">
        <w:rPr>
          <w:i/>
          <w:iCs/>
        </w:rPr>
        <w:t>14</w:t>
      </w:r>
      <w:r w:rsidR="000900AD" w:rsidRPr="000900AD">
        <w:t>(2), 946–965. https://doi.org/10.1007/s13132-022-00933-y</w:t>
      </w:r>
    </w:p>
    <w:p w14:paraId="7FBF703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Afrida, Y., Rivai, H. A., Syahrul, L., &amp; Lukito, H. (2024). Readiness to change in Islamic banking: the significance of adaptability and Islamic work ethics. </w:t>
      </w:r>
      <w:r w:rsidRPr="000900AD">
        <w:rPr>
          <w:rFonts w:cs="Calibri"/>
          <w:i/>
          <w:iCs/>
        </w:rPr>
        <w:t>Journal of Islamic Marketing</w:t>
      </w:r>
      <w:r w:rsidRPr="000900AD">
        <w:rPr>
          <w:rFonts w:cs="Calibri"/>
        </w:rPr>
        <w:t xml:space="preserve">, </w:t>
      </w:r>
      <w:r w:rsidRPr="000900AD">
        <w:rPr>
          <w:rFonts w:cs="Calibri"/>
          <w:i/>
          <w:iCs/>
        </w:rPr>
        <w:t>15</w:t>
      </w:r>
      <w:r w:rsidRPr="000900AD">
        <w:rPr>
          <w:rFonts w:cs="Calibri"/>
        </w:rPr>
        <w:t>(12), 3445–3463. https://doi.org/10.1108/JIMA-11-2023-0357</w:t>
      </w:r>
    </w:p>
    <w:p w14:paraId="6E42206A"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Ahmad, M., Zafar, M. B., &amp; Perveen, A. (2024). Consumer shift behavior from conventional to Islamic banking: decision-making analysis through AHP. </w:t>
      </w:r>
      <w:r w:rsidRPr="000900AD">
        <w:rPr>
          <w:rFonts w:cs="Calibri"/>
          <w:i/>
          <w:iCs/>
        </w:rPr>
        <w:t xml:space="preserve">Journal of </w:t>
      </w:r>
      <w:r w:rsidRPr="000900AD">
        <w:rPr>
          <w:rFonts w:cs="Calibri"/>
          <w:i/>
          <w:iCs/>
        </w:rPr>
        <w:lastRenderedPageBreak/>
        <w:t>Islamic Marketing</w:t>
      </w:r>
      <w:r w:rsidRPr="000900AD">
        <w:rPr>
          <w:rFonts w:cs="Calibri"/>
        </w:rPr>
        <w:t xml:space="preserve">, </w:t>
      </w:r>
      <w:r w:rsidRPr="000900AD">
        <w:rPr>
          <w:rFonts w:cs="Calibri"/>
          <w:i/>
          <w:iCs/>
        </w:rPr>
        <w:t>15</w:t>
      </w:r>
      <w:r w:rsidRPr="000900AD">
        <w:rPr>
          <w:rFonts w:cs="Calibri"/>
        </w:rPr>
        <w:t>(5), 1280–1302. https://doi.org/10.1108/JIMA-02-2023-0036</w:t>
      </w:r>
    </w:p>
    <w:p w14:paraId="79E2625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Al-Homaidi, E. A., Al-Matari, E. M., Anagreh, S., Tabash, M. I., &amp; Mareai Senan, N. A. (2021). The relationship between zakat disclosures and Islamic banking performance: Evidence from Yemen. </w:t>
      </w:r>
      <w:r w:rsidRPr="000900AD">
        <w:rPr>
          <w:rFonts w:cs="Calibri"/>
          <w:i/>
          <w:iCs/>
        </w:rPr>
        <w:t>Banks and Bank Systems</w:t>
      </w:r>
      <w:r w:rsidRPr="000900AD">
        <w:rPr>
          <w:rFonts w:cs="Calibri"/>
        </w:rPr>
        <w:t xml:space="preserve">, </w:t>
      </w:r>
      <w:r w:rsidRPr="000900AD">
        <w:rPr>
          <w:rFonts w:cs="Calibri"/>
          <w:i/>
          <w:iCs/>
        </w:rPr>
        <w:t>16</w:t>
      </w:r>
      <w:r w:rsidRPr="000900AD">
        <w:rPr>
          <w:rFonts w:cs="Calibri"/>
        </w:rPr>
        <w:t>(1), 52–61. https://doi.org/10.21511/bbs.16(1).2021.05</w:t>
      </w:r>
    </w:p>
    <w:p w14:paraId="7CE389B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A., Zulkhibri, M., &amp; Kishwar, T. (2022). IFSB Standards Adoption and Its Impact on Islamic Banking Practices: Evidence from Pakistan. </w:t>
      </w:r>
      <w:r w:rsidRPr="000900AD">
        <w:rPr>
          <w:rFonts w:cs="Calibri"/>
          <w:i/>
          <w:iCs/>
        </w:rPr>
        <w:t>Journal of King Abdulaziz University, Islamic Economics</w:t>
      </w:r>
      <w:r w:rsidRPr="000900AD">
        <w:rPr>
          <w:rFonts w:cs="Calibri"/>
        </w:rPr>
        <w:t xml:space="preserve">, </w:t>
      </w:r>
      <w:r w:rsidRPr="000900AD">
        <w:rPr>
          <w:rFonts w:cs="Calibri"/>
          <w:i/>
          <w:iCs/>
        </w:rPr>
        <w:t>35</w:t>
      </w:r>
      <w:r w:rsidRPr="000900AD">
        <w:rPr>
          <w:rFonts w:cs="Calibri"/>
        </w:rPr>
        <w:t>(2), 55–76. https://doi.org/10.4197/Islec.35-2.4</w:t>
      </w:r>
    </w:p>
    <w:p w14:paraId="4027BAF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cs="Calibri"/>
          <w:i/>
          <w:iCs/>
        </w:rPr>
        <w:t>Journal of Lifestyle and SDGs Review</w:t>
      </w:r>
      <w:r w:rsidRPr="000900AD">
        <w:rPr>
          <w:rFonts w:cs="Calibri"/>
        </w:rPr>
        <w:t xml:space="preserve">, </w:t>
      </w:r>
      <w:r w:rsidRPr="000900AD">
        <w:rPr>
          <w:rFonts w:cs="Calibri"/>
          <w:i/>
          <w:iCs/>
        </w:rPr>
        <w:t>5</w:t>
      </w:r>
      <w:r w:rsidRPr="000900AD">
        <w:rPr>
          <w:rFonts w:cs="Calibri"/>
        </w:rPr>
        <w:t>(1), e03295–e03295.</w:t>
      </w:r>
    </w:p>
    <w:p w14:paraId="4F3BEB65"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S. A., Loussaief, A., &amp; Ahmed, M. (2022). A comparative analysis of employees’ and customers’ attitude towards Islamic banking. </w:t>
      </w:r>
      <w:r w:rsidRPr="000900AD">
        <w:rPr>
          <w:rFonts w:cs="Calibri"/>
          <w:i/>
          <w:iCs/>
        </w:rPr>
        <w:t>International Journal of Ethics and Systems</w:t>
      </w:r>
      <w:r w:rsidRPr="000900AD">
        <w:rPr>
          <w:rFonts w:cs="Calibri"/>
        </w:rPr>
        <w:t xml:space="preserve">, </w:t>
      </w:r>
      <w:r w:rsidRPr="000900AD">
        <w:rPr>
          <w:rFonts w:cs="Calibri"/>
          <w:i/>
          <w:iCs/>
        </w:rPr>
        <w:t>38</w:t>
      </w:r>
      <w:r w:rsidRPr="000900AD">
        <w:rPr>
          <w:rFonts w:cs="Calibri"/>
        </w:rPr>
        <w:t>(2), 209–234. https://doi.org/10.1108/IJOES-03-2021-0053</w:t>
      </w:r>
    </w:p>
    <w:p w14:paraId="48C269D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Altwijry, O. I., Mohammed, M. O., Hassan, M. K., &amp; Selim, M. (2022). Developing a Shari’ah based FinTech Money Creation Free [SFMCF] model for Islamic banking.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15</w:t>
      </w:r>
      <w:r w:rsidRPr="000900AD">
        <w:rPr>
          <w:rFonts w:cs="Calibri"/>
        </w:rPr>
        <w:t>(4), 739–758. https://doi.org/10.1108/IMEFM-05-2021-0189</w:t>
      </w:r>
    </w:p>
    <w:p w14:paraId="6563496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Amuda, Y. J., &amp; Al-Nasser, S. A. (2024). Exploring encounters and prodigies of Islamic banks in non-Muslim states: towards enhancing regulatory frameworks of Islamic banking system. </w:t>
      </w:r>
      <w:r w:rsidRPr="000900AD">
        <w:rPr>
          <w:rFonts w:cs="Calibri"/>
          <w:i/>
          <w:iCs/>
        </w:rPr>
        <w:t>International Journal of Law and Management</w:t>
      </w:r>
      <w:r w:rsidRPr="000900AD">
        <w:rPr>
          <w:rFonts w:cs="Calibri"/>
        </w:rPr>
        <w:t>. https://doi.org/10.1108/IJLMA-11-2023-0250</w:t>
      </w:r>
    </w:p>
    <w:p w14:paraId="2D02D3C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Andri Nirwana, A. N., Elbanna, M., Ismail, F. H., Daud, Z., Mohd Salleh, N., Bin Kirin, A., Marisa, S. N., &amp; Husein, M. Z. (2024). PRISMA-Based Study on Integrating Islamic Principles into Legal Systems: Human Rights in Egypt and Indonesia. </w:t>
      </w:r>
      <w:r w:rsidRPr="000900AD">
        <w:rPr>
          <w:rFonts w:cs="Calibri"/>
          <w:i/>
          <w:iCs/>
        </w:rPr>
        <w:t>International Journal of Law and Society</w:t>
      </w:r>
      <w:r w:rsidRPr="000900AD">
        <w:rPr>
          <w:rFonts w:cs="Calibri"/>
        </w:rPr>
        <w:t xml:space="preserve">, </w:t>
      </w:r>
      <w:r w:rsidRPr="000900AD">
        <w:rPr>
          <w:rFonts w:cs="Calibri"/>
          <w:i/>
          <w:iCs/>
        </w:rPr>
        <w:t>3</w:t>
      </w:r>
      <w:r w:rsidRPr="000900AD">
        <w:rPr>
          <w:rFonts w:cs="Calibri"/>
        </w:rPr>
        <w:t>(3), 173–186. https://doi.org/10.59683/ijls.v3i3.90</w:t>
      </w:r>
    </w:p>
    <w:p w14:paraId="60831BFC"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Barra, C., Papaccio, A., &amp; Ruggiero, N. (2023). Basel accords and banking inefficiency: Evidence from the Italian local market. </w:t>
      </w:r>
      <w:r w:rsidRPr="000900AD">
        <w:rPr>
          <w:rFonts w:cs="Calibri"/>
          <w:i/>
          <w:iCs/>
        </w:rPr>
        <w:t>International Journal of Finance and Economics</w:t>
      </w:r>
      <w:r w:rsidRPr="000900AD">
        <w:rPr>
          <w:rFonts w:cs="Calibri"/>
        </w:rPr>
        <w:t xml:space="preserve">, </w:t>
      </w:r>
      <w:r w:rsidRPr="000900AD">
        <w:rPr>
          <w:rFonts w:cs="Calibri"/>
          <w:i/>
          <w:iCs/>
        </w:rPr>
        <w:t>28</w:t>
      </w:r>
      <w:r w:rsidRPr="000900AD">
        <w:rPr>
          <w:rFonts w:cs="Calibri"/>
        </w:rPr>
        <w:t>(4), 4079–4119. https://doi.org/10.1002/ijfe.2637</w:t>
      </w:r>
    </w:p>
    <w:p w14:paraId="20D5703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Ben Jedidia, K., &amp; Hamza, H. (2024). Does PLS in Islamic banking limit excessive money creation? </w:t>
      </w:r>
      <w:r w:rsidRPr="000900AD">
        <w:rPr>
          <w:rFonts w:cs="Calibri"/>
          <w:i/>
          <w:iCs/>
        </w:rPr>
        <w:t>Journal of Islamic Accounting and Business Research</w:t>
      </w:r>
      <w:r w:rsidRPr="000900AD">
        <w:rPr>
          <w:rFonts w:cs="Calibri"/>
        </w:rPr>
        <w:t xml:space="preserve">, </w:t>
      </w:r>
      <w:r w:rsidRPr="000900AD">
        <w:rPr>
          <w:rFonts w:cs="Calibri"/>
          <w:i/>
          <w:iCs/>
        </w:rPr>
        <w:t>15</w:t>
      </w:r>
      <w:r w:rsidRPr="000900AD">
        <w:rPr>
          <w:rFonts w:cs="Calibri"/>
        </w:rPr>
        <w:t>(3), 422–442. https://doi.org/10.1108/JIABR-02-2022-0047</w:t>
      </w:r>
    </w:p>
    <w:p w14:paraId="373E7D0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Budiman, T., Febrian, E., &amp; Azis, Y. (2022). THE EFFECT OF GEOGRAPHICAL FACTORS ON ISLAMIC BANKING SUSTAINABILITY PERFORMANCE: AN INSTRUMENTAL VARIABLE QUANTILE REGRESSION ANALYSIS. </w:t>
      </w:r>
      <w:r w:rsidRPr="000900AD">
        <w:rPr>
          <w:rFonts w:cs="Calibri"/>
          <w:i/>
          <w:iCs/>
        </w:rPr>
        <w:t>Asian Economic and Financial Review</w:t>
      </w:r>
      <w:r w:rsidRPr="000900AD">
        <w:rPr>
          <w:rFonts w:cs="Calibri"/>
        </w:rPr>
        <w:t xml:space="preserve">, </w:t>
      </w:r>
      <w:r w:rsidRPr="000900AD">
        <w:rPr>
          <w:rFonts w:cs="Calibri"/>
          <w:i/>
          <w:iCs/>
        </w:rPr>
        <w:t>12</w:t>
      </w:r>
      <w:r w:rsidRPr="000900AD">
        <w:rPr>
          <w:rFonts w:cs="Calibri"/>
        </w:rPr>
        <w:t>(2), 70–88. https://doi.org/10.18488/5002.v12i2.4411</w:t>
      </w:r>
    </w:p>
    <w:p w14:paraId="734FD60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Elbanna, M., Wadi, M. F., Radiamoda, A. M., Matsuyama, Y., &amp; Ishak, M. H. Bin. (2025). A Bibliometric Analysis of Sustainable Development Goals (SDGs) Through the Lens of Maqasid Shariah Tafsir. </w:t>
      </w:r>
      <w:r w:rsidRPr="000900AD">
        <w:rPr>
          <w:rFonts w:cs="Calibri"/>
          <w:i/>
          <w:iCs/>
        </w:rPr>
        <w:t>QiST: Journal of Quran and Tafseer Studies</w:t>
      </w:r>
      <w:r w:rsidRPr="000900AD">
        <w:rPr>
          <w:rFonts w:cs="Calibri"/>
        </w:rPr>
        <w:t xml:space="preserve">, </w:t>
      </w:r>
      <w:r w:rsidRPr="000900AD">
        <w:rPr>
          <w:rFonts w:cs="Calibri"/>
          <w:i/>
          <w:iCs/>
        </w:rPr>
        <w:t>4</w:t>
      </w:r>
      <w:r w:rsidRPr="000900AD">
        <w:rPr>
          <w:rFonts w:cs="Calibri"/>
        </w:rPr>
        <w:t>(1), 1–22. https://doi.org/https://doi.org/10.23917/qist.v4i1.7360</w:t>
      </w:r>
    </w:p>
    <w:p w14:paraId="58D2ABE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Faizi, F. (2024). How are Islamic banking products developed? Evidence from emerging country. </w:t>
      </w:r>
      <w:r w:rsidRPr="000900AD">
        <w:rPr>
          <w:rFonts w:cs="Calibri"/>
          <w:i/>
          <w:iCs/>
        </w:rPr>
        <w:t>Cogent Economics and Finance</w:t>
      </w:r>
      <w:r w:rsidRPr="000900AD">
        <w:rPr>
          <w:rFonts w:cs="Calibri"/>
        </w:rPr>
        <w:t xml:space="preserve">, </w:t>
      </w:r>
      <w:r w:rsidRPr="000900AD">
        <w:rPr>
          <w:rFonts w:cs="Calibri"/>
          <w:i/>
          <w:iCs/>
        </w:rPr>
        <w:t>12</w:t>
      </w:r>
      <w:r w:rsidRPr="000900AD">
        <w:rPr>
          <w:rFonts w:cs="Calibri"/>
        </w:rPr>
        <w:t xml:space="preserve">(1). </w:t>
      </w:r>
      <w:r w:rsidRPr="000900AD">
        <w:rPr>
          <w:rFonts w:cs="Calibri"/>
        </w:rPr>
        <w:lastRenderedPageBreak/>
        <w:t>https://doi.org/10.1080/23322039.2024.2378961</w:t>
      </w:r>
    </w:p>
    <w:p w14:paraId="2518886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Fathoni, M. A., Rodoni, A., Al Arif, M. N. R., &amp; Hidayah, N. (2024). Intention to participate in Islamic banking in Indonesia: Does socio-political identity matter? </w:t>
      </w:r>
      <w:r w:rsidRPr="000900AD">
        <w:rPr>
          <w:rFonts w:cs="Calibri"/>
          <w:i/>
          <w:iCs/>
        </w:rPr>
        <w:t>Journal of Islamic Marketing</w:t>
      </w:r>
      <w:r w:rsidRPr="000900AD">
        <w:rPr>
          <w:rFonts w:cs="Calibri"/>
        </w:rPr>
        <w:t>. https://doi.org/10.1108/JIMA-12-2023-0397</w:t>
      </w:r>
    </w:p>
    <w:p w14:paraId="393634C2"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Faturohman, T., Purwono, M. Z., &amp; Ooi, S. K. (2024). User acceptance of Islamic banking in Indonesia: the implementation of technology acceptance models. </w:t>
      </w:r>
      <w:r w:rsidRPr="000900AD">
        <w:rPr>
          <w:rFonts w:cs="Calibri"/>
          <w:i/>
          <w:iCs/>
        </w:rPr>
        <w:t>International Journal of Monetary Economics and Finance</w:t>
      </w:r>
      <w:r w:rsidRPr="000900AD">
        <w:rPr>
          <w:rFonts w:cs="Calibri"/>
        </w:rPr>
        <w:t xml:space="preserve">, </w:t>
      </w:r>
      <w:r w:rsidRPr="000900AD">
        <w:rPr>
          <w:rFonts w:cs="Calibri"/>
          <w:i/>
          <w:iCs/>
        </w:rPr>
        <w:t>17</w:t>
      </w:r>
      <w:r w:rsidRPr="000900AD">
        <w:rPr>
          <w:rFonts w:cs="Calibri"/>
        </w:rPr>
        <w:t>(2–3), 229–237. https://doi.org/10.1504/IJMEF.2024.139028</w:t>
      </w:r>
    </w:p>
    <w:p w14:paraId="6F92BFA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Fitri, F. A., Syukur, M., Majid, M. S. A., Farhana, I., &amp; Hatta, F. (2022). Do intellectual capital and financing matter for the profitability of the Islamic banking industry in Indonesia? </w:t>
      </w:r>
      <w:r w:rsidRPr="000900AD">
        <w:rPr>
          <w:rFonts w:cs="Calibri"/>
          <w:i/>
          <w:iCs/>
        </w:rPr>
        <w:t>International Journal of Monetary Economics and Finance</w:t>
      </w:r>
      <w:r w:rsidRPr="000900AD">
        <w:rPr>
          <w:rFonts w:cs="Calibri"/>
        </w:rPr>
        <w:t xml:space="preserve">, </w:t>
      </w:r>
      <w:r w:rsidRPr="000900AD">
        <w:rPr>
          <w:rFonts w:cs="Calibri"/>
          <w:i/>
          <w:iCs/>
        </w:rPr>
        <w:t>15</w:t>
      </w:r>
      <w:r w:rsidRPr="000900AD">
        <w:rPr>
          <w:rFonts w:cs="Calibri"/>
        </w:rPr>
        <w:t>(3), 293–308. https://doi.org/10.1504/ijmef.2022.126888</w:t>
      </w:r>
    </w:p>
    <w:p w14:paraId="6BD061C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Guizani, M., &amp; Ajmi, A. N. (2022). Islamic banking and corporate investment efficiency: empirical evidence from Malaysia. </w:t>
      </w:r>
      <w:r w:rsidRPr="000900AD">
        <w:rPr>
          <w:rFonts w:cs="Calibri"/>
          <w:i/>
          <w:iCs/>
        </w:rPr>
        <w:t>International Journal of Productivity and Performance Management</w:t>
      </w:r>
      <w:r w:rsidRPr="000900AD">
        <w:rPr>
          <w:rFonts w:cs="Calibri"/>
        </w:rPr>
        <w:t xml:space="preserve">, </w:t>
      </w:r>
      <w:r w:rsidRPr="000900AD">
        <w:rPr>
          <w:rFonts w:cs="Calibri"/>
          <w:i/>
          <w:iCs/>
        </w:rPr>
        <w:t>71</w:t>
      </w:r>
      <w:r w:rsidRPr="000900AD">
        <w:rPr>
          <w:rFonts w:cs="Calibri"/>
        </w:rPr>
        <w:t>(5), 1854–1871. https://doi.org/10.1108/IJPPM-06-2020-0331</w:t>
      </w:r>
    </w:p>
    <w:p w14:paraId="344515B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Hakam Naja, A. (2023). IS ISLAMIC BANKING PERFORMANCE IN MALAYSIA TRULY BETTER THAN INDONESIA? </w:t>
      </w:r>
      <w:r w:rsidRPr="000900AD">
        <w:rPr>
          <w:rFonts w:cs="Calibri"/>
          <w:i/>
          <w:iCs/>
        </w:rPr>
        <w:t>Journal of Islamic Monetary Economics and Finance</w:t>
      </w:r>
      <w:r w:rsidRPr="000900AD">
        <w:rPr>
          <w:rFonts w:cs="Calibri"/>
        </w:rPr>
        <w:t xml:space="preserve">, </w:t>
      </w:r>
      <w:r w:rsidRPr="000900AD">
        <w:rPr>
          <w:rFonts w:cs="Calibri"/>
          <w:i/>
          <w:iCs/>
        </w:rPr>
        <w:t>9</w:t>
      </w:r>
      <w:r w:rsidRPr="000900AD">
        <w:rPr>
          <w:rFonts w:cs="Calibri"/>
        </w:rPr>
        <w:t>(4), 611–636. https://doi.org/10.21098/jimf.v9i4.1784</w:t>
      </w:r>
    </w:p>
    <w:p w14:paraId="5960083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Hassan, M. K., Sohel, M. N. I., Choudhury, T., &amp; Rashid, M. (2024). A systematic literature review of risks in Islamic banking system: research agenda and future research directions. </w:t>
      </w:r>
      <w:r w:rsidRPr="000900AD">
        <w:rPr>
          <w:rFonts w:cs="Calibri"/>
          <w:i/>
          <w:iCs/>
        </w:rPr>
        <w:t>Risk Management</w:t>
      </w:r>
      <w:r w:rsidRPr="000900AD">
        <w:rPr>
          <w:rFonts w:cs="Calibri"/>
        </w:rPr>
        <w:t xml:space="preserve">, </w:t>
      </w:r>
      <w:r w:rsidRPr="000900AD">
        <w:rPr>
          <w:rFonts w:cs="Calibri"/>
          <w:i/>
          <w:iCs/>
        </w:rPr>
        <w:t>26</w:t>
      </w:r>
      <w:r w:rsidRPr="000900AD">
        <w:rPr>
          <w:rFonts w:cs="Calibri"/>
        </w:rPr>
        <w:t>(1). https://doi.org/10.1057/s41283-023-00135-z</w:t>
      </w:r>
    </w:p>
    <w:p w14:paraId="542913C8"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Hermawati, A., Ali, S., Fettry, S., Hendarto, T., &amp; Husin, H. (2021). Freelancers Intentions Towards Adoption Of Islamic Banking. </w:t>
      </w:r>
      <w:r w:rsidRPr="000900AD">
        <w:rPr>
          <w:rFonts w:cs="Calibri"/>
          <w:i/>
          <w:iCs/>
        </w:rPr>
        <w:t>Academy of Strategic Management Journal</w:t>
      </w:r>
      <w:r w:rsidRPr="000900AD">
        <w:rPr>
          <w:rFonts w:cs="Calibri"/>
        </w:rPr>
        <w:t xml:space="preserve">, </w:t>
      </w:r>
      <w:r w:rsidRPr="000900AD">
        <w:rPr>
          <w:rFonts w:cs="Calibri"/>
          <w:i/>
          <w:iCs/>
        </w:rPr>
        <w:t>20</w:t>
      </w:r>
      <w:r w:rsidRPr="000900AD">
        <w:rPr>
          <w:rFonts w:cs="Calibri"/>
        </w:rPr>
        <w:t>(2), 1–16. https://www.scopus.com/inward/record.uri?eid=2-s2.0-85104261973&amp;partnerID=40&amp;md5=3e018c371c1eaf93307b64b4d38b50a5</w:t>
      </w:r>
    </w:p>
    <w:p w14:paraId="46E8B0A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Ho, K.-C., Lee, S.-C., &amp; Chen, J.-L. (2022). Book-to-market equity and asset correlations—An international study. </w:t>
      </w:r>
      <w:r w:rsidRPr="000900AD">
        <w:rPr>
          <w:rFonts w:cs="Calibri"/>
          <w:i/>
          <w:iCs/>
        </w:rPr>
        <w:t>International Review of Economics and Finance</w:t>
      </w:r>
      <w:r w:rsidRPr="000900AD">
        <w:rPr>
          <w:rFonts w:cs="Calibri"/>
        </w:rPr>
        <w:t xml:space="preserve">, </w:t>
      </w:r>
      <w:r w:rsidRPr="000900AD">
        <w:rPr>
          <w:rFonts w:cs="Calibri"/>
          <w:i/>
          <w:iCs/>
        </w:rPr>
        <w:t>79</w:t>
      </w:r>
      <w:r w:rsidRPr="000900AD">
        <w:rPr>
          <w:rFonts w:cs="Calibri"/>
        </w:rPr>
        <w:t>, 258–274. https://doi.org/10.1016/j.iref.2022.02.014</w:t>
      </w:r>
    </w:p>
    <w:p w14:paraId="67CDDE11"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Huang, C., Moreira, F., &amp; Archibald, T. W. (2024). Should Basel-style liquidity requirements be set countercyclically? Evidence from a numerical analysis. </w:t>
      </w:r>
      <w:r w:rsidRPr="000900AD">
        <w:rPr>
          <w:rFonts w:cs="Calibri"/>
          <w:i/>
          <w:iCs/>
        </w:rPr>
        <w:t>International Review of Financial Analysis</w:t>
      </w:r>
      <w:r w:rsidRPr="000900AD">
        <w:rPr>
          <w:rFonts w:cs="Calibri"/>
        </w:rPr>
        <w:t xml:space="preserve">, </w:t>
      </w:r>
      <w:r w:rsidRPr="000900AD">
        <w:rPr>
          <w:rFonts w:cs="Calibri"/>
          <w:i/>
          <w:iCs/>
        </w:rPr>
        <w:t>95</w:t>
      </w:r>
      <w:r w:rsidRPr="000900AD">
        <w:rPr>
          <w:rFonts w:cs="Calibri"/>
        </w:rPr>
        <w:t>. https://doi.org/10.1016/j.irfa.2024.103502</w:t>
      </w:r>
    </w:p>
    <w:p w14:paraId="5FCD257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Hudayati, A. (2023). Exploring the Nexus of Disclosure of Sharia Compliance and Governance in Islamic Banking: A Comprehensive Analysis of the Sharia Supervisory Board. </w:t>
      </w:r>
      <w:r w:rsidRPr="000900AD">
        <w:rPr>
          <w:rFonts w:cs="Calibri"/>
          <w:i/>
          <w:iCs/>
        </w:rPr>
        <w:t>Management and Accounting Review</w:t>
      </w:r>
      <w:r w:rsidRPr="000900AD">
        <w:rPr>
          <w:rFonts w:cs="Calibri"/>
        </w:rPr>
        <w:t xml:space="preserve">, </w:t>
      </w:r>
      <w:r w:rsidRPr="000900AD">
        <w:rPr>
          <w:rFonts w:cs="Calibri"/>
          <w:i/>
          <w:iCs/>
        </w:rPr>
        <w:t>22</w:t>
      </w:r>
      <w:r w:rsidRPr="000900AD">
        <w:rPr>
          <w:rFonts w:cs="Calibri"/>
        </w:rPr>
        <w:t>(3), 407–428. https://www.scopus.com/inward/record.uri?eid=2-s2.0-85179718521&amp;partnerID=40&amp;md5=c1d4efeffba5a3e6e85b32d01d1e3a12</w:t>
      </w:r>
    </w:p>
    <w:p w14:paraId="5C241B2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Isman, I. (2024). </w:t>
      </w:r>
      <w:r w:rsidRPr="000900AD">
        <w:rPr>
          <w:rFonts w:cs="Calibri"/>
          <w:i/>
          <w:iCs/>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cs="Calibri"/>
        </w:rPr>
        <w:t xml:space="preserve">. </w:t>
      </w:r>
      <w:r w:rsidRPr="000900AD">
        <w:rPr>
          <w:rFonts w:cs="Calibri"/>
          <w:i/>
          <w:iCs/>
        </w:rPr>
        <w:t>September</w:t>
      </w:r>
      <w:r w:rsidRPr="000900AD">
        <w:rPr>
          <w:rFonts w:cs="Calibri"/>
        </w:rPr>
        <w:t>.</w:t>
      </w:r>
    </w:p>
    <w:p w14:paraId="703292D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Jatmiko, W., Ebrahim, M. S., Iqbal, A., &amp; Wojakowski, R. M. (2023). Can trade credit rejuvenate Islamic banking? </w:t>
      </w:r>
      <w:r w:rsidRPr="000900AD">
        <w:rPr>
          <w:rFonts w:cs="Calibri"/>
          <w:i/>
          <w:iCs/>
        </w:rPr>
        <w:t>Review of Quantitative Finance and Accounting</w:t>
      </w:r>
      <w:r w:rsidRPr="000900AD">
        <w:rPr>
          <w:rFonts w:cs="Calibri"/>
        </w:rPr>
        <w:t xml:space="preserve">, </w:t>
      </w:r>
      <w:r w:rsidRPr="000900AD">
        <w:rPr>
          <w:rFonts w:cs="Calibri"/>
          <w:i/>
          <w:iCs/>
        </w:rPr>
        <w:t>60</w:t>
      </w:r>
      <w:r w:rsidRPr="000900AD">
        <w:rPr>
          <w:rFonts w:cs="Calibri"/>
        </w:rPr>
        <w:t>(1), 111–146. https://doi.org/10.1007/s11156-022-01092-6</w:t>
      </w:r>
    </w:p>
    <w:p w14:paraId="5F381C9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lastRenderedPageBreak/>
        <w:t xml:space="preserve">Mitchell, C. (2022). The Power of Delay: Banking System Structure and Implementation of the Basel Accords. </w:t>
      </w:r>
      <w:r w:rsidRPr="000900AD">
        <w:rPr>
          <w:rFonts w:cs="Calibri"/>
          <w:i/>
          <w:iCs/>
        </w:rPr>
        <w:t>Business and Politics</w:t>
      </w:r>
      <w:r w:rsidRPr="000900AD">
        <w:rPr>
          <w:rFonts w:cs="Calibri"/>
        </w:rPr>
        <w:t xml:space="preserve">, </w:t>
      </w:r>
      <w:r w:rsidRPr="000900AD">
        <w:rPr>
          <w:rFonts w:cs="Calibri"/>
          <w:i/>
          <w:iCs/>
        </w:rPr>
        <w:t>24</w:t>
      </w:r>
      <w:r w:rsidRPr="000900AD">
        <w:rPr>
          <w:rFonts w:cs="Calibri"/>
        </w:rPr>
        <w:t>(1), 1–17. https://doi.org/10.1017/bap.2021.16</w:t>
      </w:r>
    </w:p>
    <w:p w14:paraId="06AEC36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Mohd Thas Thaker, H., Lelchumanan, B., Ah Mand, A., &amp; Khaliq, A. (2024). Push – pull – mooring determinants of non-Muslims’ withdrawal from Islamic banking: evidence from Malaysia.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17</w:t>
      </w:r>
      <w:r w:rsidRPr="000900AD">
        <w:rPr>
          <w:rFonts w:cs="Calibri"/>
        </w:rPr>
        <w:t>(1), 195–212. https://doi.org/10.1108/IMEFM-04-2023-0144</w:t>
      </w:r>
    </w:p>
    <w:p w14:paraId="798BE0E5"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Muflih, M. (2021). The link between corporate social responsibility and customer loyalty: Empirical evidence from the Islamic banking industry. </w:t>
      </w:r>
      <w:r w:rsidRPr="000900AD">
        <w:rPr>
          <w:rFonts w:cs="Calibri"/>
          <w:i/>
          <w:iCs/>
        </w:rPr>
        <w:t>Journal of Retailing and Consumer Services</w:t>
      </w:r>
      <w:r w:rsidRPr="000900AD">
        <w:rPr>
          <w:rFonts w:cs="Calibri"/>
        </w:rPr>
        <w:t xml:space="preserve">, </w:t>
      </w:r>
      <w:r w:rsidRPr="000900AD">
        <w:rPr>
          <w:rFonts w:cs="Calibri"/>
          <w:i/>
          <w:iCs/>
        </w:rPr>
        <w:t>61</w:t>
      </w:r>
      <w:r w:rsidRPr="000900AD">
        <w:rPr>
          <w:rFonts w:cs="Calibri"/>
        </w:rPr>
        <w:t>. https://doi.org/10.1016/j.jretconser.2021.102558</w:t>
      </w:r>
    </w:p>
    <w:p w14:paraId="063FA928"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Muthoifin, M., Amelia, I., &amp; Eprahim Ali, A. B. (2024). Islamic accounting: Ethics and contextualization of recording in Muamalah transactions. </w:t>
      </w:r>
      <w:r w:rsidRPr="000900AD">
        <w:rPr>
          <w:rFonts w:cs="Calibri"/>
          <w:i/>
          <w:iCs/>
        </w:rPr>
        <w:t>Multidisciplinary Reviews</w:t>
      </w:r>
      <w:r w:rsidRPr="000900AD">
        <w:rPr>
          <w:rFonts w:cs="Calibri"/>
        </w:rPr>
        <w:t xml:space="preserve">, </w:t>
      </w:r>
      <w:r w:rsidRPr="000900AD">
        <w:rPr>
          <w:rFonts w:cs="Calibri"/>
          <w:i/>
          <w:iCs/>
        </w:rPr>
        <w:t>7</w:t>
      </w:r>
      <w:r w:rsidRPr="000900AD">
        <w:rPr>
          <w:rFonts w:cs="Calibri"/>
        </w:rPr>
        <w:t>(8). https://doi.org/10.31893/multirev.2024132</w:t>
      </w:r>
    </w:p>
    <w:p w14:paraId="53490FAA"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Nawaz, T., Haniffa, R., &amp; Hudaib, M. (2021). On intellectual capital efficiency and shariah governance in Islamic banking business model. </w:t>
      </w:r>
      <w:r w:rsidRPr="000900AD">
        <w:rPr>
          <w:rFonts w:cs="Calibri"/>
          <w:i/>
          <w:iCs/>
        </w:rPr>
        <w:t>International Journal of Finance and Economics</w:t>
      </w:r>
      <w:r w:rsidRPr="000900AD">
        <w:rPr>
          <w:rFonts w:cs="Calibri"/>
        </w:rPr>
        <w:t xml:space="preserve">, </w:t>
      </w:r>
      <w:r w:rsidRPr="000900AD">
        <w:rPr>
          <w:rFonts w:cs="Calibri"/>
          <w:i/>
          <w:iCs/>
        </w:rPr>
        <w:t>26</w:t>
      </w:r>
      <w:r w:rsidRPr="000900AD">
        <w:rPr>
          <w:rFonts w:cs="Calibri"/>
        </w:rPr>
        <w:t>(3), 3770–3787. https://doi.org/10.1002/ijfe.1986</w:t>
      </w:r>
    </w:p>
    <w:p w14:paraId="34EAC613"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Nouman, M., Ullah, K., &amp; Jan, S. (2022). DOMAINS and MOTIVES of MUSHARAKAH SPUR in the ISLAMIC BANKING INDUSTRY of PAKISTAN. </w:t>
      </w:r>
      <w:r w:rsidRPr="000900AD">
        <w:rPr>
          <w:rFonts w:cs="Calibri"/>
          <w:i/>
          <w:iCs/>
        </w:rPr>
        <w:t>Singapore Economic Review</w:t>
      </w:r>
      <w:r w:rsidRPr="000900AD">
        <w:rPr>
          <w:rFonts w:cs="Calibri"/>
        </w:rPr>
        <w:t xml:space="preserve">, </w:t>
      </w:r>
      <w:r w:rsidRPr="000900AD">
        <w:rPr>
          <w:rFonts w:cs="Calibri"/>
          <w:i/>
          <w:iCs/>
        </w:rPr>
        <w:t>67</w:t>
      </w:r>
      <w:r w:rsidRPr="000900AD">
        <w:rPr>
          <w:rFonts w:cs="Calibri"/>
        </w:rPr>
        <w:t>(1), 381–409. https://doi.org/10.1142/S0217590819500620</w:t>
      </w:r>
    </w:p>
    <w:p w14:paraId="2DBD8E29"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Oladapo, I. A., Hamoudah, M. M., Alam, M. M., Olaopa, O. R., &amp; Muda, R. (2022). Customers’ perceptions of FinTech adaptability in the Islamic banking sector: comparative study on Malaysia and Saudi Arabia. </w:t>
      </w:r>
      <w:r w:rsidRPr="000900AD">
        <w:rPr>
          <w:rFonts w:cs="Calibri"/>
          <w:i/>
          <w:iCs/>
        </w:rPr>
        <w:t>Journal of Modelling in Management</w:t>
      </w:r>
      <w:r w:rsidRPr="000900AD">
        <w:rPr>
          <w:rFonts w:cs="Calibri"/>
        </w:rPr>
        <w:t xml:space="preserve">, </w:t>
      </w:r>
      <w:r w:rsidRPr="000900AD">
        <w:rPr>
          <w:rFonts w:cs="Calibri"/>
          <w:i/>
          <w:iCs/>
        </w:rPr>
        <w:t>17</w:t>
      </w:r>
      <w:r w:rsidRPr="000900AD">
        <w:rPr>
          <w:rFonts w:cs="Calibri"/>
        </w:rPr>
        <w:t>(4), 1241–1261. https://doi.org/10.1108/JM2-10-2020-0256</w:t>
      </w:r>
    </w:p>
    <w:p w14:paraId="5C038AC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Rahman, M. H., &amp; Chowdhury, N. M. S. I. (2024). The prospects of istijrar financing in Islamic banking: an exploratory study in Bangladesh. </w:t>
      </w:r>
      <w:r w:rsidRPr="000900AD">
        <w:rPr>
          <w:rFonts w:cs="Calibri"/>
          <w:i/>
          <w:iCs/>
        </w:rPr>
        <w:t>Qualitative Research in Financial Markets</w:t>
      </w:r>
      <w:r w:rsidRPr="000900AD">
        <w:rPr>
          <w:rFonts w:cs="Calibri"/>
        </w:rPr>
        <w:t xml:space="preserve">, </w:t>
      </w:r>
      <w:r w:rsidRPr="000900AD">
        <w:rPr>
          <w:rFonts w:cs="Calibri"/>
          <w:i/>
          <w:iCs/>
        </w:rPr>
        <w:t>16</w:t>
      </w:r>
      <w:r w:rsidRPr="000900AD">
        <w:rPr>
          <w:rFonts w:cs="Calibri"/>
        </w:rPr>
        <w:t>(1), 135–158. https://doi.org/10.1108/QRFM-10-2022-0173</w:t>
      </w:r>
    </w:p>
    <w:p w14:paraId="0EEF732C"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Riaz, U., Burton, B., &amp; Fearfull, A. (2023). Emotional propensities and the contemporary Islamic banking industry. </w:t>
      </w:r>
      <w:r w:rsidRPr="000900AD">
        <w:rPr>
          <w:rFonts w:cs="Calibri"/>
          <w:i/>
          <w:iCs/>
        </w:rPr>
        <w:t>Critical Perspectives on Accounting</w:t>
      </w:r>
      <w:r w:rsidRPr="000900AD">
        <w:rPr>
          <w:rFonts w:cs="Calibri"/>
        </w:rPr>
        <w:t xml:space="preserve">, </w:t>
      </w:r>
      <w:r w:rsidRPr="000900AD">
        <w:rPr>
          <w:rFonts w:cs="Calibri"/>
          <w:i/>
          <w:iCs/>
        </w:rPr>
        <w:t>94</w:t>
      </w:r>
      <w:r w:rsidRPr="000900AD">
        <w:rPr>
          <w:rFonts w:cs="Calibri"/>
        </w:rPr>
        <w:t>. https://doi.org/10.1016/j.cpa.2022.102449</w:t>
      </w:r>
    </w:p>
    <w:p w14:paraId="13221D0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Sarea, A. M., Khalid, A., Shamsuddin, A. B., Hawaldar, I., &amp; Hossen, Z. (2021). Online financial reporting disclosure in Islamic banking: Evidence from Bahrain. </w:t>
      </w:r>
      <w:r w:rsidRPr="000900AD">
        <w:rPr>
          <w:rFonts w:cs="Calibri"/>
          <w:i/>
          <w:iCs/>
        </w:rPr>
        <w:t>International Journal of Economics and Business Research</w:t>
      </w:r>
      <w:r w:rsidRPr="000900AD">
        <w:rPr>
          <w:rFonts w:cs="Calibri"/>
        </w:rPr>
        <w:t xml:space="preserve">, </w:t>
      </w:r>
      <w:r w:rsidRPr="000900AD">
        <w:rPr>
          <w:rFonts w:cs="Calibri"/>
          <w:i/>
          <w:iCs/>
        </w:rPr>
        <w:t>22</w:t>
      </w:r>
      <w:r w:rsidRPr="000900AD">
        <w:rPr>
          <w:rFonts w:cs="Calibri"/>
        </w:rPr>
        <w:t>(4), 311–327. https://doi.org/10.1504/IJEBR.2021.118378</w:t>
      </w:r>
    </w:p>
    <w:p w14:paraId="1EC0584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Shaikh, S. A. (2023). Economic Evaluation of Islamic Banking in Pakistan. </w:t>
      </w:r>
      <w:r w:rsidRPr="000900AD">
        <w:rPr>
          <w:rFonts w:cs="Calibri"/>
          <w:i/>
          <w:iCs/>
        </w:rPr>
        <w:t>Journal of King Abdulaziz University, Islamic Economics</w:t>
      </w:r>
      <w:r w:rsidRPr="000900AD">
        <w:rPr>
          <w:rFonts w:cs="Calibri"/>
        </w:rPr>
        <w:t xml:space="preserve">, </w:t>
      </w:r>
      <w:r w:rsidRPr="000900AD">
        <w:rPr>
          <w:rFonts w:cs="Calibri"/>
          <w:i/>
          <w:iCs/>
        </w:rPr>
        <w:t>36</w:t>
      </w:r>
      <w:r w:rsidRPr="000900AD">
        <w:rPr>
          <w:rFonts w:cs="Calibri"/>
        </w:rPr>
        <w:t>(1), 91–111. https://doi.org/10.4197/Islec.36-1.5</w:t>
      </w:r>
    </w:p>
    <w:p w14:paraId="54087C1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Sheikh, R., &amp; Hussain, K. (2024). Reimagining Islamic banking in the light of Maqasid Shariah. </w:t>
      </w:r>
      <w:r w:rsidRPr="000900AD">
        <w:rPr>
          <w:rFonts w:cs="Calibri"/>
          <w:i/>
          <w:iCs/>
        </w:rPr>
        <w:t>Qualitative Research in Financial Markets</w:t>
      </w:r>
      <w:r w:rsidRPr="000900AD">
        <w:rPr>
          <w:rFonts w:cs="Calibri"/>
        </w:rPr>
        <w:t>. https://doi.org/10.1108/QRFM-04-2024-0108</w:t>
      </w:r>
    </w:p>
    <w:p w14:paraId="648DF47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Suliyono, J., &amp; Risfandy, T. (2021). ISLAMIC BANKING MARKET DISCIPLINE IN INDONESIA. </w:t>
      </w:r>
      <w:r w:rsidRPr="000900AD">
        <w:rPr>
          <w:rFonts w:cs="Calibri"/>
          <w:i/>
          <w:iCs/>
        </w:rPr>
        <w:t>Journal of Islamic Monetary Economics and Finance</w:t>
      </w:r>
      <w:r w:rsidRPr="000900AD">
        <w:rPr>
          <w:rFonts w:cs="Calibri"/>
        </w:rPr>
        <w:t xml:space="preserve">, </w:t>
      </w:r>
      <w:r w:rsidRPr="000900AD">
        <w:rPr>
          <w:rFonts w:cs="Calibri"/>
          <w:i/>
          <w:iCs/>
        </w:rPr>
        <w:t>7</w:t>
      </w:r>
      <w:r w:rsidRPr="000900AD">
        <w:rPr>
          <w:rFonts w:cs="Calibri"/>
        </w:rPr>
        <w:t>(3), 457–472. https://doi.org/10.21098/jimf.v7i3.1376</w:t>
      </w:r>
    </w:p>
    <w:p w14:paraId="34E97A1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Syah, D., &amp; Rahmadani, G. (2024). The Profit-Sharing System in Financing Islamic </w:t>
      </w:r>
      <w:r w:rsidRPr="000900AD">
        <w:rPr>
          <w:rFonts w:cs="Calibri"/>
        </w:rPr>
        <w:lastRenderedPageBreak/>
        <w:t xml:space="preserve">Banking. </w:t>
      </w:r>
      <w:r w:rsidRPr="000900AD">
        <w:rPr>
          <w:rFonts w:cs="Calibri"/>
          <w:i/>
          <w:iCs/>
        </w:rPr>
        <w:t xml:space="preserve">Qubahan Academic Journal </w:t>
      </w:r>
      <w:r w:rsidRPr="000900AD">
        <w:rPr>
          <w:rFonts w:cs="Calibri"/>
        </w:rPr>
        <w:t xml:space="preserve">, </w:t>
      </w:r>
      <w:r w:rsidRPr="000900AD">
        <w:rPr>
          <w:rFonts w:cs="Calibri"/>
          <w:i/>
          <w:iCs/>
        </w:rPr>
        <w:t>4</w:t>
      </w:r>
      <w:r w:rsidRPr="000900AD">
        <w:rPr>
          <w:rFonts w:cs="Calibri"/>
        </w:rPr>
        <w:t>(1), 300–309. https://doi.org/10.48161/qaj.v4n1a198</w:t>
      </w:r>
    </w:p>
    <w:p w14:paraId="7BFC8E0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Triyanta, A., &amp; Hassan, R. (2024). THE CONNECTION BETWEEN ROBUST LEGAL INSTRUMENTS AND THE EXCEPTIONAL PERFORMANCE OF THE ISLAMIC BANKING INDUSTRY. </w:t>
      </w:r>
      <w:r w:rsidRPr="000900AD">
        <w:rPr>
          <w:rFonts w:cs="Calibri"/>
          <w:i/>
          <w:iCs/>
        </w:rPr>
        <w:t>Journal of Governance and Regulation</w:t>
      </w:r>
      <w:r w:rsidRPr="000900AD">
        <w:rPr>
          <w:rFonts w:cs="Calibri"/>
        </w:rPr>
        <w:t xml:space="preserve">, </w:t>
      </w:r>
      <w:r w:rsidRPr="000900AD">
        <w:rPr>
          <w:rFonts w:cs="Calibri"/>
          <w:i/>
          <w:iCs/>
        </w:rPr>
        <w:t>13</w:t>
      </w:r>
      <w:r w:rsidRPr="000900AD">
        <w:rPr>
          <w:rFonts w:cs="Calibri"/>
        </w:rPr>
        <w:t>(2 (special issue)), 267–274. https://doi.org/10.22495/jgrv13i2siart3</w:t>
      </w:r>
    </w:p>
    <w:p w14:paraId="22E28B8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Ul-Haq, S., Lone, R. A., &amp; Ashraf, N. (2022). A theory of capitalist co-optation of radical alternatives: The case of Islamic banking industry. </w:t>
      </w:r>
      <w:r w:rsidRPr="000900AD">
        <w:rPr>
          <w:rFonts w:cs="Calibri"/>
          <w:i/>
          <w:iCs/>
        </w:rPr>
        <w:t>Organization</w:t>
      </w:r>
      <w:r w:rsidRPr="000900AD">
        <w:rPr>
          <w:rFonts w:cs="Calibri"/>
        </w:rPr>
        <w:t xml:space="preserve">, </w:t>
      </w:r>
      <w:r w:rsidRPr="000900AD">
        <w:rPr>
          <w:rFonts w:cs="Calibri"/>
          <w:i/>
          <w:iCs/>
        </w:rPr>
        <w:t>29</w:t>
      </w:r>
      <w:r w:rsidRPr="000900AD">
        <w:rPr>
          <w:rFonts w:cs="Calibri"/>
        </w:rPr>
        <w:t>(1), 129–154. https://doi.org/10.1177/1350508420939245</w:t>
      </w:r>
    </w:p>
    <w:p w14:paraId="6810596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Ullah, A., Zhao, X., Kamal, M. A., Riaz, A., &amp; Zheng, B. (2021). Exploring asymmetric relationship between Islamic banking development and economic growth in Pakistan: Fresh evidence from a non-linear ARDL approach. </w:t>
      </w:r>
      <w:r w:rsidRPr="000900AD">
        <w:rPr>
          <w:rFonts w:cs="Calibri"/>
          <w:i/>
          <w:iCs/>
        </w:rPr>
        <w:t>International Journal of Finance and Economics</w:t>
      </w:r>
      <w:r w:rsidRPr="000900AD">
        <w:rPr>
          <w:rFonts w:cs="Calibri"/>
        </w:rPr>
        <w:t xml:space="preserve">, </w:t>
      </w:r>
      <w:r w:rsidRPr="000900AD">
        <w:rPr>
          <w:rFonts w:cs="Calibri"/>
          <w:i/>
          <w:iCs/>
        </w:rPr>
        <w:t>26</w:t>
      </w:r>
      <w:r w:rsidRPr="000900AD">
        <w:rPr>
          <w:rFonts w:cs="Calibri"/>
        </w:rPr>
        <w:t>(4), 6168–6187. https://doi.org/10.1002/ijfe.2115</w:t>
      </w:r>
    </w:p>
    <w:p w14:paraId="564241D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Ullah, K., Ashfaque, M., Atiq, M., Khan, M., &amp; Hussain, A. (2023). Shariah capabilities and value propositions of Islamic banking.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16</w:t>
      </w:r>
      <w:r w:rsidRPr="000900AD">
        <w:rPr>
          <w:rFonts w:cs="Calibri"/>
        </w:rPr>
        <w:t>(4), 701–715. https://doi.org/10.1108/IMEFM-12-2019-0518</w:t>
      </w:r>
    </w:p>
    <w:p w14:paraId="46E5DB1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Umar, U. H., AbuBakar, M., Baita, A. J., Kademi, T. T., &amp; Haron, M. H. (2021). Do academic and professional institutions promote the awareness and knowledge of Islamic banking and finance in Nigeria? </w:t>
      </w:r>
      <w:r w:rsidRPr="000900AD">
        <w:rPr>
          <w:rFonts w:cs="Calibri"/>
          <w:i/>
          <w:iCs/>
        </w:rPr>
        <w:t>Journal of Islamic Accounting and Business Research</w:t>
      </w:r>
      <w:r w:rsidRPr="000900AD">
        <w:rPr>
          <w:rFonts w:cs="Calibri"/>
        </w:rPr>
        <w:t xml:space="preserve">, </w:t>
      </w:r>
      <w:r w:rsidRPr="000900AD">
        <w:rPr>
          <w:rFonts w:cs="Calibri"/>
          <w:i/>
          <w:iCs/>
        </w:rPr>
        <w:t>12</w:t>
      </w:r>
      <w:r w:rsidRPr="000900AD">
        <w:rPr>
          <w:rFonts w:cs="Calibri"/>
        </w:rPr>
        <w:t>(3), 401–417. https://doi.org/10.1108/JIABR-05-2020-0171</w:t>
      </w:r>
    </w:p>
    <w:p w14:paraId="7B138581"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Yusuf, M., Dasawaty, E. S., Esra, M. A., Apriwenni, P., Meiden, C., &amp; Fahlevi, M. (2024). Integrated reporting, corporate governance, and financial sustainability in Islamic banking. </w:t>
      </w:r>
      <w:r w:rsidRPr="000900AD">
        <w:rPr>
          <w:rFonts w:cs="Calibri"/>
          <w:i/>
          <w:iCs/>
        </w:rPr>
        <w:t>Uncertain Supply Chain Management</w:t>
      </w:r>
      <w:r w:rsidRPr="000900AD">
        <w:rPr>
          <w:rFonts w:cs="Calibri"/>
        </w:rPr>
        <w:t xml:space="preserve">, </w:t>
      </w:r>
      <w:r w:rsidRPr="000900AD">
        <w:rPr>
          <w:rFonts w:cs="Calibri"/>
          <w:i/>
          <w:iCs/>
        </w:rPr>
        <w:t>12</w:t>
      </w:r>
      <w:r w:rsidRPr="000900AD">
        <w:rPr>
          <w:rFonts w:cs="Calibri"/>
        </w:rPr>
        <w:t>(1), 273–290. https://doi.org/10.5267/j.uscm.2023.9.022</w:t>
      </w:r>
    </w:p>
    <w:p w14:paraId="3C56DC31" w14:textId="7DB7DC7B" w:rsidR="006538D6" w:rsidRPr="00E810D4" w:rsidRDefault="00804B31" w:rsidP="008847ED">
      <w:pPr>
        <w:pStyle w:val="ListParagraph"/>
        <w:spacing w:before="120" w:after="120" w:line="240" w:lineRule="auto"/>
        <w:ind w:left="1276" w:right="-1" w:hanging="502"/>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sectPr w:rsidR="006538D6" w:rsidRPr="00E810D4" w:rsidSect="007816FC">
      <w:headerReference w:type="even" r:id="rId26"/>
      <w:headerReference w:type="default" r:id="rId27"/>
      <w:footerReference w:type="even" r:id="rId28"/>
      <w:footerReference w:type="default" r:id="rId29"/>
      <w:headerReference w:type="first" r:id="rId30"/>
      <w:footerReference w:type="first" r:id="rId31"/>
      <w:pgSz w:w="11907" w:h="16840" w:code="9"/>
      <w:pgMar w:top="1418" w:right="1418" w:bottom="1418" w:left="1418"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575E08" w14:textId="77777777" w:rsidR="00643F44" w:rsidRDefault="00643F44">
      <w:r>
        <w:separator/>
      </w:r>
    </w:p>
  </w:endnote>
  <w:endnote w:type="continuationSeparator" w:id="0">
    <w:p w14:paraId="2D05E061" w14:textId="77777777" w:rsidR="00643F44" w:rsidRDefault="00643F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739E8C" w14:textId="0DB08A09" w:rsidR="00122F5F" w:rsidRPr="00540F02" w:rsidRDefault="005742A6"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5A8E2A0A" wp14:editId="019008DC">
              <wp:simplePos x="0" y="0"/>
              <wp:positionH relativeFrom="column">
                <wp:posOffset>5151755</wp:posOffset>
              </wp:positionH>
              <wp:positionV relativeFrom="paragraph">
                <wp:posOffset>-64770</wp:posOffset>
              </wp:positionV>
              <wp:extent cx="619760" cy="278130"/>
              <wp:effectExtent l="13335" t="7620" r="5080" b="9525"/>
              <wp:wrapNone/>
              <wp:docPr id="744241138"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1F8B5CE7"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E2A0A" id="Rectangle 7" o:spid="_x0000_s1045"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1F8B5CE7"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122F5F" w:rsidRPr="00540F02">
      <w:rPr>
        <w:rFonts w:ascii="Calibri Light" w:hAnsi="Calibri Light" w:cs="Calibri Light"/>
        <w:sz w:val="16"/>
        <w:szCs w:val="16"/>
      </w:rPr>
      <w:t>International Journal Law and Society</w:t>
    </w:r>
  </w:p>
  <w:p w14:paraId="5996402B"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BFFC6F" w14:textId="48FD8C49" w:rsidR="0008220C" w:rsidRPr="00540F02" w:rsidRDefault="005742A6"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1AEFABBC" wp14:editId="741AF388">
              <wp:simplePos x="0" y="0"/>
              <wp:positionH relativeFrom="column">
                <wp:posOffset>5151755</wp:posOffset>
              </wp:positionH>
              <wp:positionV relativeFrom="paragraph">
                <wp:posOffset>-64770</wp:posOffset>
              </wp:positionV>
              <wp:extent cx="619760" cy="278130"/>
              <wp:effectExtent l="13335" t="7620" r="5080" b="9525"/>
              <wp:wrapNone/>
              <wp:docPr id="774966785"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4E0E0D54"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EFABBC" id="_x0000_s1046"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4E0E0D54"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08220C" w:rsidRPr="00540F02">
      <w:rPr>
        <w:rFonts w:ascii="Calibri Light" w:hAnsi="Calibri Light" w:cs="Calibri Light"/>
        <w:sz w:val="16"/>
        <w:szCs w:val="16"/>
      </w:rPr>
      <w:t>International Journal Law and Society</w:t>
    </w:r>
  </w:p>
  <w:p w14:paraId="2A44180D"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05028D" w14:textId="11B9FBCA" w:rsidR="00965E3F" w:rsidRPr="0008220C" w:rsidRDefault="005742A6"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63D54A80" wp14:editId="18DA8200">
              <wp:simplePos x="0" y="0"/>
              <wp:positionH relativeFrom="column">
                <wp:posOffset>5151755</wp:posOffset>
              </wp:positionH>
              <wp:positionV relativeFrom="paragraph">
                <wp:posOffset>-64770</wp:posOffset>
              </wp:positionV>
              <wp:extent cx="619760" cy="278130"/>
              <wp:effectExtent l="13335" t="7620" r="5080" b="9525"/>
              <wp:wrapNone/>
              <wp:docPr id="548301629"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2AEBF3F7"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54A80" id="Rectangle 12" o:spid="_x0000_s1050"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2AEBF3F7"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00FF1D30" w:rsidRPr="0008220C">
      <w:rPr>
        <w:rFonts w:ascii="Calibri Light" w:hAnsi="Calibri Light" w:cs="Calibri Light"/>
        <w:sz w:val="16"/>
        <w:szCs w:val="16"/>
      </w:rPr>
      <w:t>International Journal Law and Society</w:t>
    </w:r>
  </w:p>
  <w:p w14:paraId="033FA3F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D980A5" w14:textId="77777777" w:rsidR="00643F44" w:rsidRDefault="00643F44">
      <w:r>
        <w:separator/>
      </w:r>
    </w:p>
  </w:footnote>
  <w:footnote w:type="continuationSeparator" w:id="0">
    <w:p w14:paraId="518C32F0" w14:textId="77777777" w:rsidR="00643F44" w:rsidRDefault="00643F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F532E3" w14:textId="5BD93A2C" w:rsidR="00122F5F" w:rsidRDefault="005742A6" w:rsidP="00122F5F">
    <w:pPr>
      <w:pStyle w:val="Header"/>
    </w:pPr>
    <w:r>
      <w:rPr>
        <w:noProof/>
      </w:rPr>
      <mc:AlternateContent>
        <mc:Choice Requires="wps">
          <w:drawing>
            <wp:anchor distT="0" distB="0" distL="114300" distR="114300" simplePos="0" relativeHeight="251656192" behindDoc="1" locked="0" layoutInCell="1" allowOverlap="1" wp14:anchorId="3818EDB0" wp14:editId="73DF62AB">
              <wp:simplePos x="0" y="0"/>
              <wp:positionH relativeFrom="page">
                <wp:posOffset>962025</wp:posOffset>
              </wp:positionH>
              <wp:positionV relativeFrom="page">
                <wp:posOffset>947420</wp:posOffset>
              </wp:positionV>
              <wp:extent cx="1998980" cy="229870"/>
              <wp:effectExtent l="0" t="4445" r="1270" b="3810"/>
              <wp:wrapNone/>
              <wp:docPr id="116642325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3EB3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5E4228E"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18EDB0" id="_x0000_t202" coordsize="21600,21600" o:spt="202" path="m,l,21600r21600,l21600,xe">
              <v:stroke joinstyle="miter"/>
              <v:path gradientshapeok="t" o:connecttype="rect"/>
            </v:shapetype>
            <v:shape id="Text Box 1" o:spid="_x0000_s1039"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4E83EB3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5E4228E"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F6338ED" wp14:editId="358829CC">
              <wp:simplePos x="0" y="0"/>
              <wp:positionH relativeFrom="page">
                <wp:posOffset>6497955</wp:posOffset>
              </wp:positionH>
              <wp:positionV relativeFrom="page">
                <wp:posOffset>445135</wp:posOffset>
              </wp:positionV>
              <wp:extent cx="231775" cy="177800"/>
              <wp:effectExtent l="1905" t="0" r="4445" b="0"/>
              <wp:wrapNone/>
              <wp:docPr id="19951493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FEF2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6338ED" id="Text Box 2" o:spid="_x0000_s1040"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233FEF2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0C8BBA96" wp14:editId="5EA7D5CA">
              <wp:simplePos x="0" y="0"/>
              <wp:positionH relativeFrom="page">
                <wp:posOffset>3143250</wp:posOffset>
              </wp:positionH>
              <wp:positionV relativeFrom="page">
                <wp:posOffset>784860</wp:posOffset>
              </wp:positionV>
              <wp:extent cx="3523615" cy="416560"/>
              <wp:effectExtent l="0" t="3810" r="635" b="0"/>
              <wp:wrapNone/>
              <wp:docPr id="21704940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F07E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8BBA96" id="Text Box 3" o:spid="_x0000_s1041"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6F1F07E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6781C1D7" wp14:editId="11AE7C6B">
          <wp:extent cx="1099185" cy="501015"/>
          <wp:effectExtent l="0" t="0" r="0" b="0"/>
          <wp:docPr id="17082772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36ADD042" w14:textId="77777777" w:rsidR="00122F5F" w:rsidRDefault="00122F5F" w:rsidP="00122F5F">
    <w:pPr>
      <w:pStyle w:val="Header"/>
      <w:rPr>
        <w:sz w:val="16"/>
        <w:szCs w:val="16"/>
      </w:rPr>
    </w:pPr>
  </w:p>
  <w:p w14:paraId="451B4ABF" w14:textId="77777777" w:rsidR="00AA4AE4" w:rsidRDefault="00AA4AE4" w:rsidP="00122F5F">
    <w:pPr>
      <w:pStyle w:val="Header"/>
      <w:rPr>
        <w:sz w:val="16"/>
        <w:szCs w:val="16"/>
      </w:rPr>
    </w:pPr>
  </w:p>
  <w:p w14:paraId="430F58E7"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FC2CCE" w14:textId="0F2CD7FB" w:rsidR="00540F02" w:rsidRDefault="005742A6" w:rsidP="00540F02">
    <w:pPr>
      <w:pStyle w:val="Header"/>
    </w:pPr>
    <w:r>
      <w:rPr>
        <w:noProof/>
      </w:rPr>
      <mc:AlternateContent>
        <mc:Choice Requires="wps">
          <w:drawing>
            <wp:anchor distT="0" distB="0" distL="114300" distR="114300" simplePos="0" relativeHeight="251658240" behindDoc="1" locked="0" layoutInCell="1" allowOverlap="1" wp14:anchorId="77F63B88" wp14:editId="71135EE8">
              <wp:simplePos x="0" y="0"/>
              <wp:positionH relativeFrom="page">
                <wp:posOffset>962025</wp:posOffset>
              </wp:positionH>
              <wp:positionV relativeFrom="page">
                <wp:posOffset>947420</wp:posOffset>
              </wp:positionV>
              <wp:extent cx="1998980" cy="229870"/>
              <wp:effectExtent l="0" t="4445" r="1270" b="3810"/>
              <wp:wrapNone/>
              <wp:docPr id="3063815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6A4EB"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AA1AE21"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F63B88" id="_x0000_t202" coordsize="21600,21600" o:spt="202" path="m,l,21600r21600,l21600,xe">
              <v:stroke joinstyle="miter"/>
              <v:path gradientshapeok="t" o:connecttype="rect"/>
            </v:shapetype>
            <v:shape id="Text Box 4" o:spid="_x0000_s1042"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4876A4EB"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AA1AE21"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3C56B5DC" wp14:editId="3D0F1F6F">
              <wp:simplePos x="0" y="0"/>
              <wp:positionH relativeFrom="page">
                <wp:posOffset>6464300</wp:posOffset>
              </wp:positionH>
              <wp:positionV relativeFrom="page">
                <wp:posOffset>467360</wp:posOffset>
              </wp:positionV>
              <wp:extent cx="231775" cy="177800"/>
              <wp:effectExtent l="0" t="635" r="0" b="2540"/>
              <wp:wrapNone/>
              <wp:docPr id="22309424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D5B44"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56B5DC" id="Text Box 5" o:spid="_x0000_s1043"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19BD5B44"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658B90A9" wp14:editId="6B389420">
              <wp:simplePos x="0" y="0"/>
              <wp:positionH relativeFrom="page">
                <wp:posOffset>3143250</wp:posOffset>
              </wp:positionH>
              <wp:positionV relativeFrom="page">
                <wp:posOffset>784860</wp:posOffset>
              </wp:positionV>
              <wp:extent cx="3523615" cy="416560"/>
              <wp:effectExtent l="0" t="3810" r="635" b="0"/>
              <wp:wrapNone/>
              <wp:docPr id="143997817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4906B2"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8B90A9" id="Text Box 6" o:spid="_x0000_s1044"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3E4906B2"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36399822" wp14:editId="31D6F47E">
          <wp:extent cx="1099185" cy="501015"/>
          <wp:effectExtent l="0" t="0" r="0" b="0"/>
          <wp:docPr id="72899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274F9D73" w14:textId="77777777" w:rsidR="00540F02" w:rsidRDefault="00540F02" w:rsidP="00540F02">
    <w:pPr>
      <w:pStyle w:val="Header"/>
      <w:rPr>
        <w:sz w:val="16"/>
        <w:szCs w:val="16"/>
      </w:rPr>
    </w:pPr>
  </w:p>
  <w:p w14:paraId="34580A9D" w14:textId="77777777" w:rsidR="00540F02" w:rsidRDefault="00540F02" w:rsidP="00540F02">
    <w:pPr>
      <w:pStyle w:val="Header"/>
      <w:rPr>
        <w:sz w:val="16"/>
        <w:szCs w:val="16"/>
      </w:rPr>
    </w:pPr>
  </w:p>
  <w:p w14:paraId="309BE79A"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EBA8AB" w14:textId="7C161386" w:rsidR="00FF1D30" w:rsidRDefault="005742A6">
    <w:pPr>
      <w:pStyle w:val="Header"/>
    </w:pPr>
    <w:r>
      <w:rPr>
        <w:noProof/>
      </w:rPr>
      <mc:AlternateContent>
        <mc:Choice Requires="wps">
          <w:drawing>
            <wp:anchor distT="0" distB="0" distL="114300" distR="114300" simplePos="0" relativeHeight="251652096" behindDoc="1" locked="0" layoutInCell="1" allowOverlap="1" wp14:anchorId="779C0690" wp14:editId="0E8E1707">
              <wp:simplePos x="0" y="0"/>
              <wp:positionH relativeFrom="page">
                <wp:posOffset>942975</wp:posOffset>
              </wp:positionH>
              <wp:positionV relativeFrom="page">
                <wp:posOffset>947420</wp:posOffset>
              </wp:positionV>
              <wp:extent cx="1998980" cy="229870"/>
              <wp:effectExtent l="0" t="4445" r="1270" b="3810"/>
              <wp:wrapNone/>
              <wp:docPr id="162509942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0AFB8"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C51E2E8"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9C0690" id="_x0000_t202" coordsize="21600,21600" o:spt="202" path="m,l,21600r21600,l21600,xe">
              <v:stroke joinstyle="miter"/>
              <v:path gradientshapeok="t" o:connecttype="rect"/>
            </v:shapetype>
            <v:shape id="Text Box 9" o:spid="_x0000_s1047"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13B0AFB8"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C51E2E8"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37B4B627" wp14:editId="75A34832">
              <wp:simplePos x="0" y="0"/>
              <wp:positionH relativeFrom="page">
                <wp:posOffset>6464300</wp:posOffset>
              </wp:positionH>
              <wp:positionV relativeFrom="page">
                <wp:posOffset>439420</wp:posOffset>
              </wp:positionV>
              <wp:extent cx="231775" cy="177800"/>
              <wp:effectExtent l="0" t="1270" r="0" b="1905"/>
              <wp:wrapNone/>
              <wp:docPr id="82203146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CAA6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B4B627" id="Text Box 10" o:spid="_x0000_s1048"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40ECAA6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2ABCC91D" wp14:editId="35EBF4C7">
              <wp:simplePos x="0" y="0"/>
              <wp:positionH relativeFrom="page">
                <wp:posOffset>3143250</wp:posOffset>
              </wp:positionH>
              <wp:positionV relativeFrom="page">
                <wp:posOffset>784860</wp:posOffset>
              </wp:positionV>
              <wp:extent cx="3516630" cy="416560"/>
              <wp:effectExtent l="0" t="3810" r="0" b="0"/>
              <wp:wrapNone/>
              <wp:docPr id="21268047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21B87"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BCC91D" id="Text Box 11" o:spid="_x0000_s1049"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3DD21B87"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277C3A4C" wp14:editId="1929EA41">
          <wp:extent cx="1099185" cy="501015"/>
          <wp:effectExtent l="0" t="0" r="0" b="0"/>
          <wp:docPr id="1210957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3DB29F68" w14:textId="77777777" w:rsidR="00FF1D30" w:rsidRDefault="00FF1D30">
    <w:pPr>
      <w:pStyle w:val="Header"/>
      <w:rPr>
        <w:sz w:val="16"/>
        <w:szCs w:val="16"/>
      </w:rPr>
    </w:pPr>
  </w:p>
  <w:p w14:paraId="089A3938" w14:textId="77777777" w:rsidR="00FF1D30" w:rsidRDefault="00FF1D30">
    <w:pPr>
      <w:pStyle w:val="Header"/>
      <w:rPr>
        <w:sz w:val="16"/>
        <w:szCs w:val="16"/>
      </w:rPr>
    </w:pPr>
  </w:p>
  <w:p w14:paraId="1F91C40E"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96F0B11"/>
    <w:multiLevelType w:val="hybridMultilevel"/>
    <w:tmpl w:val="7E4CAE7E"/>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0"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1" w15:restartNumberingAfterBreak="0">
    <w:nsid w:val="1D1E3992"/>
    <w:multiLevelType w:val="hybridMultilevel"/>
    <w:tmpl w:val="FFFFFFFF"/>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2" w15:restartNumberingAfterBreak="0">
    <w:nsid w:val="1F0401F9"/>
    <w:multiLevelType w:val="hybridMultilevel"/>
    <w:tmpl w:val="DBBC6596"/>
    <w:lvl w:ilvl="0" w:tplc="ED406B02">
      <w:start w:val="1"/>
      <w:numFmt w:val="decimal"/>
      <w:lvlText w:val="[%1]"/>
      <w:lvlJc w:val="left"/>
      <w:pPr>
        <w:ind w:left="1070" w:hanging="360"/>
      </w:pPr>
      <w:rPr>
        <w:rFonts w:hint="default"/>
      </w:rPr>
    </w:lvl>
    <w:lvl w:ilvl="1" w:tplc="38090019" w:tentative="1">
      <w:start w:val="1"/>
      <w:numFmt w:val="lowerLetter"/>
      <w:lvlText w:val="%2."/>
      <w:lvlJc w:val="left"/>
      <w:pPr>
        <w:ind w:left="1790" w:hanging="360"/>
      </w:pPr>
    </w:lvl>
    <w:lvl w:ilvl="2" w:tplc="3809001B" w:tentative="1">
      <w:start w:val="1"/>
      <w:numFmt w:val="lowerRoman"/>
      <w:lvlText w:val="%3."/>
      <w:lvlJc w:val="right"/>
      <w:pPr>
        <w:ind w:left="2510" w:hanging="180"/>
      </w:pPr>
    </w:lvl>
    <w:lvl w:ilvl="3" w:tplc="3809000F" w:tentative="1">
      <w:start w:val="1"/>
      <w:numFmt w:val="decimal"/>
      <w:lvlText w:val="%4."/>
      <w:lvlJc w:val="left"/>
      <w:pPr>
        <w:ind w:left="3230" w:hanging="360"/>
      </w:pPr>
    </w:lvl>
    <w:lvl w:ilvl="4" w:tplc="38090019" w:tentative="1">
      <w:start w:val="1"/>
      <w:numFmt w:val="lowerLetter"/>
      <w:lvlText w:val="%5."/>
      <w:lvlJc w:val="left"/>
      <w:pPr>
        <w:ind w:left="3950" w:hanging="360"/>
      </w:pPr>
    </w:lvl>
    <w:lvl w:ilvl="5" w:tplc="3809001B" w:tentative="1">
      <w:start w:val="1"/>
      <w:numFmt w:val="lowerRoman"/>
      <w:lvlText w:val="%6."/>
      <w:lvlJc w:val="right"/>
      <w:pPr>
        <w:ind w:left="4670" w:hanging="180"/>
      </w:pPr>
    </w:lvl>
    <w:lvl w:ilvl="6" w:tplc="3809000F" w:tentative="1">
      <w:start w:val="1"/>
      <w:numFmt w:val="decimal"/>
      <w:lvlText w:val="%7."/>
      <w:lvlJc w:val="left"/>
      <w:pPr>
        <w:ind w:left="5390" w:hanging="360"/>
      </w:pPr>
    </w:lvl>
    <w:lvl w:ilvl="7" w:tplc="38090019" w:tentative="1">
      <w:start w:val="1"/>
      <w:numFmt w:val="lowerLetter"/>
      <w:lvlText w:val="%8."/>
      <w:lvlJc w:val="left"/>
      <w:pPr>
        <w:ind w:left="6110" w:hanging="360"/>
      </w:pPr>
    </w:lvl>
    <w:lvl w:ilvl="8" w:tplc="3809001B" w:tentative="1">
      <w:start w:val="1"/>
      <w:numFmt w:val="lowerRoman"/>
      <w:lvlText w:val="%9."/>
      <w:lvlJc w:val="right"/>
      <w:pPr>
        <w:ind w:left="6830" w:hanging="180"/>
      </w:pPr>
    </w:lvl>
  </w:abstractNum>
  <w:abstractNum w:abstractNumId="13"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4"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5"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6"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7"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8" w15:restartNumberingAfterBreak="0">
    <w:nsid w:val="3A910A7D"/>
    <w:multiLevelType w:val="hybridMultilevel"/>
    <w:tmpl w:val="FFFFFFFF"/>
    <w:lvl w:ilvl="0" w:tplc="FFFFFFF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9"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20"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1"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2" w15:restartNumberingAfterBreak="0">
    <w:nsid w:val="52EC5E81"/>
    <w:multiLevelType w:val="hybridMultilevel"/>
    <w:tmpl w:val="834EBF32"/>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3"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5"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6"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7"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8"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9"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0"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2"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2073262972">
    <w:abstractNumId w:val="16"/>
  </w:num>
  <w:num w:numId="2" w16cid:durableId="485970993">
    <w:abstractNumId w:val="9"/>
  </w:num>
  <w:num w:numId="3" w16cid:durableId="410200282">
    <w:abstractNumId w:val="10"/>
  </w:num>
  <w:num w:numId="4" w16cid:durableId="2137285493">
    <w:abstractNumId w:val="26"/>
  </w:num>
  <w:num w:numId="5" w16cid:durableId="1019962932">
    <w:abstractNumId w:val="25"/>
  </w:num>
  <w:num w:numId="6" w16cid:durableId="370957493">
    <w:abstractNumId w:val="24"/>
  </w:num>
  <w:num w:numId="7" w16cid:durableId="1162768867">
    <w:abstractNumId w:val="31"/>
  </w:num>
  <w:num w:numId="8" w16cid:durableId="1438022640">
    <w:abstractNumId w:val="17"/>
  </w:num>
  <w:num w:numId="9" w16cid:durableId="2006592035">
    <w:abstractNumId w:val="27"/>
  </w:num>
  <w:num w:numId="10" w16cid:durableId="1061251243">
    <w:abstractNumId w:val="28"/>
  </w:num>
  <w:num w:numId="11" w16cid:durableId="967396715">
    <w:abstractNumId w:val="13"/>
  </w:num>
  <w:num w:numId="12" w16cid:durableId="1171063890">
    <w:abstractNumId w:val="21"/>
  </w:num>
  <w:num w:numId="13" w16cid:durableId="1903101194">
    <w:abstractNumId w:val="7"/>
  </w:num>
  <w:num w:numId="14" w16cid:durableId="210653759">
    <w:abstractNumId w:val="0"/>
  </w:num>
  <w:num w:numId="15" w16cid:durableId="2072386098">
    <w:abstractNumId w:val="32"/>
  </w:num>
  <w:num w:numId="16" w16cid:durableId="613246020">
    <w:abstractNumId w:val="23"/>
  </w:num>
  <w:num w:numId="17" w16cid:durableId="1116872063">
    <w:abstractNumId w:val="30"/>
  </w:num>
  <w:num w:numId="18" w16cid:durableId="1252080476">
    <w:abstractNumId w:val="29"/>
  </w:num>
  <w:num w:numId="19" w16cid:durableId="2101637754">
    <w:abstractNumId w:val="20"/>
  </w:num>
  <w:num w:numId="20" w16cid:durableId="220168126">
    <w:abstractNumId w:val="5"/>
  </w:num>
  <w:num w:numId="21" w16cid:durableId="1619142303">
    <w:abstractNumId w:val="1"/>
  </w:num>
  <w:num w:numId="22" w16cid:durableId="1619409271">
    <w:abstractNumId w:val="14"/>
  </w:num>
  <w:num w:numId="23" w16cid:durableId="1469056629">
    <w:abstractNumId w:val="2"/>
  </w:num>
  <w:num w:numId="24" w16cid:durableId="1543590173">
    <w:abstractNumId w:val="3"/>
  </w:num>
  <w:num w:numId="25" w16cid:durableId="177155830">
    <w:abstractNumId w:val="4"/>
  </w:num>
  <w:num w:numId="26" w16cid:durableId="1094084349">
    <w:abstractNumId w:val="11"/>
  </w:num>
  <w:num w:numId="27" w16cid:durableId="1235236214">
    <w:abstractNumId w:val="15"/>
  </w:num>
  <w:num w:numId="28" w16cid:durableId="943655462">
    <w:abstractNumId w:val="6"/>
  </w:num>
  <w:num w:numId="29" w16cid:durableId="78598166">
    <w:abstractNumId w:val="19"/>
  </w:num>
  <w:num w:numId="30" w16cid:durableId="680085252">
    <w:abstractNumId w:val="18"/>
  </w:num>
  <w:num w:numId="31" w16cid:durableId="1306934484">
    <w:abstractNumId w:val="22"/>
  </w:num>
  <w:num w:numId="32" w16cid:durableId="1428503509">
    <w:abstractNumId w:val="8"/>
  </w:num>
  <w:num w:numId="33" w16cid:durableId="1036853100">
    <w:abstractNumId w:val="1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3189"/>
    <w:rsid w:val="000051D0"/>
    <w:rsid w:val="00005ED9"/>
    <w:rsid w:val="00010DEE"/>
    <w:rsid w:val="00017625"/>
    <w:rsid w:val="00022076"/>
    <w:rsid w:val="000243A3"/>
    <w:rsid w:val="00024881"/>
    <w:rsid w:val="0002569B"/>
    <w:rsid w:val="000417D3"/>
    <w:rsid w:val="00046968"/>
    <w:rsid w:val="000475BE"/>
    <w:rsid w:val="00055DD9"/>
    <w:rsid w:val="00055FC4"/>
    <w:rsid w:val="0006191D"/>
    <w:rsid w:val="00066AC1"/>
    <w:rsid w:val="0007302E"/>
    <w:rsid w:val="0007539D"/>
    <w:rsid w:val="00076F8C"/>
    <w:rsid w:val="0008220C"/>
    <w:rsid w:val="000877EE"/>
    <w:rsid w:val="00087E52"/>
    <w:rsid w:val="000900AD"/>
    <w:rsid w:val="0009204F"/>
    <w:rsid w:val="0009638F"/>
    <w:rsid w:val="000A0B41"/>
    <w:rsid w:val="000A2548"/>
    <w:rsid w:val="000B0038"/>
    <w:rsid w:val="000B0CE5"/>
    <w:rsid w:val="000B59CD"/>
    <w:rsid w:val="000C3688"/>
    <w:rsid w:val="000E1F30"/>
    <w:rsid w:val="000E31DC"/>
    <w:rsid w:val="000F66AA"/>
    <w:rsid w:val="00103AFF"/>
    <w:rsid w:val="00110D78"/>
    <w:rsid w:val="00116ED8"/>
    <w:rsid w:val="00117792"/>
    <w:rsid w:val="00122F5F"/>
    <w:rsid w:val="00123EF2"/>
    <w:rsid w:val="001245CB"/>
    <w:rsid w:val="0013783B"/>
    <w:rsid w:val="001578E9"/>
    <w:rsid w:val="001602A0"/>
    <w:rsid w:val="00162A30"/>
    <w:rsid w:val="00165813"/>
    <w:rsid w:val="00171D19"/>
    <w:rsid w:val="00173196"/>
    <w:rsid w:val="0018288D"/>
    <w:rsid w:val="001834D8"/>
    <w:rsid w:val="00187357"/>
    <w:rsid w:val="0019427B"/>
    <w:rsid w:val="001A07A8"/>
    <w:rsid w:val="001A410B"/>
    <w:rsid w:val="001A4C9F"/>
    <w:rsid w:val="001B3613"/>
    <w:rsid w:val="001B7FC2"/>
    <w:rsid w:val="001C1AEE"/>
    <w:rsid w:val="001C2739"/>
    <w:rsid w:val="001C3D6C"/>
    <w:rsid w:val="001C3DA7"/>
    <w:rsid w:val="001C7BDA"/>
    <w:rsid w:val="001D5E03"/>
    <w:rsid w:val="001D7DEE"/>
    <w:rsid w:val="001E02DA"/>
    <w:rsid w:val="001E2AAA"/>
    <w:rsid w:val="001F2D87"/>
    <w:rsid w:val="001F3695"/>
    <w:rsid w:val="001F582A"/>
    <w:rsid w:val="00200009"/>
    <w:rsid w:val="002003B1"/>
    <w:rsid w:val="0020406B"/>
    <w:rsid w:val="0020676E"/>
    <w:rsid w:val="00211FAA"/>
    <w:rsid w:val="002132FC"/>
    <w:rsid w:val="0021416E"/>
    <w:rsid w:val="00216CB6"/>
    <w:rsid w:val="00217165"/>
    <w:rsid w:val="00217D1E"/>
    <w:rsid w:val="00220E29"/>
    <w:rsid w:val="00223090"/>
    <w:rsid w:val="00224082"/>
    <w:rsid w:val="00232863"/>
    <w:rsid w:val="00232961"/>
    <w:rsid w:val="00241B8D"/>
    <w:rsid w:val="00251164"/>
    <w:rsid w:val="00253D8A"/>
    <w:rsid w:val="002563E9"/>
    <w:rsid w:val="00260D64"/>
    <w:rsid w:val="002632DB"/>
    <w:rsid w:val="002676D3"/>
    <w:rsid w:val="00271DA6"/>
    <w:rsid w:val="0027200A"/>
    <w:rsid w:val="00274990"/>
    <w:rsid w:val="00287EDB"/>
    <w:rsid w:val="00295FB9"/>
    <w:rsid w:val="002961FA"/>
    <w:rsid w:val="002A293E"/>
    <w:rsid w:val="002A4E05"/>
    <w:rsid w:val="002B594F"/>
    <w:rsid w:val="002C2FAC"/>
    <w:rsid w:val="002C3797"/>
    <w:rsid w:val="002D0F54"/>
    <w:rsid w:val="002D1D04"/>
    <w:rsid w:val="002D2DAC"/>
    <w:rsid w:val="002D33A7"/>
    <w:rsid w:val="002E0452"/>
    <w:rsid w:val="002E1840"/>
    <w:rsid w:val="002E29FD"/>
    <w:rsid w:val="002E4286"/>
    <w:rsid w:val="002E695D"/>
    <w:rsid w:val="002F4D18"/>
    <w:rsid w:val="00301FEB"/>
    <w:rsid w:val="00303D42"/>
    <w:rsid w:val="0030640D"/>
    <w:rsid w:val="00312D76"/>
    <w:rsid w:val="00334520"/>
    <w:rsid w:val="00334792"/>
    <w:rsid w:val="003363F0"/>
    <w:rsid w:val="00336A9A"/>
    <w:rsid w:val="0034128C"/>
    <w:rsid w:val="00347671"/>
    <w:rsid w:val="003524EC"/>
    <w:rsid w:val="00362CBC"/>
    <w:rsid w:val="00366775"/>
    <w:rsid w:val="0037001C"/>
    <w:rsid w:val="00381B26"/>
    <w:rsid w:val="00382478"/>
    <w:rsid w:val="00386F26"/>
    <w:rsid w:val="00387148"/>
    <w:rsid w:val="00387C94"/>
    <w:rsid w:val="00391ACE"/>
    <w:rsid w:val="003948B0"/>
    <w:rsid w:val="00395535"/>
    <w:rsid w:val="003B28D6"/>
    <w:rsid w:val="003B2BD3"/>
    <w:rsid w:val="003C27F1"/>
    <w:rsid w:val="003C40CE"/>
    <w:rsid w:val="003C482F"/>
    <w:rsid w:val="003C5369"/>
    <w:rsid w:val="003E017E"/>
    <w:rsid w:val="003E1185"/>
    <w:rsid w:val="003E7145"/>
    <w:rsid w:val="003F1684"/>
    <w:rsid w:val="004003CF"/>
    <w:rsid w:val="00400BB8"/>
    <w:rsid w:val="00406663"/>
    <w:rsid w:val="00406D0E"/>
    <w:rsid w:val="00411F5E"/>
    <w:rsid w:val="00413EEB"/>
    <w:rsid w:val="00415562"/>
    <w:rsid w:val="00415A81"/>
    <w:rsid w:val="004174DD"/>
    <w:rsid w:val="00423FBA"/>
    <w:rsid w:val="00425716"/>
    <w:rsid w:val="00425E5D"/>
    <w:rsid w:val="004308C0"/>
    <w:rsid w:val="0043544C"/>
    <w:rsid w:val="0043726F"/>
    <w:rsid w:val="00442F6C"/>
    <w:rsid w:val="004460D4"/>
    <w:rsid w:val="00451D00"/>
    <w:rsid w:val="00453027"/>
    <w:rsid w:val="004535C9"/>
    <w:rsid w:val="004538A9"/>
    <w:rsid w:val="004573CA"/>
    <w:rsid w:val="00461A20"/>
    <w:rsid w:val="00463904"/>
    <w:rsid w:val="004657C4"/>
    <w:rsid w:val="00465FB0"/>
    <w:rsid w:val="00467DAA"/>
    <w:rsid w:val="00476E9F"/>
    <w:rsid w:val="00481B20"/>
    <w:rsid w:val="00483B07"/>
    <w:rsid w:val="004863B6"/>
    <w:rsid w:val="00486707"/>
    <w:rsid w:val="0048722D"/>
    <w:rsid w:val="004926FD"/>
    <w:rsid w:val="004928B8"/>
    <w:rsid w:val="00497A78"/>
    <w:rsid w:val="004A19B5"/>
    <w:rsid w:val="004A4564"/>
    <w:rsid w:val="004A68CB"/>
    <w:rsid w:val="004B08D8"/>
    <w:rsid w:val="004B0E60"/>
    <w:rsid w:val="004C15A0"/>
    <w:rsid w:val="004D00AE"/>
    <w:rsid w:val="004D0872"/>
    <w:rsid w:val="004D5A18"/>
    <w:rsid w:val="004D67B0"/>
    <w:rsid w:val="004D7EF4"/>
    <w:rsid w:val="004E43C7"/>
    <w:rsid w:val="004F5144"/>
    <w:rsid w:val="004F5368"/>
    <w:rsid w:val="00500754"/>
    <w:rsid w:val="00500AAF"/>
    <w:rsid w:val="005022AA"/>
    <w:rsid w:val="005031E8"/>
    <w:rsid w:val="0050390B"/>
    <w:rsid w:val="00503DD2"/>
    <w:rsid w:val="005062E6"/>
    <w:rsid w:val="005227C8"/>
    <w:rsid w:val="005323E6"/>
    <w:rsid w:val="00534B65"/>
    <w:rsid w:val="00534EF0"/>
    <w:rsid w:val="0053629A"/>
    <w:rsid w:val="005367ED"/>
    <w:rsid w:val="00540F02"/>
    <w:rsid w:val="0054303A"/>
    <w:rsid w:val="00543077"/>
    <w:rsid w:val="005469BE"/>
    <w:rsid w:val="00546E89"/>
    <w:rsid w:val="005478C9"/>
    <w:rsid w:val="00553784"/>
    <w:rsid w:val="005569E1"/>
    <w:rsid w:val="0056036E"/>
    <w:rsid w:val="005611F1"/>
    <w:rsid w:val="005626AA"/>
    <w:rsid w:val="005635B4"/>
    <w:rsid w:val="00566D1B"/>
    <w:rsid w:val="0057036A"/>
    <w:rsid w:val="00571CFE"/>
    <w:rsid w:val="005742A6"/>
    <w:rsid w:val="00590269"/>
    <w:rsid w:val="00591DE5"/>
    <w:rsid w:val="0059236C"/>
    <w:rsid w:val="00597AAB"/>
    <w:rsid w:val="005A1BE1"/>
    <w:rsid w:val="005A4F69"/>
    <w:rsid w:val="005A5D6C"/>
    <w:rsid w:val="005A6A0E"/>
    <w:rsid w:val="005C14AA"/>
    <w:rsid w:val="005C56C8"/>
    <w:rsid w:val="005C643D"/>
    <w:rsid w:val="005D4A0D"/>
    <w:rsid w:val="005D59B6"/>
    <w:rsid w:val="005E7673"/>
    <w:rsid w:val="005F6F53"/>
    <w:rsid w:val="00602879"/>
    <w:rsid w:val="006035FA"/>
    <w:rsid w:val="006052AE"/>
    <w:rsid w:val="006070C7"/>
    <w:rsid w:val="00615265"/>
    <w:rsid w:val="0061613E"/>
    <w:rsid w:val="0062129F"/>
    <w:rsid w:val="00622926"/>
    <w:rsid w:val="0062388D"/>
    <w:rsid w:val="006254AD"/>
    <w:rsid w:val="006352D0"/>
    <w:rsid w:val="00637098"/>
    <w:rsid w:val="00637BE1"/>
    <w:rsid w:val="006419D1"/>
    <w:rsid w:val="00643F44"/>
    <w:rsid w:val="00650832"/>
    <w:rsid w:val="00650CEB"/>
    <w:rsid w:val="006514A8"/>
    <w:rsid w:val="006538D6"/>
    <w:rsid w:val="00654B07"/>
    <w:rsid w:val="00672ECC"/>
    <w:rsid w:val="00674C01"/>
    <w:rsid w:val="00674CB5"/>
    <w:rsid w:val="00680536"/>
    <w:rsid w:val="006902BB"/>
    <w:rsid w:val="006A4FA3"/>
    <w:rsid w:val="006A7DFF"/>
    <w:rsid w:val="006B04B2"/>
    <w:rsid w:val="006B0510"/>
    <w:rsid w:val="006B2D02"/>
    <w:rsid w:val="006B4974"/>
    <w:rsid w:val="006B6E0F"/>
    <w:rsid w:val="006C0BEA"/>
    <w:rsid w:val="006C65C4"/>
    <w:rsid w:val="006C6EBD"/>
    <w:rsid w:val="006C7730"/>
    <w:rsid w:val="006D0A4B"/>
    <w:rsid w:val="006D6149"/>
    <w:rsid w:val="006D782E"/>
    <w:rsid w:val="006E2742"/>
    <w:rsid w:val="006E2F83"/>
    <w:rsid w:val="006E466B"/>
    <w:rsid w:val="006E7FC3"/>
    <w:rsid w:val="006F411A"/>
    <w:rsid w:val="00704378"/>
    <w:rsid w:val="00706053"/>
    <w:rsid w:val="007066E4"/>
    <w:rsid w:val="00707398"/>
    <w:rsid w:val="007169EC"/>
    <w:rsid w:val="007277EC"/>
    <w:rsid w:val="00727B9E"/>
    <w:rsid w:val="00741058"/>
    <w:rsid w:val="00750DAC"/>
    <w:rsid w:val="00755AB4"/>
    <w:rsid w:val="00761E7C"/>
    <w:rsid w:val="00762C77"/>
    <w:rsid w:val="007636FC"/>
    <w:rsid w:val="00771574"/>
    <w:rsid w:val="00775180"/>
    <w:rsid w:val="007774E4"/>
    <w:rsid w:val="007816FC"/>
    <w:rsid w:val="00781D8B"/>
    <w:rsid w:val="00791E50"/>
    <w:rsid w:val="007923B1"/>
    <w:rsid w:val="007925B5"/>
    <w:rsid w:val="0079311F"/>
    <w:rsid w:val="007933FE"/>
    <w:rsid w:val="00796577"/>
    <w:rsid w:val="00796A75"/>
    <w:rsid w:val="007A2AA8"/>
    <w:rsid w:val="007A5A78"/>
    <w:rsid w:val="007A62B7"/>
    <w:rsid w:val="007A65BF"/>
    <w:rsid w:val="007B135B"/>
    <w:rsid w:val="007B5A8D"/>
    <w:rsid w:val="007B6823"/>
    <w:rsid w:val="007D5BA1"/>
    <w:rsid w:val="007E4168"/>
    <w:rsid w:val="007E508F"/>
    <w:rsid w:val="007F02FB"/>
    <w:rsid w:val="007F2213"/>
    <w:rsid w:val="007F37D6"/>
    <w:rsid w:val="007F422E"/>
    <w:rsid w:val="007F5B9D"/>
    <w:rsid w:val="008003D6"/>
    <w:rsid w:val="00802718"/>
    <w:rsid w:val="00802990"/>
    <w:rsid w:val="00802A5B"/>
    <w:rsid w:val="00802A96"/>
    <w:rsid w:val="008049B4"/>
    <w:rsid w:val="00804B31"/>
    <w:rsid w:val="00810811"/>
    <w:rsid w:val="00815661"/>
    <w:rsid w:val="008157AA"/>
    <w:rsid w:val="00815993"/>
    <w:rsid w:val="0082272E"/>
    <w:rsid w:val="00835E51"/>
    <w:rsid w:val="00846249"/>
    <w:rsid w:val="00852EC7"/>
    <w:rsid w:val="0085484D"/>
    <w:rsid w:val="00862178"/>
    <w:rsid w:val="00862DDA"/>
    <w:rsid w:val="00863A78"/>
    <w:rsid w:val="00867428"/>
    <w:rsid w:val="008678F7"/>
    <w:rsid w:val="00874EB7"/>
    <w:rsid w:val="008752FD"/>
    <w:rsid w:val="008765A5"/>
    <w:rsid w:val="00882CAF"/>
    <w:rsid w:val="008847ED"/>
    <w:rsid w:val="00886BAD"/>
    <w:rsid w:val="0088746C"/>
    <w:rsid w:val="008940D8"/>
    <w:rsid w:val="008A257B"/>
    <w:rsid w:val="008A7B81"/>
    <w:rsid w:val="008B23F8"/>
    <w:rsid w:val="008B4BA9"/>
    <w:rsid w:val="008B7A0F"/>
    <w:rsid w:val="008C2547"/>
    <w:rsid w:val="008C302B"/>
    <w:rsid w:val="008C3C9B"/>
    <w:rsid w:val="008C3DC2"/>
    <w:rsid w:val="008C45DE"/>
    <w:rsid w:val="008C62AD"/>
    <w:rsid w:val="008D0F02"/>
    <w:rsid w:val="008D5536"/>
    <w:rsid w:val="008D75B2"/>
    <w:rsid w:val="008E554D"/>
    <w:rsid w:val="008F0CE5"/>
    <w:rsid w:val="008F1989"/>
    <w:rsid w:val="008F3342"/>
    <w:rsid w:val="00901F00"/>
    <w:rsid w:val="00902F9C"/>
    <w:rsid w:val="00906AC7"/>
    <w:rsid w:val="00907E40"/>
    <w:rsid w:val="00911A24"/>
    <w:rsid w:val="009206DD"/>
    <w:rsid w:val="009231B3"/>
    <w:rsid w:val="00923573"/>
    <w:rsid w:val="009276FB"/>
    <w:rsid w:val="00936811"/>
    <w:rsid w:val="00940F83"/>
    <w:rsid w:val="0094187E"/>
    <w:rsid w:val="00944018"/>
    <w:rsid w:val="00945575"/>
    <w:rsid w:val="0094630C"/>
    <w:rsid w:val="0095288D"/>
    <w:rsid w:val="0095456E"/>
    <w:rsid w:val="00954BA8"/>
    <w:rsid w:val="00965E3F"/>
    <w:rsid w:val="00965F50"/>
    <w:rsid w:val="0098193E"/>
    <w:rsid w:val="00987772"/>
    <w:rsid w:val="009917BE"/>
    <w:rsid w:val="0099291C"/>
    <w:rsid w:val="009929B4"/>
    <w:rsid w:val="00994209"/>
    <w:rsid w:val="009A1281"/>
    <w:rsid w:val="009A1E24"/>
    <w:rsid w:val="009B2397"/>
    <w:rsid w:val="009B4065"/>
    <w:rsid w:val="009B6344"/>
    <w:rsid w:val="009B764B"/>
    <w:rsid w:val="009C7D8B"/>
    <w:rsid w:val="009D7AA9"/>
    <w:rsid w:val="009E2468"/>
    <w:rsid w:val="009E336E"/>
    <w:rsid w:val="009E3624"/>
    <w:rsid w:val="009E4EBA"/>
    <w:rsid w:val="009F091C"/>
    <w:rsid w:val="009F2D64"/>
    <w:rsid w:val="009F409C"/>
    <w:rsid w:val="009F6F7B"/>
    <w:rsid w:val="00A03126"/>
    <w:rsid w:val="00A03679"/>
    <w:rsid w:val="00A13315"/>
    <w:rsid w:val="00A14CEF"/>
    <w:rsid w:val="00A175E3"/>
    <w:rsid w:val="00A272D2"/>
    <w:rsid w:val="00A27B34"/>
    <w:rsid w:val="00A30493"/>
    <w:rsid w:val="00A32E17"/>
    <w:rsid w:val="00A33DAA"/>
    <w:rsid w:val="00A37C4B"/>
    <w:rsid w:val="00A427DC"/>
    <w:rsid w:val="00A430B8"/>
    <w:rsid w:val="00A43298"/>
    <w:rsid w:val="00A43778"/>
    <w:rsid w:val="00A4558F"/>
    <w:rsid w:val="00A50B27"/>
    <w:rsid w:val="00A526EF"/>
    <w:rsid w:val="00A549F9"/>
    <w:rsid w:val="00A54DE6"/>
    <w:rsid w:val="00A562A0"/>
    <w:rsid w:val="00A5653C"/>
    <w:rsid w:val="00A574C4"/>
    <w:rsid w:val="00A60243"/>
    <w:rsid w:val="00A602DE"/>
    <w:rsid w:val="00A64896"/>
    <w:rsid w:val="00A64A27"/>
    <w:rsid w:val="00A67525"/>
    <w:rsid w:val="00A71464"/>
    <w:rsid w:val="00A72FCF"/>
    <w:rsid w:val="00A758BF"/>
    <w:rsid w:val="00A762E8"/>
    <w:rsid w:val="00A762F0"/>
    <w:rsid w:val="00A8066D"/>
    <w:rsid w:val="00A80B2E"/>
    <w:rsid w:val="00A80C31"/>
    <w:rsid w:val="00A819B4"/>
    <w:rsid w:val="00A82EEE"/>
    <w:rsid w:val="00A83D78"/>
    <w:rsid w:val="00A83E44"/>
    <w:rsid w:val="00A877F4"/>
    <w:rsid w:val="00A91CAD"/>
    <w:rsid w:val="00A92D0F"/>
    <w:rsid w:val="00A95B23"/>
    <w:rsid w:val="00AA4AE4"/>
    <w:rsid w:val="00AA4E7D"/>
    <w:rsid w:val="00AA4FC8"/>
    <w:rsid w:val="00AA6636"/>
    <w:rsid w:val="00AC388E"/>
    <w:rsid w:val="00AC6628"/>
    <w:rsid w:val="00AD05B1"/>
    <w:rsid w:val="00AD169A"/>
    <w:rsid w:val="00AD2E20"/>
    <w:rsid w:val="00AD3EFD"/>
    <w:rsid w:val="00AD559D"/>
    <w:rsid w:val="00AD5DCB"/>
    <w:rsid w:val="00AE283C"/>
    <w:rsid w:val="00AF35CC"/>
    <w:rsid w:val="00AF73DF"/>
    <w:rsid w:val="00B029D3"/>
    <w:rsid w:val="00B02CE0"/>
    <w:rsid w:val="00B06D1D"/>
    <w:rsid w:val="00B17324"/>
    <w:rsid w:val="00B23F90"/>
    <w:rsid w:val="00B25EDF"/>
    <w:rsid w:val="00B35DC8"/>
    <w:rsid w:val="00B4389C"/>
    <w:rsid w:val="00B47B2C"/>
    <w:rsid w:val="00B56B54"/>
    <w:rsid w:val="00B70E6B"/>
    <w:rsid w:val="00B75A4B"/>
    <w:rsid w:val="00B80A1A"/>
    <w:rsid w:val="00B8520B"/>
    <w:rsid w:val="00B86BF7"/>
    <w:rsid w:val="00B905EC"/>
    <w:rsid w:val="00B91F74"/>
    <w:rsid w:val="00B9472D"/>
    <w:rsid w:val="00BA6FF3"/>
    <w:rsid w:val="00BB08FA"/>
    <w:rsid w:val="00BB2B6F"/>
    <w:rsid w:val="00BB50DF"/>
    <w:rsid w:val="00BB6938"/>
    <w:rsid w:val="00BC51D8"/>
    <w:rsid w:val="00BD3E7E"/>
    <w:rsid w:val="00BD5835"/>
    <w:rsid w:val="00BD5D62"/>
    <w:rsid w:val="00BD79A0"/>
    <w:rsid w:val="00BE144D"/>
    <w:rsid w:val="00BE17FD"/>
    <w:rsid w:val="00BE30EB"/>
    <w:rsid w:val="00BF2AAA"/>
    <w:rsid w:val="00BF5A85"/>
    <w:rsid w:val="00BF672B"/>
    <w:rsid w:val="00C0213A"/>
    <w:rsid w:val="00C02E08"/>
    <w:rsid w:val="00C03879"/>
    <w:rsid w:val="00C0389E"/>
    <w:rsid w:val="00C10C09"/>
    <w:rsid w:val="00C11C42"/>
    <w:rsid w:val="00C152F9"/>
    <w:rsid w:val="00C1756D"/>
    <w:rsid w:val="00C21420"/>
    <w:rsid w:val="00C26170"/>
    <w:rsid w:val="00C377E7"/>
    <w:rsid w:val="00C420B8"/>
    <w:rsid w:val="00C44781"/>
    <w:rsid w:val="00C50A65"/>
    <w:rsid w:val="00C549E7"/>
    <w:rsid w:val="00C56155"/>
    <w:rsid w:val="00C6051D"/>
    <w:rsid w:val="00C6181C"/>
    <w:rsid w:val="00C67610"/>
    <w:rsid w:val="00C71E29"/>
    <w:rsid w:val="00C72516"/>
    <w:rsid w:val="00C7503D"/>
    <w:rsid w:val="00C90327"/>
    <w:rsid w:val="00C93C98"/>
    <w:rsid w:val="00CA7439"/>
    <w:rsid w:val="00CB41DC"/>
    <w:rsid w:val="00CB5866"/>
    <w:rsid w:val="00CB660C"/>
    <w:rsid w:val="00CC56D8"/>
    <w:rsid w:val="00CE2A67"/>
    <w:rsid w:val="00CE741E"/>
    <w:rsid w:val="00CF03A1"/>
    <w:rsid w:val="00CF57D6"/>
    <w:rsid w:val="00D26ADD"/>
    <w:rsid w:val="00D26D30"/>
    <w:rsid w:val="00D44083"/>
    <w:rsid w:val="00D46384"/>
    <w:rsid w:val="00D57022"/>
    <w:rsid w:val="00D57A56"/>
    <w:rsid w:val="00D63088"/>
    <w:rsid w:val="00D67104"/>
    <w:rsid w:val="00D67519"/>
    <w:rsid w:val="00D71087"/>
    <w:rsid w:val="00D73826"/>
    <w:rsid w:val="00D775DE"/>
    <w:rsid w:val="00D813BC"/>
    <w:rsid w:val="00D90FE5"/>
    <w:rsid w:val="00D94113"/>
    <w:rsid w:val="00D96860"/>
    <w:rsid w:val="00DC3AF3"/>
    <w:rsid w:val="00DC5DB0"/>
    <w:rsid w:val="00DC66E5"/>
    <w:rsid w:val="00DC78F5"/>
    <w:rsid w:val="00DC7B34"/>
    <w:rsid w:val="00DD601D"/>
    <w:rsid w:val="00DD6F37"/>
    <w:rsid w:val="00DE1E48"/>
    <w:rsid w:val="00DE4617"/>
    <w:rsid w:val="00DF0C41"/>
    <w:rsid w:val="00DF0EC0"/>
    <w:rsid w:val="00DF1636"/>
    <w:rsid w:val="00DF2729"/>
    <w:rsid w:val="00DF5622"/>
    <w:rsid w:val="00DF6442"/>
    <w:rsid w:val="00E005F9"/>
    <w:rsid w:val="00E02E72"/>
    <w:rsid w:val="00E0470A"/>
    <w:rsid w:val="00E17217"/>
    <w:rsid w:val="00E30D6B"/>
    <w:rsid w:val="00E30E14"/>
    <w:rsid w:val="00E363A9"/>
    <w:rsid w:val="00E36AA2"/>
    <w:rsid w:val="00E434D8"/>
    <w:rsid w:val="00E439CB"/>
    <w:rsid w:val="00E46E84"/>
    <w:rsid w:val="00E51701"/>
    <w:rsid w:val="00E5640B"/>
    <w:rsid w:val="00E566B0"/>
    <w:rsid w:val="00E649E6"/>
    <w:rsid w:val="00E65AF8"/>
    <w:rsid w:val="00E73641"/>
    <w:rsid w:val="00E758FF"/>
    <w:rsid w:val="00E75F6E"/>
    <w:rsid w:val="00E77C4D"/>
    <w:rsid w:val="00E810D4"/>
    <w:rsid w:val="00E90314"/>
    <w:rsid w:val="00E90C62"/>
    <w:rsid w:val="00E922F2"/>
    <w:rsid w:val="00E93AC4"/>
    <w:rsid w:val="00EA2EA0"/>
    <w:rsid w:val="00EA4465"/>
    <w:rsid w:val="00EA4EF4"/>
    <w:rsid w:val="00EA5258"/>
    <w:rsid w:val="00EB2CFF"/>
    <w:rsid w:val="00EB323F"/>
    <w:rsid w:val="00EB5A85"/>
    <w:rsid w:val="00EB743A"/>
    <w:rsid w:val="00EC4D8B"/>
    <w:rsid w:val="00ED1805"/>
    <w:rsid w:val="00ED2F7D"/>
    <w:rsid w:val="00F00D99"/>
    <w:rsid w:val="00F01DBC"/>
    <w:rsid w:val="00F05A83"/>
    <w:rsid w:val="00F06CD1"/>
    <w:rsid w:val="00F06FB4"/>
    <w:rsid w:val="00F1027C"/>
    <w:rsid w:val="00F1612A"/>
    <w:rsid w:val="00F20576"/>
    <w:rsid w:val="00F23791"/>
    <w:rsid w:val="00F31ECF"/>
    <w:rsid w:val="00F331B5"/>
    <w:rsid w:val="00F3381A"/>
    <w:rsid w:val="00F369EC"/>
    <w:rsid w:val="00F51BE9"/>
    <w:rsid w:val="00F52044"/>
    <w:rsid w:val="00F52B04"/>
    <w:rsid w:val="00F52E83"/>
    <w:rsid w:val="00F660DB"/>
    <w:rsid w:val="00F727DB"/>
    <w:rsid w:val="00F7294C"/>
    <w:rsid w:val="00F814D0"/>
    <w:rsid w:val="00F9056B"/>
    <w:rsid w:val="00F91387"/>
    <w:rsid w:val="00F956D7"/>
    <w:rsid w:val="00F97E21"/>
    <w:rsid w:val="00FA3FD1"/>
    <w:rsid w:val="00FB2A93"/>
    <w:rsid w:val="00FB4ACA"/>
    <w:rsid w:val="00FB5880"/>
    <w:rsid w:val="00FC13D6"/>
    <w:rsid w:val="00FC2DC7"/>
    <w:rsid w:val="00FC3C69"/>
    <w:rsid w:val="00FC3FCF"/>
    <w:rsid w:val="00FC4C88"/>
    <w:rsid w:val="00FC679E"/>
    <w:rsid w:val="00FD08EE"/>
    <w:rsid w:val="00FE0722"/>
    <w:rsid w:val="00FE59A0"/>
    <w:rsid w:val="00FE703C"/>
    <w:rsid w:val="00FF1D30"/>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7A43CC6"/>
  <w14:defaultImageDpi w14:val="0"/>
  <w15:docId w15:val="{625792D6-6E3F-4381-A627-284507FD8B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rsid w:val="00672ECC"/>
    <w:rPr>
      <w:sz w:val="24"/>
      <w:szCs w:val="24"/>
    </w:rPr>
  </w:style>
  <w:style w:type="table" w:styleId="PlainTable2">
    <w:name w:val="Plain Table 2"/>
    <w:basedOn w:val="TableNormal"/>
    <w:uiPriority w:val="42"/>
    <w:rsid w:val="0007539D"/>
    <w:tblPr>
      <w:tblStyleRowBandSize w:val="1"/>
      <w:tblStyleColBandSize w:val="1"/>
      <w:tblBorders>
        <w:top w:val="single" w:sz="4" w:space="0" w:color="7F7F7F"/>
        <w:bottom w:val="single" w:sz="4" w:space="0" w:color="7F7F7F"/>
      </w:tblBorders>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table" w:customStyle="1" w:styleId="TableGrid1">
    <w:name w:val="Table Grid1"/>
    <w:basedOn w:val="TableNormal"/>
    <w:next w:val="TableGrid"/>
    <w:uiPriority w:val="39"/>
    <w:rsid w:val="004573CA"/>
    <w:rPr>
      <w:rFonts w:cs="Traditional Arabic"/>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ypography-modulelvnit">
    <w:name w:val="typography-module__lvnit"/>
    <w:basedOn w:val="DefaultParagraphFont"/>
    <w:rsid w:val="0037001C"/>
    <w:rPr>
      <w:rFonts w:cs="Times New Roman"/>
    </w:rPr>
  </w:style>
  <w:style w:type="table" w:styleId="PlainTable4">
    <w:name w:val="Plain Table 4"/>
    <w:basedOn w:val="TableNormal"/>
    <w:uiPriority w:val="44"/>
    <w:rsid w:val="00A64A27"/>
    <w:tblPr>
      <w:tblStyleRowBandSize w:val="1"/>
      <w:tblStyleColBandSize w:val="1"/>
    </w:tblPr>
    <w:tblStylePr w:type="firstRow">
      <w:rPr>
        <w:rFonts w:cs="Times New Roman"/>
        <w:b/>
        <w:bCs/>
      </w:rPr>
    </w:tblStylePr>
    <w:tblStylePr w:type="lastRow">
      <w:rPr>
        <w:rFonts w:cs="Times New Roman"/>
        <w:b/>
        <w:bCs/>
      </w:r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style>
  <w:style w:type="table" w:styleId="TableSimple1">
    <w:name w:val="Table Simple 1"/>
    <w:basedOn w:val="TableNormal"/>
    <w:uiPriority w:val="99"/>
    <w:rsid w:val="00A64A27"/>
    <w:pPr>
      <w:autoSpaceDE w:val="0"/>
      <w:autoSpaceDN w:val="0"/>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6" w:space="0" w:color="auto"/>
          <w:tr2bl w:val="none" w:sz="6" w:space="0" w:color="auto"/>
        </w:tcBorders>
      </w:tcPr>
    </w:tblStylePr>
    <w:tblStylePr w:type="lastRow">
      <w:rPr>
        <w:rFonts w:cs="Times New Roman"/>
      </w:rPr>
      <w:tblPr/>
      <w:tcPr>
        <w:tcBorders>
          <w:top w:val="single" w:sz="6" w:space="0" w:color="008000"/>
          <w:tl2br w:val="none" w:sz="6" w:space="0" w:color="auto"/>
          <w:tr2bl w:val="none" w:sz="6" w:space="0" w:color="auto"/>
        </w:tcBorders>
      </w:tcPr>
    </w:tblStylePr>
  </w:style>
  <w:style w:type="table" w:styleId="TableContemporary">
    <w:name w:val="Table Contemporary"/>
    <w:basedOn w:val="TableNormal"/>
    <w:uiPriority w:val="99"/>
    <w:rsid w:val="00A64A27"/>
    <w:pPr>
      <w:autoSpaceDE w:val="0"/>
      <w:autoSpaceDN w:val="0"/>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6" w:space="0" w:color="auto"/>
          <w:tr2bl w:val="none" w:sz="6" w:space="0" w:color="auto"/>
        </w:tcBorders>
        <w:shd w:val="pct20" w:color="000000" w:fill="FFFFFF"/>
      </w:tcPr>
    </w:tblStylePr>
    <w:tblStylePr w:type="band1Horz">
      <w:rPr>
        <w:rFonts w:cs="Times New Roman"/>
        <w:color w:val="auto"/>
      </w:rPr>
      <w:tblPr/>
      <w:tcPr>
        <w:tcBorders>
          <w:tl2br w:val="none" w:sz="6" w:space="0" w:color="auto"/>
          <w:tr2bl w:val="none" w:sz="6" w:space="0" w:color="auto"/>
        </w:tcBorders>
        <w:shd w:val="pct5" w:color="000000" w:fill="FFFFFF"/>
      </w:tcPr>
    </w:tblStylePr>
    <w:tblStylePr w:type="band2Horz">
      <w:rPr>
        <w:rFonts w:cs="Times New Roman"/>
        <w:color w:val="auto"/>
      </w:rPr>
      <w:tblPr/>
      <w:tcPr>
        <w:tcBorders>
          <w:tl2br w:val="none" w:sz="6" w:space="0" w:color="auto"/>
          <w:tr2bl w:val="none" w:sz="6" w:space="0" w:color="auto"/>
        </w:tcBorders>
        <w:shd w:val="pct20" w:color="000000" w:fill="FFFFFF"/>
      </w:tcPr>
    </w:tblStylePr>
  </w:style>
  <w:style w:type="table" w:styleId="PlainTable3">
    <w:name w:val="Plain Table 3"/>
    <w:basedOn w:val="TableNormal"/>
    <w:uiPriority w:val="43"/>
    <w:rsid w:val="006A4FA3"/>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styleId="TableClassic1">
    <w:name w:val="Table Classic 1"/>
    <w:basedOn w:val="TableNormal"/>
    <w:uiPriority w:val="99"/>
    <w:rsid w:val="006A4FA3"/>
    <w:pPr>
      <w:autoSpaceDE w:val="0"/>
      <w:autoSpaceDN w:val="0"/>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6" w:space="0" w:color="auto"/>
          <w:tr2bl w:val="none" w:sz="6" w:space="0" w:color="auto"/>
        </w:tcBorders>
      </w:tcPr>
    </w:tblStylePr>
    <w:tblStylePr w:type="lastRow">
      <w:rPr>
        <w:rFonts w:cs="Times New Roman"/>
        <w:color w:val="auto"/>
      </w:rPr>
      <w:tblPr/>
      <w:tcPr>
        <w:tcBorders>
          <w:top w:val="single" w:sz="6" w:space="0" w:color="000000"/>
          <w:tl2br w:val="none" w:sz="6" w:space="0" w:color="auto"/>
          <w:tr2bl w:val="none" w:sz="6" w:space="0" w:color="auto"/>
        </w:tcBorders>
      </w:tcPr>
    </w:tblStylePr>
    <w:tblStylePr w:type="firstCol">
      <w:rPr>
        <w:rFonts w:cs="Times New Roman"/>
      </w:rPr>
      <w:tblPr/>
      <w:tcPr>
        <w:tcBorders>
          <w:right w:val="single" w:sz="6" w:space="0" w:color="000000"/>
          <w:tl2br w:val="none" w:sz="6" w:space="0" w:color="auto"/>
          <w:tr2bl w:val="none" w:sz="6" w:space="0" w:color="auto"/>
        </w:tcBorders>
      </w:tcPr>
    </w:tblStylePr>
    <w:tblStylePr w:type="neCell">
      <w:rPr>
        <w:rFonts w:cs="Times New Roman"/>
        <w:b/>
        <w:bCs/>
        <w:i w:val="0"/>
        <w:iCs w:val="0"/>
      </w:rPr>
      <w:tblPr/>
      <w:tcPr>
        <w:tcBorders>
          <w:tl2br w:val="none" w:sz="6" w:space="0" w:color="auto"/>
          <w:tr2bl w:val="none" w:sz="6" w:space="0" w:color="auto"/>
        </w:tcBorders>
      </w:tcPr>
    </w:tblStylePr>
    <w:tblStylePr w:type="swCell">
      <w:rPr>
        <w:rFonts w:cs="Times New Roman"/>
        <w:b/>
        <w:bCs/>
      </w:rPr>
      <w:tblPr/>
      <w:tcPr>
        <w:tcBorders>
          <w:tl2br w:val="none" w:sz="6" w:space="0" w:color="auto"/>
          <w:tr2bl w:val="none" w:sz="6" w:space="0" w:color="auto"/>
        </w:tcBorders>
      </w:tcPr>
    </w:tblStylePr>
  </w:style>
  <w:style w:type="table" w:customStyle="1" w:styleId="PlainTable21">
    <w:name w:val="Plain Table 21"/>
    <w:basedOn w:val="TableNormal"/>
    <w:next w:val="PlainTable2"/>
    <w:uiPriority w:val="42"/>
    <w:rsid w:val="00CB5866"/>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2">
    <w:name w:val="Plain Table 22"/>
    <w:basedOn w:val="TableNormal"/>
    <w:next w:val="PlainTable2"/>
    <w:uiPriority w:val="42"/>
    <w:rsid w:val="00D26D30"/>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3">
    <w:name w:val="Plain Table 23"/>
    <w:basedOn w:val="TableNormal"/>
    <w:next w:val="PlainTable2"/>
    <w:uiPriority w:val="42"/>
    <w:rsid w:val="00415A81"/>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5148501">
      <w:bodyDiv w:val="1"/>
      <w:marLeft w:val="0"/>
      <w:marRight w:val="0"/>
      <w:marTop w:val="0"/>
      <w:marBottom w:val="0"/>
      <w:divBdr>
        <w:top w:val="none" w:sz="0" w:space="0" w:color="auto"/>
        <w:left w:val="none" w:sz="0" w:space="0" w:color="auto"/>
        <w:bottom w:val="none" w:sz="0" w:space="0" w:color="auto"/>
        <w:right w:val="none" w:sz="0" w:space="0" w:color="auto"/>
      </w:divBdr>
    </w:div>
    <w:div w:id="371273661">
      <w:bodyDiv w:val="1"/>
      <w:marLeft w:val="0"/>
      <w:marRight w:val="0"/>
      <w:marTop w:val="0"/>
      <w:marBottom w:val="0"/>
      <w:divBdr>
        <w:top w:val="none" w:sz="0" w:space="0" w:color="auto"/>
        <w:left w:val="none" w:sz="0" w:space="0" w:color="auto"/>
        <w:bottom w:val="none" w:sz="0" w:space="0" w:color="auto"/>
        <w:right w:val="none" w:sz="0" w:space="0" w:color="auto"/>
      </w:divBdr>
    </w:div>
    <w:div w:id="381758855">
      <w:bodyDiv w:val="1"/>
      <w:marLeft w:val="0"/>
      <w:marRight w:val="0"/>
      <w:marTop w:val="0"/>
      <w:marBottom w:val="0"/>
      <w:divBdr>
        <w:top w:val="none" w:sz="0" w:space="0" w:color="auto"/>
        <w:left w:val="none" w:sz="0" w:space="0" w:color="auto"/>
        <w:bottom w:val="none" w:sz="0" w:space="0" w:color="auto"/>
        <w:right w:val="none" w:sz="0" w:space="0" w:color="auto"/>
      </w:divBdr>
    </w:div>
    <w:div w:id="383338311">
      <w:marLeft w:val="0"/>
      <w:marRight w:val="0"/>
      <w:marTop w:val="0"/>
      <w:marBottom w:val="0"/>
      <w:divBdr>
        <w:top w:val="none" w:sz="0" w:space="0" w:color="auto"/>
        <w:left w:val="none" w:sz="0" w:space="0" w:color="auto"/>
        <w:bottom w:val="none" w:sz="0" w:space="0" w:color="auto"/>
        <w:right w:val="none" w:sz="0" w:space="0" w:color="auto"/>
      </w:divBdr>
      <w:divsChild>
        <w:div w:id="383338315">
          <w:marLeft w:val="0"/>
          <w:marRight w:val="0"/>
          <w:marTop w:val="0"/>
          <w:marBottom w:val="0"/>
          <w:divBdr>
            <w:top w:val="none" w:sz="0" w:space="0" w:color="auto"/>
            <w:left w:val="none" w:sz="0" w:space="0" w:color="auto"/>
            <w:bottom w:val="none" w:sz="0" w:space="0" w:color="auto"/>
            <w:right w:val="none" w:sz="0" w:space="0" w:color="auto"/>
          </w:divBdr>
          <w:divsChild>
            <w:div w:id="383338327">
              <w:marLeft w:val="0"/>
              <w:marRight w:val="0"/>
              <w:marTop w:val="0"/>
              <w:marBottom w:val="0"/>
              <w:divBdr>
                <w:top w:val="none" w:sz="0" w:space="0" w:color="auto"/>
                <w:left w:val="none" w:sz="0" w:space="0" w:color="auto"/>
                <w:bottom w:val="none" w:sz="0" w:space="0" w:color="auto"/>
                <w:right w:val="none" w:sz="0" w:space="0" w:color="auto"/>
              </w:divBdr>
              <w:divsChild>
                <w:div w:id="383338324">
                  <w:marLeft w:val="0"/>
                  <w:marRight w:val="0"/>
                  <w:marTop w:val="0"/>
                  <w:marBottom w:val="0"/>
                  <w:divBdr>
                    <w:top w:val="none" w:sz="0" w:space="0" w:color="auto"/>
                    <w:left w:val="none" w:sz="0" w:space="0" w:color="auto"/>
                    <w:bottom w:val="none" w:sz="0" w:space="0" w:color="auto"/>
                    <w:right w:val="none" w:sz="0" w:space="0" w:color="auto"/>
                  </w:divBdr>
                  <w:divsChild>
                    <w:div w:id="38333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338326">
          <w:marLeft w:val="0"/>
          <w:marRight w:val="0"/>
          <w:marTop w:val="0"/>
          <w:marBottom w:val="0"/>
          <w:divBdr>
            <w:top w:val="none" w:sz="0" w:space="0" w:color="auto"/>
            <w:left w:val="none" w:sz="0" w:space="0" w:color="auto"/>
            <w:bottom w:val="none" w:sz="0" w:space="0" w:color="auto"/>
            <w:right w:val="none" w:sz="0" w:space="0" w:color="auto"/>
          </w:divBdr>
          <w:divsChild>
            <w:div w:id="383338322">
              <w:marLeft w:val="0"/>
              <w:marRight w:val="0"/>
              <w:marTop w:val="0"/>
              <w:marBottom w:val="0"/>
              <w:divBdr>
                <w:top w:val="none" w:sz="0" w:space="0" w:color="auto"/>
                <w:left w:val="none" w:sz="0" w:space="0" w:color="auto"/>
                <w:bottom w:val="none" w:sz="0" w:space="0" w:color="auto"/>
                <w:right w:val="none" w:sz="0" w:space="0" w:color="auto"/>
              </w:divBdr>
              <w:divsChild>
                <w:div w:id="383338313">
                  <w:marLeft w:val="0"/>
                  <w:marRight w:val="0"/>
                  <w:marTop w:val="0"/>
                  <w:marBottom w:val="0"/>
                  <w:divBdr>
                    <w:top w:val="none" w:sz="0" w:space="0" w:color="auto"/>
                    <w:left w:val="none" w:sz="0" w:space="0" w:color="auto"/>
                    <w:bottom w:val="none" w:sz="0" w:space="0" w:color="auto"/>
                    <w:right w:val="none" w:sz="0" w:space="0" w:color="auto"/>
                  </w:divBdr>
                  <w:divsChild>
                    <w:div w:id="383338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338314">
      <w:marLeft w:val="0"/>
      <w:marRight w:val="0"/>
      <w:marTop w:val="0"/>
      <w:marBottom w:val="0"/>
      <w:divBdr>
        <w:top w:val="none" w:sz="0" w:space="0" w:color="auto"/>
        <w:left w:val="none" w:sz="0" w:space="0" w:color="auto"/>
        <w:bottom w:val="none" w:sz="0" w:space="0" w:color="auto"/>
        <w:right w:val="none" w:sz="0" w:space="0" w:color="auto"/>
      </w:divBdr>
    </w:div>
    <w:div w:id="383338316">
      <w:marLeft w:val="0"/>
      <w:marRight w:val="0"/>
      <w:marTop w:val="0"/>
      <w:marBottom w:val="0"/>
      <w:divBdr>
        <w:top w:val="none" w:sz="0" w:space="0" w:color="auto"/>
        <w:left w:val="none" w:sz="0" w:space="0" w:color="auto"/>
        <w:bottom w:val="none" w:sz="0" w:space="0" w:color="auto"/>
        <w:right w:val="none" w:sz="0" w:space="0" w:color="auto"/>
      </w:divBdr>
    </w:div>
    <w:div w:id="383338318">
      <w:marLeft w:val="0"/>
      <w:marRight w:val="0"/>
      <w:marTop w:val="0"/>
      <w:marBottom w:val="0"/>
      <w:divBdr>
        <w:top w:val="none" w:sz="0" w:space="0" w:color="auto"/>
        <w:left w:val="none" w:sz="0" w:space="0" w:color="auto"/>
        <w:bottom w:val="none" w:sz="0" w:space="0" w:color="auto"/>
        <w:right w:val="none" w:sz="0" w:space="0" w:color="auto"/>
      </w:divBdr>
      <w:divsChild>
        <w:div w:id="383338319">
          <w:marLeft w:val="0"/>
          <w:marRight w:val="0"/>
          <w:marTop w:val="0"/>
          <w:marBottom w:val="0"/>
          <w:divBdr>
            <w:top w:val="none" w:sz="0" w:space="0" w:color="auto"/>
            <w:left w:val="none" w:sz="0" w:space="0" w:color="auto"/>
            <w:bottom w:val="none" w:sz="0" w:space="0" w:color="auto"/>
            <w:right w:val="none" w:sz="0" w:space="0" w:color="auto"/>
          </w:divBdr>
          <w:divsChild>
            <w:div w:id="38333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338320">
      <w:marLeft w:val="0"/>
      <w:marRight w:val="0"/>
      <w:marTop w:val="0"/>
      <w:marBottom w:val="0"/>
      <w:divBdr>
        <w:top w:val="none" w:sz="0" w:space="0" w:color="auto"/>
        <w:left w:val="none" w:sz="0" w:space="0" w:color="auto"/>
        <w:bottom w:val="none" w:sz="0" w:space="0" w:color="auto"/>
        <w:right w:val="none" w:sz="0" w:space="0" w:color="auto"/>
      </w:divBdr>
    </w:div>
    <w:div w:id="383338323">
      <w:marLeft w:val="0"/>
      <w:marRight w:val="0"/>
      <w:marTop w:val="0"/>
      <w:marBottom w:val="0"/>
      <w:divBdr>
        <w:top w:val="none" w:sz="0" w:space="0" w:color="auto"/>
        <w:left w:val="none" w:sz="0" w:space="0" w:color="auto"/>
        <w:bottom w:val="none" w:sz="0" w:space="0" w:color="auto"/>
        <w:right w:val="none" w:sz="0" w:space="0" w:color="auto"/>
      </w:divBdr>
    </w:div>
    <w:div w:id="383338325">
      <w:marLeft w:val="0"/>
      <w:marRight w:val="0"/>
      <w:marTop w:val="0"/>
      <w:marBottom w:val="0"/>
      <w:divBdr>
        <w:top w:val="none" w:sz="0" w:space="0" w:color="auto"/>
        <w:left w:val="none" w:sz="0" w:space="0" w:color="auto"/>
        <w:bottom w:val="none" w:sz="0" w:space="0" w:color="auto"/>
        <w:right w:val="none" w:sz="0" w:space="0" w:color="auto"/>
      </w:divBdr>
    </w:div>
    <w:div w:id="383338328">
      <w:marLeft w:val="0"/>
      <w:marRight w:val="0"/>
      <w:marTop w:val="0"/>
      <w:marBottom w:val="0"/>
      <w:divBdr>
        <w:top w:val="none" w:sz="0" w:space="0" w:color="auto"/>
        <w:left w:val="none" w:sz="0" w:space="0" w:color="auto"/>
        <w:bottom w:val="none" w:sz="0" w:space="0" w:color="auto"/>
        <w:right w:val="none" w:sz="0" w:space="0" w:color="auto"/>
      </w:divBdr>
      <w:divsChild>
        <w:div w:id="383338307">
          <w:marLeft w:val="0"/>
          <w:marRight w:val="0"/>
          <w:marTop w:val="0"/>
          <w:marBottom w:val="0"/>
          <w:divBdr>
            <w:top w:val="none" w:sz="0" w:space="0" w:color="auto"/>
            <w:left w:val="none" w:sz="0" w:space="0" w:color="auto"/>
            <w:bottom w:val="none" w:sz="0" w:space="0" w:color="auto"/>
            <w:right w:val="none" w:sz="0" w:space="0" w:color="auto"/>
          </w:divBdr>
          <w:divsChild>
            <w:div w:id="383338309">
              <w:marLeft w:val="0"/>
              <w:marRight w:val="0"/>
              <w:marTop w:val="0"/>
              <w:marBottom w:val="0"/>
              <w:divBdr>
                <w:top w:val="none" w:sz="0" w:space="0" w:color="auto"/>
                <w:left w:val="none" w:sz="0" w:space="0" w:color="auto"/>
                <w:bottom w:val="none" w:sz="0" w:space="0" w:color="auto"/>
                <w:right w:val="none" w:sz="0" w:space="0" w:color="auto"/>
              </w:divBdr>
              <w:divsChild>
                <w:div w:id="383338330">
                  <w:marLeft w:val="0"/>
                  <w:marRight w:val="0"/>
                  <w:marTop w:val="0"/>
                  <w:marBottom w:val="0"/>
                  <w:divBdr>
                    <w:top w:val="none" w:sz="0" w:space="0" w:color="auto"/>
                    <w:left w:val="none" w:sz="0" w:space="0" w:color="auto"/>
                    <w:bottom w:val="none" w:sz="0" w:space="0" w:color="auto"/>
                    <w:right w:val="none" w:sz="0" w:space="0" w:color="auto"/>
                  </w:divBdr>
                  <w:divsChild>
                    <w:div w:id="383338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338310">
          <w:marLeft w:val="0"/>
          <w:marRight w:val="0"/>
          <w:marTop w:val="0"/>
          <w:marBottom w:val="0"/>
          <w:divBdr>
            <w:top w:val="none" w:sz="0" w:space="0" w:color="auto"/>
            <w:left w:val="none" w:sz="0" w:space="0" w:color="auto"/>
            <w:bottom w:val="none" w:sz="0" w:space="0" w:color="auto"/>
            <w:right w:val="none" w:sz="0" w:space="0" w:color="auto"/>
          </w:divBdr>
          <w:divsChild>
            <w:div w:id="383338306">
              <w:marLeft w:val="0"/>
              <w:marRight w:val="0"/>
              <w:marTop w:val="0"/>
              <w:marBottom w:val="0"/>
              <w:divBdr>
                <w:top w:val="none" w:sz="0" w:space="0" w:color="auto"/>
                <w:left w:val="none" w:sz="0" w:space="0" w:color="auto"/>
                <w:bottom w:val="none" w:sz="0" w:space="0" w:color="auto"/>
                <w:right w:val="none" w:sz="0" w:space="0" w:color="auto"/>
              </w:divBdr>
              <w:divsChild>
                <w:div w:id="383338305">
                  <w:marLeft w:val="0"/>
                  <w:marRight w:val="0"/>
                  <w:marTop w:val="0"/>
                  <w:marBottom w:val="0"/>
                  <w:divBdr>
                    <w:top w:val="none" w:sz="0" w:space="0" w:color="auto"/>
                    <w:left w:val="none" w:sz="0" w:space="0" w:color="auto"/>
                    <w:bottom w:val="none" w:sz="0" w:space="0" w:color="auto"/>
                    <w:right w:val="none" w:sz="0" w:space="0" w:color="auto"/>
                  </w:divBdr>
                  <w:divsChild>
                    <w:div w:id="383338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338329">
      <w:marLeft w:val="0"/>
      <w:marRight w:val="0"/>
      <w:marTop w:val="0"/>
      <w:marBottom w:val="0"/>
      <w:divBdr>
        <w:top w:val="none" w:sz="0" w:space="0" w:color="auto"/>
        <w:left w:val="none" w:sz="0" w:space="0" w:color="auto"/>
        <w:bottom w:val="none" w:sz="0" w:space="0" w:color="auto"/>
        <w:right w:val="none" w:sz="0" w:space="0" w:color="auto"/>
      </w:divBdr>
    </w:div>
    <w:div w:id="441417465">
      <w:bodyDiv w:val="1"/>
      <w:marLeft w:val="0"/>
      <w:marRight w:val="0"/>
      <w:marTop w:val="0"/>
      <w:marBottom w:val="0"/>
      <w:divBdr>
        <w:top w:val="none" w:sz="0" w:space="0" w:color="auto"/>
        <w:left w:val="none" w:sz="0" w:space="0" w:color="auto"/>
        <w:bottom w:val="none" w:sz="0" w:space="0" w:color="auto"/>
        <w:right w:val="none" w:sz="0" w:space="0" w:color="auto"/>
      </w:divBdr>
    </w:div>
    <w:div w:id="558635445">
      <w:bodyDiv w:val="1"/>
      <w:marLeft w:val="0"/>
      <w:marRight w:val="0"/>
      <w:marTop w:val="0"/>
      <w:marBottom w:val="0"/>
      <w:divBdr>
        <w:top w:val="none" w:sz="0" w:space="0" w:color="auto"/>
        <w:left w:val="none" w:sz="0" w:space="0" w:color="auto"/>
        <w:bottom w:val="none" w:sz="0" w:space="0" w:color="auto"/>
        <w:right w:val="none" w:sz="0" w:space="0" w:color="auto"/>
      </w:divBdr>
    </w:div>
    <w:div w:id="1439519754">
      <w:bodyDiv w:val="1"/>
      <w:marLeft w:val="0"/>
      <w:marRight w:val="0"/>
      <w:marTop w:val="0"/>
      <w:marBottom w:val="0"/>
      <w:divBdr>
        <w:top w:val="none" w:sz="0" w:space="0" w:color="auto"/>
        <w:left w:val="none" w:sz="0" w:space="0" w:color="auto"/>
        <w:bottom w:val="none" w:sz="0" w:space="0" w:color="auto"/>
        <w:right w:val="none" w:sz="0" w:space="0" w:color="auto"/>
      </w:divBdr>
    </w:div>
    <w:div w:id="1910921418">
      <w:bodyDiv w:val="1"/>
      <w:marLeft w:val="0"/>
      <w:marRight w:val="0"/>
      <w:marTop w:val="0"/>
      <w:marBottom w:val="0"/>
      <w:divBdr>
        <w:top w:val="none" w:sz="0" w:space="0" w:color="auto"/>
        <w:left w:val="none" w:sz="0" w:space="0" w:color="auto"/>
        <w:bottom w:val="none" w:sz="0" w:space="0" w:color="auto"/>
        <w:right w:val="none" w:sz="0" w:space="0" w:color="auto"/>
      </w:divBdr>
    </w:div>
    <w:div w:id="2019770919">
      <w:bodyDiv w:val="1"/>
      <w:marLeft w:val="0"/>
      <w:marRight w:val="0"/>
      <w:marTop w:val="0"/>
      <w:marBottom w:val="0"/>
      <w:divBdr>
        <w:top w:val="none" w:sz="0" w:space="0" w:color="auto"/>
        <w:left w:val="none" w:sz="0" w:space="0" w:color="auto"/>
        <w:bottom w:val="none" w:sz="0" w:space="0" w:color="auto"/>
        <w:right w:val="none" w:sz="0" w:space="0" w:color="auto"/>
      </w:divBdr>
    </w:div>
    <w:div w:id="2105954149">
      <w:bodyDiv w:val="1"/>
      <w:marLeft w:val="0"/>
      <w:marRight w:val="0"/>
      <w:marTop w:val="0"/>
      <w:marBottom w:val="0"/>
      <w:divBdr>
        <w:top w:val="none" w:sz="0" w:space="0" w:color="auto"/>
        <w:left w:val="none" w:sz="0" w:space="0" w:color="auto"/>
        <w:bottom w:val="none" w:sz="0" w:space="0" w:color="auto"/>
        <w:right w:val="none" w:sz="0" w:space="0" w:color="auto"/>
      </w:divBdr>
    </w:div>
    <w:div w:id="2122991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microsoft.com/office/2007/relationships/hdphoto" Target="media/hdphoto3.wdp"/><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theme" Target="theme/theme1.xml"/><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image" Target="media/image6.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sm190@ums.ac.id" TargetMode="External"/><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footer" Target="footer1.xml"/><Relationship Id="rId10" Type="http://schemas.openxmlformats.org/officeDocument/2006/relationships/hyperlink" Target="mailto:an140@ums.ac.id" TargetMode="External"/><Relationship Id="rId19" Type="http://schemas.openxmlformats.org/officeDocument/2006/relationships/image" Target="media/image5.pn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mailto:mut122@ums.ac.id" TargetMode="External"/><Relationship Id="rId14" Type="http://schemas.microsoft.com/office/2007/relationships/hdphoto" Target="media/hdphoto1.wdp"/><Relationship Id="rId22" Type="http://schemas.openxmlformats.org/officeDocument/2006/relationships/image" Target="media/image8.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hyperlink" Target="mailto:O200249004@student.ums.ac.id"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93AD3C-0A42-4AD3-917C-17024F5418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36</Pages>
  <Words>35372</Words>
  <Characters>201627</Characters>
  <Application>Microsoft Office Word</Application>
  <DocSecurity>0</DocSecurity>
  <Lines>1680</Lines>
  <Paragraphs>473</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236526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M</cp:lastModifiedBy>
  <cp:revision>5</cp:revision>
  <cp:lastPrinted>2008-11-01T04:52:00Z</cp:lastPrinted>
  <dcterms:created xsi:type="dcterms:W3CDTF">2025-04-26T02:59:00Z</dcterms:created>
  <dcterms:modified xsi:type="dcterms:W3CDTF">2025-06-05T04:27:00Z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6th/7th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http://www.zotero.org/styles/chicago-fullnote-bibliography</vt:lpwstr>
  </property>
  <property fmtid="{D5CDD505-2E9C-101B-9397-08002B2CF9AE}" pid="11" name="Mendeley Recent Style Name 4_1">
    <vt:lpwstr>Chicago Manual of Style 17th edition (full note)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4th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http://www.zotero.org/styles/apa</vt:lpwstr>
  </property>
  <property fmtid="{D5CDD505-2E9C-101B-9397-08002B2CF9AE}" pid="23" name="Mendeley Document_1">
    <vt:lpwstr>True</vt:lpwstr>
  </property>
  <property fmtid="{D5CDD505-2E9C-101B-9397-08002B2CF9AE}" pid="24" name="Mendeley Unique User Id_1">
    <vt:lpwstr>0ecf22fc-d155-3095-b975-1e9648574976</vt:lpwstr>
  </property>
</Properties>
</file>