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7AB39F2" w14:textId="77777777" w:rsidR="00087E52" w:rsidRPr="00087E52" w:rsidRDefault="00087E52" w:rsidP="00087E52">
      <w:pPr>
        <w:jc w:val="center"/>
        <w:rPr>
          <w:rFonts w:ascii="Calibri Light" w:hAnsi="Calibri Light" w:cs="Calibri Light"/>
          <w:b/>
          <w:bCs/>
          <w:sz w:val="28"/>
          <w:szCs w:val="28"/>
          <w:rtl/>
          <w:lang w:val="en-ID"/>
        </w:rPr>
      </w:pPr>
      <w:r w:rsidRPr="00087E52">
        <w:rPr>
          <w:rFonts w:ascii="Calibri Light" w:hAnsi="Calibri Light" w:cs="Calibri Light"/>
          <w:b/>
          <w:bCs/>
          <w:sz w:val="28"/>
          <w:szCs w:val="28"/>
          <w:lang w:val="en-ID"/>
        </w:rPr>
        <w:t xml:space="preserve">The </w:t>
      </w:r>
      <w:commentRangeStart w:id="0"/>
      <w:r w:rsidRPr="00087E52">
        <w:rPr>
          <w:rFonts w:ascii="Calibri Light" w:hAnsi="Calibri Light" w:cs="Calibri Light"/>
          <w:b/>
          <w:bCs/>
          <w:sz w:val="28"/>
          <w:szCs w:val="28"/>
          <w:lang w:val="en-ID"/>
        </w:rPr>
        <w:t xml:space="preserve">Legal Evolution of Basel Accords </w:t>
      </w:r>
      <w:commentRangeEnd w:id="0"/>
      <w:r w:rsidR="00954B9B">
        <w:rPr>
          <w:rStyle w:val="CommentReference"/>
        </w:rPr>
        <w:commentReference w:id="0"/>
      </w:r>
      <w:r w:rsidRPr="00087E52">
        <w:rPr>
          <w:rFonts w:ascii="Calibri Light" w:hAnsi="Calibri Light" w:cs="Calibri Light"/>
          <w:b/>
          <w:bCs/>
          <w:sz w:val="28"/>
          <w:szCs w:val="28"/>
          <w:lang w:val="en-ID"/>
        </w:rPr>
        <w:t>and Their Impact on Islamic Banking Regulations: A Bibliometric Analysis</w:t>
      </w:r>
    </w:p>
    <w:p w14:paraId="52CF7133" w14:textId="77777777" w:rsidR="008A257B" w:rsidRPr="008A257B" w:rsidRDefault="008A257B" w:rsidP="00122F5F">
      <w:pPr>
        <w:rPr>
          <w:rFonts w:ascii="Calibri Light" w:hAnsi="Calibri Light" w:cs="Calibri Light"/>
          <w:b/>
          <w:bCs/>
          <w:sz w:val="28"/>
          <w:szCs w:val="28"/>
          <w:rtl/>
          <w:lang w:val="en-ID"/>
        </w:rPr>
      </w:pPr>
    </w:p>
    <w:p w14:paraId="1A568B8D" w14:textId="77777777" w:rsidR="00F97E21" w:rsidRPr="00B23F90" w:rsidRDefault="00F97E21" w:rsidP="00901F00">
      <w:pPr>
        <w:rPr>
          <w:rFonts w:ascii="Calibri Light" w:hAnsi="Calibri Light" w:cs="Calibri Light"/>
          <w:color w:val="A6A6A6"/>
          <w:sz w:val="24"/>
          <w:szCs w:val="24"/>
        </w:rPr>
      </w:pPr>
    </w:p>
    <w:p w14:paraId="5B84792D" w14:textId="588AFED1" w:rsidR="00EA2EA0" w:rsidRPr="001A410B" w:rsidRDefault="00EA2EA0" w:rsidP="001A410B">
      <w:pPr>
        <w:rPr>
          <w:rFonts w:ascii="Calibri Light" w:hAnsi="Calibri Light" w:cs="Calibri Light"/>
          <w:sz w:val="24"/>
          <w:szCs w:val="24"/>
        </w:rPr>
      </w:pPr>
    </w:p>
    <w:p w14:paraId="0429906A" w14:textId="08D4B59A" w:rsidR="009E4EBA" w:rsidRPr="00122F5F" w:rsidRDefault="009E4EBA" w:rsidP="00122F5F">
      <w:pPr>
        <w:rPr>
          <w:rFonts w:ascii="Calibri Light" w:hAnsi="Calibri Light" w:cs="Calibri Light"/>
          <w:sz w:val="24"/>
          <w:szCs w:val="24"/>
          <w:lang w:val="id-ID"/>
        </w:rPr>
      </w:pPr>
    </w:p>
    <w:p w14:paraId="4995D68C" w14:textId="77777777" w:rsidR="00DE1E48" w:rsidRPr="00122F5F" w:rsidRDefault="00DE1E48" w:rsidP="001D7DEE">
      <w:pPr>
        <w:jc w:val="center"/>
        <w:rPr>
          <w:rFonts w:ascii="Calibri Light" w:hAnsi="Calibri Light" w:cs="Calibri Light"/>
          <w:sz w:val="24"/>
          <w:szCs w:val="24"/>
        </w:rPr>
      </w:pPr>
    </w:p>
    <w:p w14:paraId="1454A0DD" w14:textId="63479D79" w:rsidR="00863A78" w:rsidRPr="00863A78" w:rsidRDefault="00863A78" w:rsidP="00863A78">
      <w:pPr>
        <w:ind w:right="737"/>
        <w:rPr>
          <w:rFonts w:ascii="Calibri Light" w:hAnsi="Calibri Light" w:cs="Calibri Light"/>
          <w:spacing w:val="1"/>
        </w:rPr>
      </w:pPr>
      <w:r w:rsidRPr="00863A78">
        <w:rPr>
          <w:rFonts w:ascii="Calibri Light" w:hAnsi="Calibri Light" w:cs="Calibri Light"/>
        </w:rPr>
        <w:t xml:space="preserve">Received: </w:t>
      </w:r>
    </w:p>
    <w:p w14:paraId="0DABF643" w14:textId="7E2B0D4A" w:rsidR="00863A78" w:rsidRPr="00863A78" w:rsidRDefault="00863A78" w:rsidP="00087E52">
      <w:pPr>
        <w:ind w:right="737"/>
        <w:rPr>
          <w:rFonts w:ascii="Calibri Light" w:hAnsi="Calibri Light" w:cs="Calibri Light"/>
          <w:spacing w:val="1"/>
        </w:rPr>
      </w:pPr>
      <w:r w:rsidRPr="00863A78">
        <w:rPr>
          <w:rFonts w:ascii="Calibri Light" w:hAnsi="Calibri Light" w:cs="Calibri Light"/>
        </w:rPr>
        <w:t>Rev. Req:</w:t>
      </w:r>
      <w:r w:rsidRPr="00863A78">
        <w:rPr>
          <w:rFonts w:ascii="Calibri Light" w:hAnsi="Calibri Light" w:cs="Calibri Light"/>
          <w:spacing w:val="1"/>
        </w:rPr>
        <w:t xml:space="preserve"> </w:t>
      </w:r>
    </w:p>
    <w:p w14:paraId="19130FC1" w14:textId="54A9C4D8" w:rsidR="00863A78" w:rsidRPr="00863A78" w:rsidRDefault="00863A78" w:rsidP="00087E52">
      <w:pPr>
        <w:ind w:right="737"/>
        <w:rPr>
          <w:rFonts w:ascii="Calibri Light" w:hAnsi="Calibri Light" w:cs="Calibri Light"/>
        </w:rPr>
      </w:pPr>
      <w:r w:rsidRPr="00863A78">
        <w:rPr>
          <w:rFonts w:ascii="Calibri Light" w:hAnsi="Calibri Light" w:cs="Calibri Light"/>
        </w:rPr>
        <w:t>Accepted:</w:t>
      </w:r>
      <w:r w:rsidRPr="00863A78">
        <w:rPr>
          <w:rFonts w:ascii="Calibri Light" w:hAnsi="Calibri Light" w:cs="Calibri Light"/>
          <w:spacing w:val="32"/>
        </w:rPr>
        <w:t xml:space="preserve"> </w:t>
      </w:r>
    </w:p>
    <w:p w14:paraId="0B50276C" w14:textId="77777777" w:rsidR="00863A78" w:rsidRPr="00863A78" w:rsidRDefault="00863A78" w:rsidP="00863A78">
      <w:pPr>
        <w:ind w:right="737"/>
        <w:rPr>
          <w:rFonts w:ascii="Calibri Light" w:hAnsi="Calibri Light" w:cs="Calibri Light"/>
          <w:b/>
          <w:bCs/>
        </w:rPr>
      </w:pPr>
    </w:p>
    <w:p w14:paraId="1D051894" w14:textId="0FF18124" w:rsidR="00863A78" w:rsidRPr="00863A78" w:rsidRDefault="005742A6" w:rsidP="00863A78">
      <w:pPr>
        <w:ind w:right="737"/>
        <w:rPr>
          <w:rFonts w:ascii="Calibri Light" w:hAnsi="Calibri Light" w:cs="Calibri Light"/>
          <w:b/>
          <w:bCs/>
        </w:rPr>
      </w:pPr>
      <w:r w:rsidRPr="00863A78">
        <w:rPr>
          <w:rFonts w:ascii="Calibri Light" w:hAnsi="Calibri Light" w:cs="Calibri Light"/>
          <w:noProof/>
          <w:position w:val="-13"/>
        </w:rPr>
        <w:drawing>
          <wp:inline distT="0" distB="0" distL="0" distR="0" wp14:anchorId="6B4A0583" wp14:editId="350EF2ED">
            <wp:extent cx="263525" cy="255270"/>
            <wp:effectExtent l="0" t="0" r="0" b="0"/>
            <wp:docPr id="7" name="image2.jpeg" descr="E:\DERGILER\ortak-kaynaklar-gorseller\Doi-1024x629 - Kop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2.jpeg" descr="E:\DERGILER\ortak-kaynaklar-gorseller\Doi-1024x629 - Kopya.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3525" cy="255270"/>
                    </a:xfrm>
                    <a:prstGeom prst="rect">
                      <a:avLst/>
                    </a:prstGeom>
                    <a:noFill/>
                    <a:ln>
                      <a:noFill/>
                    </a:ln>
                  </pic:spPr>
                </pic:pic>
              </a:graphicData>
            </a:graphic>
          </wp:inline>
        </w:drawing>
      </w:r>
      <w:r w:rsidR="00863A78" w:rsidRPr="00863A78">
        <w:rPr>
          <w:rFonts w:ascii="Calibri Light" w:hAnsi="Calibri Light" w:cs="Calibri Light"/>
          <w:noProof/>
          <w:position w:val="-13"/>
        </w:rPr>
        <w:t xml:space="preserve"> </w:t>
      </w:r>
    </w:p>
    <w:p w14:paraId="678C9E09" w14:textId="77777777" w:rsidR="00863A78" w:rsidRDefault="00863A78" w:rsidP="00863A78">
      <w:pPr>
        <w:ind w:right="737"/>
        <w:rPr>
          <w:rFonts w:ascii="Calibri Light" w:hAnsi="Calibri Light" w:cs="Calibri Light"/>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4"/>
      </w:tblGrid>
      <w:tr w:rsidR="00863A78" w:rsidRPr="00540F02" w14:paraId="4F766956" w14:textId="77777777" w:rsidTr="00540F02">
        <w:tc>
          <w:tcPr>
            <w:tcW w:w="9004" w:type="dxa"/>
            <w:tcBorders>
              <w:left w:val="nil"/>
              <w:right w:val="nil"/>
            </w:tcBorders>
          </w:tcPr>
          <w:p w14:paraId="1897A8EC" w14:textId="77777777" w:rsidR="00863A78" w:rsidRPr="00540F02" w:rsidRDefault="00863A78" w:rsidP="00540F02">
            <w:pPr>
              <w:ind w:right="2"/>
              <w:jc w:val="both"/>
              <w:rPr>
                <w:rFonts w:ascii="Calibri Light" w:hAnsi="Calibri Light" w:cs="Calibri Light"/>
                <w:sz w:val="12"/>
                <w:szCs w:val="12"/>
              </w:rPr>
            </w:pPr>
          </w:p>
          <w:p w14:paraId="7AC41569" w14:textId="77777777" w:rsidR="00863A78" w:rsidRPr="00540F02" w:rsidRDefault="00863A78" w:rsidP="002D33A7">
            <w:pPr>
              <w:ind w:right="2"/>
              <w:jc w:val="both"/>
              <w:rPr>
                <w:rFonts w:ascii="Calibri Light" w:hAnsi="Calibri Light" w:cs="Calibri Light"/>
                <w:b/>
                <w:bCs/>
                <w:sz w:val="12"/>
                <w:szCs w:val="12"/>
              </w:rPr>
            </w:pPr>
          </w:p>
        </w:tc>
      </w:tr>
    </w:tbl>
    <w:p w14:paraId="0CB3DC64" w14:textId="77777777" w:rsidR="00863A78" w:rsidRDefault="00863A78" w:rsidP="00863A78">
      <w:pPr>
        <w:ind w:right="737"/>
        <w:rPr>
          <w:rFonts w:ascii="Calibri Light" w:hAnsi="Calibri Light" w:cs="Calibri Light"/>
          <w:b/>
          <w:bCs/>
          <w:sz w:val="24"/>
          <w:szCs w:val="24"/>
        </w:rPr>
      </w:pPr>
    </w:p>
    <w:p w14:paraId="6B1A9B21" w14:textId="77777777" w:rsidR="00A762F0" w:rsidRDefault="00A27B34" w:rsidP="00540F02">
      <w:pPr>
        <w:ind w:right="-1"/>
        <w:jc w:val="both"/>
        <w:rPr>
          <w:rFonts w:ascii="Calibri Light" w:hAnsi="Calibri Light" w:cs="Calibri Light"/>
          <w:sz w:val="24"/>
          <w:szCs w:val="24"/>
        </w:rPr>
      </w:pPr>
      <w:r w:rsidRPr="00122F5F">
        <w:rPr>
          <w:rFonts w:ascii="Calibri Light" w:hAnsi="Calibri Light" w:cs="Calibri Light"/>
          <w:b/>
          <w:bCs/>
          <w:sz w:val="24"/>
          <w:szCs w:val="24"/>
        </w:rPr>
        <w:t>ABSTRACT:</w:t>
      </w:r>
      <w:r w:rsidRPr="00122F5F">
        <w:rPr>
          <w:rFonts w:ascii="Calibri Light" w:hAnsi="Calibri Light" w:cs="Calibri Light"/>
          <w:sz w:val="24"/>
          <w:szCs w:val="24"/>
        </w:rPr>
        <w:t xml:space="preserve"> </w:t>
      </w:r>
    </w:p>
    <w:p w14:paraId="08B2D4AC" w14:textId="77777777" w:rsidR="002D33A7" w:rsidRDefault="002D33A7" w:rsidP="00540F02">
      <w:pPr>
        <w:ind w:right="-1"/>
        <w:jc w:val="both"/>
        <w:rPr>
          <w:rFonts w:ascii="Calibri Light" w:hAnsi="Calibri Light" w:cs="Calibri Light"/>
          <w:sz w:val="24"/>
          <w:szCs w:val="24"/>
          <w:rtl/>
        </w:rPr>
      </w:pPr>
    </w:p>
    <w:p w14:paraId="296ABA86" w14:textId="19941EAF" w:rsidR="00944018" w:rsidRDefault="005C56C8" w:rsidP="005F6F53">
      <w:pPr>
        <w:ind w:right="566"/>
        <w:jc w:val="both"/>
        <w:rPr>
          <w:rFonts w:ascii="Calibri Light" w:hAnsi="Calibri Light" w:cs="Calibri Light"/>
          <w:i/>
          <w:iCs/>
          <w:noProof/>
          <w:color w:val="000000"/>
          <w:sz w:val="24"/>
          <w:szCs w:val="24"/>
          <w:lang w:val="en-ID"/>
        </w:rPr>
      </w:pPr>
      <w:r w:rsidRPr="005C56C8">
        <w:rPr>
          <w:rFonts w:ascii="Calibri Light" w:hAnsi="Calibri Light" w:cs="Calibri Light"/>
          <w:i/>
          <w:iCs/>
          <w:noProof/>
          <w:color w:val="000000"/>
          <w:sz w:val="24"/>
          <w:szCs w:val="24"/>
          <w:lang w:val="en-ID"/>
        </w:rPr>
        <w:t xml:space="preserve">This study aims to conduct a </w:t>
      </w:r>
      <w:commentRangeStart w:id="1"/>
      <w:r w:rsidRPr="005C56C8">
        <w:rPr>
          <w:rFonts w:ascii="Calibri Light" w:hAnsi="Calibri Light" w:cs="Calibri Light"/>
          <w:i/>
          <w:iCs/>
          <w:noProof/>
          <w:color w:val="000000"/>
          <w:sz w:val="24"/>
          <w:szCs w:val="24"/>
          <w:lang w:val="en-ID"/>
        </w:rPr>
        <w:t xml:space="preserve">bibliometric </w:t>
      </w:r>
      <w:commentRangeEnd w:id="1"/>
      <w:r w:rsidR="00F4322E">
        <w:rPr>
          <w:rStyle w:val="CommentReference"/>
        </w:rPr>
        <w:commentReference w:id="1"/>
      </w:r>
      <w:r w:rsidRPr="005C56C8">
        <w:rPr>
          <w:rFonts w:ascii="Calibri Light" w:hAnsi="Calibri Light" w:cs="Calibri Light"/>
          <w:i/>
          <w:iCs/>
          <w:noProof/>
          <w:color w:val="000000"/>
          <w:sz w:val="24"/>
          <w:szCs w:val="24"/>
          <w:lang w:val="en-ID"/>
        </w:rPr>
        <w:t>analysis of research on the Basel Accords and Islamic banking to explore key trends, scholarly contributions, and the impact of Basel regulations on the Islamic financial sector. The research follows a systematic methodology based on the PRISMA framework to ensure a structured and transparent review process. Data for the study was collected from the Scopus database, allowing for a comprehensive examination of relevant literature.</w:t>
      </w:r>
      <w:r w:rsidRPr="005C56C8">
        <w:rPr>
          <w:rFonts w:ascii="Calibri Light" w:hAnsi="Calibri Light" w:cs="Calibri Light" w:hint="cs"/>
          <w:i/>
          <w:iCs/>
          <w:noProof/>
          <w:color w:val="000000"/>
          <w:sz w:val="24"/>
          <w:szCs w:val="24"/>
          <w:rtl/>
          <w:lang w:val="en-ID"/>
        </w:rPr>
        <w:t xml:space="preserve"> </w:t>
      </w:r>
      <w:r w:rsidRPr="005C56C8">
        <w:rPr>
          <w:rFonts w:ascii="Calibri Light" w:hAnsi="Calibri Light" w:cs="Calibri Light"/>
          <w:i/>
          <w:iCs/>
          <w:noProof/>
          <w:color w:val="000000"/>
          <w:sz w:val="24"/>
          <w:szCs w:val="24"/>
          <w:lang w:val="en-ID"/>
        </w:rPr>
        <w:t xml:space="preserve">To analyze the collected data, the study employs VOSviewer, a widely used tool for visualizing bibliometric networks. Through co-citation, keyword analysis, and thematic mapping, the research identifies major research clusters, influential authors, and key areas of scholarly focus. </w:t>
      </w:r>
      <w:commentRangeStart w:id="2"/>
      <w:r w:rsidRPr="005C56C8">
        <w:rPr>
          <w:rFonts w:ascii="Calibri Light" w:hAnsi="Calibri Light" w:cs="Calibri Light"/>
          <w:i/>
          <w:iCs/>
          <w:noProof/>
          <w:color w:val="000000"/>
          <w:sz w:val="24"/>
          <w:szCs w:val="24"/>
          <w:lang w:val="en-ID"/>
        </w:rPr>
        <w:t xml:space="preserve">The findings indicate that while </w:t>
      </w:r>
      <w:commentRangeEnd w:id="2"/>
      <w:r w:rsidR="00F4322E">
        <w:rPr>
          <w:rStyle w:val="CommentReference"/>
        </w:rPr>
        <w:commentReference w:id="2"/>
      </w:r>
      <w:r w:rsidRPr="005C56C8">
        <w:rPr>
          <w:rFonts w:ascii="Calibri Light" w:hAnsi="Calibri Light" w:cs="Calibri Light"/>
          <w:i/>
          <w:iCs/>
          <w:noProof/>
          <w:color w:val="000000"/>
          <w:sz w:val="24"/>
          <w:szCs w:val="24"/>
          <w:lang w:val="en-ID"/>
        </w:rPr>
        <w:t>significant research has been conducted on both Basel regulations and Islamic banking, the intersection between the two remains a developing field with increasing academic attention in recent years</w:t>
      </w:r>
      <w:r w:rsidR="005F6F53">
        <w:rPr>
          <w:rFonts w:ascii="Calibri Light" w:hAnsi="Calibri Light" w:cs="Calibri Light"/>
          <w:i/>
          <w:iCs/>
          <w:noProof/>
          <w:color w:val="000000"/>
          <w:sz w:val="24"/>
          <w:szCs w:val="24"/>
          <w:lang w:val="en-ID"/>
        </w:rPr>
        <w:t xml:space="preserve"> ,</w:t>
      </w:r>
      <w:r w:rsidR="005F6F53">
        <w:rPr>
          <w:rFonts w:ascii="Calibri Light" w:hAnsi="Calibri Light" w:cs="Calibri Light"/>
          <w:i/>
          <w:iCs/>
          <w:noProof/>
          <w:color w:val="000000"/>
          <w:sz w:val="24"/>
          <w:szCs w:val="24"/>
        </w:rPr>
        <w:t>also</w:t>
      </w:r>
      <w:r w:rsidR="005F6F53">
        <w:rPr>
          <w:rFonts w:ascii="Calibri Light" w:hAnsi="Calibri Light" w:cs="Calibri Light" w:hint="cs"/>
          <w:i/>
          <w:iCs/>
          <w:noProof/>
          <w:color w:val="000000"/>
          <w:sz w:val="24"/>
          <w:szCs w:val="24"/>
          <w:rtl/>
          <w:lang w:val="en-ID"/>
        </w:rPr>
        <w:t xml:space="preserve"> </w:t>
      </w:r>
      <w:r w:rsidR="005F6F53" w:rsidRPr="005F6F53">
        <w:rPr>
          <w:rFonts w:ascii="Calibri Light" w:hAnsi="Calibri Light" w:cs="Calibri Light"/>
          <w:i/>
          <w:iCs/>
          <w:noProof/>
          <w:color w:val="000000"/>
          <w:sz w:val="24"/>
          <w:szCs w:val="24"/>
        </w:rPr>
        <w:t>reveal that while extensive research exists on both Basel regulations and Islamic banking individually, scholarly work examining their intersection—particularly from a legal and regulatory perspective—remains limited but growing</w:t>
      </w:r>
      <w:r w:rsidRPr="005C56C8">
        <w:rPr>
          <w:rFonts w:ascii="Calibri Light" w:hAnsi="Calibri Light" w:cs="Calibri Light"/>
          <w:i/>
          <w:iCs/>
          <w:noProof/>
          <w:color w:val="000000"/>
          <w:sz w:val="24"/>
          <w:szCs w:val="24"/>
          <w:lang w:val="en-ID"/>
        </w:rPr>
        <w:t>.</w:t>
      </w:r>
      <w:r w:rsidRPr="005C56C8">
        <w:rPr>
          <w:rFonts w:ascii="Calibri Light" w:hAnsi="Calibri Light" w:cs="Calibri Light" w:hint="cs"/>
          <w:i/>
          <w:iCs/>
          <w:noProof/>
          <w:color w:val="000000"/>
          <w:sz w:val="24"/>
          <w:szCs w:val="24"/>
          <w:rtl/>
          <w:lang w:val="en-ID"/>
        </w:rPr>
        <w:t xml:space="preserve"> </w:t>
      </w:r>
      <w:r w:rsidRPr="005C56C8">
        <w:rPr>
          <w:rFonts w:ascii="Calibri Light" w:hAnsi="Calibri Light" w:cs="Calibri Light"/>
          <w:i/>
          <w:iCs/>
          <w:noProof/>
          <w:color w:val="000000"/>
          <w:sz w:val="24"/>
          <w:szCs w:val="24"/>
          <w:lang w:val="en-ID"/>
        </w:rPr>
        <w:t>The results highlight the growing importance of regulatory compliance for Islamic financial institutions and the evolving discourse on how Basel frameworks align with Sharia-compliant banking principles. Additionally, the study identifies gaps in the literature, suggesting potential areas for future research. By providing a structured bibliometric overview, this research contributes to a deeper understanding of the scholarly landscape surrounding Basel Accords and Islamic banking, offering insights for academics, policymakers, and industry professionals.</w:t>
      </w:r>
    </w:p>
    <w:p w14:paraId="45DC45A7" w14:textId="77777777" w:rsidR="002D33A7" w:rsidRPr="00534B65" w:rsidRDefault="002D33A7" w:rsidP="00534B65">
      <w:pPr>
        <w:ind w:right="566"/>
        <w:jc w:val="both"/>
        <w:rPr>
          <w:rFonts w:ascii="Calibri Light" w:hAnsi="Calibri Light" w:cs="Calibri Light"/>
          <w:i/>
          <w:iCs/>
          <w:noProof/>
          <w:color w:val="000000"/>
          <w:rtl/>
          <w:lang w:val="en-ID"/>
        </w:rPr>
      </w:pPr>
    </w:p>
    <w:p w14:paraId="05659731" w14:textId="17DE2EF7" w:rsidR="008F0CE5" w:rsidRPr="008F0CE5" w:rsidRDefault="008F0CE5" w:rsidP="008F0CE5">
      <w:pPr>
        <w:ind w:right="737"/>
        <w:jc w:val="both"/>
        <w:rPr>
          <w:rFonts w:ascii="Calibri Light" w:hAnsi="Calibri Light" w:cs="Calibri Light"/>
          <w:i/>
          <w:iCs/>
          <w:noProof/>
          <w:color w:val="000000"/>
          <w:sz w:val="24"/>
          <w:szCs w:val="24"/>
          <w:lang w:val="en-ID"/>
        </w:rPr>
      </w:pPr>
      <w:r w:rsidRPr="008F0CE5">
        <w:rPr>
          <w:rFonts w:ascii="Calibri Light" w:hAnsi="Calibri Light" w:cs="Calibri Light"/>
          <w:i/>
          <w:iCs/>
          <w:noProof/>
          <w:color w:val="000000"/>
          <w:sz w:val="24"/>
          <w:szCs w:val="24"/>
          <w:lang w:val="en-ID"/>
        </w:rPr>
        <w:t xml:space="preserve">Penelitian ini bertujuan untuk melakukan analisis bibliometrik terhadap kajian-kajian yang membahas Perjanjian Basel dan perbankan Islam, guna mengeksplorasi tren utama, kontribusi ilmiah, serta dampak regulasi Basel terhadap sektor keuangan Islam. Penelitian ini mengikuti metodologi sistematis berdasarkan kerangka kerja PRISMA untuk memastikan proses tinjauan yang terstruktur dan transparan. Data dalam studi ini dikumpulkan dari basis data Scopus, sehingga memungkinkan pemeriksaan literatur </w:t>
      </w:r>
      <w:r w:rsidRPr="008F0CE5">
        <w:rPr>
          <w:rFonts w:ascii="Calibri Light" w:hAnsi="Calibri Light" w:cs="Calibri Light"/>
          <w:i/>
          <w:iCs/>
          <w:noProof/>
          <w:color w:val="000000"/>
          <w:sz w:val="24"/>
          <w:szCs w:val="24"/>
          <w:lang w:val="en-ID"/>
        </w:rPr>
        <w:lastRenderedPageBreak/>
        <w:t>yang komprehensif dan relevan.</w:t>
      </w:r>
      <w:r>
        <w:rPr>
          <w:rFonts w:ascii="Calibri Light" w:hAnsi="Calibri Light" w:cs="Calibri Light" w:hint="cs"/>
          <w:i/>
          <w:iCs/>
          <w:noProof/>
          <w:color w:val="000000"/>
          <w:sz w:val="24"/>
          <w:szCs w:val="24"/>
          <w:rtl/>
          <w:lang w:val="en-ID"/>
        </w:rPr>
        <w:t xml:space="preserve"> </w:t>
      </w:r>
      <w:r w:rsidRPr="008F0CE5">
        <w:rPr>
          <w:rFonts w:ascii="Calibri Light" w:hAnsi="Calibri Light" w:cs="Calibri Light"/>
          <w:i/>
          <w:iCs/>
          <w:noProof/>
          <w:color w:val="000000"/>
          <w:sz w:val="24"/>
          <w:szCs w:val="24"/>
          <w:lang w:val="en-ID"/>
        </w:rPr>
        <w:t xml:space="preserve">Untuk menganalisis data yang dikumpulkan, studi ini menggunakan VOSviewer, </w:t>
      </w:r>
      <w:commentRangeStart w:id="3"/>
      <w:r w:rsidRPr="008F0CE5">
        <w:rPr>
          <w:rFonts w:ascii="Calibri Light" w:hAnsi="Calibri Light" w:cs="Calibri Light"/>
          <w:i/>
          <w:iCs/>
          <w:noProof/>
          <w:color w:val="000000"/>
          <w:sz w:val="24"/>
          <w:szCs w:val="24"/>
          <w:lang w:val="en-ID"/>
        </w:rPr>
        <w:t>sebuah alat yang banyak digunakan untuk memvisualisasikan jaringan bibliometrik. Melalui analisis co-citation (kutipan bersama), analisis kata kunci, dan pemetaan tematik, penelitian ini mengidentifikasi klaster-klaster utama dalam penelitian, penulis-penulis berpengaruh, serta area fokus keilmuan yang penting</w:t>
      </w:r>
      <w:commentRangeEnd w:id="3"/>
      <w:r w:rsidR="00954B9B">
        <w:rPr>
          <w:rStyle w:val="CommentReference"/>
        </w:rPr>
        <w:commentReference w:id="3"/>
      </w:r>
      <w:r w:rsidRPr="008F0CE5">
        <w:rPr>
          <w:rFonts w:ascii="Calibri Light" w:hAnsi="Calibri Light" w:cs="Calibri Light"/>
          <w:i/>
          <w:iCs/>
          <w:noProof/>
          <w:color w:val="000000"/>
          <w:sz w:val="24"/>
          <w:szCs w:val="24"/>
          <w:lang w:val="en-ID"/>
        </w:rPr>
        <w:t>. Temuan menunjukkan bahwa meskipun telah banyak penelitian yang dilakukan baik pada regulasi Basel maupun perbankan Islam, keterkaitan antara keduanya masih merupakan bidang yang sedang berkembang dan mendapat perhatian akademik yang meningkat dalam beberapa tahun terakhir.</w:t>
      </w:r>
      <w:r>
        <w:rPr>
          <w:rFonts w:ascii="Calibri Light" w:hAnsi="Calibri Light" w:cs="Calibri Light" w:hint="cs"/>
          <w:i/>
          <w:iCs/>
          <w:noProof/>
          <w:color w:val="000000"/>
          <w:sz w:val="24"/>
          <w:szCs w:val="24"/>
          <w:rtl/>
          <w:lang w:val="en-ID"/>
        </w:rPr>
        <w:t xml:space="preserve"> </w:t>
      </w:r>
      <w:r w:rsidRPr="008F0CE5">
        <w:rPr>
          <w:rFonts w:ascii="Calibri Light" w:hAnsi="Calibri Light" w:cs="Calibri Light"/>
          <w:i/>
          <w:iCs/>
          <w:noProof/>
          <w:color w:val="000000"/>
          <w:sz w:val="24"/>
          <w:szCs w:val="24"/>
          <w:lang w:val="en-ID"/>
        </w:rPr>
        <w:t>Hasil penelitian ini menyoroti pentingnya kepatuhan terhadap regulasi bagi institusi keuangan Islam serta wacana yang terus berkembang mengenai keselarasan kerangka Basel dengan prinsip-prinsip perbankan yang sesuai syariah. Selain itu, studi ini juga mengidentifikasi kesenjangan dalam literatur, yang menunjukkan adanya potensi area untuk penelitian di masa depan. Dengan memberikan gambaran bibliometrik yang terstruktur, penelitian ini berkontribusi terhadap pemahaman yang lebih mendalam mengenai lanskap ilmiah seputar Perjanjian Basel dan perbankan Islam, serta menawarkan wawasan bagi akademisi, pembuat kebijakan, dan profesional industri.</w:t>
      </w:r>
    </w:p>
    <w:p w14:paraId="7CCEF7C8" w14:textId="77777777" w:rsidR="00486707" w:rsidRPr="008F0CE5" w:rsidRDefault="00486707" w:rsidP="003E7145">
      <w:pPr>
        <w:ind w:right="737"/>
        <w:jc w:val="both"/>
        <w:rPr>
          <w:rFonts w:ascii="Calibri Light" w:hAnsi="Calibri Light" w:cs="Calibri Light"/>
          <w:i/>
          <w:iCs/>
          <w:sz w:val="24"/>
          <w:szCs w:val="24"/>
          <w:lang w:val="en-ID"/>
        </w:rPr>
      </w:pPr>
    </w:p>
    <w:p w14:paraId="257F998D" w14:textId="5864A0BD" w:rsidR="00597AAB" w:rsidRPr="008C2547" w:rsidRDefault="0095288D" w:rsidP="00597AAB">
      <w:pPr>
        <w:pStyle w:val="NormalWeb"/>
        <w:jc w:val="both"/>
        <w:rPr>
          <w:rFonts w:ascii="Calibri Light" w:hAnsi="Calibri Light" w:cs="Calibri Light"/>
          <w:i/>
          <w:iCs/>
          <w:rtl/>
          <w:lang w:val="en-ID" w:eastAsia="en-ID"/>
        </w:rPr>
      </w:pPr>
      <w:r w:rsidRPr="00122F5F">
        <w:rPr>
          <w:rFonts w:ascii="Calibri Light" w:hAnsi="Calibri Light" w:cs="Calibri Light"/>
          <w:b/>
          <w:bCs/>
        </w:rPr>
        <w:t>Keyword</w:t>
      </w:r>
      <w:r w:rsidR="008C45DE" w:rsidRPr="00122F5F">
        <w:rPr>
          <w:rFonts w:ascii="Calibri Light" w:hAnsi="Calibri Light" w:cs="Calibri Light"/>
          <w:b/>
          <w:bCs/>
          <w:lang w:val="id-ID"/>
        </w:rPr>
        <w:t>s</w:t>
      </w:r>
      <w:r w:rsidR="00597AAB" w:rsidRPr="00597AAB">
        <w:rPr>
          <w:lang w:val="en-ID" w:eastAsia="en-ID"/>
        </w:rPr>
        <w:t xml:space="preserve"> </w:t>
      </w:r>
      <w:r w:rsidR="00BD5835" w:rsidRPr="008C2547">
        <w:rPr>
          <w:rFonts w:ascii="Calibri Light" w:hAnsi="Calibri Light" w:cs="Calibri Light"/>
          <w:i/>
          <w:iCs/>
          <w:lang w:val="en-ID" w:eastAsia="en-ID"/>
        </w:rPr>
        <w:t>Islamic Banking</w:t>
      </w:r>
      <w:r w:rsidR="00BD5835">
        <w:rPr>
          <w:rFonts w:ascii="Calibri Light" w:hAnsi="Calibri Light" w:cs="Calibri Light"/>
          <w:i/>
          <w:iCs/>
          <w:lang w:val="en-ID" w:eastAsia="en-ID"/>
        </w:rPr>
        <w:t>,</w:t>
      </w:r>
      <w:r w:rsidR="00590269">
        <w:rPr>
          <w:rFonts w:ascii="Calibri Light" w:hAnsi="Calibri Light" w:cs="Calibri Light"/>
          <w:i/>
          <w:iCs/>
          <w:lang w:val="en-ID" w:eastAsia="en-ID"/>
        </w:rPr>
        <w:t xml:space="preserve"> </w:t>
      </w:r>
      <w:r w:rsidR="00597AAB" w:rsidRPr="008C2547">
        <w:rPr>
          <w:rFonts w:ascii="Calibri Light" w:hAnsi="Calibri Light" w:cs="Calibri Light"/>
          <w:i/>
          <w:iCs/>
          <w:lang w:val="en-ID" w:eastAsia="en-ID"/>
        </w:rPr>
        <w:t>Bibliometric Analysis, Basel Accords, PRISMA Framework, Scopus Database.</w:t>
      </w:r>
    </w:p>
    <w:p w14:paraId="6BC00FE9" w14:textId="2B327038" w:rsidR="00F1027C" w:rsidRPr="00122F5F" w:rsidRDefault="00F1027C" w:rsidP="00597AAB">
      <w:pPr>
        <w:ind w:right="737"/>
        <w:jc w:val="both"/>
        <w:rPr>
          <w:rFonts w:ascii="Calibri Light" w:hAnsi="Calibri Light" w:cs="Calibri Light"/>
          <w:b/>
          <w:bCs/>
          <w:sz w:val="24"/>
          <w:szCs w:val="24"/>
          <w:lang w:val="id-ID"/>
        </w:rPr>
      </w:pPr>
    </w:p>
    <w:p w14:paraId="422F40B3" w14:textId="77777777" w:rsidR="007F5B9D" w:rsidRPr="007F5B9D" w:rsidRDefault="008C45DE" w:rsidP="007F5B9D">
      <w:pPr>
        <w:numPr>
          <w:ilvl w:val="0"/>
          <w:numId w:val="15"/>
        </w:numPr>
        <w:spacing w:before="120" w:after="120"/>
        <w:ind w:left="426" w:hanging="284"/>
        <w:rPr>
          <w:rFonts w:ascii="Calibri Light" w:hAnsi="Calibri Light" w:cs="Calibri Light"/>
          <w:b/>
          <w:bCs/>
          <w:sz w:val="24"/>
          <w:szCs w:val="24"/>
          <w:lang w:val="id-ID"/>
        </w:rPr>
      </w:pPr>
      <w:commentRangeStart w:id="4"/>
      <w:r w:rsidRPr="00122F5F">
        <w:rPr>
          <w:rFonts w:ascii="Calibri Light" w:hAnsi="Calibri Light" w:cs="Calibri Light"/>
          <w:b/>
          <w:sz w:val="24"/>
          <w:szCs w:val="24"/>
        </w:rPr>
        <w:t>INTRODUCTION</w:t>
      </w:r>
      <w:r w:rsidRPr="00122F5F">
        <w:rPr>
          <w:rFonts w:ascii="Calibri Light" w:hAnsi="Calibri Light" w:cs="Calibri Light"/>
          <w:b/>
          <w:sz w:val="24"/>
          <w:szCs w:val="24"/>
          <w:lang w:val="id-ID"/>
        </w:rPr>
        <w:t xml:space="preserve"> </w:t>
      </w:r>
      <w:commentRangeEnd w:id="4"/>
      <w:r w:rsidR="00DA1969">
        <w:rPr>
          <w:rStyle w:val="CommentReference"/>
        </w:rPr>
        <w:commentReference w:id="4"/>
      </w:r>
    </w:p>
    <w:p w14:paraId="28F6C93F" w14:textId="52598D02" w:rsidR="0057036A" w:rsidRPr="0057036A"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The intersection of international regulatory frameworks and Islamic banking has become an increasingly important topic in academic research, particularly regarding the impact of Basel Accords on the Islamic financial sector. The Basel Committee on Banking Supervision (BCBS) introduced these accords to enhance banking stability and reduce financial risks through capital adequacy requirements, risk management, and liquidity standards</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E566B0">
        <w:rPr>
          <w:rFonts w:ascii="Calibri Light" w:hAnsi="Calibri Light" w:cs="Calibri Light"/>
          <w:bCs/>
          <w:sz w:val="24"/>
          <w:szCs w:val="24"/>
          <w:lang w:val="en-ID"/>
        </w:rPr>
        <w:instrText>ADDIN CSL_CITATION {"citationItems":[{"id":"ITEM-1","itemData":{"DOI":"10.1002/ijfe.2637","ISSN":"10769307 (ISSN)","abstract":"Using data for Italy from 1994 to 2015, we appraise the nexus between Basel II and III accords and both the cost and the profit inefficiency of profit-oriented and mutual cooperative banks. Our analysis further deals with the effects of the regulation in different market structures. To assess the efficiency of the two types of banks under scrutiny, a stochastic frontier approach has been proposed. The evidence reported in this paper indicates that the regulatory framework of the Basel accords had heterogeneous effects on the efficiency of Italian banking institutions. Specifically, Basel II is associated with a contraction in the profit inefficiency and an increase in the cost inefficiency for mutual cooperative banks. On the other hand, Basel III worsened the profit inefficiency, though it is found to reduce the profit inefficiency of mutual cooperative banks, with no significant impact on cost inefficiency. Furthermore, once we control for the degree of market competition, the effects of the regulation are shown to be statistically insignificant. The advent of the 2008 recession and the application of the revenue inefficiency do not alter the main findings. There is also some evidence of spatial effects of the Basel II regulation at the LMA level. © 2022 The Authors. International Journal of Finance &amp; Economics published by John Wiley &amp; Sons Ltd.","author":[{"dropping-particle":"","family":"Barra","given":"C","non-dropping-particle":"","parse-names":false,"suffix":""},{"dropping-particle":"","family":"Papaccio","given":"A","non-dropping-particle":"","parse-names":false,"suffix":""},{"dropping-particle":"","family":"Ruggiero","given":"N","non-dropping-particle":"","parse-names":false,"suffix":""}],"container-title":"International Journal of Finance and Economics","id":"ITEM-1","issue":"4","issued":{"date-parts":[["2023"]]},"language":"English","note":"Export Date: 24 April 2025; Cited By: 3; Correspondence Address: C. Barra; Department of Economics and Statistics (DISES), Centre for Labour Economics and Economic Policy (CELPE), University of Salerno, Fisciano, Via Giovanni Paolo II, 84084, Italy; email: cbarra@unisa.it","page":"4079-4119","publisher":"John Wiley and Sons Ltd","publisher-place":"Department of Economics and Statistics (DISES), Centre for Labour Economics and Economic Policy (CELPE), University of Salerno, Fisciano, Italy","title":"Basel accords and banking inefficiency: Evidence from the Italian local market","type":"article-journal","volume":"28"},"uris":["http://www.mendeley.com/documents/?uuid=80f38133-cfa6-43be-af3d-2a29936783b3"]}],"mendeley":{"formattedCitation":"(Barra et al., 2023)","plainTextFormattedCitation":"(Barra et al., 2023)","previouslyFormattedCitation":"(Barra et al., 2023)"},"properties":{"noteIndex":0},"schema":"https://github.com/citation-style-language/schema/raw/master/csl-citation.json"}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E566B0" w:rsidRPr="00E566B0">
        <w:rPr>
          <w:rFonts w:ascii="Calibri Light" w:hAnsi="Calibri Light" w:cs="Calibri Light"/>
          <w:bCs/>
          <w:noProof/>
          <w:sz w:val="24"/>
          <w:szCs w:val="24"/>
          <w:lang w:val="en-ID"/>
        </w:rPr>
        <w:t>(Barra et al., 2023)</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Since the introduction of Basel I in 1988 and the subsequent developments in Basel II and Basel III, these regulatory guidelines have had a profound impact on global banking systems</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E566B0">
        <w:rPr>
          <w:rFonts w:ascii="Calibri Light" w:hAnsi="Calibri Light" w:cs="Calibri Light"/>
          <w:bCs/>
          <w:sz w:val="24"/>
          <w:szCs w:val="24"/>
          <w:lang w:val="en-ID"/>
        </w:rPr>
        <w:instrText>ADDIN CSL_CITATION {"citationItems":[{"id":"ITEM-1","itemData":{"DOI":"10.1016/j.irfa.2024.103502","ISSN":"10575219 (ISSN)","abstract":"We develop a model to compare the changes in banks' equilibrium capital and liquidity holdings under various versions of Basel-style requirements across economic cycles. We find that banks' liquidity is countercyclical while capital buffer is procyclical. Countercyclical liquidity-holding behaviour causes a larger liquidation of loans in economic expansions. We also find that Basel-style liquidity requirements help to lower banks' loan liquidations in economic upturns, although it is of limited effectiveness in economic downturns. We thus suggest that similar to capital requirements, liquidity requirements should also be set in a countercyclical manner. Our results show that capital requirements and liquidity requirements are complements in economic upturns in terms of enhancing banking stability and obtaining social welfare. Furthermore, Basel III outperforms previous regulatory versions in enhancing bank stability and social welfare in extreme situations. © 2024 The Author(s)","author":[{"dropping-particle":"","family":"Huang","given":"C","non-dropping-particle":"","parse-names":false,"suffix":""},{"dropping-particle":"","family":"Moreira","given":"F","non-dropping-particle":"","parse-names":false,"suffix":""},{"dropping-particle":"","family":"Archibald","given":"T W","non-dropping-particle":"","parse-names":false,"suffix":""}],"container-title":"International Review of Financial Analysis","id":"ITEM-1","issued":{"date-parts":[["2024"]]},"language":"English","note":"Export Date: 24 April 2025; Cited By: 0; Correspondence Address: F. Moreira; University of Edinburgh Business School, United Kingdom; email: fernando.moreira@ed.ac.uk","publisher":"Elsevier Inc.","publisher-place":"School of Economics and Management, Beijing Jiaotong University, China","title":"Should Basel-style liquidity requirements be set countercyclically? Evidence from a numerical analysis","type":"article-journal","volume":"95"},"uris":["http://www.mendeley.com/documents/?uuid=e64307e3-a47e-427c-9c84-b2c2aa6ea31c"]}],"mendeley":{"formattedCitation":"(Huang et al., 2024)","plainTextFormattedCitation":"(Huang et al., 2024)","previouslyFormattedCitation":"(Huang et al., 2024)"},"properties":{"noteIndex":0},"schema":"https://github.com/citation-style-language/schema/raw/master/csl-citation.json"}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E566B0" w:rsidRPr="00E566B0">
        <w:rPr>
          <w:rFonts w:ascii="Calibri Light" w:hAnsi="Calibri Light" w:cs="Calibri Light"/>
          <w:bCs/>
          <w:noProof/>
          <w:sz w:val="24"/>
          <w:szCs w:val="24"/>
          <w:lang w:val="en-ID"/>
        </w:rPr>
        <w:t>(Huang et al., 2024)</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xml:space="preserve">. However, their applicability to Islamic financial institutions (IFIs), </w:t>
      </w:r>
      <w:commentRangeStart w:id="5"/>
      <w:r w:rsidRPr="0057036A">
        <w:rPr>
          <w:rFonts w:ascii="Calibri Light" w:hAnsi="Calibri Light" w:cs="Calibri Light"/>
          <w:bCs/>
          <w:sz w:val="24"/>
          <w:szCs w:val="24"/>
          <w:lang w:val="en-ID"/>
        </w:rPr>
        <w:t>which operate under Shariah principles, remains a subject of ongoing academic and regulatory debate.</w:t>
      </w:r>
      <w:commentRangeEnd w:id="5"/>
      <w:r w:rsidR="00CA4275">
        <w:rPr>
          <w:rStyle w:val="CommentReference"/>
        </w:rPr>
        <w:commentReference w:id="5"/>
      </w:r>
    </w:p>
    <w:p w14:paraId="1E933055" w14:textId="1E5C4201" w:rsidR="0057036A" w:rsidRPr="0057036A"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 xml:space="preserve">Islamic banks differ fundamentally from conventional banks due to their commitment to </w:t>
      </w:r>
      <w:proofErr w:type="spellStart"/>
      <w:r w:rsidRPr="0057036A">
        <w:rPr>
          <w:rFonts w:ascii="Calibri Light" w:hAnsi="Calibri Light" w:cs="Calibri Light"/>
          <w:bCs/>
          <w:sz w:val="24"/>
          <w:szCs w:val="24"/>
          <w:lang w:val="en-ID"/>
        </w:rPr>
        <w:t>Maqasid</w:t>
      </w:r>
      <w:proofErr w:type="spellEnd"/>
      <w:r w:rsidRPr="0057036A">
        <w:rPr>
          <w:rFonts w:ascii="Calibri Light" w:hAnsi="Calibri Light" w:cs="Calibri Light"/>
          <w:bCs/>
          <w:sz w:val="24"/>
          <w:szCs w:val="24"/>
          <w:lang w:val="en-ID"/>
        </w:rPr>
        <w:t xml:space="preserve"> al-Shariah (the higher objectives of Islamic law), which prohibit interest (</w:t>
      </w:r>
      <w:proofErr w:type="spellStart"/>
      <w:r w:rsidRPr="0057036A">
        <w:rPr>
          <w:rFonts w:ascii="Calibri Light" w:hAnsi="Calibri Light" w:cs="Calibri Light"/>
          <w:bCs/>
          <w:sz w:val="24"/>
          <w:szCs w:val="24"/>
          <w:lang w:val="en-ID"/>
        </w:rPr>
        <w:t>riba</w:t>
      </w:r>
      <w:proofErr w:type="spellEnd"/>
      <w:r w:rsidRPr="0057036A">
        <w:rPr>
          <w:rFonts w:ascii="Calibri Light" w:hAnsi="Calibri Light" w:cs="Calibri Light"/>
          <w:bCs/>
          <w:sz w:val="24"/>
          <w:szCs w:val="24"/>
          <w:lang w:val="en-ID"/>
        </w:rPr>
        <w:t>) and promote risk-sharing, ethical investment, and asset-backed financing</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E566B0">
        <w:rPr>
          <w:rFonts w:ascii="Calibri Light" w:hAnsi="Calibri Light" w:cs="Calibri Light"/>
          <w:bCs/>
          <w:sz w:val="24"/>
          <w:szCs w:val="24"/>
          <w:lang w:val="en-ID"/>
        </w:rPr>
        <w:instrText>ADDIN CSL_CITATION {"citationItems":[{"id":"ITEM-1","itemData":{"DOI":"10.1007/s11156-022-01092-6","ISSN":"0924865X (ISSN)","abstract":"This study proposes a renewal of the contemporary Islamic banking Murabaha financing model as it aggravates financial fragility with waning economic efficiency. We adapt the working capital framework of successful US companies like Amazon and Walmart and model an innovative Murabaha facility as trade credit within the real sector of the economy. We then test its robustness in a range of simulation tests. Our approach is novel and stands in contrast to the familiar financial sector fixed-income facilities, characteristic of Western economies, stealthily mimicked as mark-up (interest rate based) Murabaha by Islamic banks. We argue that this is neither appropriate nor effective for Islamic economies, making them fragile under monetary pressures in crises like the current coronavirus and energy ones. Our simulation results indicate that the trade credit Murabaha not only transforms debt into a risk-sharing one but also offers more competitive financing rates, reduces systemic risk, and improves financial stability. Furthermore, our results imply that the trade credit Murabaha can increase the efficiency of Islamic financial systems and make them more resilient to shocks. Consequently, this paper discusses the integration of our novel Murabaha within a recreated architecture of Universal Banking. As an implication, this should promote business activity and contribute to global growth. Finally, we recommend how to deploy our novel Murabaha based on trade credit (as opposed to the currently deployed fixed-income-mimicked Murabaha) to alleviate twin agency debt costs (risk shifting, underinvestment) and solve the ownership transfer problem of modern Islamic banking. © 2022, The Author(s).","author":[{"dropping-particle":"","family":"Jatmiko","given":"W","non-dropping-particle":"","parse-names":false,"suffix":""},{"dropping-particle":"","family":"Ebrahim","given":"M S","non-dropping-particle":"","parse-names":false,"suffix":""},{"dropping-particle":"","family":"Iqbal","given":"A","non-dropping-particle":"","parse-names":false,"suffix":""},{"dropping-particle":"","family":"Wojakowski","given":"R M","non-dropping-particle":"","parse-names":false,"suffix":""}],"container-title":"Review of Quantitative Finance and Accounting","id":"ITEM-1","issue":"1","issued":{"date-parts":[["2023"]]},"language":"English","note":"Export Date: 30 January 2025; Cited By: 4; Correspondence Address: A. Iqbal; Kent Business School, University of Kent, Chatham, Medway Building, ME4 4AG, United Kingdom; email: A.Iqbal@kent.ac.uk","page":"111-146","publisher":"Springer","publisher-place":"Faculty of Economics and Business, University of Indonesia, West Java, Depok, 16424, Indonesia","title":"Can trade credit rejuvenate Islamic banking?","type":"article-journal","volume":"60"},"uris":["http://www.mendeley.com/documents/?uuid=4674edfc-f90d-4650-b8d5-09744f25a1fe"]}],"mendeley":{"formattedCitation":"(Jatmiko et al., 2023)","plainTextFormattedCitation":"(Jatmiko et al., 2023)","previouslyFormattedCitation":"(Jatmiko et al., 2023)"},"properties":{"noteIndex":0},"schema":"https://github.com/citation-style-language/schema/raw/master/csl-citation.json"}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E566B0" w:rsidRPr="00E566B0">
        <w:rPr>
          <w:rFonts w:ascii="Calibri Light" w:hAnsi="Calibri Light" w:cs="Calibri Light"/>
          <w:bCs/>
          <w:noProof/>
          <w:sz w:val="24"/>
          <w:szCs w:val="24"/>
          <w:lang w:val="en-ID"/>
        </w:rPr>
        <w:t>(Jatmiko et al., 2023)</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xml:space="preserve">. As a result, applying Basel regulations to Islamic financial institutions presents unique challenges, as these accords rely on </w:t>
      </w:r>
      <w:commentRangeStart w:id="6"/>
      <w:r w:rsidRPr="0057036A">
        <w:rPr>
          <w:rFonts w:ascii="Calibri Light" w:hAnsi="Calibri Light" w:cs="Calibri Light"/>
          <w:bCs/>
          <w:sz w:val="24"/>
          <w:szCs w:val="24"/>
          <w:lang w:val="en-ID"/>
        </w:rPr>
        <w:t xml:space="preserve">an interest-based risk assessment model </w:t>
      </w:r>
      <w:commentRangeEnd w:id="6"/>
      <w:r w:rsidR="003E6CBB">
        <w:rPr>
          <w:rStyle w:val="CommentReference"/>
        </w:rPr>
        <w:commentReference w:id="6"/>
      </w:r>
      <w:r w:rsidRPr="0057036A">
        <w:rPr>
          <w:rFonts w:ascii="Calibri Light" w:hAnsi="Calibri Light" w:cs="Calibri Light"/>
          <w:bCs/>
          <w:sz w:val="24"/>
          <w:szCs w:val="24"/>
          <w:lang w:val="en-ID"/>
        </w:rPr>
        <w:t xml:space="preserve">to evaluate capital and risk exposure. In contrast, Islamic banks operate using financial instruments such as </w:t>
      </w:r>
      <w:proofErr w:type="spellStart"/>
      <w:r w:rsidRPr="0057036A">
        <w:rPr>
          <w:rFonts w:ascii="Calibri Light" w:hAnsi="Calibri Light" w:cs="Calibri Light"/>
          <w:bCs/>
          <w:sz w:val="24"/>
          <w:szCs w:val="24"/>
          <w:lang w:val="en-ID"/>
        </w:rPr>
        <w:t>murabaha</w:t>
      </w:r>
      <w:proofErr w:type="spellEnd"/>
      <w:r w:rsidRPr="0057036A">
        <w:rPr>
          <w:rFonts w:ascii="Calibri Light" w:hAnsi="Calibri Light" w:cs="Calibri Light"/>
          <w:bCs/>
          <w:sz w:val="24"/>
          <w:szCs w:val="24"/>
          <w:lang w:val="en-ID"/>
        </w:rPr>
        <w:t xml:space="preserve"> (cost-plus financing), </w:t>
      </w:r>
      <w:proofErr w:type="spellStart"/>
      <w:r w:rsidRPr="0057036A">
        <w:rPr>
          <w:rFonts w:ascii="Calibri Light" w:hAnsi="Calibri Light" w:cs="Calibri Light"/>
          <w:bCs/>
          <w:sz w:val="24"/>
          <w:szCs w:val="24"/>
          <w:lang w:val="en-ID"/>
        </w:rPr>
        <w:t>musharakah</w:t>
      </w:r>
      <w:proofErr w:type="spellEnd"/>
      <w:r w:rsidRPr="0057036A">
        <w:rPr>
          <w:rFonts w:ascii="Calibri Light" w:hAnsi="Calibri Light" w:cs="Calibri Light"/>
          <w:bCs/>
          <w:sz w:val="24"/>
          <w:szCs w:val="24"/>
          <w:lang w:val="en-ID"/>
        </w:rPr>
        <w:t xml:space="preserve"> (equity partnership), </w:t>
      </w:r>
      <w:proofErr w:type="spellStart"/>
      <w:r w:rsidRPr="0057036A">
        <w:rPr>
          <w:rFonts w:ascii="Calibri Light" w:hAnsi="Calibri Light" w:cs="Calibri Light"/>
          <w:bCs/>
          <w:sz w:val="24"/>
          <w:szCs w:val="24"/>
          <w:lang w:val="en-ID"/>
        </w:rPr>
        <w:t>mudarabah</w:t>
      </w:r>
      <w:proofErr w:type="spellEnd"/>
      <w:r w:rsidRPr="0057036A">
        <w:rPr>
          <w:rFonts w:ascii="Calibri Light" w:hAnsi="Calibri Light" w:cs="Calibri Light"/>
          <w:bCs/>
          <w:sz w:val="24"/>
          <w:szCs w:val="24"/>
          <w:lang w:val="en-ID"/>
        </w:rPr>
        <w:t xml:space="preserve"> (profit-sharing), and ijarah (leasing). These differences raise critical questions about whether conventional regulatory frameworks can effectively accommodate Islamic banking operations and whether modifications are needed to align Basel standards with Shariah-compliant finance</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217165">
        <w:rPr>
          <w:rFonts w:ascii="Calibri Light" w:hAnsi="Calibri Light" w:cs="Calibri Light"/>
          <w:bCs/>
          <w:sz w:val="24"/>
          <w:szCs w:val="24"/>
          <w:lang w:val="en-ID"/>
        </w:rPr>
        <w:instrText>ADDIN CSL_CITATION {"citationItems":[{"id":"ITEM-1","itemData":{"DOI":"10.1108/IMEFM-12-2019-0518","ISSN":"17538394 (ISSN)","abstract":"Purpose: The purpose of this paper is to explore the types of Shariah capabilities of Islamic banks, which provide bases for the types of Shariah value propositions, offered by the relationship managers in their front-line service experiences with the customers. Design/methodology/approach: A resource-based view of Shariah capabilities and a service-dominant logic view of value propositions are adopted. Fifteen relationship managers from multiple Islamic banks in Pakistan are interviewed to find a typology of Shariah capabilities and a resultant typology of value propositions for Islamic banks. Findings: The findings suggest that Islamic banks claim to possess five types of Shariah capabilities, namely, Shariah governance capability (SGC), Shariah compliance capability (SCC), Shariah monitoring capability (SMC), Shariah structuring (product) capability (SSC) and Shariah learning capability (SLC). These capabilities lead to four types of values propositions, namely, Shariah identity value (SIV), Riba-free value (RFV), Shariah disclosure value (SDV) and Tangibility value (TV) of the real assets in transactions. Research limitations/implications: The study has relied on the front-line experiences of relationship managers who are connected to the Islamic banks’ capabilities inside the banks and the value propositions that they offer to show relationships with customers in front-line service experiences. Other stakeholders may have different perspectives on both capabilities and value propositions. Originality/value: This paper contributes to Islamic finance theory by theoretically and empirically showing two typologies for the Islamic banks' capabilities and value propositions, respectively. © 2022, Emerald Publishing Limited.","author":[{"dropping-particle":"","family":"Ullah","given":"K","non-dropping-particle":"","parse-names":false,"suffix":""},{"dropping-particle":"","family":"Ashfaque","given":"M","non-dropping-particle":"","parse-names":false,"suffix":""},{"dropping-particle":"","family":"Atiq","given":"M","non-dropping-particle":"","parse-names":false,"suffix":""},{"dropping-particle":"","family":"Khan","given":"M","non-dropping-particle":"","parse-names":false,"suffix":""},{"dropping-particle":"","family":"Hussain","given":"A","non-dropping-particle":"","parse-names":false,"suffix":""}],"container-title":"International Journal of Islamic and Middle Eastern Finance and Management","id":"ITEM-1","issue":"4","issued":{"date-parts":[["2023"]]},"language":"English","note":"Export Date: 04 December 2024; Cited By: 8; Correspondence Address: M. Atiq; Institute of Management Sciences, Peshawar, Pakistan; email: muhammad.atiq@imsciences.edu.pk","page":"701-715","publisher":"Emerald Publishing","publisher-place":"Institute of Management Sciences, Peshawar, Pakistan","title":"Shariah capabilities and value propositions of Islamic banking","type":"article-journal","volume":"16"},"uris":["http://www.mendeley.com/documents/?uuid=1b765d97-e4d4-4622-b8ed-a2d86c3644eb"]}],"mendeley":{"formattedCitation":"(K. Ullah et al., 2023)","plainTextFormattedCitation":"(K. Ullah et al., 2023)","previouslyFormattedCitation":"(K. Ullah et al., 2023)"},"properties":{"noteIndex":0},"schema":"https://github.com/citation-style-language/schema/raw/master/csl-citation.json"}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217165" w:rsidRPr="00217165">
        <w:rPr>
          <w:rFonts w:ascii="Calibri Light" w:hAnsi="Calibri Light" w:cs="Calibri Light"/>
          <w:bCs/>
          <w:noProof/>
          <w:sz w:val="24"/>
          <w:szCs w:val="24"/>
          <w:lang w:val="en-ID"/>
        </w:rPr>
        <w:t>(K. Ullah et al., 2023)</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w:t>
      </w:r>
    </w:p>
    <w:p w14:paraId="0FB1FA6F" w14:textId="238D6ED3" w:rsidR="0057036A" w:rsidRPr="0057036A"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lastRenderedPageBreak/>
        <w:t>To gain a deeper understanding of the research landscape surrounding Basel Accords and Islamic banking, a bibliometric analysis was conducted, covering the years 2015 to 2024</w:t>
      </w:r>
      <w:r w:rsidR="00E566B0">
        <w:rPr>
          <w:rFonts w:ascii="Calibri Light" w:hAnsi="Calibri Light" w:cs="Calibri Light"/>
          <w:bCs/>
          <w:sz w:val="24"/>
          <w:szCs w:val="24"/>
          <w:lang w:val="en-ID"/>
        </w:rPr>
        <w:t xml:space="preserve"> </w:t>
      </w:r>
      <w:r w:rsidR="00E566B0">
        <w:rPr>
          <w:rFonts w:ascii="Calibri Light" w:hAnsi="Calibri Light" w:cs="Calibri Light"/>
          <w:bCs/>
          <w:sz w:val="24"/>
          <w:szCs w:val="24"/>
          <w:lang w:val="en-ID"/>
        </w:rPr>
        <w:fldChar w:fldCharType="begin" w:fldLock="1"/>
      </w:r>
      <w:r w:rsidR="000051D0">
        <w:rPr>
          <w:rFonts w:ascii="Calibri Light" w:hAnsi="Calibri Light" w:cs="Calibri Light"/>
          <w:bCs/>
          <w:sz w:val="24"/>
          <w:szCs w:val="24"/>
          <w:lang w:val="en-ID"/>
        </w:rPr>
        <w:instrText>ADDIN CSL_CITATION {"citationItems":[{"id":"ITEM-1","itemData":{"DOI":"10.1108/JIMA-11-2023-0357","ISSN":"17590833 (ISSN)","abstract":"Purpose: This paper aims to investigate Islamic work ethics and adaptability towards change readiness of Islamic Bank employees in Indonesia with commitment as a mediating variable. This study focuses on the Sharia banking industry, which is facing transformation from Sharia business units to Sharia commercial banks by preparing its human resources, thus minimizing resistance. Design/methodology/approach: This study is based on a survey of 135 Bank Syariah Indonesia employees via an online questionnaire. PLS-SEM is used to analyze data and test hypotheses using SMART-PLS. Findings: The results of the study show that adaptability does not have a positive and significant effect on readiness for change in Indonesian Sharia banks and organizational commitment. Meanwhile, Islamic work ethics have a positive and significant effect on the change readiness of Islamic bank employees in Indonesia as well as organizational commitment. This study also found that organizational commitment mediates the impact of Islamic work ethics on the change readiness of Islamic bank employees in Indonesia. Research limitations/implications: This research uses a sample of employees at Sharia commercial banks (BUS) in Indonesia, so it is still limited to certain types of banks. Future research needs to test the model in different contexts, such as banks that still have Sharia business unit (UUS) status. In addition, further research needs to use other variables such as leader support for transformational change readiness. Future research also needs to control more variables and use a more complex scale than a binary scale (e.g. percentage of share ownership or area within a province or district/city). This study recommends that employee change readiness is very necessary to avoid resistance and resistance to the transformation and acceleration of Sharia banking in Indonesia. Originality/value: This research looks at employee readiness for change in Indonesian Sharia banks through the lens of adaptability Islamic work ethics and organizational commitment. © 2024, Emerald Publishing Limited.","author":[{"dropping-particle":"","family":"Afrida","given":"Y","non-dropping-particle":"","parse-names":false,"suffix":""},{"dropping-particle":"","family":"Rivai","given":"H A","non-dropping-particle":"","parse-names":false,"suffix":""},{"dropping-particle":"","family":"Syahrul","given":"L","non-dropping-particle":"","parse-names":false,"suffix":""},{"dropping-particle":"","family":"Lukito","given":"H","non-dropping-particle":"","parse-names":false,"suffix":""}],"container-title":"Journal of Islamic Marketing","id":"ITEM-1","issue":"12","issued":{"date-parts":[["2024"]]},"language":"English","note":"Export Date: 09 January 2025; Cited By: 0; Correspondence Address: H.A. Rivai; Management Department, Faculty of Business and Economics, Universitas Andalas, Padang, Indonesia; email: harifamali@gmail.com","page":"3445-3463","publisher":"Emerald Publishing","publisher-place":"Department of Islamic Finance, Universitas Islam Negeri Imam Bonjol Padang, Padang, Indonesia","title":"Readiness to change in Islamic banking: the significance of adaptability and Islamic work ethics","type":"article-journal","volume":"15"},"uris":["http://www.mendeley.com/documents/?uuid=b37afd72-cb22-438a-878f-a99a8a2d598d"]}],"mendeley":{"formattedCitation":"(Afrida et al., 2024)","plainTextFormattedCitation":"(Afrida et al., 2024)","previouslyFormattedCitation":"(Afrida et al., 2024)"},"properties":{"noteIndex":0},"schema":"https://github.com/citation-style-language/schema/raw/master/csl-citation.json"}</w:instrText>
      </w:r>
      <w:r w:rsidR="00E566B0">
        <w:rPr>
          <w:rFonts w:ascii="Calibri Light" w:hAnsi="Calibri Light" w:cs="Calibri Light"/>
          <w:bCs/>
          <w:sz w:val="24"/>
          <w:szCs w:val="24"/>
          <w:lang w:val="en-ID"/>
        </w:rPr>
        <w:fldChar w:fldCharType="separate"/>
      </w:r>
      <w:r w:rsidR="00E566B0" w:rsidRPr="00E566B0">
        <w:rPr>
          <w:rFonts w:ascii="Calibri Light" w:hAnsi="Calibri Light" w:cs="Calibri Light"/>
          <w:bCs/>
          <w:noProof/>
          <w:sz w:val="24"/>
          <w:szCs w:val="24"/>
          <w:lang w:val="en-ID"/>
        </w:rPr>
        <w:t>(Afrida et al., 2024)</w:t>
      </w:r>
      <w:r w:rsidR="00E566B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xml:space="preserve">. This study collected and </w:t>
      </w:r>
      <w:proofErr w:type="spellStart"/>
      <w:r w:rsidRPr="0057036A">
        <w:rPr>
          <w:rFonts w:ascii="Calibri Light" w:hAnsi="Calibri Light" w:cs="Calibri Light"/>
          <w:bCs/>
          <w:sz w:val="24"/>
          <w:szCs w:val="24"/>
          <w:lang w:val="en-ID"/>
        </w:rPr>
        <w:t>analyzed</w:t>
      </w:r>
      <w:proofErr w:type="spellEnd"/>
      <w:r w:rsidRPr="0057036A">
        <w:rPr>
          <w:rFonts w:ascii="Calibri Light" w:hAnsi="Calibri Light" w:cs="Calibri Light"/>
          <w:bCs/>
          <w:sz w:val="24"/>
          <w:szCs w:val="24"/>
          <w:lang w:val="en-ID"/>
        </w:rPr>
        <w:t xml:space="preserve"> data from Scopus, one of the most comprehensive and reliable academic databases. A systematic review approach was applied using the PRISMA framework to ensure a structured and transparent selection process. Additionally, </w:t>
      </w:r>
      <w:proofErr w:type="spellStart"/>
      <w:r w:rsidRPr="0057036A">
        <w:rPr>
          <w:rFonts w:ascii="Calibri Light" w:hAnsi="Calibri Light" w:cs="Calibri Light"/>
          <w:bCs/>
          <w:sz w:val="24"/>
          <w:szCs w:val="24"/>
          <w:lang w:val="en-ID"/>
        </w:rPr>
        <w:t>VOSviewer</w:t>
      </w:r>
      <w:proofErr w:type="spellEnd"/>
      <w:r w:rsidRPr="0057036A">
        <w:rPr>
          <w:rFonts w:ascii="Calibri Light" w:hAnsi="Calibri Light" w:cs="Calibri Light"/>
          <w:bCs/>
          <w:sz w:val="24"/>
          <w:szCs w:val="24"/>
          <w:lang w:val="en-ID"/>
        </w:rPr>
        <w:t xml:space="preserve"> was used to create network visualizations, mapping research clusters and identifying key themes in the literature. The analysis revealed a significant increase in academic interest in this field, particularly in response to global financial crises and evolving banking regulations</w:t>
      </w:r>
      <w:r w:rsidR="000051D0">
        <w:rPr>
          <w:rFonts w:ascii="Calibri Light" w:hAnsi="Calibri Light" w:cs="Calibri Light"/>
          <w:bCs/>
          <w:sz w:val="24"/>
          <w:szCs w:val="24"/>
          <w:lang w:val="en-ID"/>
        </w:rPr>
        <w:t xml:space="preserve"> </w:t>
      </w:r>
      <w:r w:rsidR="000051D0">
        <w:rPr>
          <w:rFonts w:ascii="Calibri Light" w:hAnsi="Calibri Light" w:cs="Calibri Light"/>
          <w:bCs/>
          <w:sz w:val="24"/>
          <w:szCs w:val="24"/>
          <w:lang w:val="en-ID"/>
        </w:rPr>
        <w:fldChar w:fldCharType="begin" w:fldLock="1"/>
      </w:r>
      <w:r w:rsidR="00650CEB">
        <w:rPr>
          <w:rFonts w:ascii="Calibri Light" w:hAnsi="Calibri Light" w:cs="Calibri Light"/>
          <w:bCs/>
          <w:sz w:val="24"/>
          <w:szCs w:val="24"/>
          <w:lang w:val="en-ID"/>
        </w:rPr>
        <w:instrText>ADDIN CSL_CITATION {"citationItems":[{"id":"ITEM-1","itemData":{"DOI":"10.18488/5002.v12i2.4411","ISSN":"23052147 (ISSN)","abstract":"There is an ongoing debate on how Islamic banks contribute to bank sustainability. Theoretically, Islamic ethics promote sustainability, also called Maqasid al-shari'ah. This paper investigates the effect of geographical factors on Islamic bank sustainability. A theoretical and empirical model was developed to assess this relationship. It was hypothesized that geographical factors affect Islamic bank sustainability. Countries in specific geographical locations that are dominated by Islamic rules, such as the Middle East, have different magnitudes compared to east Asian countries that have fewer Islamic rules. A geographical risk model was developed according to the Maqasid al-Shari'ah concept and was employed based on a microeconomic banking model that portrays a variety of risks for 159 Islamic banks in ten countries. We constructed variables from macroeconomic databases, such as the World Development Indicators, and microeconomic databases, such as financial indicators and environmental, social, and governance (ESG) data from Thomson Reuters from 2012 to 2019. The analysis was conducted using panel instrumental variable regression to test the hypothesis; however, geographical risk variables produced biased results affecting Maqasid financing. The method was refined with IV quantile regression. It was found that geographical factors are strongly related to the improvement of Maqasid financing in Middle East regions, whereas in eastern regions this is vice versa. The results indicate that geopolitical factors stimulate Maqasid financing for Sustainable Development Goals.  © 2022 AESS Publications.","author":[{"dropping-particle":"","family":"Budiman","given":"T","non-dropping-particle":"","parse-names":false,"suffix":""},{"dropping-particle":"","family":"Febrian","given":"E","non-dropping-particle":"","parse-names":false,"suffix":""},{"dropping-particle":"","family":"Azis","given":"Y","non-dropping-particle":"","parse-names":false,"suffix":""}],"container-title":"Asian Economic and Financial Review","id":"ITEM-1","issue":"2","issued":{"date-parts":[["2022"]]},"language":"English","note":"Export Date: 26 November 2024; Cited By: 7; Correspondence Address: T. Budiman; Department of Management and Business, Faculty of Economics and Business, University of Padjadjaran, Indonesia; email: teguh.budiman1218@gmail.com","page":"70-88","publisher":"Asian Economic and Social Society","publisher-place":"Department of Management and Business, Faculty of Economics and Business, University of Padjadjaran, Indonesia","title":"THE EFFECT OF GEOGRAPHICAL FACTORS ON ISLAMIC BANKING SUSTAINABILITY PERFORMANCE: AN INSTRUMENTAL VARIABLE QUANTILE REGRESSION ANALYSIS","type":"article-journal","volume":"12"},"uris":["http://www.mendeley.com/documents/?uuid=bf2c9640-d59a-4e99-9a42-f4779a95e705"]}],"mendeley":{"formattedCitation":"(Budiman et al., 2022)","plainTextFormattedCitation":"(Budiman et al., 2022)","previouslyFormattedCitation":"(Budiman et al., 2022)"},"properties":{"noteIndex":0},"schema":"https://github.com/citation-style-language/schema/raw/master/csl-citation.json"}</w:instrText>
      </w:r>
      <w:r w:rsidR="000051D0">
        <w:rPr>
          <w:rFonts w:ascii="Calibri Light" w:hAnsi="Calibri Light" w:cs="Calibri Light"/>
          <w:bCs/>
          <w:sz w:val="24"/>
          <w:szCs w:val="24"/>
          <w:lang w:val="en-ID"/>
        </w:rPr>
        <w:fldChar w:fldCharType="separate"/>
      </w:r>
      <w:r w:rsidR="000051D0" w:rsidRPr="000051D0">
        <w:rPr>
          <w:rFonts w:ascii="Calibri Light" w:hAnsi="Calibri Light" w:cs="Calibri Light"/>
          <w:bCs/>
          <w:noProof/>
          <w:sz w:val="24"/>
          <w:szCs w:val="24"/>
          <w:lang w:val="en-ID"/>
        </w:rPr>
        <w:t>(Budiman et al., 2022)</w:t>
      </w:r>
      <w:r w:rsidR="000051D0">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w:t>
      </w:r>
    </w:p>
    <w:p w14:paraId="39E127BA" w14:textId="03E152EC" w:rsidR="0057036A" w:rsidRPr="0057036A" w:rsidRDefault="0057036A" w:rsidP="002E1840">
      <w:pPr>
        <w:spacing w:before="120" w:after="120"/>
        <w:ind w:left="426"/>
        <w:jc w:val="both"/>
        <w:rPr>
          <w:rFonts w:ascii="Calibri Light" w:hAnsi="Calibri Light" w:cs="Calibri Light"/>
          <w:bCs/>
          <w:sz w:val="24"/>
          <w:szCs w:val="24"/>
          <w:lang w:val="en-ID"/>
        </w:rPr>
      </w:pPr>
      <w:r w:rsidRPr="0057036A">
        <w:rPr>
          <w:rFonts w:ascii="Calibri Light" w:hAnsi="Calibri Light" w:cs="Calibri Light"/>
          <w:bCs/>
          <w:sz w:val="24"/>
          <w:szCs w:val="24"/>
          <w:lang w:val="en-ID"/>
        </w:rPr>
        <w:t>The findings indicate that countries with well-developed Islamic banking sectors, such as Malaysia, the Gulf Cooperation Council (GCC) countries, and Indonesia, have been the most active in publishing research on this topic</w:t>
      </w:r>
      <w:r w:rsidR="00C56155">
        <w:rPr>
          <w:rFonts w:ascii="Calibri Light" w:hAnsi="Calibri Light" w:cs="Calibri Light"/>
          <w:bCs/>
          <w:sz w:val="24"/>
          <w:szCs w:val="24"/>
          <w:lang w:val="en-ID"/>
        </w:rPr>
        <w:t xml:space="preserve"> </w:t>
      </w:r>
      <w:r w:rsidR="00C56155">
        <w:rPr>
          <w:rFonts w:ascii="Calibri Light" w:hAnsi="Calibri Light" w:cs="Calibri Light"/>
          <w:bCs/>
          <w:sz w:val="24"/>
          <w:szCs w:val="24"/>
          <w:lang w:val="en-ID"/>
        </w:rPr>
        <w:fldChar w:fldCharType="begin" w:fldLock="1"/>
      </w:r>
      <w:r w:rsidR="003C27F1">
        <w:rPr>
          <w:rFonts w:ascii="Calibri Light" w:hAnsi="Calibri Light" w:cs="Calibri Light"/>
          <w:bCs/>
          <w:sz w:val="24"/>
          <w:szCs w:val="24"/>
          <w:lang w:val="en-ID"/>
        </w:rPr>
        <w:instrText>ADDIN CSL_CITATION {"citationItems":[{"id":"ITEM-1","itemData":{"author":[{"dropping-particle":"","family":"Isman","given":"Isman","non-dropping-particle":"","parse-names":false,"suffix":""}],"id":"ITEM-1","issue":"September","issued":{"date-parts":[["2024"]]},"title":"International Conference on Actual Islamic Studies Islamic Capital Market Accessibility and Fintech Innovation : Transformation of POJK 77 / 2016 Islamic Capital Market Accessibility and Fintech Innovation : Transformation of POJK 77 / 2016","type":"article-journal"},"uris":["http://www.mendeley.com/documents/?uuid=dfa7752f-c134-4c76-90d6-7efabaa44807"]}],"mendeley":{"formattedCitation":"(Isman, 2024)","plainTextFormattedCitation":"(Isman, 2024)","previouslyFormattedCitation":"(Isman, 2024)"},"properties":{"noteIndex":0},"schema":"https://github.com/citation-style-language/schema/raw/master/csl-citation.json"}</w:instrText>
      </w:r>
      <w:r w:rsidR="00C56155">
        <w:rPr>
          <w:rFonts w:ascii="Calibri Light" w:hAnsi="Calibri Light" w:cs="Calibri Light"/>
          <w:bCs/>
          <w:sz w:val="24"/>
          <w:szCs w:val="24"/>
          <w:lang w:val="en-ID"/>
        </w:rPr>
        <w:fldChar w:fldCharType="separate"/>
      </w:r>
      <w:r w:rsidR="00C56155" w:rsidRPr="00C56155">
        <w:rPr>
          <w:rFonts w:ascii="Calibri Light" w:hAnsi="Calibri Light" w:cs="Calibri Light"/>
          <w:bCs/>
          <w:noProof/>
          <w:sz w:val="24"/>
          <w:szCs w:val="24"/>
          <w:lang w:val="en-ID"/>
        </w:rPr>
        <w:t>(Isman, 2024)</w:t>
      </w:r>
      <w:r w:rsidR="00C56155">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 Additionally, several academic journals specializing in Islamic finance and banking regulation have played a crucial role in disseminating studies in this area. By examining the most frequently used research keywords over the past decade, it was found that terms such as "Basel III," "Islamic Finance Regulation," and "Risk Management in Islamic Banking" were among the most commonly cited, reflecting the growing focus on regulatory challenges faced by Islamic financial institutions</w:t>
      </w:r>
      <w:r w:rsidR="00650CEB">
        <w:rPr>
          <w:rFonts w:ascii="Calibri Light" w:hAnsi="Calibri Light" w:cs="Calibri Light"/>
          <w:bCs/>
          <w:sz w:val="24"/>
          <w:szCs w:val="24"/>
          <w:lang w:val="en-ID"/>
        </w:rPr>
        <w:t xml:space="preserve"> </w:t>
      </w:r>
      <w:r w:rsidR="00650CEB">
        <w:rPr>
          <w:rFonts w:ascii="Calibri Light" w:hAnsi="Calibri Light" w:cs="Calibri Light"/>
          <w:bCs/>
          <w:sz w:val="24"/>
          <w:szCs w:val="24"/>
          <w:lang w:val="en-ID"/>
        </w:rPr>
        <w:fldChar w:fldCharType="begin" w:fldLock="1"/>
      </w:r>
      <w:r w:rsidR="00650CEB">
        <w:rPr>
          <w:rFonts w:ascii="Calibri Light" w:hAnsi="Calibri Light" w:cs="Calibri Light"/>
          <w:bCs/>
          <w:sz w:val="24"/>
          <w:szCs w:val="24"/>
          <w:lang w:val="en-ID"/>
        </w:rPr>
        <w:instrText>ADDIN CSL_CITATION {"citationItems":[{"id":"ITEM-1","itemData":{"DOI":"10.21511/bbs.16(1).2021.05","ISSN":"18167403 (ISSN)","abstract":"This paper aims to analyze the link between the disclosure of zakat information and the performance of Islamic financial institutions in Yemen. Panel data of three Islamic banks working in Yemen were used. The study used a 16-item disclosure index to measure zakat disclosure information, and the financial performance of banks was calculated using two proxies, such as return on assets (ROA) and return on equity (ROE). Based on secondary data, this study used correlation matrix, descriptive analysis and regression analysis. ROA results revealed that zakat data and the age of a bank significantly affected financial results calculated by ROA, while the size of Islamic banks had an insignificant influence of banking performance. Zakat information and the size of Islamic banks have a positive effect on bank performance, while the age of the bank negatively influences the performance of banks. The results concerning ROE indicated that zakat data and the age of a bank have a strong and significant influence on the performance of banks, determined by ROA, while the size of a bank has a negative and insignificant effect on the performance of banks, determined by ROE. © Eissa A. Al-Homaidi, Ebrahim Mohammed Al-Matari, Suhaib Anagreh, Mosab I. Tabash, Nabil Ahmed Mareai Senan, 2021.","author":[{"dropping-particle":"","family":"Al-Homaidi","given":"E A","non-dropping-particle":"","parse-names":false,"suffix":""},{"dropping-particle":"","family":"Al-Matari","given":"E M","non-dropping-particle":"","parse-names":false,"suffix":""},{"dropping-particle":"","family":"Anagreh","given":"S","non-dropping-particle":"","parse-names":false,"suffix":""},{"dropping-particle":"","family":"Tabash","given":"M I","non-dropping-particle":"","parse-names":false,"suffix":""},{"dropping-particle":"","family":"Mareai Senan","given":"N A","non-dropping-particle":"","parse-names":false,"suffix":""}],"container-title":"Banks and Bank Systems","id":"ITEM-1","issue":"1","issued":{"date-parts":[["2021"]]},"language":"English","note":"Export Date: 24 April 2025; Cited By: 8","page":"52-61","publisher":"LLC CPC Business Perspectives","publisher-place":"Faculty of Commerce, Aligarh Muslim University, India","title":"The relationship between zakat disclosures and Islamic banking performance: Evidence from Yemen","type":"article-journal","volume":"16"},"uris":["http://www.mendeley.com/documents/?uuid=7f583a3b-8cf2-4bdf-abd2-61c6b3679995"]}],"mendeley":{"formattedCitation":"(Al-Homaidi et al., 2021)","plainTextFormattedCitation":"(Al-Homaidi et al., 2021)","previouslyFormattedCitation":"(Al-Homaidi et al., 2021)"},"properties":{"noteIndex":0},"schema":"https://github.com/citation-style-language/schema/raw/master/csl-citation.json"}</w:instrText>
      </w:r>
      <w:r w:rsidR="00650CEB">
        <w:rPr>
          <w:rFonts w:ascii="Calibri Light" w:hAnsi="Calibri Light" w:cs="Calibri Light"/>
          <w:bCs/>
          <w:sz w:val="24"/>
          <w:szCs w:val="24"/>
          <w:lang w:val="en-ID"/>
        </w:rPr>
        <w:fldChar w:fldCharType="separate"/>
      </w:r>
      <w:r w:rsidR="00650CEB" w:rsidRPr="00650CEB">
        <w:rPr>
          <w:rFonts w:ascii="Calibri Light" w:hAnsi="Calibri Light" w:cs="Calibri Light"/>
          <w:bCs/>
          <w:noProof/>
          <w:sz w:val="24"/>
          <w:szCs w:val="24"/>
          <w:lang w:val="en-ID"/>
        </w:rPr>
        <w:t>(Al-Homaidi et al., 2021)</w:t>
      </w:r>
      <w:r w:rsidR="00650CEB">
        <w:rPr>
          <w:rFonts w:ascii="Calibri Light" w:hAnsi="Calibri Light" w:cs="Calibri Light"/>
          <w:bCs/>
          <w:sz w:val="24"/>
          <w:szCs w:val="24"/>
          <w:lang w:val="en-ID"/>
        </w:rPr>
        <w:fldChar w:fldCharType="end"/>
      </w:r>
      <w:r w:rsidRPr="0057036A">
        <w:rPr>
          <w:rFonts w:ascii="Calibri Light" w:hAnsi="Calibri Light" w:cs="Calibri Light"/>
          <w:bCs/>
          <w:sz w:val="24"/>
          <w:szCs w:val="24"/>
          <w:lang w:val="en-ID"/>
        </w:rPr>
        <w:t>.</w:t>
      </w:r>
    </w:p>
    <w:p w14:paraId="21A1C100" w14:textId="082F112B" w:rsidR="0057036A" w:rsidRPr="00017625" w:rsidRDefault="0057036A" w:rsidP="002E1840">
      <w:pPr>
        <w:spacing w:before="120" w:after="120"/>
        <w:ind w:left="426"/>
        <w:jc w:val="both"/>
        <w:rPr>
          <w:rFonts w:ascii="Calibri Light" w:hAnsi="Calibri Light" w:cs="Calibri Light"/>
          <w:bCs/>
          <w:sz w:val="24"/>
          <w:szCs w:val="24"/>
          <w:lang w:val="en-ID"/>
        </w:rPr>
      </w:pPr>
      <w:commentRangeStart w:id="7"/>
      <w:r w:rsidRPr="0057036A">
        <w:rPr>
          <w:rFonts w:ascii="Calibri Light" w:hAnsi="Calibri Light" w:cs="Calibri Light"/>
          <w:bCs/>
          <w:sz w:val="24"/>
          <w:szCs w:val="24"/>
          <w:lang w:val="en-ID"/>
        </w:rPr>
        <w:t xml:space="preserve">Based on these findings, this study aims to provide a comprehensive overview </w:t>
      </w:r>
      <w:commentRangeEnd w:id="7"/>
      <w:r w:rsidR="00DA1969">
        <w:rPr>
          <w:rStyle w:val="CommentReference"/>
        </w:rPr>
        <w:commentReference w:id="7"/>
      </w:r>
      <w:r w:rsidRPr="0057036A">
        <w:rPr>
          <w:rFonts w:ascii="Calibri Light" w:hAnsi="Calibri Light" w:cs="Calibri Light"/>
          <w:bCs/>
          <w:sz w:val="24"/>
          <w:szCs w:val="24"/>
          <w:lang w:val="en-ID"/>
        </w:rPr>
        <w:t>of the evolving research landscape on Basel Accords and Islamic banking, identifying gaps in the literature that could inform future studies. Some of the key research questions guiding this study include: What is the annual distribution of publications related to Basel Accords and Islamic banking over the past decade? Which journals and authors have been the most influential in this field? Which countries have contributed the most research on the intersection of Basel regulations and Islamic finance? What are the primary research keywords that have shaped academic discussions in this domain? By addressing these questions, this study will offer valuable insights for academics, policymakers, and financial professionals, helping them understand current developments and future directions in integrating international banking regulations with the principles of Islamic finance.</w:t>
      </w:r>
    </w:p>
    <w:p w14:paraId="588016E7" w14:textId="77777777" w:rsidR="00D26ADD" w:rsidRPr="00122F5F" w:rsidRDefault="00334792" w:rsidP="00540F02">
      <w:pPr>
        <w:numPr>
          <w:ilvl w:val="0"/>
          <w:numId w:val="15"/>
        </w:numPr>
        <w:autoSpaceDE/>
        <w:autoSpaceDN/>
        <w:spacing w:before="120" w:after="120"/>
        <w:ind w:left="426" w:hanging="219"/>
        <w:rPr>
          <w:rFonts w:ascii="Calibri Light" w:hAnsi="Calibri Light" w:cs="Calibri Light"/>
          <w:b/>
          <w:sz w:val="24"/>
          <w:szCs w:val="24"/>
          <w:lang w:val="id-ID"/>
        </w:rPr>
      </w:pPr>
      <w:r w:rsidRPr="00122F5F">
        <w:rPr>
          <w:rFonts w:ascii="Calibri Light" w:hAnsi="Calibri Light" w:cs="Calibri Light"/>
          <w:b/>
          <w:sz w:val="24"/>
          <w:szCs w:val="24"/>
          <w:lang w:val="id-ID"/>
        </w:rPr>
        <w:t>METHOD</w:t>
      </w:r>
      <w:r w:rsidR="00D26ADD" w:rsidRPr="00122F5F">
        <w:rPr>
          <w:rFonts w:ascii="Calibri Light" w:hAnsi="Calibri Light" w:cs="Calibri Light"/>
          <w:b/>
          <w:sz w:val="24"/>
          <w:szCs w:val="24"/>
        </w:rPr>
        <w:t xml:space="preserve"> </w:t>
      </w:r>
    </w:p>
    <w:p w14:paraId="24EDB683" w14:textId="7E27EEFB" w:rsidR="002E1840" w:rsidRPr="002E1840" w:rsidRDefault="002E1840" w:rsidP="002E1840">
      <w:pPr>
        <w:autoSpaceDE/>
        <w:autoSpaceDN/>
        <w:spacing w:before="100" w:beforeAutospacing="1" w:after="100" w:afterAutospacing="1"/>
        <w:ind w:left="426"/>
        <w:jc w:val="both"/>
        <w:rPr>
          <w:rFonts w:ascii="Calibri Light" w:hAnsi="Calibri Light" w:cs="Calibri Light"/>
          <w:sz w:val="24"/>
          <w:szCs w:val="24"/>
          <w:lang w:val="en-ID" w:eastAsia="en-ID"/>
        </w:rPr>
      </w:pPr>
      <w:r w:rsidRPr="002E1840">
        <w:rPr>
          <w:rFonts w:ascii="Calibri Light" w:hAnsi="Calibri Light" w:cs="Calibri Light"/>
          <w:sz w:val="24"/>
          <w:szCs w:val="24"/>
          <w:lang w:val="en-ID" w:eastAsia="en-ID"/>
        </w:rPr>
        <w:t xml:space="preserve">In this study, a bibliometric analysis was conducted using the Scopus database to extract research related to the Basel Accords and Islamic banking from 2015 to 2024. The search was performed using a carefully selected set of keywords to ensure comprehensive coverage, including "Basel Accords," "Islamic Banking," "Risk Management," "Shariah," and others. Several filters were applied to refine the search scope, restricting the analysis to studies published in the fields of economics and business (ECON, BUSI), scientific articles (Article Type), English-language publications, and </w:t>
      </w:r>
      <w:commentRangeStart w:id="8"/>
      <w:r w:rsidRPr="002E1840">
        <w:rPr>
          <w:rFonts w:ascii="Calibri Light" w:hAnsi="Calibri Light" w:cs="Calibri Light"/>
          <w:sz w:val="24"/>
          <w:szCs w:val="24"/>
          <w:lang w:val="en-ID" w:eastAsia="en-ID"/>
        </w:rPr>
        <w:t>peer-reviewed journals</w:t>
      </w:r>
      <w:r w:rsidR="00650CEB">
        <w:rPr>
          <w:rFonts w:ascii="Calibri Light" w:hAnsi="Calibri Light" w:cs="Calibri Light"/>
          <w:sz w:val="24"/>
          <w:szCs w:val="24"/>
          <w:lang w:val="en-ID" w:eastAsia="en-ID"/>
        </w:rPr>
        <w:t xml:space="preserve"> </w:t>
      </w:r>
      <w:commentRangeEnd w:id="8"/>
      <w:r w:rsidR="006527D4">
        <w:rPr>
          <w:rStyle w:val="CommentReference"/>
        </w:rPr>
        <w:commentReference w:id="8"/>
      </w:r>
      <w:r w:rsidR="00650CEB">
        <w:rPr>
          <w:rFonts w:ascii="Calibri Light" w:hAnsi="Calibri Light" w:cs="Calibri Light"/>
          <w:sz w:val="24"/>
          <w:szCs w:val="24"/>
          <w:lang w:val="en-ID" w:eastAsia="en-ID"/>
        </w:rPr>
        <w:fldChar w:fldCharType="begin" w:fldLock="1"/>
      </w:r>
      <w:r w:rsidR="003B2BD3">
        <w:rPr>
          <w:rFonts w:ascii="Calibri Light" w:hAnsi="Calibri Light" w:cs="Calibri Light"/>
          <w:sz w:val="24"/>
          <w:szCs w:val="24"/>
          <w:lang w:val="en-ID" w:eastAsia="en-ID"/>
        </w:rPr>
        <w:instrText>ADDIN CSL_CITATION {"citationItems":[{"id":"ITEM-1","itemData":{"DOI":"10.4197/Islec.36-1.5","ISSN":"10187383 (ISSN)","abstract":"The term Islamic in Islamic banking naturally raises the question of what this word adds to the concept and practice of banking? The early literature on Islamic economics raised the bar of expectations and envisioned Islamic banking as distinct from conventional banking by avoiding interest in letters and spirit. Interest-based banking was thought to suffer from exclusion, inequality, injustice, misallocation of capital resources and concentration of capital. It was thought that Islamic banking, while avoiding interest, would be more inclusive, equitable, and fair and would result in a broad allocation of resources without the exclusionary criterion of a fixed cost of capital. It was also thought that this new banking system would reduce income and wealth inequalities and control the concentration of wealth. Today, after two decades of Islamic banking in Pakistan, it is pertinent to assess the progress and performance of these ideals. This study evaluates Islamic banking in terms of inclusiveness, competitiveness, and equity. The economic assessment shows that Islamic banks have secured financial inclusion for those who wish to avoid ribā. However, concerted efforts are needed to improve competitiveness and distinction regarding distributional impact of Islamic financial products © 2023, Journal of King Abdulaziz University, Islamic Economics.All Rights Reserved.","author":[{"dropping-particle":"","family":"Shaikh","given":"S A","non-dropping-particle":"","parse-names":false,"suffix":""}],"container-title":"Journal of King Abdulaziz University, Islamic Economics","id":"ITEM-1","issue":"1","issued":{"date-parts":[["2023"]]},"language":"English","note":"Export Date: 30 November 2024; Cited By: 1; Correspondence Address: S.A. Shaikh; SZABIST University, Karachi, Pakistan; email: salmanahmed_hyd@hotmail.com","page":"91-111","publisher":"King Abdulaziz University Scientific Publishing Center","publisher-place":"SZABIST University, Karachi, Pakistan","title":"Economic Evaluation of Islamic Banking in Pakistan","type":"article-journal","volume":"36"},"uris":["http://www.mendeley.com/documents/?uuid=845d223e-9c75-43b9-a62e-961359636284"]}],"mendeley":{"formattedCitation":"(Shaikh, 2023)","plainTextFormattedCitation":"(Shaikh, 2023)","previouslyFormattedCitation":"(Shaikh, 2023)"},"properties":{"noteIndex":0},"schema":"https://github.com/citation-style-language/schema/raw/master/csl-citation.json"}</w:instrText>
      </w:r>
      <w:r w:rsidR="00650CEB">
        <w:rPr>
          <w:rFonts w:ascii="Calibri Light" w:hAnsi="Calibri Light" w:cs="Calibri Light"/>
          <w:sz w:val="24"/>
          <w:szCs w:val="24"/>
          <w:lang w:val="en-ID" w:eastAsia="en-ID"/>
        </w:rPr>
        <w:fldChar w:fldCharType="separate"/>
      </w:r>
      <w:r w:rsidR="00650CEB" w:rsidRPr="00650CEB">
        <w:rPr>
          <w:rFonts w:ascii="Calibri Light" w:hAnsi="Calibri Light" w:cs="Calibri Light"/>
          <w:noProof/>
          <w:sz w:val="24"/>
          <w:szCs w:val="24"/>
          <w:lang w:val="en-ID" w:eastAsia="en-ID"/>
        </w:rPr>
        <w:t>(Shaikh, 2023)</w:t>
      </w:r>
      <w:r w:rsidR="00650CEB">
        <w:rPr>
          <w:rFonts w:ascii="Calibri Light" w:hAnsi="Calibri Light" w:cs="Calibri Light"/>
          <w:sz w:val="24"/>
          <w:szCs w:val="24"/>
          <w:lang w:val="en-ID" w:eastAsia="en-ID"/>
        </w:rPr>
        <w:fldChar w:fldCharType="end"/>
      </w:r>
      <w:r w:rsidRPr="002E1840">
        <w:rPr>
          <w:rFonts w:ascii="Calibri Light" w:hAnsi="Calibri Light" w:cs="Calibri Light"/>
          <w:sz w:val="24"/>
          <w:szCs w:val="24"/>
          <w:lang w:val="en-ID" w:eastAsia="en-ID"/>
        </w:rPr>
        <w:t>.</w:t>
      </w:r>
    </w:p>
    <w:p w14:paraId="4E7F7670" w14:textId="2F24F493" w:rsidR="002E1840" w:rsidRPr="002E1840" w:rsidRDefault="002E1840" w:rsidP="002E1840">
      <w:pPr>
        <w:autoSpaceDE/>
        <w:autoSpaceDN/>
        <w:spacing w:before="100" w:beforeAutospacing="1" w:after="100" w:afterAutospacing="1"/>
        <w:ind w:left="426"/>
        <w:jc w:val="both"/>
        <w:rPr>
          <w:rFonts w:ascii="Calibri Light" w:hAnsi="Calibri Light" w:cs="Calibri Light"/>
          <w:sz w:val="24"/>
          <w:szCs w:val="24"/>
          <w:lang w:val="en-ID" w:eastAsia="en-ID"/>
        </w:rPr>
      </w:pPr>
      <w:r w:rsidRPr="002E1840">
        <w:rPr>
          <w:rFonts w:ascii="Calibri Light" w:hAnsi="Calibri Light" w:cs="Calibri Light"/>
          <w:sz w:val="24"/>
          <w:szCs w:val="24"/>
          <w:lang w:val="en-ID" w:eastAsia="en-ID"/>
        </w:rPr>
        <w:t>In the initial stage, the search yielded 3,511 records, reflecting the vast amount of research in this domain</w:t>
      </w:r>
      <w:r w:rsidR="003B2BD3">
        <w:rPr>
          <w:rFonts w:ascii="Calibri Light" w:hAnsi="Calibri Light" w:cs="Calibri Light"/>
          <w:sz w:val="24"/>
          <w:szCs w:val="24"/>
          <w:lang w:val="en-ID" w:eastAsia="en-ID"/>
        </w:rPr>
        <w:t xml:space="preserve"> </w:t>
      </w:r>
      <w:r w:rsidR="003B2BD3">
        <w:rPr>
          <w:rFonts w:ascii="Calibri Light" w:hAnsi="Calibri Light" w:cs="Calibri Light"/>
          <w:sz w:val="24"/>
          <w:szCs w:val="24"/>
          <w:lang w:val="en-ID" w:eastAsia="en-ID"/>
        </w:rPr>
        <w:fldChar w:fldCharType="begin" w:fldLock="1"/>
      </w:r>
      <w:r w:rsidR="003B2BD3">
        <w:rPr>
          <w:rFonts w:ascii="Calibri Light" w:hAnsi="Calibri Light" w:cs="Calibri Light"/>
          <w:sz w:val="24"/>
          <w:szCs w:val="24"/>
          <w:lang w:val="en-ID" w:eastAsia="en-ID"/>
        </w:rPr>
        <w:instrText>ADDIN CSL_CITATION {"citationItems":[{"id":"ITEM-1","itemData":{"DOI":"10.1504/ijmef.2022.126888","ISSN":"17520479 (ISSN)","abstract":"In Indonesia, the Islamic banking industry has been experiencing growth since its establishment in 1992. Although its profitability has declined slightly due to Covid-19, Islamic banks have recorded higher profitability than the average banking industry nationwide. Motivated to identify the factors that determine the banking profitability, this research empirically tests the contribution of intellectual capital (measured by VAICTM), banks’ liquidity (financing-to-deposit ratio), and financing ineffectiveness (non-performing financing or NPF) to the profitability (return on assets or ROA) of Islamic banks in Indonesia. We gathered data from the published financial information comprising a total of 130 observation years. The result shows that intellectual capital, banks’ liquidity, and financing ineffectiveness impacted the profitability of Islamic banks in Indonesia. The findings of this study provide policy implications for Indonesia’s Islamic banks to apply prudential banking principles in their financing activities. Copyright © 2022 Inderscience Enterprises Ltd.","author":[{"dropping-particle":"","family":"Fitri","given":"F A","non-dropping-particle":"","parse-names":false,"suffix":""},{"dropping-particle":"","family":"Syukur","given":"M","non-dropping-particle":"","parse-names":false,"suffix":""},{"dropping-particle":"","family":"Majid","given":"M S A","non-dropping-particle":"","parse-names":false,"suffix":""},{"dropping-particle":"","family":"Farhana","given":"I","non-dropping-particle":"","parse-names":false,"suffix":""},{"dropping-particle":"","family":"Hatta","given":"F","non-dropping-particle":"","parse-names":false,"suffix":""}],"container-title":"International Journal of Monetary Economics and Finance","id":"ITEM-1","issue":"3","issued":{"date-parts":[["2022"]]},"language":"English","note":"Export Date: 24 April 2025; Cited By: 3; Correspondence Address: F.A. Fitri; Department of Accounting, Faculty of Economics and Business, Universitas Syiah Kuala (USK), Banda Aceh, Jl. Teuku Nyak Arief No. 441, 23111, Indonesia; email: fauziah.afitri@unsyiah.ac.id","page":"293-308","publisher":"Inderscience Publishers","publisher-place":"Department of Accounting, Faculty of Economics and Business, Universitas Syiah Kuala (USK), Jl. Teuku Nyak Arief No. 441, Banda Aceh, 23111, Indonesia","title":"Do intellectual capital and financing matter for the profitability of the Islamic banking industry in Indonesia?","type":"article-journal","volume":"15"},"uris":["http://www.mendeley.com/documents/?uuid=a59b395a-9099-4512-bb6e-472b5ac1e678"]}],"mendeley":{"formattedCitation":"(Fitri et al., 2022)","plainTextFormattedCitation":"(Fitri et al., 2022)","previouslyFormattedCitation":"(Fitri et al., 2022)"},"properties":{"noteIndex":0},"schema":"https://github.com/citation-style-language/schema/raw/master/csl-citation.json"}</w:instrText>
      </w:r>
      <w:r w:rsidR="003B2BD3">
        <w:rPr>
          <w:rFonts w:ascii="Calibri Light" w:hAnsi="Calibri Light" w:cs="Calibri Light"/>
          <w:sz w:val="24"/>
          <w:szCs w:val="24"/>
          <w:lang w:val="en-ID" w:eastAsia="en-ID"/>
        </w:rPr>
        <w:fldChar w:fldCharType="separate"/>
      </w:r>
      <w:r w:rsidR="003B2BD3" w:rsidRPr="003B2BD3">
        <w:rPr>
          <w:rFonts w:ascii="Calibri Light" w:hAnsi="Calibri Light" w:cs="Calibri Light"/>
          <w:noProof/>
          <w:sz w:val="24"/>
          <w:szCs w:val="24"/>
          <w:lang w:val="en-ID" w:eastAsia="en-ID"/>
        </w:rPr>
        <w:t>(Fitri et al., 2022)</w:t>
      </w:r>
      <w:r w:rsidR="003B2BD3">
        <w:rPr>
          <w:rFonts w:ascii="Calibri Light" w:hAnsi="Calibri Light" w:cs="Calibri Light"/>
          <w:sz w:val="24"/>
          <w:szCs w:val="24"/>
          <w:lang w:val="en-ID" w:eastAsia="en-ID"/>
        </w:rPr>
        <w:fldChar w:fldCharType="end"/>
      </w:r>
      <w:r w:rsidRPr="002E1840">
        <w:rPr>
          <w:rFonts w:ascii="Calibri Light" w:hAnsi="Calibri Light" w:cs="Calibri Light"/>
          <w:sz w:val="24"/>
          <w:szCs w:val="24"/>
          <w:lang w:val="en-ID" w:eastAsia="en-ID"/>
        </w:rPr>
        <w:t xml:space="preserve">. Following a screening and filtering process, irrelevant studies were excluded based on a review of titles and abstracts, as well as an assessment of their relevance to the research criteria. During the eligibility evaluation phase, full-text articles were assessed, leading to further exclusions of studies that did not align with the </w:t>
      </w:r>
      <w:r w:rsidRPr="002E1840">
        <w:rPr>
          <w:rFonts w:ascii="Calibri Light" w:hAnsi="Calibri Light" w:cs="Calibri Light"/>
          <w:sz w:val="24"/>
          <w:szCs w:val="24"/>
          <w:lang w:val="en-ID" w:eastAsia="en-ID"/>
        </w:rPr>
        <w:lastRenderedPageBreak/>
        <w:t>scope of the research. After these processes, 1,149 final studies were selected, representing the most relevant and high-quality research</w:t>
      </w:r>
      <w:r w:rsidR="003B2BD3">
        <w:rPr>
          <w:rFonts w:ascii="Calibri Light" w:hAnsi="Calibri Light" w:cs="Calibri Light"/>
          <w:sz w:val="24"/>
          <w:szCs w:val="24"/>
          <w:lang w:val="en-ID" w:eastAsia="en-ID"/>
        </w:rPr>
        <w:t xml:space="preserve"> </w:t>
      </w:r>
      <w:r w:rsidR="003B2BD3">
        <w:rPr>
          <w:rFonts w:ascii="Calibri Light" w:hAnsi="Calibri Light" w:cs="Calibri Light"/>
          <w:sz w:val="24"/>
          <w:szCs w:val="24"/>
          <w:lang w:val="en-ID" w:eastAsia="en-ID"/>
        </w:rPr>
        <w:fldChar w:fldCharType="begin" w:fldLock="1"/>
      </w:r>
      <w:r w:rsidR="003C27F1">
        <w:rPr>
          <w:rFonts w:ascii="Calibri Light" w:hAnsi="Calibri Light" w:cs="Calibri Light"/>
          <w:sz w:val="24"/>
          <w:szCs w:val="24"/>
          <w:lang w:val="en-ID" w:eastAsia="en-ID"/>
        </w:rPr>
        <w:instrText>ADDIN CSL_CITATION {"citationItems":[{"id":"ITEM-1","itemData":{"DOI":"10.1108/QRFM-10-2022-0173","ISSN":"17554179 (ISSN)","abstract":"Purpose: This study aims to explore the prospects of istijrar financing in the Islamic banking of Bangladesh. Istijrar is a supply sale contract that facilitates recurrent transactions under a master agreement without needing a deal-to-deal agreement. Murabahah financing in Bangladesh is being criticized for Shari’ah violations, which can be minimized if istijrar financing is integrated and applied. Design/methodology/approach: The study uses a qualitative approach, primarily using a semistructured interview method to collect the primary data. The study conducted 13 one-to-one interviews with leading Islamic banking experts in the country, including Shari’ah scholars, Islamic bankers and regulators. Besides, the study consults with classical and contemporary fiqhi sources to realize the status of istijrar sale in Islamic law. Thematic analysis is performed to explore the qualitative data. Findings: The study finds that istijrar financing has great prospects in the Islamic banking of Bangladesh. Istijrar is applicable in consumer financing and can be offered as an alternative or supplement to murabahah. Also, postimport murabahah financing can be structured with istijrar, while it can also be used in export financing. Besides, a few challenges should be dealt with before offering istijrar, such as proper structure, lack of literacy, stakeholders’ awareness, Shari’ah and regulatory approval and alignment with the law of the land. Practical implications: Murabahah financing is dominant on the asset side of Islamic banks’ balance sheets in Bangladesh. Murabahah practice in Bangladesh is frequently criticized for some possible Shari’ah violations. Also, more documents are needed for each murabahah operation, which eventually accelerates the costs. Applying istijrar would minimize these issues as it does not require a new contract for each deal. Multiple supplies can be done under a single agreement. Besides, istijrar reduces documentation hassle and transaction costs. Istijrar would be an easy practice and benefit the bank and its clients. Originality/value: This study contributes to the body of knowledge and the Islamic banking industry. The existing studies have not adequately addressed the potential of istijrar in Islamic banking. In addition, this study will be an eye-opener for Islamic bankers to develop new products with istijrar. © 2023, Emerald Publishing Limited.","author":[{"dropping-particle":"","family":"Rahman","given":"M H","non-dropping-particle":"","parse-names":false,"suffix":""},{"dropping-particle":"","family":"Chowdhury","given":"N.M.S.I.","non-dropping-particle":"","parse-names":false,"suffix":""}],"container-title":"Qualitative Research in Financial Markets","id":"ITEM-1","issue":"1","issued":{"date-parts":[["2024"]]},"language":"English","note":"Export Date: 24 April 2025; Cited By: 4; Correspondence Address: M.H. Rahman; Faculty of Business and Management, Universiti Sultan Zainal Abidin (UniSZA), Kuala Terengganu, Malaysia; email: hrnizamee10@gmail.com","page":"135-158","publisher":"Emerald Publishing","publisher-place":"Faculty of Business and Management, Universiti Sultan Zainal Abidin (UniSZA), Kuala Terengganu, Malaysia","title":"The prospects of istijrar financing in Islamic banking: an exploratory study in Bangladesh","type":"article-journal","volume":"16"},"uris":["http://www.mendeley.com/documents/?uuid=e8b3b3f1-81f3-4ada-a87e-697e777ee9d8"]}],"mendeley":{"formattedCitation":"(Rahman &amp; Chowdhury, 2024)","plainTextFormattedCitation":"(Rahman &amp; Chowdhury, 2024)","previouslyFormattedCitation":"(Rahman &amp; Chowdhury, 2024)"},"properties":{"noteIndex":0},"schema":"https://github.com/citation-style-language/schema/raw/master/csl-citation.json"}</w:instrText>
      </w:r>
      <w:r w:rsidR="003B2BD3">
        <w:rPr>
          <w:rFonts w:ascii="Calibri Light" w:hAnsi="Calibri Light" w:cs="Calibri Light"/>
          <w:sz w:val="24"/>
          <w:szCs w:val="24"/>
          <w:lang w:val="en-ID" w:eastAsia="en-ID"/>
        </w:rPr>
        <w:fldChar w:fldCharType="separate"/>
      </w:r>
      <w:r w:rsidR="003C27F1" w:rsidRPr="003C27F1">
        <w:rPr>
          <w:rFonts w:ascii="Calibri Light" w:hAnsi="Calibri Light" w:cs="Calibri Light"/>
          <w:noProof/>
          <w:sz w:val="24"/>
          <w:szCs w:val="24"/>
          <w:lang w:val="en-ID" w:eastAsia="en-ID"/>
        </w:rPr>
        <w:t>(Rahman &amp; Chowdhury, 2024)</w:t>
      </w:r>
      <w:r w:rsidR="003B2BD3">
        <w:rPr>
          <w:rFonts w:ascii="Calibri Light" w:hAnsi="Calibri Light" w:cs="Calibri Light"/>
          <w:sz w:val="24"/>
          <w:szCs w:val="24"/>
          <w:lang w:val="en-ID" w:eastAsia="en-ID"/>
        </w:rPr>
        <w:fldChar w:fldCharType="end"/>
      </w:r>
      <w:r w:rsidRPr="002E1840">
        <w:rPr>
          <w:rFonts w:ascii="Calibri Light" w:hAnsi="Calibri Light" w:cs="Calibri Light"/>
          <w:sz w:val="24"/>
          <w:szCs w:val="24"/>
          <w:lang w:val="en-ID" w:eastAsia="en-ID"/>
        </w:rPr>
        <w:t>.</w:t>
      </w:r>
    </w:p>
    <w:p w14:paraId="0AEF7F08" w14:textId="77777777" w:rsidR="002E1840" w:rsidRPr="002E1840" w:rsidRDefault="002E1840" w:rsidP="002E1840">
      <w:pPr>
        <w:autoSpaceDE/>
        <w:autoSpaceDN/>
        <w:spacing w:before="100" w:beforeAutospacing="1" w:after="100" w:afterAutospacing="1"/>
        <w:ind w:left="426"/>
        <w:jc w:val="both"/>
        <w:rPr>
          <w:rFonts w:ascii="Calibri Light" w:hAnsi="Calibri Light" w:cs="Calibri Light"/>
          <w:sz w:val="24"/>
          <w:szCs w:val="24"/>
          <w:lang w:val="en-ID" w:eastAsia="en-ID"/>
        </w:rPr>
      </w:pPr>
      <w:commentRangeStart w:id="9"/>
      <w:r w:rsidRPr="002E1840">
        <w:rPr>
          <w:rFonts w:ascii="Calibri Light" w:hAnsi="Calibri Light" w:cs="Calibri Light"/>
          <w:sz w:val="24"/>
          <w:szCs w:val="24"/>
          <w:lang w:val="en-ID" w:eastAsia="en-ID"/>
        </w:rPr>
        <w:t xml:space="preserve">TITLE-ABS-KEY ( "Basel Accords" OR "Islamic banking" ) AND ( LIMIT-TO ( PUBYEAR , 2015 ) OR LIMIT-TO ( PUBYEAR , 2016 ) OR LIMIT-TO ( PUBYEAR , 2017 ) OR LIMIT-TO ( PUBYEAR , 2018 ) OR LIMIT-TO ( PUBYEAR , 2019 ) OR LIMIT-TO ( PUBYEAR , 2020 ) OR LIMIT-TO ( PUBYEAR , 2021 ) OR LIMIT-TO ( </w:t>
      </w:r>
      <w:commentRangeEnd w:id="9"/>
      <w:r w:rsidR="005C6309">
        <w:rPr>
          <w:rStyle w:val="CommentReference"/>
        </w:rPr>
        <w:commentReference w:id="9"/>
      </w:r>
      <w:r w:rsidRPr="002E1840">
        <w:rPr>
          <w:rFonts w:ascii="Calibri Light" w:hAnsi="Calibri Light" w:cs="Calibri Light"/>
          <w:sz w:val="24"/>
          <w:szCs w:val="24"/>
          <w:lang w:val="en-ID" w:eastAsia="en-ID"/>
        </w:rPr>
        <w:t>PUBYEAR , 2022 ) OR LIMIT-TO ( PUBYEAR , 2023 ) OR LIMIT-TO ( PUBYEAR , 2024 ) ) 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14:paraId="6C23073A" w14:textId="5D081C27" w:rsidR="00791E50" w:rsidRDefault="002E1840" w:rsidP="004308C0">
      <w:pPr>
        <w:autoSpaceDE/>
        <w:autoSpaceDN/>
        <w:spacing w:before="100" w:beforeAutospacing="1" w:after="100" w:afterAutospacing="1"/>
        <w:ind w:left="426"/>
        <w:jc w:val="both"/>
        <w:rPr>
          <w:rFonts w:ascii="Calibri Light" w:hAnsi="Calibri Light" w:cs="Calibri Light"/>
          <w:sz w:val="24"/>
          <w:szCs w:val="24"/>
          <w:lang w:val="en-ID" w:eastAsia="en-ID"/>
        </w:rPr>
      </w:pPr>
      <w:r w:rsidRPr="002E1840">
        <w:rPr>
          <w:rFonts w:ascii="Calibri Light" w:hAnsi="Calibri Light" w:cs="Calibri Light"/>
          <w:sz w:val="24"/>
          <w:szCs w:val="24"/>
          <w:lang w:val="en-ID" w:eastAsia="en-ID"/>
        </w:rPr>
        <w:t xml:space="preserve">The analysis was conducted following the PRISMA Framework to ensure transparency and accuracy in study selection. This methodology provides a clear insight into the development of research on the Basel Accords and Islamic banking over the last decade, helping to understand research shifts and the key topics that have been the focus of academic discourse in this </w:t>
      </w:r>
      <w:proofErr w:type="spellStart"/>
      <w:r w:rsidRPr="002E1840">
        <w:rPr>
          <w:rFonts w:ascii="Calibri Light" w:hAnsi="Calibri Light" w:cs="Calibri Light"/>
          <w:sz w:val="24"/>
          <w:szCs w:val="24"/>
          <w:lang w:val="en-ID" w:eastAsia="en-ID"/>
        </w:rPr>
        <w:t>field.These</w:t>
      </w:r>
      <w:proofErr w:type="spellEnd"/>
      <w:r w:rsidRPr="002E1840">
        <w:rPr>
          <w:rFonts w:ascii="Calibri Light" w:hAnsi="Calibri Light" w:cs="Calibri Light"/>
          <w:sz w:val="24"/>
          <w:szCs w:val="24"/>
          <w:lang w:val="en-ID" w:eastAsia="en-ID"/>
        </w:rPr>
        <w:t xml:space="preserve"> criteria were comprehensively detailed in Figure 1 within the PRISMA framework section, where key parameters—including language, subject areas, and </w:t>
      </w:r>
      <w:commentRangeStart w:id="10"/>
      <w:r w:rsidRPr="002E1840">
        <w:rPr>
          <w:rFonts w:ascii="Calibri Light" w:hAnsi="Calibri Light" w:cs="Calibri Light"/>
          <w:sz w:val="24"/>
          <w:szCs w:val="24"/>
          <w:lang w:val="en-ID" w:eastAsia="en-ID"/>
        </w:rPr>
        <w:t>publication years—were explicitly specified</w:t>
      </w:r>
      <w:r w:rsidR="00602879">
        <w:rPr>
          <w:rFonts w:ascii="Calibri Light" w:hAnsi="Calibri Light" w:cs="Calibri Light"/>
          <w:sz w:val="24"/>
          <w:szCs w:val="24"/>
          <w:lang w:val="en-ID" w:eastAsia="en-ID"/>
        </w:rPr>
        <w:t xml:space="preserve"> </w:t>
      </w:r>
      <w:r w:rsidR="00602879">
        <w:rPr>
          <w:rFonts w:ascii="Calibri Light" w:hAnsi="Calibri Light" w:cs="Calibri Light"/>
          <w:sz w:val="24"/>
          <w:szCs w:val="24"/>
          <w:lang w:val="en-ID" w:eastAsia="en-ID"/>
        </w:rPr>
        <w:fldChar w:fldCharType="begin" w:fldLock="1"/>
      </w:r>
      <w:r w:rsidR="00602879">
        <w:rPr>
          <w:rFonts w:ascii="Calibri Light" w:hAnsi="Calibri Light" w:cs="Calibri Light"/>
          <w:sz w:val="24"/>
          <w:szCs w:val="24"/>
          <w:lang w:val="en-ID" w:eastAsia="en-ID"/>
        </w:rPr>
        <w:instrText>ADDIN CSL_CITATION {"citationItems":[{"id":"ITEM-1","itemData":{"DOI":"10.59683/ijls.v3i3.90","ISSN":"28279042","abstract":"This study explores the application of Qur'anic human rights principles in Egypt and Indonesia, focusing on how Islamic teachings are integrated into modern legal systems amidst different cultural, political, and historical contexts. The study investigates the balance between universal human rights standards and Islamic jurisprudence, identifying variations in the interpretation and application of these principles in both countries. The PRISMA framework was used as the basis for the method, ensuring a systematic and transparent approach to reviewing legal texts, academic literature, and case studies. The technique began by identifying sources relevant to applying human rights law in the context of Islamic teachings in Egypt and Indonesia. A focused search was conducted using Web of Science and Scopus databases, targeting articles published between 2014 and 2024. Inclusion criteria ensured that the study analyzed recent and high-quality research on the intersection of Qur'anic principles and international human rights standards. The study shows that Egypt faces challenges in implementing Qur'anic teachings due to conservative interpretations that limit gender equality, freedom of expression, and freedom of religion. In contrast, Indonesia is more flexible by balancing Islamic principles with modern democratic values. This allows for a broader interpretation of Qur'anic principles, especially gender equality and religious freedom. The role of ijtihad in Indonesia is crucial in adapting Islamic law to contemporary human rights standards. This study highlights the complexity of aligning Islamic teachings with global human rights norms. It emphasizes the importance of revisiting traditional interpretations of the Qur'an to better align them with contemporary values of justice, equality, and human dignity, as well as ensuring respect for the human rights of all citizens.","author":[{"dropping-particle":"","family":"Andri Nirwana","given":"A. N.","non-dropping-particle":"","parse-names":false,"suffix":""},{"dropping-particle":"","family":"Elbanna","given":"Mariam","non-dropping-particle":"","parse-names":false,"suffix":""},{"dropping-particle":"","family":"Ismail","given":"Faisal Husen","non-dropping-particle":"","parse-names":false,"suffix":""},{"dropping-particle":"","family":"Daud","given":"Zainora","non-dropping-particle":"","parse-names":false,"suffix":""},{"dropping-particle":"","family":"Mohd Salleh","given":"Norsaleha","non-dropping-particle":"","parse-names":false,"suffix":""},{"dropping-particle":"","family":"Kirin","given":"Arwansyah","non-dropping-particle":"Bin","parse-names":false,"suffix":""},{"dropping-particle":"","family":"Marisa","given":"Siti Nurkhafifah","non-dropping-particle":"","parse-names":false,"suffix":""},{"dropping-particle":"","family":"Husein","given":"Muhammad Zakir","non-dropping-particle":"","parse-names":false,"suffix":""}],"container-title":"International Journal of Law and Society","id":"ITEM-1","issue":"3","issued":{"date-parts":[["2024"]]},"page":"173-186","title":"PRISMA-Based Study on Integrating Islamic Principles into Legal Systems: Human Rights in Egypt and Indonesia","type":"article-journal","volume":"3"},"uris":["http://www.mendeley.com/documents/?uuid=b4e6a10c-a2a5-4193-baf9-1cd44d99942b"]}],"mendeley":{"formattedCitation":"(Andri Nirwana et al., 2024)","plainTextFormattedCitation":"(Andri Nirwana et al., 2024)","previouslyFormattedCitation":"(Andri Nirwana et al., 2024)"},"properties":{"noteIndex":0},"schema":"https://github.com/citation-style-language/schema/raw/master/csl-citation.json"}</w:instrText>
      </w:r>
      <w:r w:rsidR="00602879">
        <w:rPr>
          <w:rFonts w:ascii="Calibri Light" w:hAnsi="Calibri Light" w:cs="Calibri Light"/>
          <w:sz w:val="24"/>
          <w:szCs w:val="24"/>
          <w:lang w:val="en-ID" w:eastAsia="en-ID"/>
        </w:rPr>
        <w:fldChar w:fldCharType="separate"/>
      </w:r>
      <w:r w:rsidR="00602879" w:rsidRPr="00602879">
        <w:rPr>
          <w:rFonts w:ascii="Calibri Light" w:hAnsi="Calibri Light" w:cs="Calibri Light"/>
          <w:noProof/>
          <w:sz w:val="24"/>
          <w:szCs w:val="24"/>
          <w:lang w:val="en-ID" w:eastAsia="en-ID"/>
        </w:rPr>
        <w:t>(Andri Nirwana et al., 2024)</w:t>
      </w:r>
      <w:r w:rsidR="00602879">
        <w:rPr>
          <w:rFonts w:ascii="Calibri Light" w:hAnsi="Calibri Light" w:cs="Calibri Light"/>
          <w:sz w:val="24"/>
          <w:szCs w:val="24"/>
          <w:lang w:val="en-ID" w:eastAsia="en-ID"/>
        </w:rPr>
        <w:fldChar w:fldCharType="end"/>
      </w:r>
      <w:r w:rsidRPr="002E1840">
        <w:rPr>
          <w:rFonts w:ascii="Calibri Light" w:hAnsi="Calibri Light" w:cs="Calibri Light"/>
          <w:sz w:val="24"/>
          <w:szCs w:val="24"/>
          <w:lang w:val="en-ID" w:eastAsia="en-ID"/>
        </w:rPr>
        <w:t>.</w:t>
      </w:r>
      <w:bookmarkStart w:id="11" w:name="_Hlk187681640"/>
    </w:p>
    <w:p w14:paraId="1D5A8409" w14:textId="77777777" w:rsidR="004308C0"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6199E529" w14:textId="77777777" w:rsidR="004308C0"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5E4449FC" w14:textId="77777777" w:rsidR="004308C0"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6562F538" w14:textId="77777777" w:rsidR="004308C0"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117B12BE" w14:textId="77777777" w:rsidR="004308C0" w:rsidRPr="002D33A7" w:rsidRDefault="004308C0" w:rsidP="004308C0">
      <w:pPr>
        <w:autoSpaceDE/>
        <w:autoSpaceDN/>
        <w:spacing w:before="100" w:beforeAutospacing="1" w:after="100" w:afterAutospacing="1"/>
        <w:ind w:left="426"/>
        <w:jc w:val="both"/>
        <w:rPr>
          <w:rFonts w:ascii="Calibri Light" w:hAnsi="Calibri Light" w:cs="Calibri Light"/>
          <w:sz w:val="24"/>
          <w:szCs w:val="24"/>
          <w:lang w:val="en-ID" w:eastAsia="en-ID"/>
        </w:rPr>
      </w:pPr>
    </w:p>
    <w:p w14:paraId="6664ECAD" w14:textId="564DBC24" w:rsidR="007923B1" w:rsidRPr="007923B1" w:rsidRDefault="00D813BC"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2304" behindDoc="0" locked="0" layoutInCell="1" allowOverlap="1" wp14:anchorId="109665C2" wp14:editId="6E508965">
                <wp:simplePos x="0" y="0"/>
                <wp:positionH relativeFrom="column">
                  <wp:posOffset>509270</wp:posOffset>
                </wp:positionH>
                <wp:positionV relativeFrom="paragraph">
                  <wp:posOffset>122555</wp:posOffset>
                </wp:positionV>
                <wp:extent cx="4622800" cy="381000"/>
                <wp:effectExtent l="38100" t="38100" r="63500" b="76200"/>
                <wp:wrapNone/>
                <wp:docPr id="29" name="Flowchart: Alternate Process 29"/>
                <wp:cNvGraphicFramePr/>
                <a:graphic xmlns:a="http://schemas.openxmlformats.org/drawingml/2006/main">
                  <a:graphicData uri="http://schemas.microsoft.com/office/word/2010/wordprocessingShape">
                    <wps:wsp>
                      <wps:cNvSpPr/>
                      <wps:spPr>
                        <a:xfrm>
                          <a:off x="0" y="0"/>
                          <a:ext cx="4622800" cy="381000"/>
                        </a:xfrm>
                        <a:prstGeom prst="flowChartAlternateProcess">
                          <a:avLst/>
                        </a:prstGeom>
                        <a:gradFill rotWithShape="1">
                          <a:gsLst>
                            <a:gs pos="0">
                              <a:srgbClr val="D8B25C"/>
                            </a:gs>
                            <a:gs pos="90000">
                              <a:srgbClr val="D8B25C">
                                <a:shade val="100000"/>
                              </a:srgbClr>
                            </a:gs>
                            <a:gs pos="100000">
                              <a:srgbClr val="D8B25C">
                                <a:shade val="85000"/>
                              </a:srgbClr>
                            </a:gs>
                          </a:gsLst>
                          <a:path path="circle">
                            <a:fillToRect l="100000" t="100000" r="100000" b="100000"/>
                          </a:path>
                        </a:gradFill>
                        <a:ln w="10000" cap="flat" cmpd="sng" algn="ctr">
                          <a:solidFill>
                            <a:srgbClr val="D8B25C"/>
                          </a:solidFill>
                          <a:prstDash val="solid"/>
                        </a:ln>
                        <a:effectLst>
                          <a:outerShdw blurRad="38100" dist="17779" dir="5400000" rotWithShape="0">
                            <a:srgbClr val="000000">
                              <a:alpha val="40000"/>
                            </a:srgbClr>
                          </a:outerShdw>
                        </a:effectLst>
                      </wps:spPr>
                      <wps:txbx>
                        <w:txbxContent>
                          <w:p w14:paraId="1FB99647" w14:textId="77777777" w:rsidR="007923B1" w:rsidRPr="00D813BC" w:rsidRDefault="007923B1" w:rsidP="007923B1">
                            <w:pPr>
                              <w:jc w:val="center"/>
                              <w:rPr>
                                <w:rFonts w:ascii="Calibri Light" w:hAnsi="Calibri Light" w:cs="Calibri Light"/>
                                <w:b/>
                                <w:color w:val="000000"/>
                                <w:sz w:val="28"/>
                                <w:szCs w:val="28"/>
                              </w:rPr>
                            </w:pPr>
                            <w:r w:rsidRPr="00D813BC">
                              <w:rPr>
                                <w:rFonts w:ascii="Calibri Light" w:hAnsi="Calibri Light" w:cs="Calibri Light"/>
                                <w:b/>
                                <w:color w:val="000000"/>
                                <w:sz w:val="28"/>
                                <w:szCs w:val="28"/>
                              </w:rPr>
                              <w:t>Prisma framework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9665C2" id="_x0000_t176" coordsize="21600,21600" o:spt="176" adj="2700" path="m@0,qx0@0l0@2qy@0,21600l@1,21600qx21600@2l21600@0qy@1,xe">
                <v:stroke joinstyle="miter"/>
                <v:formulas>
                  <v:f eqn="val #0"/>
                  <v:f eqn="sum width 0 #0"/>
                  <v:f eqn="sum height 0 #0"/>
                  <v:f eqn="prod @0 2929 10000"/>
                  <v:f eqn="sum width 0 @3"/>
                  <v:f eqn="sum height 0 @3"/>
                  <v:f eqn="val width"/>
                  <v:f eqn="val height"/>
                  <v:f eqn="prod width 1 2"/>
                  <v:f eqn="prod height 1 2"/>
                </v:formulas>
                <v:path gradientshapeok="t" limo="10800,10800" o:connecttype="custom" o:connectlocs="@8,0;0,@9;@8,@7;@6,@9" textboxrect="@3,@3,@4,@5"/>
              </v:shapetype>
              <v:shape id="Flowchart: Alternate Process 29" o:spid="_x0000_s1026" type="#_x0000_t176" style="position:absolute;margin-left:40.1pt;margin-top:9.65pt;width:364pt;height:30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" fillcolor="#d8b25c" strokecolor="#d8b25c" strokeweight=".27778mm">
                <v:fill color2="#c9a555" rotate="t" focusposition="1,1" focussize="-1,-1" colors="0 #d8b25c;58982f #d8b25c;1 #c9a555" focus="100%" type="gradientRadial"/>
                <v:shadow on="t" color="black" opacity="26214f" origin=",.5" offset="0,.49386mm"/>
                <v:textbox>
                  <w:txbxContent>
                    <w:p w14:paraId="1FB99647" w14:textId="77777777" w:rsidR="007923B1" w:rsidRPr="00D813BC" w:rsidRDefault="007923B1" w:rsidP="007923B1">
                      <w:pPr>
                        <w:jc w:val="center"/>
                        <w:rPr>
                          <w:rFonts w:ascii="Calibri Light" w:hAnsi="Calibri Light" w:cs="Calibri Light"/>
                          <w:b/>
                          <w:color w:val="000000"/>
                          <w:sz w:val="28"/>
                          <w:szCs w:val="28"/>
                        </w:rPr>
                      </w:pPr>
                      <w:r w:rsidRPr="00D813BC">
                        <w:rPr>
                          <w:rFonts w:ascii="Calibri Light" w:hAnsi="Calibri Light" w:cs="Calibri Light"/>
                          <w:b/>
                          <w:color w:val="000000"/>
                          <w:sz w:val="28"/>
                          <w:szCs w:val="28"/>
                        </w:rPr>
                        <w:t>Prisma framework</w:t>
                      </w:r>
                    </w:p>
                  </w:txbxContent>
                </v:textbox>
              </v:shape>
            </w:pict>
          </mc:Fallback>
        </mc:AlternateContent>
      </w:r>
    </w:p>
    <w:p w14:paraId="3A19920F" w14:textId="77777777" w:rsidR="007923B1" w:rsidRPr="007923B1" w:rsidRDefault="007923B1" w:rsidP="007923B1">
      <w:pPr>
        <w:autoSpaceDE/>
        <w:autoSpaceDN/>
        <w:rPr>
          <w:rFonts w:ascii="Calibri" w:eastAsia="Calibri" w:hAnsi="Calibri" w:cs="Arial"/>
          <w:sz w:val="22"/>
          <w:szCs w:val="22"/>
          <w:lang w:val="en-AU" w:eastAsia="en-US"/>
        </w:rPr>
      </w:pPr>
    </w:p>
    <w:p w14:paraId="53AB012E" w14:textId="77777777" w:rsidR="00D813BC" w:rsidRDefault="00D813BC" w:rsidP="007923B1">
      <w:pPr>
        <w:autoSpaceDE/>
        <w:autoSpaceDN/>
        <w:rPr>
          <w:rFonts w:ascii="Calibri" w:eastAsia="Calibri" w:hAnsi="Calibri" w:cs="Arial"/>
          <w:sz w:val="22"/>
          <w:szCs w:val="22"/>
          <w:lang w:val="en-AU" w:eastAsia="en-US"/>
        </w:rPr>
      </w:pPr>
    </w:p>
    <w:p w14:paraId="1D033615" w14:textId="77777777" w:rsidR="004308C0" w:rsidRDefault="004308C0" w:rsidP="007923B1">
      <w:pPr>
        <w:autoSpaceDE/>
        <w:autoSpaceDN/>
        <w:rPr>
          <w:rFonts w:ascii="Calibri" w:eastAsia="Calibri" w:hAnsi="Calibri" w:cs="Arial"/>
          <w:sz w:val="22"/>
          <w:szCs w:val="22"/>
          <w:lang w:val="en-AU" w:eastAsia="en-US"/>
        </w:rPr>
      </w:pPr>
    </w:p>
    <w:p w14:paraId="02052A69" w14:textId="62591DDF"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68992" behindDoc="0" locked="0" layoutInCell="1" allowOverlap="1" wp14:anchorId="18FFA0C2" wp14:editId="6B545877">
                <wp:simplePos x="0" y="0"/>
                <wp:positionH relativeFrom="column">
                  <wp:posOffset>561975</wp:posOffset>
                </wp:positionH>
                <wp:positionV relativeFrom="paragraph">
                  <wp:posOffset>131445</wp:posOffset>
                </wp:positionV>
                <wp:extent cx="1887220" cy="981075"/>
                <wp:effectExtent l="0" t="0" r="0" b="9525"/>
                <wp:wrapNone/>
                <wp:docPr id="1" name="Rectangle 1"/>
                <wp:cNvGraphicFramePr/>
                <a:graphic xmlns:a="http://schemas.openxmlformats.org/drawingml/2006/main">
                  <a:graphicData uri="http://schemas.microsoft.com/office/word/2010/wordprocessingShape">
                    <wps:wsp>
                      <wps:cNvSpPr/>
                      <wps:spPr>
                        <a:xfrm>
                          <a:off x="0" y="0"/>
                          <a:ext cx="1887220" cy="98107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2DC6F1AB"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 xml:space="preserve">Records identified from Scopus Databases </w:t>
                            </w:r>
                            <w:r w:rsidRPr="008A7B81">
                              <w:rPr>
                                <w:rFonts w:ascii="Arial" w:hAnsi="Arial" w:cs="Arial"/>
                                <w:b/>
                                <w:bCs/>
                                <w:color w:val="FFFFFF" w:themeColor="background1"/>
                                <w:sz w:val="18"/>
                              </w:rPr>
                              <w:t xml:space="preserve">(n= </w:t>
                            </w:r>
                            <w:proofErr w:type="gramStart"/>
                            <w:r w:rsidRPr="008A7B81">
                              <w:rPr>
                                <w:rFonts w:ascii="Arial" w:hAnsi="Arial" w:cs="Arial"/>
                                <w:b/>
                                <w:bCs/>
                                <w:color w:val="FFFFFF" w:themeColor="background1"/>
                                <w:sz w:val="18"/>
                              </w:rPr>
                              <w:t>3,511</w:t>
                            </w:r>
                            <w:r w:rsidRPr="008A7B81">
                              <w:rPr>
                                <w:rFonts w:hint="cs"/>
                                <w:color w:val="FFFFFF" w:themeColor="background1"/>
                                <w:rtl/>
                                <w:lang w:eastAsia="en-ID"/>
                              </w:rPr>
                              <w:t xml:space="preserve"> </w:t>
                            </w:r>
                            <w:r w:rsidRPr="008A7B81">
                              <w:rPr>
                                <w:rFonts w:ascii="Arial" w:hAnsi="Arial" w:cs="Arial"/>
                                <w:color w:val="FFFFFF" w:themeColor="background1"/>
                                <w:sz w:val="18"/>
                              </w:rPr>
                              <w:t>)</w:t>
                            </w:r>
                            <w:proofErr w:type="gramEnd"/>
                            <w:r w:rsidRPr="008A7B81">
                              <w:rPr>
                                <w:rFonts w:ascii="Arial" w:hAnsi="Arial" w:cs="Arial"/>
                                <w:color w:val="FFFFFF" w:themeColor="background1"/>
                                <w:sz w:val="18"/>
                              </w:rPr>
                              <w:t xml:space="preserve"> </w:t>
                            </w:r>
                          </w:p>
                          <w:p w14:paraId="4431F8B9" w14:textId="77777777" w:rsidR="007923B1" w:rsidRPr="008A7B81" w:rsidRDefault="007923B1" w:rsidP="007923B1">
                            <w:pPr>
                              <w:rPr>
                                <w:rFonts w:ascii="Arial" w:hAnsi="Arial" w:cs="Arial"/>
                                <w:color w:val="FFFFFF" w:themeColor="background1"/>
                                <w:sz w:val="18"/>
                              </w:rPr>
                            </w:pPr>
                          </w:p>
                          <w:p w14:paraId="4C1FB59C"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Registers (</w:t>
                            </w:r>
                            <w:r w:rsidRPr="008A7B81">
                              <w:rPr>
                                <w:rFonts w:ascii="Arial" w:hAnsi="Arial" w:cs="Arial"/>
                                <w:b/>
                                <w:bCs/>
                                <w:color w:val="FFFFFF" w:themeColor="background1"/>
                                <w:sz w:val="18"/>
                              </w:rPr>
                              <w:t>n =</w:t>
                            </w:r>
                            <w:proofErr w:type="gramStart"/>
                            <w:r w:rsidRPr="008A7B81">
                              <w:rPr>
                                <w:rFonts w:ascii="Arial" w:hAnsi="Arial" w:cs="Arial"/>
                                <w:b/>
                                <w:bCs/>
                                <w:color w:val="FFFFFF" w:themeColor="background1"/>
                                <w:sz w:val="18"/>
                              </w:rPr>
                              <w:t>2,631 )</w:t>
                            </w:r>
                            <w:proofErr w:type="gramEnd"/>
                          </w:p>
                          <w:p w14:paraId="77870ACB" w14:textId="77777777" w:rsidR="007923B1" w:rsidRPr="001C3167" w:rsidRDefault="007923B1" w:rsidP="007923B1">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FFA0C2" id="Rectangle 1" o:spid="_x0000_s1027" style="position:absolute;margin-left:44.25pt;margin-top:10.35pt;width:148.6pt;height:77.25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" fillcolor="#737950" stroked="f">
                <v:fill color2="#c9cdb3" rotate="t" angle="180" colors="0 #737950;31457f #a8ae85;1 #c9cdb3" focus="100%" type="gradient"/>
                <v:textbox>
                  <w:txbxContent>
                    <w:p w14:paraId="2DC6F1AB"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 xml:space="preserve">Records identified from Scopus Databases </w:t>
                      </w:r>
                      <w:r w:rsidRPr="008A7B81">
                        <w:rPr>
                          <w:rFonts w:ascii="Arial" w:hAnsi="Arial" w:cs="Arial"/>
                          <w:b/>
                          <w:bCs/>
                          <w:color w:val="FFFFFF" w:themeColor="background1"/>
                          <w:sz w:val="18"/>
                        </w:rPr>
                        <w:t xml:space="preserve">(n= </w:t>
                      </w:r>
                      <w:proofErr w:type="gramStart"/>
                      <w:r w:rsidRPr="008A7B81">
                        <w:rPr>
                          <w:rFonts w:ascii="Arial" w:hAnsi="Arial" w:cs="Arial"/>
                          <w:b/>
                          <w:bCs/>
                          <w:color w:val="FFFFFF" w:themeColor="background1"/>
                          <w:sz w:val="18"/>
                        </w:rPr>
                        <w:t>3,511</w:t>
                      </w:r>
                      <w:r w:rsidRPr="008A7B81">
                        <w:rPr>
                          <w:rFonts w:hint="cs"/>
                          <w:color w:val="FFFFFF" w:themeColor="background1"/>
                          <w:rtl/>
                          <w:lang w:eastAsia="en-ID"/>
                        </w:rPr>
                        <w:t xml:space="preserve"> </w:t>
                      </w:r>
                      <w:r w:rsidRPr="008A7B81">
                        <w:rPr>
                          <w:rFonts w:ascii="Arial" w:hAnsi="Arial" w:cs="Arial"/>
                          <w:color w:val="FFFFFF" w:themeColor="background1"/>
                          <w:sz w:val="18"/>
                        </w:rPr>
                        <w:t>)</w:t>
                      </w:r>
                      <w:proofErr w:type="gramEnd"/>
                      <w:r w:rsidRPr="008A7B81">
                        <w:rPr>
                          <w:rFonts w:ascii="Arial" w:hAnsi="Arial" w:cs="Arial"/>
                          <w:color w:val="FFFFFF" w:themeColor="background1"/>
                          <w:sz w:val="18"/>
                        </w:rPr>
                        <w:t xml:space="preserve"> </w:t>
                      </w:r>
                    </w:p>
                    <w:p w14:paraId="4431F8B9" w14:textId="77777777" w:rsidR="007923B1" w:rsidRPr="008A7B81" w:rsidRDefault="007923B1" w:rsidP="007923B1">
                      <w:pPr>
                        <w:rPr>
                          <w:rFonts w:ascii="Arial" w:hAnsi="Arial" w:cs="Arial"/>
                          <w:color w:val="FFFFFF" w:themeColor="background1"/>
                          <w:sz w:val="18"/>
                        </w:rPr>
                      </w:pPr>
                    </w:p>
                    <w:p w14:paraId="4C1FB59C" w14:textId="77777777" w:rsidR="007923B1" w:rsidRPr="008A7B81" w:rsidRDefault="007923B1" w:rsidP="007923B1">
                      <w:pPr>
                        <w:rPr>
                          <w:rFonts w:ascii="Arial" w:hAnsi="Arial" w:cs="Arial"/>
                          <w:color w:val="FFFFFF" w:themeColor="background1"/>
                          <w:sz w:val="18"/>
                        </w:rPr>
                      </w:pPr>
                      <w:r w:rsidRPr="008A7B81">
                        <w:rPr>
                          <w:rFonts w:ascii="Arial" w:hAnsi="Arial" w:cs="Arial"/>
                          <w:color w:val="FFFFFF" w:themeColor="background1"/>
                          <w:sz w:val="18"/>
                        </w:rPr>
                        <w:t>Registers (</w:t>
                      </w:r>
                      <w:r w:rsidRPr="008A7B81">
                        <w:rPr>
                          <w:rFonts w:ascii="Arial" w:hAnsi="Arial" w:cs="Arial"/>
                          <w:b/>
                          <w:bCs/>
                          <w:color w:val="FFFFFF" w:themeColor="background1"/>
                          <w:sz w:val="18"/>
                        </w:rPr>
                        <w:t>n =</w:t>
                      </w:r>
                      <w:proofErr w:type="gramStart"/>
                      <w:r w:rsidRPr="008A7B81">
                        <w:rPr>
                          <w:rFonts w:ascii="Arial" w:hAnsi="Arial" w:cs="Arial"/>
                          <w:b/>
                          <w:bCs/>
                          <w:color w:val="FFFFFF" w:themeColor="background1"/>
                          <w:sz w:val="18"/>
                        </w:rPr>
                        <w:t>2,631 )</w:t>
                      </w:r>
                      <w:proofErr w:type="gramEnd"/>
                    </w:p>
                    <w:p w14:paraId="77870ACB" w14:textId="77777777" w:rsidR="007923B1" w:rsidRPr="001C3167" w:rsidRDefault="007923B1" w:rsidP="007923B1">
                      <w:pPr>
                        <w:ind w:left="284"/>
                        <w:rPr>
                          <w:rFonts w:ascii="Arial" w:hAnsi="Arial" w:cs="Arial"/>
                          <w:color w:val="000000"/>
                          <w:sz w:val="18"/>
                        </w:rPr>
                      </w:pPr>
                    </w:p>
                  </w:txbxContent>
                </v:textbox>
              </v:rect>
            </w:pict>
          </mc:Fallback>
        </mc:AlternateContent>
      </w:r>
    </w:p>
    <w:p w14:paraId="1B38B345"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w:lastRenderedPageBreak/>
        <mc:AlternateContent>
          <mc:Choice Requires="wps">
            <w:drawing>
              <wp:anchor distT="0" distB="0" distL="114300" distR="114300" simplePos="0" relativeHeight="251670016" behindDoc="0" locked="0" layoutInCell="1" allowOverlap="1" wp14:anchorId="6AEE5F94" wp14:editId="55D5B1B7">
                <wp:simplePos x="0" y="0"/>
                <wp:positionH relativeFrom="column">
                  <wp:posOffset>3020695</wp:posOffset>
                </wp:positionH>
                <wp:positionV relativeFrom="paragraph">
                  <wp:posOffset>113030</wp:posOffset>
                </wp:positionV>
                <wp:extent cx="2389505" cy="752475"/>
                <wp:effectExtent l="0" t="0" r="0" b="9525"/>
                <wp:wrapNone/>
                <wp:docPr id="1815045546" name="Rectangle 1815045546"/>
                <wp:cNvGraphicFramePr/>
                <a:graphic xmlns:a="http://schemas.openxmlformats.org/drawingml/2006/main">
                  <a:graphicData uri="http://schemas.microsoft.com/office/word/2010/wordprocessingShape">
                    <wps:wsp>
                      <wps:cNvSpPr/>
                      <wps:spPr>
                        <a:xfrm>
                          <a:off x="0" y="0"/>
                          <a:ext cx="2389505" cy="752475"/>
                        </a:xfrm>
                        <a:prstGeom prst="rect">
                          <a:avLst/>
                        </a:prstGeom>
                        <a:solidFill>
                          <a:srgbClr val="A5AB81">
                            <a:alpha val="50000"/>
                          </a:srgbClr>
                        </a:solidFill>
                        <a:ln>
                          <a:noFill/>
                        </a:ln>
                        <a:effectLst/>
                      </wps:spPr>
                      <wps:txbx>
                        <w:txbxContent>
                          <w:p w14:paraId="12B607E2" w14:textId="77777777" w:rsidR="007923B1" w:rsidRPr="001C3167" w:rsidRDefault="007923B1" w:rsidP="007923B1">
                            <w:pPr>
                              <w:rPr>
                                <w:rFonts w:ascii="Arial" w:hAnsi="Arial" w:cs="Arial"/>
                                <w:color w:val="000000"/>
                                <w:sz w:val="18"/>
                              </w:rPr>
                            </w:pPr>
                            <w:r w:rsidRPr="001C3167">
                              <w:rPr>
                                <w:rFonts w:ascii="Arial" w:hAnsi="Arial" w:cs="Arial"/>
                                <w:color w:val="000000"/>
                                <w:sz w:val="18"/>
                              </w:rPr>
                              <w:t xml:space="preserve">Records removed </w:t>
                            </w:r>
                            <w:r w:rsidRPr="001C3167">
                              <w:rPr>
                                <w:rFonts w:ascii="Arial" w:hAnsi="Arial" w:cs="Arial"/>
                                <w:i/>
                                <w:iCs/>
                                <w:color w:val="000000"/>
                                <w:sz w:val="18"/>
                              </w:rPr>
                              <w:t>before screening</w:t>
                            </w:r>
                            <w:r w:rsidRPr="001C3167">
                              <w:rPr>
                                <w:rFonts w:ascii="Arial" w:hAnsi="Arial" w:cs="Arial"/>
                                <w:color w:val="000000"/>
                                <w:sz w:val="18"/>
                              </w:rPr>
                              <w:t>:</w:t>
                            </w:r>
                          </w:p>
                          <w:p w14:paraId="6C591F92" w14:textId="77777777" w:rsidR="007923B1" w:rsidRPr="001C3167" w:rsidRDefault="007923B1" w:rsidP="007923B1">
                            <w:pPr>
                              <w:ind w:left="284"/>
                              <w:rPr>
                                <w:rFonts w:ascii="Arial" w:hAnsi="Arial" w:cs="Arial"/>
                                <w:color w:val="000000"/>
                                <w:sz w:val="18"/>
                              </w:rPr>
                            </w:pPr>
                            <w:r w:rsidRPr="001C3167">
                              <w:rPr>
                                <w:rFonts w:ascii="Arial" w:hAnsi="Arial" w:cs="Arial"/>
                                <w:color w:val="000000"/>
                                <w:sz w:val="18"/>
                              </w:rPr>
                              <w:t xml:space="preserve">Duplicate records </w:t>
                            </w:r>
                            <w:proofErr w:type="gramStart"/>
                            <w:r w:rsidRPr="001C3167">
                              <w:rPr>
                                <w:rFonts w:ascii="Arial" w:hAnsi="Arial" w:cs="Arial"/>
                                <w:color w:val="000000"/>
                                <w:sz w:val="18"/>
                              </w:rPr>
                              <w:t>removed  (</w:t>
                            </w:r>
                            <w:proofErr w:type="gramEnd"/>
                            <w:r w:rsidRPr="001C3167">
                              <w:rPr>
                                <w:rFonts w:ascii="Arial" w:hAnsi="Arial" w:cs="Arial"/>
                                <w:color w:val="000000"/>
                                <w:sz w:val="18"/>
                              </w:rPr>
                              <w:t>n =</w:t>
                            </w:r>
                            <w:r w:rsidRPr="00F42F9F">
                              <w:rPr>
                                <w:rFonts w:ascii="Arial" w:hAnsi="Arial" w:cs="Arial"/>
                                <w:color w:val="000000"/>
                                <w:sz w:val="18"/>
                              </w:rPr>
                              <w:t xml:space="preserve">1,911 </w:t>
                            </w:r>
                            <w:r w:rsidRPr="001C3167">
                              <w:rPr>
                                <w:rFonts w:ascii="Arial" w:hAnsi="Arial" w:cs="Arial"/>
                                <w:color w:val="000000"/>
                                <w:sz w:val="18"/>
                              </w:rPr>
                              <w:t>)</w:t>
                            </w:r>
                          </w:p>
                          <w:p w14:paraId="321D2644" w14:textId="77777777" w:rsidR="007923B1" w:rsidRPr="001C3167" w:rsidRDefault="007923B1" w:rsidP="007923B1">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EE5F94" id="Rectangle 1815045546" o:spid="_x0000_s1028" style="position:absolute;margin-left:237.85pt;margin-top:8.9pt;width:188.15pt;height:59.25pt;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" fillcolor="#a5ab81" stroked="f">
                <v:fill opacity="32896f"/>
                <v:textbox>
                  <w:txbxContent>
                    <w:p w14:paraId="12B607E2" w14:textId="77777777" w:rsidR="007923B1" w:rsidRPr="001C3167" w:rsidRDefault="007923B1" w:rsidP="007923B1">
                      <w:pPr>
                        <w:rPr>
                          <w:rFonts w:ascii="Arial" w:hAnsi="Arial" w:cs="Arial"/>
                          <w:color w:val="000000"/>
                          <w:sz w:val="18"/>
                        </w:rPr>
                      </w:pPr>
                      <w:r w:rsidRPr="001C3167">
                        <w:rPr>
                          <w:rFonts w:ascii="Arial" w:hAnsi="Arial" w:cs="Arial"/>
                          <w:color w:val="000000"/>
                          <w:sz w:val="18"/>
                        </w:rPr>
                        <w:t xml:space="preserve">Records removed </w:t>
                      </w:r>
                      <w:r w:rsidRPr="001C3167">
                        <w:rPr>
                          <w:rFonts w:ascii="Arial" w:hAnsi="Arial" w:cs="Arial"/>
                          <w:i/>
                          <w:iCs/>
                          <w:color w:val="000000"/>
                          <w:sz w:val="18"/>
                        </w:rPr>
                        <w:t>before screening</w:t>
                      </w:r>
                      <w:r w:rsidRPr="001C3167">
                        <w:rPr>
                          <w:rFonts w:ascii="Arial" w:hAnsi="Arial" w:cs="Arial"/>
                          <w:color w:val="000000"/>
                          <w:sz w:val="18"/>
                        </w:rPr>
                        <w:t>:</w:t>
                      </w:r>
                    </w:p>
                    <w:p w14:paraId="6C591F92" w14:textId="77777777" w:rsidR="007923B1" w:rsidRPr="001C3167" w:rsidRDefault="007923B1" w:rsidP="007923B1">
                      <w:pPr>
                        <w:ind w:left="284"/>
                        <w:rPr>
                          <w:rFonts w:ascii="Arial" w:hAnsi="Arial" w:cs="Arial"/>
                          <w:color w:val="000000"/>
                          <w:sz w:val="18"/>
                        </w:rPr>
                      </w:pPr>
                      <w:r w:rsidRPr="001C3167">
                        <w:rPr>
                          <w:rFonts w:ascii="Arial" w:hAnsi="Arial" w:cs="Arial"/>
                          <w:color w:val="000000"/>
                          <w:sz w:val="18"/>
                        </w:rPr>
                        <w:t xml:space="preserve">Duplicate records </w:t>
                      </w:r>
                      <w:proofErr w:type="gramStart"/>
                      <w:r w:rsidRPr="001C3167">
                        <w:rPr>
                          <w:rFonts w:ascii="Arial" w:hAnsi="Arial" w:cs="Arial"/>
                          <w:color w:val="000000"/>
                          <w:sz w:val="18"/>
                        </w:rPr>
                        <w:t>removed  (</w:t>
                      </w:r>
                      <w:proofErr w:type="gramEnd"/>
                      <w:r w:rsidRPr="001C3167">
                        <w:rPr>
                          <w:rFonts w:ascii="Arial" w:hAnsi="Arial" w:cs="Arial"/>
                          <w:color w:val="000000"/>
                          <w:sz w:val="18"/>
                        </w:rPr>
                        <w:t>n =</w:t>
                      </w:r>
                      <w:r w:rsidRPr="00F42F9F">
                        <w:rPr>
                          <w:rFonts w:ascii="Arial" w:hAnsi="Arial" w:cs="Arial"/>
                          <w:color w:val="000000"/>
                          <w:sz w:val="18"/>
                        </w:rPr>
                        <w:t xml:space="preserve">1,911 </w:t>
                      </w:r>
                      <w:r w:rsidRPr="001C3167">
                        <w:rPr>
                          <w:rFonts w:ascii="Arial" w:hAnsi="Arial" w:cs="Arial"/>
                          <w:color w:val="000000"/>
                          <w:sz w:val="18"/>
                        </w:rPr>
                        <w:t>)</w:t>
                      </w:r>
                    </w:p>
                    <w:p w14:paraId="321D2644" w14:textId="77777777" w:rsidR="007923B1" w:rsidRPr="001C3167" w:rsidRDefault="007923B1" w:rsidP="007923B1">
                      <w:pPr>
                        <w:ind w:left="284"/>
                        <w:rPr>
                          <w:rFonts w:ascii="Arial" w:hAnsi="Arial" w:cs="Arial"/>
                          <w:color w:val="000000"/>
                          <w:sz w:val="18"/>
                        </w:rPr>
                      </w:pPr>
                    </w:p>
                  </w:txbxContent>
                </v:textbox>
              </v:rect>
            </w:pict>
          </mc:Fallback>
        </mc:AlternateContent>
      </w:r>
    </w:p>
    <w:p w14:paraId="69422F97"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3328" behindDoc="0" locked="0" layoutInCell="1" allowOverlap="1" wp14:anchorId="020FAA8D" wp14:editId="2E0E9A5F">
                <wp:simplePos x="0" y="0"/>
                <wp:positionH relativeFrom="column">
                  <wp:posOffset>-403543</wp:posOffset>
                </wp:positionH>
                <wp:positionV relativeFrom="paragraph">
                  <wp:posOffset>222567</wp:posOffset>
                </wp:positionV>
                <wp:extent cx="1276985" cy="262890"/>
                <wp:effectExtent l="0" t="7302" r="0" b="0"/>
                <wp:wrapNone/>
                <wp:docPr id="31" name="Flowchart: Alternate Process 31"/>
                <wp:cNvGraphicFramePr/>
                <a:graphic xmlns:a="http://schemas.openxmlformats.org/drawingml/2006/main">
                  <a:graphicData uri="http://schemas.microsoft.com/office/word/2010/wordprocessingShape">
                    <wps:wsp>
                      <wps:cNvSpPr/>
                      <wps:spPr>
                        <a:xfrm rot="16200000">
                          <a:off x="0" y="0"/>
                          <a:ext cx="1276985" cy="262890"/>
                        </a:xfrm>
                        <a:prstGeom prst="flowChartAlternateProcess">
                          <a:avLst/>
                        </a:prstGeom>
                        <a:solidFill>
                          <a:srgbClr val="7BA79D"/>
                        </a:solidFill>
                        <a:ln>
                          <a:noFill/>
                        </a:ln>
                        <a:effectLst/>
                      </wps:spPr>
                      <wps:txbx>
                        <w:txbxContent>
                          <w:p w14:paraId="2351CCDB"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Identification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20FAA8D" id="Flowchart: Alternate Process 31" o:spid="_x0000_s1029" type="#_x0000_t176" style="position:absolute;margin-left:-31.8pt;margin-top:17.5pt;width:100.55pt;height:20.7pt;rotation:-90;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" fillcolor="#7ba79d" stroked="f">
                <v:textbox>
                  <w:txbxContent>
                    <w:p w14:paraId="2351CCDB"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Identification</w:t>
                      </w:r>
                    </w:p>
                  </w:txbxContent>
                </v:textbox>
              </v:shape>
            </w:pict>
          </mc:Fallback>
        </mc:AlternateContent>
      </w:r>
    </w:p>
    <w:p w14:paraId="2B289650" w14:textId="77777777" w:rsidR="007923B1" w:rsidRPr="007923B1" w:rsidRDefault="007923B1" w:rsidP="007923B1">
      <w:pPr>
        <w:autoSpaceDE/>
        <w:autoSpaceDN/>
        <w:rPr>
          <w:rFonts w:ascii="Calibri" w:eastAsia="Calibri" w:hAnsi="Calibri" w:cs="Arial"/>
          <w:sz w:val="22"/>
          <w:szCs w:val="22"/>
          <w:lang w:val="en-AU" w:eastAsia="en-US"/>
        </w:rPr>
      </w:pPr>
    </w:p>
    <w:p w14:paraId="4F1B4876"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8208" behindDoc="0" locked="0" layoutInCell="1" allowOverlap="1" wp14:anchorId="0144FC5E" wp14:editId="4E926210">
                <wp:simplePos x="0" y="0"/>
                <wp:positionH relativeFrom="column">
                  <wp:posOffset>2454250</wp:posOffset>
                </wp:positionH>
                <wp:positionV relativeFrom="paragraph">
                  <wp:posOffset>9550</wp:posOffset>
                </wp:positionV>
                <wp:extent cx="563270" cy="0"/>
                <wp:effectExtent l="0" t="76200" r="27305" b="95250"/>
                <wp:wrapNone/>
                <wp:docPr id="14" name="Straight Arrow Connector 14"/>
                <wp:cNvGraphicFramePr/>
                <a:graphic xmlns:a="http://schemas.openxmlformats.org/drawingml/2006/main">
                  <a:graphicData uri="http://schemas.microsoft.com/office/word/2010/wordprocessingShape">
                    <wps:wsp>
                      <wps:cNvCnPr/>
                      <wps:spPr>
                        <a:xfrm>
                          <a:off x="0" y="0"/>
                          <a:ext cx="563270"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xmlns:w16sdtfl="http://schemas.microsoft.com/office/word/2024/wordml/sdtformatlock">
            <w:pict>
              <v:shapetype w14:anchorId="07B8C572" id="_x0000_t32" coordsize="21600,21600" o:spt="32" o:oned="t" path="m,l21600,21600e" filled="f">
                <v:path arrowok="t" fillok="f" o:connecttype="none"/>
                <o:lock v:ext="edit" shapetype="t"/>
              </v:shapetype>
              <v:shape id="Straight Arrow Connector 14" o:spid="_x0000_s1026" type="#_x0000_t32" style="position:absolute;margin-left:193.25pt;margin-top:.75pt;width:44.35pt;height:0;z-index:251678208;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" strokecolor="windowText" strokeweight="4.25pt">
                <v:stroke endarrow="block" linestyle="thinThin"/>
                <v:shadow on="t" color="black" opacity="26214f" origin=",.5" offset="0,.49386mm"/>
              </v:shape>
            </w:pict>
          </mc:Fallback>
        </mc:AlternateContent>
      </w:r>
    </w:p>
    <w:p w14:paraId="64B7C90E" w14:textId="77777777" w:rsidR="007923B1" w:rsidRPr="007923B1" w:rsidRDefault="007923B1" w:rsidP="007923B1">
      <w:pPr>
        <w:autoSpaceDE/>
        <w:autoSpaceDN/>
        <w:rPr>
          <w:rFonts w:ascii="Calibri" w:eastAsia="Calibri" w:hAnsi="Calibri" w:cs="Arial"/>
          <w:sz w:val="22"/>
          <w:szCs w:val="22"/>
          <w:lang w:val="en-AU" w:eastAsia="en-US"/>
        </w:rPr>
      </w:pPr>
    </w:p>
    <w:p w14:paraId="79A91764"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6400" behindDoc="0" locked="0" layoutInCell="1" allowOverlap="1" wp14:anchorId="60C8D754" wp14:editId="13F99CD1">
                <wp:simplePos x="0" y="0"/>
                <wp:positionH relativeFrom="column">
                  <wp:posOffset>1400175</wp:posOffset>
                </wp:positionH>
                <wp:positionV relativeFrom="paragraph">
                  <wp:posOffset>118745</wp:posOffset>
                </wp:positionV>
                <wp:extent cx="0" cy="467995"/>
                <wp:effectExtent l="133350" t="19050" r="152400" b="84455"/>
                <wp:wrapNone/>
                <wp:docPr id="27" name="Straight Arrow Connector 27"/>
                <wp:cNvGraphicFramePr/>
                <a:graphic xmlns:a="http://schemas.openxmlformats.org/drawingml/2006/main">
                  <a:graphicData uri="http://schemas.microsoft.com/office/word/2010/wordprocessingShape">
                    <wps:wsp>
                      <wps:cNvCnPr/>
                      <wps:spPr>
                        <a:xfrm>
                          <a:off x="0" y="0"/>
                          <a:ext cx="0" cy="467995"/>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xmlns:w16sdtfl="http://schemas.microsoft.com/office/word/2024/wordml/sdtformatlock">
            <w:pict>
              <v:shape w14:anchorId="3A10FC3D" id="Straight Arrow Connector 27" o:spid="_x0000_s1026" type="#_x0000_t32" style="position:absolute;margin-left:110.25pt;margin-top:9.35pt;width:0;height:36.85pt;z-index:251686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" strokecolor="windowText" strokeweight="4.25pt">
                <v:stroke endarrow="block" linestyle="thinThin"/>
                <v:shadow on="t" color="black" opacity="26214f" origin=",.5" offset="0,.49386mm"/>
              </v:shape>
            </w:pict>
          </mc:Fallback>
        </mc:AlternateContent>
      </w:r>
    </w:p>
    <w:p w14:paraId="66F35A73"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2064" behindDoc="0" locked="0" layoutInCell="1" allowOverlap="1" wp14:anchorId="6A01B598" wp14:editId="5EA086D9">
                <wp:simplePos x="0" y="0"/>
                <wp:positionH relativeFrom="column">
                  <wp:posOffset>3000375</wp:posOffset>
                </wp:positionH>
                <wp:positionV relativeFrom="paragraph">
                  <wp:posOffset>13970</wp:posOffset>
                </wp:positionV>
                <wp:extent cx="3009900" cy="1390650"/>
                <wp:effectExtent l="0" t="0" r="0" b="0"/>
                <wp:wrapNone/>
                <wp:docPr id="888585689" name="Rectangle 888585689"/>
                <wp:cNvGraphicFramePr/>
                <a:graphic xmlns:a="http://schemas.openxmlformats.org/drawingml/2006/main">
                  <a:graphicData uri="http://schemas.microsoft.com/office/word/2010/wordprocessingShape">
                    <wps:wsp>
                      <wps:cNvSpPr/>
                      <wps:spPr>
                        <a:xfrm>
                          <a:off x="0" y="0"/>
                          <a:ext cx="3009900" cy="1390650"/>
                        </a:xfrm>
                        <a:prstGeom prst="rect">
                          <a:avLst/>
                        </a:prstGeom>
                        <a:solidFill>
                          <a:srgbClr val="A5AB81">
                            <a:alpha val="50000"/>
                          </a:srgbClr>
                        </a:solidFill>
                        <a:ln>
                          <a:noFill/>
                        </a:ln>
                        <a:effectLst/>
                      </wps:spPr>
                      <wps:txbx>
                        <w:txbxContent>
                          <w:p w14:paraId="142CB259" w14:textId="77777777" w:rsidR="007923B1" w:rsidRPr="00D86218" w:rsidRDefault="007923B1" w:rsidP="007923B1">
                            <w:pPr>
                              <w:rPr>
                                <w:rFonts w:ascii="Arial" w:hAnsi="Arial" w:cs="Arial"/>
                                <w:b/>
                                <w:bCs/>
                                <w:color w:val="000000"/>
                                <w:sz w:val="18"/>
                              </w:rPr>
                            </w:pPr>
                            <w:r w:rsidRPr="00D86218">
                              <w:rPr>
                                <w:rFonts w:ascii="Arial" w:hAnsi="Arial" w:cs="Arial"/>
                                <w:b/>
                                <w:bCs/>
                                <w:color w:val="000000"/>
                                <w:sz w:val="18"/>
                              </w:rPr>
                              <w:t>Limit to (2015– 2024)</w:t>
                            </w:r>
                          </w:p>
                          <w:p w14:paraId="11C2AA12" w14:textId="77777777" w:rsidR="007923B1" w:rsidRPr="001C3167" w:rsidRDefault="007923B1" w:rsidP="007923B1">
                            <w:pPr>
                              <w:rPr>
                                <w:rFonts w:ascii="Arial" w:hAnsi="Arial" w:cs="Arial"/>
                                <w:color w:val="000000"/>
                                <w:sz w:val="18"/>
                              </w:rPr>
                            </w:pPr>
                            <w:bookmarkStart w:id="12" w:name="_Hlk191392340"/>
                            <w:r w:rsidRPr="00D86218">
                              <w:rPr>
                                <w:rFonts w:ascii="Arial" w:hAnsi="Arial" w:cs="Arial"/>
                                <w:color w:val="000000"/>
                                <w:sz w:val="18"/>
                              </w:rPr>
                              <w:t xml:space="preserve">TITLE-ABS-KEY </w:t>
                            </w:r>
                            <w:proofErr w:type="gramStart"/>
                            <w:r w:rsidRPr="00D86218">
                              <w:rPr>
                                <w:rFonts w:ascii="Arial" w:hAnsi="Arial" w:cs="Arial"/>
                                <w:color w:val="000000"/>
                                <w:sz w:val="18"/>
                              </w:rPr>
                              <w:t>( "</w:t>
                            </w:r>
                            <w:proofErr w:type="gramEnd"/>
                            <w:r w:rsidRPr="00D86218">
                              <w:rPr>
                                <w:rFonts w:ascii="Arial" w:hAnsi="Arial" w:cs="Arial"/>
                                <w:color w:val="000000"/>
                                <w:sz w:val="18"/>
                              </w:rPr>
                              <w:t>Basel Accords" OR "Islamic banking" )</w:t>
                            </w:r>
                            <w:bookmarkEnd w:id="12"/>
                            <w:r w:rsidRPr="00D86218">
                              <w:rPr>
                                <w:rFonts w:ascii="Arial" w:hAnsi="Arial" w:cs="Arial"/>
                                <w:color w:val="000000"/>
                                <w:sz w:val="18"/>
                              </w:rPr>
                              <w:t xml:space="preserve"> AND ( LIMIT-TO ( PUBYEAR , 2015 ) OR LIMIT-TO ( PUBYEAR , 2016 ) OR LIMIT-TO ( PUBYEAR , 2017 ) OR LIMIT-TO ( PUBYEAR , 2018 ) OR LIMIT-TO ( PUBYEAR , 2019 ) OR LIMIT-TO ( PUBYEAR , 2020 ) OR LIMIT-TO ( PUBYEAR , 2021 ) OR LIMIT-TO ( PUBYEAR , 2022 ) OR LIMIT-TO ( PUBYEAR , 2023 ) OR LIMIT-TO ( PUBYEAR , 2024 )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A01B598" id="Rectangle 888585689" o:spid="_x0000_s1030" style="position:absolute;margin-left:236.25pt;margin-top:1.1pt;width:237pt;height:109.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" fillcolor="#a5ab81" stroked="f">
                <v:fill opacity="32896f"/>
                <v:textbox>
                  <w:txbxContent>
                    <w:p w14:paraId="142CB259" w14:textId="77777777" w:rsidR="007923B1" w:rsidRPr="00D86218" w:rsidRDefault="007923B1" w:rsidP="007923B1">
                      <w:pPr>
                        <w:rPr>
                          <w:rFonts w:ascii="Arial" w:hAnsi="Arial" w:cs="Arial"/>
                          <w:b/>
                          <w:bCs/>
                          <w:color w:val="000000"/>
                          <w:sz w:val="18"/>
                        </w:rPr>
                      </w:pPr>
                      <w:r w:rsidRPr="00D86218">
                        <w:rPr>
                          <w:rFonts w:ascii="Arial" w:hAnsi="Arial" w:cs="Arial"/>
                          <w:b/>
                          <w:bCs/>
                          <w:color w:val="000000"/>
                          <w:sz w:val="18"/>
                        </w:rPr>
                        <w:t>Limit to (2015– 2024)</w:t>
                      </w:r>
                    </w:p>
                    <w:p w14:paraId="11C2AA12" w14:textId="77777777" w:rsidR="007923B1" w:rsidRPr="001C3167" w:rsidRDefault="007923B1" w:rsidP="007923B1">
                      <w:pPr>
                        <w:rPr>
                          <w:rFonts w:ascii="Arial" w:hAnsi="Arial" w:cs="Arial"/>
                          <w:color w:val="000000"/>
                          <w:sz w:val="18"/>
                        </w:rPr>
                      </w:pPr>
                      <w:bookmarkStart w:id="13" w:name="_Hlk191392340"/>
                      <w:r w:rsidRPr="00D86218">
                        <w:rPr>
                          <w:rFonts w:ascii="Arial" w:hAnsi="Arial" w:cs="Arial"/>
                          <w:color w:val="000000"/>
                          <w:sz w:val="18"/>
                        </w:rPr>
                        <w:t xml:space="preserve">TITLE-ABS-KEY </w:t>
                      </w:r>
                      <w:proofErr w:type="gramStart"/>
                      <w:r w:rsidRPr="00D86218">
                        <w:rPr>
                          <w:rFonts w:ascii="Arial" w:hAnsi="Arial" w:cs="Arial"/>
                          <w:color w:val="000000"/>
                          <w:sz w:val="18"/>
                        </w:rPr>
                        <w:t>( "</w:t>
                      </w:r>
                      <w:proofErr w:type="gramEnd"/>
                      <w:r w:rsidRPr="00D86218">
                        <w:rPr>
                          <w:rFonts w:ascii="Arial" w:hAnsi="Arial" w:cs="Arial"/>
                          <w:color w:val="000000"/>
                          <w:sz w:val="18"/>
                        </w:rPr>
                        <w:t>Basel Accords" OR "Islamic banking" )</w:t>
                      </w:r>
                      <w:bookmarkEnd w:id="13"/>
                      <w:r w:rsidRPr="00D86218">
                        <w:rPr>
                          <w:rFonts w:ascii="Arial" w:hAnsi="Arial" w:cs="Arial"/>
                          <w:color w:val="000000"/>
                          <w:sz w:val="18"/>
                        </w:rPr>
                        <w:t xml:space="preserve"> AND ( LIMIT-TO ( PUBYEAR , 2015 ) OR LIMIT-TO ( PUBYEAR , 2016 ) OR LIMIT-TO ( PUBYEAR , 2017 ) OR LIMIT-TO ( PUBYEAR , 2018 ) OR LIMIT-TO ( PUBYEAR , 2019 ) OR LIMIT-TO ( PUBYEAR , 2020 ) OR LIMIT-TO ( PUBYEAR , 2021 ) OR LIMIT-TO ( PUBYEAR , 2022 ) OR LIMIT-TO ( PUBYEAR , 2023 ) OR LIMIT-TO ( PUBYEAR , 2024 ) )</w:t>
                      </w:r>
                    </w:p>
                  </w:txbxContent>
                </v:textbox>
              </v:rect>
            </w:pict>
          </mc:Fallback>
        </mc:AlternateContent>
      </w:r>
    </w:p>
    <w:p w14:paraId="20E1E930" w14:textId="77777777" w:rsidR="007923B1" w:rsidRPr="007923B1" w:rsidRDefault="007923B1" w:rsidP="007923B1">
      <w:pPr>
        <w:autoSpaceDE/>
        <w:autoSpaceDN/>
        <w:rPr>
          <w:rFonts w:ascii="Calibri" w:eastAsia="Calibri" w:hAnsi="Calibri" w:cs="Arial"/>
          <w:sz w:val="22"/>
          <w:szCs w:val="22"/>
          <w:lang w:val="en-AU" w:eastAsia="en-US"/>
        </w:rPr>
      </w:pPr>
    </w:p>
    <w:p w14:paraId="15BB9023"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9232" behindDoc="0" locked="0" layoutInCell="1" allowOverlap="1" wp14:anchorId="4F620B9F" wp14:editId="7F64B5F7">
                <wp:simplePos x="0" y="0"/>
                <wp:positionH relativeFrom="column">
                  <wp:posOffset>2453640</wp:posOffset>
                </wp:positionH>
                <wp:positionV relativeFrom="paragraph">
                  <wp:posOffset>328295</wp:posOffset>
                </wp:positionV>
                <wp:extent cx="563245" cy="0"/>
                <wp:effectExtent l="0" t="76200" r="27305" b="95250"/>
                <wp:wrapNone/>
                <wp:docPr id="15" name="Straight Arrow Connector 15"/>
                <wp:cNvGraphicFramePr/>
                <a:graphic xmlns:a="http://schemas.openxmlformats.org/drawingml/2006/main">
                  <a:graphicData uri="http://schemas.microsoft.com/office/word/2010/wordprocessingShape">
                    <wps:wsp>
                      <wps:cNvCnPr/>
                      <wps:spPr>
                        <a:xfrm>
                          <a:off x="0" y="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xmlns:w16sdtfl="http://schemas.microsoft.com/office/word/2024/wordml/sdtformatlock">
            <w:pict>
              <v:shape w14:anchorId="18D1201C" id="Straight Arrow Connector 15" o:spid="_x0000_s1026" type="#_x0000_t32" style="position:absolute;margin-left:193.2pt;margin-top:25.85pt;width:44.35pt;height:0;z-index:251679232;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" strokecolor="windowText" strokeweight="4.25pt">
                <v:stroke endarrow="block" linestyle="thinThin"/>
                <v:shadow on="t" color="black" opacity="26214f" origin=",.5" offset="0,.49386mm"/>
              </v:shape>
            </w:pict>
          </mc:Fallback>
        </mc:AlternateContent>
      </w: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1040" behindDoc="0" locked="0" layoutInCell="1" allowOverlap="1" wp14:anchorId="55A5B173" wp14:editId="50957832">
                <wp:simplePos x="0" y="0"/>
                <wp:positionH relativeFrom="column">
                  <wp:posOffset>559435</wp:posOffset>
                </wp:positionH>
                <wp:positionV relativeFrom="paragraph">
                  <wp:posOffset>74930</wp:posOffset>
                </wp:positionV>
                <wp:extent cx="1887220" cy="526415"/>
                <wp:effectExtent l="0" t="0" r="0" b="6985"/>
                <wp:wrapNone/>
                <wp:docPr id="3" name="Rectangle 3"/>
                <wp:cNvGraphicFramePr/>
                <a:graphic xmlns:a="http://schemas.openxmlformats.org/drawingml/2006/main">
                  <a:graphicData uri="http://schemas.microsoft.com/office/word/2010/wordprocessingShape">
                    <wps:wsp>
                      <wps:cNvSpPr/>
                      <wps:spPr>
                        <a:xfrm>
                          <a:off x="0" y="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74032EA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Publication years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5A5B173" id="Rectangle 3" o:spid="_x0000_s1031" style="position:absolute;margin-left:44.05pt;margin-top:5.9pt;width:148.6pt;height:41.4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" fillcolor="#737950" stroked="f">
                <v:fill color2="#c9cdb3" rotate="t" angle="180" colors="0 #737950;31457f #a8ae85;1 #c9cdb3" focus="100%" type="gradient"/>
                <v:textbox>
                  <w:txbxContent>
                    <w:p w14:paraId="74032EA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Publication years</w:t>
                      </w:r>
                    </w:p>
                  </w:txbxContent>
                </v:textbox>
              </v:rect>
            </w:pict>
          </mc:Fallback>
        </mc:AlternateContent>
      </w:r>
    </w:p>
    <w:commentRangeEnd w:id="10"/>
    <w:p w14:paraId="57953CF2" w14:textId="77777777" w:rsidR="007923B1" w:rsidRPr="007923B1" w:rsidRDefault="005C6309" w:rsidP="007923B1">
      <w:pPr>
        <w:autoSpaceDE/>
        <w:autoSpaceDN/>
        <w:rPr>
          <w:rFonts w:ascii="Calibri" w:eastAsia="Calibri" w:hAnsi="Calibri" w:cs="Arial"/>
          <w:sz w:val="22"/>
          <w:szCs w:val="22"/>
          <w:lang w:val="en-AU" w:eastAsia="en-US"/>
        </w:rPr>
      </w:pPr>
      <w:r>
        <w:rPr>
          <w:rStyle w:val="CommentReference"/>
        </w:rPr>
        <w:commentReference w:id="10"/>
      </w:r>
    </w:p>
    <w:p w14:paraId="134FEC87" w14:textId="77777777" w:rsidR="007923B1" w:rsidRPr="007923B1" w:rsidRDefault="007923B1" w:rsidP="007923B1">
      <w:pPr>
        <w:autoSpaceDE/>
        <w:autoSpaceDN/>
        <w:rPr>
          <w:rFonts w:ascii="Calibri" w:eastAsia="Calibri" w:hAnsi="Calibri" w:cs="Arial"/>
          <w:sz w:val="22"/>
          <w:szCs w:val="22"/>
          <w:lang w:val="en-AU" w:eastAsia="en-US"/>
        </w:rPr>
      </w:pPr>
    </w:p>
    <w:p w14:paraId="7C31BDFF"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7424" behindDoc="0" locked="0" layoutInCell="1" allowOverlap="1" wp14:anchorId="1130F3D4" wp14:editId="1E06C171">
                <wp:simplePos x="0" y="0"/>
                <wp:positionH relativeFrom="column">
                  <wp:posOffset>1400175</wp:posOffset>
                </wp:positionH>
                <wp:positionV relativeFrom="paragraph">
                  <wp:posOffset>99695</wp:posOffset>
                </wp:positionV>
                <wp:extent cx="0" cy="396000"/>
                <wp:effectExtent l="76200" t="0" r="57150" b="61595"/>
                <wp:wrapNone/>
                <wp:docPr id="35" name="Straight Arrow Connector 35"/>
                <wp:cNvGraphicFramePr/>
                <a:graphic xmlns:a="http://schemas.openxmlformats.org/drawingml/2006/main">
                  <a:graphicData uri="http://schemas.microsoft.com/office/word/2010/wordprocessingShape">
                    <wps:wsp>
                      <wps:cNvCnPr/>
                      <wps:spPr>
                        <a:xfrm>
                          <a:off x="0" y="0"/>
                          <a:ext cx="0" cy="39600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xmlns:w16sdtfl="http://schemas.microsoft.com/office/word/2024/wordml/sdtformatlock">
            <w:pict>
              <v:shape w14:anchorId="7A005E5C" id="Straight Arrow Connector 35" o:spid="_x0000_s1026" type="#_x0000_t32" style="position:absolute;margin-left:110.25pt;margin-top:7.85pt;width:0;height:31.2pt;z-index:2516874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" strokecolor="windowText" strokeweight="4.25pt">
                <v:stroke endarrow="block" linestyle="thinThin"/>
                <v:shadow on="t" color="black" opacity="26214f" origin=",.5" offset="0,.49386mm"/>
              </v:shape>
            </w:pict>
          </mc:Fallback>
        </mc:AlternateContent>
      </w:r>
    </w:p>
    <w:p w14:paraId="1B52E05E" w14:textId="77777777" w:rsidR="007923B1" w:rsidRPr="007923B1" w:rsidRDefault="007923B1" w:rsidP="007923B1">
      <w:pPr>
        <w:autoSpaceDE/>
        <w:autoSpaceDN/>
        <w:rPr>
          <w:rFonts w:ascii="Calibri" w:eastAsia="Calibri" w:hAnsi="Calibri" w:cs="Arial"/>
          <w:sz w:val="22"/>
          <w:szCs w:val="22"/>
          <w:lang w:val="en-AU" w:eastAsia="en-US"/>
        </w:rPr>
      </w:pPr>
    </w:p>
    <w:p w14:paraId="55762C05"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3088" behindDoc="0" locked="0" layoutInCell="1" allowOverlap="1" wp14:anchorId="0437D316" wp14:editId="6CA9ADF5">
                <wp:simplePos x="0" y="0"/>
                <wp:positionH relativeFrom="column">
                  <wp:posOffset>560705</wp:posOffset>
                </wp:positionH>
                <wp:positionV relativeFrom="paragraph">
                  <wp:posOffset>152400</wp:posOffset>
                </wp:positionV>
                <wp:extent cx="1887220" cy="526415"/>
                <wp:effectExtent l="0" t="0" r="0" b="6985"/>
                <wp:wrapNone/>
                <wp:docPr id="5" name="Rectangle 5"/>
                <wp:cNvGraphicFramePr/>
                <a:graphic xmlns:a="http://schemas.openxmlformats.org/drawingml/2006/main">
                  <a:graphicData uri="http://schemas.microsoft.com/office/word/2010/wordprocessingShape">
                    <wps:wsp>
                      <wps:cNvSpPr/>
                      <wps:spPr>
                        <a:xfrm>
                          <a:off x="0" y="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3922C79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Language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437D316" id="Rectangle 5" o:spid="_x0000_s1032" style="position:absolute;margin-left:44.15pt;margin-top:12pt;width:148.6pt;height:41.45pt;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" fillcolor="#737950" stroked="f">
                <v:fill color2="#c9cdb3" rotate="t" angle="180" colors="0 #737950;31457f #a8ae85;1 #c9cdb3" focus="100%" type="gradient"/>
                <v:textbox>
                  <w:txbxContent>
                    <w:p w14:paraId="3922C79E"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             Language</w:t>
                      </w:r>
                    </w:p>
                  </w:txbxContent>
                </v:textbox>
              </v:rect>
            </w:pict>
          </mc:Fallback>
        </mc:AlternateContent>
      </w: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4352" behindDoc="0" locked="0" layoutInCell="1" allowOverlap="1" wp14:anchorId="44838E55" wp14:editId="04424280">
                <wp:simplePos x="0" y="0"/>
                <wp:positionH relativeFrom="column">
                  <wp:posOffset>-903603</wp:posOffset>
                </wp:positionH>
                <wp:positionV relativeFrom="paragraph">
                  <wp:posOffset>137159</wp:posOffset>
                </wp:positionV>
                <wp:extent cx="2258060" cy="286387"/>
                <wp:effectExtent l="0" t="4763" r="4128" b="4127"/>
                <wp:wrapNone/>
                <wp:docPr id="32" name="Flowchart: Alternate Process 32"/>
                <wp:cNvGraphicFramePr/>
                <a:graphic xmlns:a="http://schemas.openxmlformats.org/drawingml/2006/main">
                  <a:graphicData uri="http://schemas.microsoft.com/office/word/2010/wordprocessingShape">
                    <wps:wsp>
                      <wps:cNvSpPr/>
                      <wps:spPr>
                        <a:xfrm rot="16200000">
                          <a:off x="0" y="0"/>
                          <a:ext cx="2258060" cy="286387"/>
                        </a:xfrm>
                        <a:prstGeom prst="flowChartAlternateProcess">
                          <a:avLst/>
                        </a:prstGeom>
                        <a:solidFill>
                          <a:srgbClr val="7BA79D"/>
                        </a:solidFill>
                        <a:ln>
                          <a:noFill/>
                        </a:ln>
                        <a:effectLst/>
                      </wps:spPr>
                      <wps:txbx>
                        <w:txbxContent>
                          <w:p w14:paraId="0650BC5D"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Screening</w:t>
                            </w:r>
                          </w:p>
                          <w:p w14:paraId="6256E598" w14:textId="77777777" w:rsidR="007923B1" w:rsidRPr="001C3167" w:rsidRDefault="007923B1" w:rsidP="007923B1">
                            <w:pPr>
                              <w:rPr>
                                <w:rFonts w:ascii="Arial" w:hAnsi="Arial" w:cs="Arial"/>
                                <w:b/>
                                <w:color w:val="000000"/>
                                <w:sz w:val="18"/>
                                <w:szCs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838E55" id="Flowchart: Alternate Process 32" o:spid="_x0000_s1033" type="#_x0000_t176" style="position:absolute;margin-left:-71.15pt;margin-top:10.8pt;width:177.8pt;height:22.55pt;rotation:-90;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" fillcolor="#7ba79d" stroked="f">
                <v:textbox>
                  <w:txbxContent>
                    <w:p w14:paraId="0650BC5D"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Screening</w:t>
                      </w:r>
                    </w:p>
                    <w:p w14:paraId="6256E598" w14:textId="77777777" w:rsidR="007923B1" w:rsidRPr="001C3167" w:rsidRDefault="007923B1" w:rsidP="007923B1">
                      <w:pPr>
                        <w:rPr>
                          <w:rFonts w:ascii="Arial" w:hAnsi="Arial" w:cs="Arial"/>
                          <w:b/>
                          <w:color w:val="000000"/>
                          <w:sz w:val="18"/>
                          <w:szCs w:val="18"/>
                        </w:rPr>
                      </w:pPr>
                    </w:p>
                  </w:txbxContent>
                </v:textbox>
              </v:shape>
            </w:pict>
          </mc:Fallback>
        </mc:AlternateContent>
      </w:r>
    </w:p>
    <w:p w14:paraId="3183ACA9" w14:textId="1EB29B84"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4112" behindDoc="0" locked="0" layoutInCell="1" allowOverlap="1" wp14:anchorId="1E484FF7" wp14:editId="68547BE6">
                <wp:simplePos x="0" y="0"/>
                <wp:positionH relativeFrom="column">
                  <wp:posOffset>2971801</wp:posOffset>
                </wp:positionH>
                <wp:positionV relativeFrom="paragraph">
                  <wp:posOffset>116840</wp:posOffset>
                </wp:positionV>
                <wp:extent cx="2437130" cy="393065"/>
                <wp:effectExtent l="0" t="0" r="1270" b="6985"/>
                <wp:wrapNone/>
                <wp:docPr id="374367501" name="Rectangle 374367501"/>
                <wp:cNvGraphicFramePr/>
                <a:graphic xmlns:a="http://schemas.openxmlformats.org/drawingml/2006/main">
                  <a:graphicData uri="http://schemas.microsoft.com/office/word/2010/wordprocessingShape">
                    <wps:wsp>
                      <wps:cNvSpPr/>
                      <wps:spPr>
                        <a:xfrm>
                          <a:off x="0" y="0"/>
                          <a:ext cx="2437130" cy="393065"/>
                        </a:xfrm>
                        <a:prstGeom prst="rect">
                          <a:avLst/>
                        </a:prstGeom>
                        <a:solidFill>
                          <a:srgbClr val="A5AB81">
                            <a:alpha val="50000"/>
                          </a:srgbClr>
                        </a:solidFill>
                        <a:ln>
                          <a:noFill/>
                        </a:ln>
                        <a:effectLst/>
                      </wps:spPr>
                      <wps:txbx>
                        <w:txbxContent>
                          <w:p w14:paraId="3AB2DFB2" w14:textId="77777777" w:rsidR="007923B1" w:rsidRPr="004349D3" w:rsidRDefault="007923B1" w:rsidP="007923B1">
                            <w:pPr>
                              <w:rPr>
                                <w:rFonts w:ascii="Arial" w:hAnsi="Arial" w:cs="Arial"/>
                                <w:b/>
                                <w:bCs/>
                                <w:color w:val="000000"/>
                                <w:szCs w:val="22"/>
                              </w:rPr>
                            </w:pPr>
                            <w:r w:rsidRPr="004349D3">
                              <w:rPr>
                                <w:rFonts w:ascii="Arial" w:hAnsi="Arial" w:cs="Arial"/>
                                <w:b/>
                                <w:bCs/>
                                <w:color w:val="000000"/>
                                <w:szCs w:val="22"/>
                              </w:rPr>
                              <w:t xml:space="preserve">            Limit to English</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E484FF7" id="Rectangle 374367501" o:spid="_x0000_s1034" style="position:absolute;margin-left:234pt;margin-top:9.2pt;width:191.9pt;height:30.9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" fillcolor="#a5ab81" stroked="f">
                <v:fill opacity="32896f"/>
                <v:textbox>
                  <w:txbxContent>
                    <w:p w14:paraId="3AB2DFB2" w14:textId="77777777" w:rsidR="007923B1" w:rsidRPr="004349D3" w:rsidRDefault="007923B1" w:rsidP="007923B1">
                      <w:pPr>
                        <w:rPr>
                          <w:rFonts w:ascii="Arial" w:hAnsi="Arial" w:cs="Arial"/>
                          <w:b/>
                          <w:bCs/>
                          <w:color w:val="000000"/>
                          <w:szCs w:val="22"/>
                        </w:rPr>
                      </w:pPr>
                      <w:r w:rsidRPr="004349D3">
                        <w:rPr>
                          <w:rFonts w:ascii="Arial" w:hAnsi="Arial" w:cs="Arial"/>
                          <w:b/>
                          <w:bCs/>
                          <w:color w:val="000000"/>
                          <w:szCs w:val="22"/>
                        </w:rPr>
                        <w:t xml:space="preserve">            Limit to English</w:t>
                      </w:r>
                    </w:p>
                  </w:txbxContent>
                </v:textbox>
              </v:rect>
            </w:pict>
          </mc:Fallback>
        </mc:AlternateContent>
      </w:r>
    </w:p>
    <w:p w14:paraId="23839801"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0256" behindDoc="0" locked="0" layoutInCell="1" allowOverlap="1" wp14:anchorId="78C5F525" wp14:editId="5D5A8826">
                <wp:simplePos x="0" y="0"/>
                <wp:positionH relativeFrom="column">
                  <wp:posOffset>2444115</wp:posOffset>
                </wp:positionH>
                <wp:positionV relativeFrom="paragraph">
                  <wp:posOffset>84455</wp:posOffset>
                </wp:positionV>
                <wp:extent cx="563245" cy="0"/>
                <wp:effectExtent l="0" t="76200" r="27305" b="95250"/>
                <wp:wrapNone/>
                <wp:docPr id="16" name="Straight Arrow Connector 16"/>
                <wp:cNvGraphicFramePr/>
                <a:graphic xmlns:a="http://schemas.openxmlformats.org/drawingml/2006/main">
                  <a:graphicData uri="http://schemas.microsoft.com/office/word/2010/wordprocessingShape">
                    <wps:wsp>
                      <wps:cNvCnPr/>
                      <wps:spPr>
                        <a:xfrm>
                          <a:off x="0" y="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xmlns:w16sdtfl="http://schemas.microsoft.com/office/word/2024/wordml/sdtformatlock">
            <w:pict>
              <v:shape w14:anchorId="168B0D01" id="Straight Arrow Connector 16" o:spid="_x0000_s1026" type="#_x0000_t32" style="position:absolute;margin-left:192.45pt;margin-top:6.65pt;width:44.35pt;height:0;z-index:25168025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" strokecolor="windowText" strokeweight="4.25pt">
                <v:stroke endarrow="block" linestyle="thinThin"/>
                <v:shadow on="t" color="black" opacity="26214f" origin=",.5" offset="0,.49386mm"/>
              </v:shape>
            </w:pict>
          </mc:Fallback>
        </mc:AlternateContent>
      </w:r>
    </w:p>
    <w:p w14:paraId="0A6B1238" w14:textId="77777777" w:rsidR="007923B1" w:rsidRPr="007923B1" w:rsidRDefault="007923B1"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8448" behindDoc="0" locked="0" layoutInCell="1" allowOverlap="1" wp14:anchorId="7525EF72" wp14:editId="4B5FD9DB">
                <wp:simplePos x="0" y="0"/>
                <wp:positionH relativeFrom="column">
                  <wp:posOffset>1409700</wp:posOffset>
                </wp:positionH>
                <wp:positionV relativeFrom="paragraph">
                  <wp:posOffset>180340</wp:posOffset>
                </wp:positionV>
                <wp:extent cx="0" cy="720000"/>
                <wp:effectExtent l="133350" t="19050" r="152400" b="80645"/>
                <wp:wrapNone/>
                <wp:docPr id="36" name="Straight Arrow Connector 36"/>
                <wp:cNvGraphicFramePr/>
                <a:graphic xmlns:a="http://schemas.openxmlformats.org/drawingml/2006/main">
                  <a:graphicData uri="http://schemas.microsoft.com/office/word/2010/wordprocessingShape">
                    <wps:wsp>
                      <wps:cNvCnPr/>
                      <wps:spPr>
                        <a:xfrm>
                          <a:off x="0" y="0"/>
                          <a:ext cx="0" cy="72000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xmlns:w16sdtfl="http://schemas.microsoft.com/office/word/2024/wordml/sdtformatlock">
            <w:pict>
              <v:shape w14:anchorId="0D72761E" id="Straight Arrow Connector 36" o:spid="_x0000_s1026" type="#_x0000_t32" style="position:absolute;margin-left:111pt;margin-top:14.2pt;width:0;height:56.7pt;z-index:25168844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" strokecolor="windowText" strokeweight="4.25pt">
                <v:stroke endarrow="block" linestyle="thinThin"/>
                <v:shadow on="t" color="black" opacity="26214f" origin=",.5" offset="0,.49386mm"/>
              </v:shape>
            </w:pict>
          </mc:Fallback>
        </mc:AlternateContent>
      </w:r>
    </w:p>
    <w:p w14:paraId="48A69621" w14:textId="449E6DBA" w:rsidR="007923B1" w:rsidRPr="007923B1" w:rsidRDefault="00D813BC"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6160" behindDoc="0" locked="0" layoutInCell="1" allowOverlap="1" wp14:anchorId="373580B3" wp14:editId="00048E11">
                <wp:simplePos x="0" y="0"/>
                <wp:positionH relativeFrom="column">
                  <wp:posOffset>3061970</wp:posOffset>
                </wp:positionH>
                <wp:positionV relativeFrom="paragraph">
                  <wp:posOffset>173355</wp:posOffset>
                </wp:positionV>
                <wp:extent cx="3028950" cy="3632200"/>
                <wp:effectExtent l="0" t="0" r="0" b="0"/>
                <wp:wrapNone/>
                <wp:docPr id="9" name="Rectangle 9"/>
                <wp:cNvGraphicFramePr/>
                <a:graphic xmlns:a="http://schemas.openxmlformats.org/drawingml/2006/main">
                  <a:graphicData uri="http://schemas.microsoft.com/office/word/2010/wordprocessingShape">
                    <wps:wsp>
                      <wps:cNvSpPr/>
                      <wps:spPr>
                        <a:xfrm>
                          <a:off x="0" y="0"/>
                          <a:ext cx="3028950" cy="3632200"/>
                        </a:xfrm>
                        <a:prstGeom prst="rect">
                          <a:avLst/>
                        </a:prstGeom>
                        <a:solidFill>
                          <a:srgbClr val="A5AB81">
                            <a:alpha val="50000"/>
                          </a:srgbClr>
                        </a:solidFill>
                        <a:ln>
                          <a:noFill/>
                        </a:ln>
                        <a:effectLst/>
                      </wps:spPr>
                      <wps:txbx>
                        <w:txbxContent>
                          <w:p w14:paraId="7B3C8395" w14:textId="77777777" w:rsidR="007923B1" w:rsidRPr="00196C88" w:rsidRDefault="007923B1" w:rsidP="007923B1">
                            <w:pPr>
                              <w:rPr>
                                <w:rFonts w:ascii="Arial" w:hAnsi="Arial" w:cs="Arial"/>
                                <w:color w:val="000000"/>
                                <w:sz w:val="18"/>
                              </w:rPr>
                            </w:pPr>
                            <w:r w:rsidRPr="00442774">
                              <w:rPr>
                                <w:rFonts w:ascii="Arial" w:hAnsi="Arial" w:cs="Arial"/>
                                <w:b/>
                                <w:bCs/>
                                <w:color w:val="000000"/>
                                <w:sz w:val="18"/>
                              </w:rPr>
                              <w:t>TITLE-ABS-KEY ( "Basel Accords" OR "Islamic banking" )</w:t>
                            </w:r>
                            <w:r w:rsidRPr="001C3167">
                              <w:rPr>
                                <w:rFonts w:ascii="Arial" w:hAnsi="Arial" w:cs="Arial"/>
                                <w:color w:val="000000"/>
                                <w:sz w:val="18"/>
                              </w:rPr>
                              <w:t xml:space="preserve"> </w:t>
                            </w:r>
                            <w:r w:rsidRPr="004D6C91">
                              <w:rPr>
                                <w:rFonts w:ascii="Arial" w:hAnsi="Arial" w:cs="Arial"/>
                                <w:color w:val="000000"/>
                                <w:sz w:val="18"/>
                              </w:rPr>
                              <w:t>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14:paraId="5B90D5C0" w14:textId="77777777" w:rsidR="007923B1" w:rsidRPr="001C3167" w:rsidRDefault="007923B1" w:rsidP="007923B1">
                            <w:pPr>
                              <w:ind w:left="284"/>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73580B3" id="Rectangle 9" o:spid="_x0000_s1035" style="position:absolute;margin-left:241.1pt;margin-top:13.65pt;width:238.5pt;height:286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" fillcolor="#a5ab81" stroked="f">
                <v:fill opacity="32896f"/>
                <v:textbox>
                  <w:txbxContent>
                    <w:p w14:paraId="7B3C8395" w14:textId="77777777" w:rsidR="007923B1" w:rsidRPr="00196C88" w:rsidRDefault="007923B1" w:rsidP="007923B1">
                      <w:pPr>
                        <w:rPr>
                          <w:rFonts w:ascii="Arial" w:hAnsi="Arial" w:cs="Arial"/>
                          <w:color w:val="000000"/>
                          <w:sz w:val="18"/>
                        </w:rPr>
                      </w:pPr>
                      <w:r w:rsidRPr="00442774">
                        <w:rPr>
                          <w:rFonts w:ascii="Arial" w:hAnsi="Arial" w:cs="Arial"/>
                          <w:b/>
                          <w:bCs/>
                          <w:color w:val="000000"/>
                          <w:sz w:val="18"/>
                        </w:rPr>
                        <w:t>TITLE-ABS-KEY ( "Basel Accords" OR "Islamic banking" )</w:t>
                      </w:r>
                      <w:r w:rsidRPr="001C3167">
                        <w:rPr>
                          <w:rFonts w:ascii="Arial" w:hAnsi="Arial" w:cs="Arial"/>
                          <w:color w:val="000000"/>
                          <w:sz w:val="18"/>
                        </w:rPr>
                        <w:t xml:space="preserve"> </w:t>
                      </w:r>
                      <w:r w:rsidRPr="004D6C91">
                        <w:rPr>
                          <w:rFonts w:ascii="Arial" w:hAnsi="Arial" w:cs="Arial"/>
                          <w:color w:val="000000"/>
                          <w:sz w:val="18"/>
                        </w:rPr>
                        <w:t>AND ( LIMIT-TO ( SUBJAREA , "ECON" ) OR LIMIT-TO ( SUBJAREA , "BUSI" ) ) AND ( LIMIT-TO ( DOCTYPE , "ar" ) ) AND ( LIMIT-TO ( LANGUAGE , "English" ) ) AND ( LIMIT-TO ( SRCTYPE , "j" ) ) AND ( LIMIT-TO ( EXACTKEYWORD , "Basel Accords" ) OR LIMIT-TO ( EXACTKEYWORD , "Basel Accord" ) OR LIMIT-TO ( EXACTKEYWORD , "Islamic Bank" ) OR LIMIT-TO ( EXACTKEYWORD , "Banking" ) OR LIMIT-TO ( EXACTKEYWORD , "Islamic Finance" ) OR LIMIT-TO ( EXACTKEYWORD , "Islamic Banks" ) OR LIMIT-TO ( EXACTKEYWORD , "Islamic Banking" ) OR LIMIT-TO ( EXACTKEYWORD , "Indonesia" ) OR LIMIT-TO ( EXACTKEYWORD , "Malaysia" ) OR LIMIT-TO ( EXACTKEYWORD , "Risk Management" ) OR LIMIT-TO ( EXACTKEYWORD , "Trust" ) OR LIMIT-TO ( EXACTKEYWORD , "Islamic Banking And Finance" ) OR LIMIT-TO ( EXACTKEYWORD , "Liquidity Risk" ) OR LIMIT-TO ( EXACTKEYWORD , "Basel III" ) OR LIMIT-TO ( EXACTKEYWORD , "Islamic Marketing" ) OR LIMIT-TO ( EXACTKEYWORD , "Risk" ) OR LIMIT-TO ( EXACTKEYWORD , "Shariah" ) OR LIMIT-TO ( EXACTKEYWORD , "Islamic Economics" ) OR LIMIT-TO ( EXACTKEYWORD , "Sharia" ) OR LIMIT-TO ( EXACTKEYWORD , "Systemic Risk" ) )</w:t>
                      </w:r>
                    </w:p>
                    <w:p w14:paraId="5B90D5C0" w14:textId="77777777" w:rsidR="007923B1" w:rsidRPr="001C3167" w:rsidRDefault="007923B1" w:rsidP="007923B1">
                      <w:pPr>
                        <w:ind w:left="284"/>
                        <w:rPr>
                          <w:rFonts w:ascii="Arial" w:hAnsi="Arial" w:cs="Arial"/>
                          <w:color w:val="000000"/>
                          <w:sz w:val="18"/>
                        </w:rPr>
                      </w:pPr>
                    </w:p>
                  </w:txbxContent>
                </v:textbox>
              </v:rect>
            </w:pict>
          </mc:Fallback>
        </mc:AlternateContent>
      </w:r>
    </w:p>
    <w:p w14:paraId="39DA5B23" w14:textId="2CBF5EA3" w:rsidR="007923B1" w:rsidRPr="007923B1" w:rsidRDefault="007923B1" w:rsidP="007923B1">
      <w:pPr>
        <w:autoSpaceDE/>
        <w:autoSpaceDN/>
        <w:rPr>
          <w:rFonts w:ascii="Calibri" w:eastAsia="Calibri" w:hAnsi="Calibri" w:cs="Arial"/>
          <w:sz w:val="22"/>
          <w:szCs w:val="22"/>
          <w:lang w:val="en-AU" w:eastAsia="en-US"/>
        </w:rPr>
      </w:pPr>
    </w:p>
    <w:p w14:paraId="08E71DD1" w14:textId="0AD5A758" w:rsidR="007923B1" w:rsidRPr="007923B1" w:rsidRDefault="007923B1" w:rsidP="007923B1">
      <w:pPr>
        <w:autoSpaceDE/>
        <w:autoSpaceDN/>
        <w:rPr>
          <w:rFonts w:ascii="Calibri" w:eastAsia="Calibri" w:hAnsi="Calibri" w:cs="Arial"/>
          <w:sz w:val="22"/>
          <w:szCs w:val="22"/>
          <w:lang w:val="en-AU" w:eastAsia="en-US"/>
        </w:rPr>
      </w:pPr>
    </w:p>
    <w:p w14:paraId="256F9512" w14:textId="5795B246" w:rsidR="007923B1" w:rsidRPr="007923B1" w:rsidRDefault="007923B1" w:rsidP="007923B1">
      <w:pPr>
        <w:autoSpaceDE/>
        <w:autoSpaceDN/>
        <w:rPr>
          <w:rFonts w:ascii="Calibri" w:eastAsia="Calibri" w:hAnsi="Calibri" w:cs="Arial"/>
          <w:sz w:val="22"/>
          <w:szCs w:val="22"/>
          <w:lang w:val="en-AU" w:eastAsia="en-US"/>
        </w:rPr>
      </w:pPr>
    </w:p>
    <w:p w14:paraId="44B6AB94" w14:textId="2F194D7B"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5136" behindDoc="0" locked="0" layoutInCell="1" allowOverlap="1" wp14:anchorId="23EE8973" wp14:editId="20EBE24C">
                <wp:simplePos x="0" y="0"/>
                <wp:positionH relativeFrom="column">
                  <wp:posOffset>561975</wp:posOffset>
                </wp:positionH>
                <wp:positionV relativeFrom="paragraph">
                  <wp:posOffset>49174</wp:posOffset>
                </wp:positionV>
                <wp:extent cx="1887220" cy="526415"/>
                <wp:effectExtent l="0" t="0" r="0" b="6985"/>
                <wp:wrapNone/>
                <wp:docPr id="8" name="Rectangle 8"/>
                <wp:cNvGraphicFramePr/>
                <a:graphic xmlns:a="http://schemas.openxmlformats.org/drawingml/2006/main">
                  <a:graphicData uri="http://schemas.microsoft.com/office/word/2010/wordprocessingShape">
                    <wps:wsp>
                      <wps:cNvSpPr/>
                      <wps:spPr>
                        <a:xfrm>
                          <a:off x="0" y="0"/>
                          <a:ext cx="1887220" cy="526415"/>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5E6512DF" w14:textId="77777777" w:rsidR="007923B1" w:rsidRPr="008A7B81" w:rsidRDefault="007923B1" w:rsidP="007923B1">
                            <w:pPr>
                              <w:rPr>
                                <w:rFonts w:ascii="Arial" w:hAnsi="Arial" w:cs="Arial"/>
                                <w:b/>
                                <w:bCs/>
                                <w:color w:val="FFFFFF" w:themeColor="background1"/>
                                <w:sz w:val="18"/>
                              </w:rPr>
                            </w:pPr>
                            <w:r w:rsidRPr="001C3167">
                              <w:rPr>
                                <w:rFonts w:ascii="Arial" w:hAnsi="Arial" w:cs="Arial"/>
                                <w:color w:val="000000"/>
                                <w:sz w:val="18"/>
                              </w:rPr>
                              <w:t xml:space="preserve">         </w:t>
                            </w:r>
                            <w:r w:rsidRPr="008A7B81">
                              <w:rPr>
                                <w:rFonts w:ascii="Arial" w:hAnsi="Arial" w:cs="Arial"/>
                                <w:b/>
                                <w:bCs/>
                                <w:color w:val="FFFFFF" w:themeColor="background1"/>
                                <w:sz w:val="18"/>
                              </w:rPr>
                              <w:t>Subject area</w:t>
                            </w:r>
                          </w:p>
                          <w:p w14:paraId="6691D2F8" w14:textId="77777777" w:rsidR="007923B1" w:rsidRPr="001C3167" w:rsidRDefault="007923B1" w:rsidP="007923B1">
                            <w:pPr>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3EE8973" id="Rectangle 8" o:spid="_x0000_s1036" style="position:absolute;margin-left:44.25pt;margin-top:3.85pt;width:148.6pt;height:41.45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" fillcolor="#737950" stroked="f">
                <v:fill color2="#c9cdb3" rotate="t" angle="180" colors="0 #737950;31457f #a8ae85;1 #c9cdb3" focus="100%" type="gradient"/>
                <v:textbox>
                  <w:txbxContent>
                    <w:p w14:paraId="5E6512DF" w14:textId="77777777" w:rsidR="007923B1" w:rsidRPr="008A7B81" w:rsidRDefault="007923B1" w:rsidP="007923B1">
                      <w:pPr>
                        <w:rPr>
                          <w:rFonts w:ascii="Arial" w:hAnsi="Arial" w:cs="Arial"/>
                          <w:b/>
                          <w:bCs/>
                          <w:color w:val="FFFFFF" w:themeColor="background1"/>
                          <w:sz w:val="18"/>
                        </w:rPr>
                      </w:pPr>
                      <w:r w:rsidRPr="001C3167">
                        <w:rPr>
                          <w:rFonts w:ascii="Arial" w:hAnsi="Arial" w:cs="Arial"/>
                          <w:color w:val="000000"/>
                          <w:sz w:val="18"/>
                        </w:rPr>
                        <w:t xml:space="preserve">         </w:t>
                      </w:r>
                      <w:r w:rsidRPr="008A7B81">
                        <w:rPr>
                          <w:rFonts w:ascii="Arial" w:hAnsi="Arial" w:cs="Arial"/>
                          <w:b/>
                          <w:bCs/>
                          <w:color w:val="FFFFFF" w:themeColor="background1"/>
                          <w:sz w:val="18"/>
                        </w:rPr>
                        <w:t>Subject area</w:t>
                      </w:r>
                    </w:p>
                    <w:p w14:paraId="6691D2F8" w14:textId="77777777" w:rsidR="007923B1" w:rsidRPr="001C3167" w:rsidRDefault="007923B1" w:rsidP="007923B1">
                      <w:pPr>
                        <w:rPr>
                          <w:rFonts w:ascii="Arial" w:hAnsi="Arial" w:cs="Arial"/>
                          <w:color w:val="000000"/>
                          <w:sz w:val="18"/>
                        </w:rPr>
                      </w:pPr>
                    </w:p>
                  </w:txbxContent>
                </v:textbox>
              </v:rect>
            </w:pict>
          </mc:Fallback>
        </mc:AlternateContent>
      </w:r>
    </w:p>
    <w:p w14:paraId="2EE13704" w14:textId="1AC758E7"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1280" behindDoc="0" locked="0" layoutInCell="1" allowOverlap="1" wp14:anchorId="31D55286" wp14:editId="77634BA3">
                <wp:simplePos x="0" y="0"/>
                <wp:positionH relativeFrom="column">
                  <wp:posOffset>2476500</wp:posOffset>
                </wp:positionH>
                <wp:positionV relativeFrom="paragraph">
                  <wp:posOffset>124816</wp:posOffset>
                </wp:positionV>
                <wp:extent cx="563245" cy="0"/>
                <wp:effectExtent l="0" t="114300" r="0" b="171450"/>
                <wp:wrapNone/>
                <wp:docPr id="17" name="Straight Arrow Connector 17"/>
                <wp:cNvGraphicFramePr/>
                <a:graphic xmlns:a="http://schemas.openxmlformats.org/drawingml/2006/main">
                  <a:graphicData uri="http://schemas.microsoft.com/office/word/2010/wordprocessingShape">
                    <wps:wsp>
                      <wps:cNvCnPr/>
                      <wps:spPr>
                        <a:xfrm>
                          <a:off x="0" y="0"/>
                          <a:ext cx="563245" cy="0"/>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anchor>
            </w:drawing>
          </mc:Choice>
          <mc:Fallback xmlns:w16sdtfl="http://schemas.microsoft.com/office/word/2024/wordml/sdtformatlock">
            <w:pict>
              <v:shape w14:anchorId="02BFEC96" id="Straight Arrow Connector 17" o:spid="_x0000_s1026" type="#_x0000_t32" style="position:absolute;margin-left:195pt;margin-top:9.85pt;width:44.35pt;height:0;z-index:251681280;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" strokecolor="windowText" strokeweight="4.25pt">
                <v:stroke endarrow="block" linestyle="thinThin"/>
                <v:shadow on="t" color="black" opacity="26214f" origin=",.5" offset="0,.49386mm"/>
              </v:shape>
            </w:pict>
          </mc:Fallback>
        </mc:AlternateContent>
      </w:r>
    </w:p>
    <w:p w14:paraId="11085DA9" w14:textId="5B3BA8CB" w:rsidR="007923B1" w:rsidRPr="007923B1" w:rsidRDefault="007923B1" w:rsidP="007923B1">
      <w:pPr>
        <w:autoSpaceDE/>
        <w:autoSpaceDN/>
        <w:rPr>
          <w:rFonts w:ascii="Calibri" w:eastAsia="Calibri" w:hAnsi="Calibri" w:cs="Arial"/>
          <w:sz w:val="22"/>
          <w:szCs w:val="22"/>
          <w:lang w:val="en-AU" w:eastAsia="en-US"/>
        </w:rPr>
      </w:pPr>
    </w:p>
    <w:p w14:paraId="08FDE1A2" w14:textId="4AAA8268"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9472" behindDoc="0" locked="0" layoutInCell="1" allowOverlap="1" wp14:anchorId="71B072D2" wp14:editId="61150EF0">
                <wp:simplePos x="0" y="0"/>
                <wp:positionH relativeFrom="column">
                  <wp:posOffset>1400810</wp:posOffset>
                </wp:positionH>
                <wp:positionV relativeFrom="paragraph">
                  <wp:posOffset>71399</wp:posOffset>
                </wp:positionV>
                <wp:extent cx="0" cy="1223645"/>
                <wp:effectExtent l="133350" t="19050" r="95250" b="90805"/>
                <wp:wrapNone/>
                <wp:docPr id="19" name="Straight Arrow Connector 19"/>
                <wp:cNvGraphicFramePr/>
                <a:graphic xmlns:a="http://schemas.openxmlformats.org/drawingml/2006/main">
                  <a:graphicData uri="http://schemas.microsoft.com/office/word/2010/wordprocessingShape">
                    <wps:wsp>
                      <wps:cNvCnPr/>
                      <wps:spPr>
                        <a:xfrm>
                          <a:off x="0" y="0"/>
                          <a:ext cx="0" cy="1223645"/>
                        </a:xfrm>
                        <a:prstGeom prst="straightConnector1">
                          <a:avLst/>
                        </a:prstGeom>
                        <a:noFill/>
                        <a:ln w="53975" cap="flat" cmpd="dbl" algn="ctr">
                          <a:solidFill>
                            <a:sysClr val="windowText" lastClr="000000"/>
                          </a:solidFill>
                          <a:prstDash val="solid"/>
                          <a:tailEnd type="triangle"/>
                        </a:ln>
                        <a:effectLst>
                          <a:outerShdw blurRad="38100" dist="17779" dir="5400000" rotWithShape="0">
                            <a:srgbClr val="000000">
                              <a:alpha val="40000"/>
                            </a:srgbClr>
                          </a:outerShdw>
                        </a:effectLst>
                      </wps:spPr>
                      <wps:bodyPr/>
                    </wps:wsp>
                  </a:graphicData>
                </a:graphic>
                <wp14:sizeRelV relativeFrom="margin">
                  <wp14:pctHeight>0</wp14:pctHeight>
                </wp14:sizeRelV>
              </wp:anchor>
            </w:drawing>
          </mc:Choice>
          <mc:Fallback xmlns:w16sdtfl="http://schemas.microsoft.com/office/word/2024/wordml/sdtformatlock">
            <w:pict>
              <v:shape w14:anchorId="42F22BC3" id="Straight Arrow Connector 19" o:spid="_x0000_s1026" type="#_x0000_t32" style="position:absolute;margin-left:110.3pt;margin-top:5.6pt;width:0;height:96.35pt;z-index:2516894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" strokecolor="windowText" strokeweight="4.25pt">
                <v:stroke endarrow="block" linestyle="thinThin"/>
                <v:shadow on="t" color="black" opacity="26214f" origin=",.5" offset="0,.49386mm"/>
              </v:shape>
            </w:pict>
          </mc:Fallback>
        </mc:AlternateContent>
      </w:r>
    </w:p>
    <w:p w14:paraId="0EC5B109" w14:textId="510F1521" w:rsidR="007923B1" w:rsidRPr="007923B1" w:rsidRDefault="007923B1" w:rsidP="007923B1">
      <w:pPr>
        <w:autoSpaceDE/>
        <w:autoSpaceDN/>
        <w:rPr>
          <w:rFonts w:ascii="Calibri" w:eastAsia="Calibri" w:hAnsi="Calibri" w:cs="Arial"/>
          <w:sz w:val="22"/>
          <w:szCs w:val="22"/>
          <w:lang w:val="en-AU" w:eastAsia="en-US"/>
        </w:rPr>
      </w:pPr>
    </w:p>
    <w:p w14:paraId="51256E0D" w14:textId="08BFF03D" w:rsidR="007923B1" w:rsidRPr="007923B1" w:rsidRDefault="007923B1" w:rsidP="007923B1">
      <w:pPr>
        <w:autoSpaceDE/>
        <w:autoSpaceDN/>
        <w:rPr>
          <w:rFonts w:ascii="Calibri" w:eastAsia="Calibri" w:hAnsi="Calibri" w:cs="Arial"/>
          <w:sz w:val="22"/>
          <w:szCs w:val="22"/>
          <w:lang w:val="en-AU" w:eastAsia="en-US"/>
        </w:rPr>
      </w:pPr>
    </w:p>
    <w:p w14:paraId="23FBC303" w14:textId="30AA46F2" w:rsidR="007923B1" w:rsidRPr="007923B1" w:rsidRDefault="007923B1" w:rsidP="007923B1">
      <w:pPr>
        <w:autoSpaceDE/>
        <w:autoSpaceDN/>
        <w:rPr>
          <w:rFonts w:ascii="Calibri" w:eastAsia="Calibri" w:hAnsi="Calibri" w:cs="Arial"/>
          <w:sz w:val="22"/>
          <w:szCs w:val="22"/>
          <w:lang w:val="en-AU" w:eastAsia="en-US"/>
        </w:rPr>
      </w:pPr>
    </w:p>
    <w:p w14:paraId="0C751F36" w14:textId="6C1E23E8" w:rsidR="007923B1" w:rsidRPr="007923B1" w:rsidRDefault="007923B1" w:rsidP="007923B1">
      <w:pPr>
        <w:autoSpaceDE/>
        <w:autoSpaceDN/>
        <w:rPr>
          <w:rFonts w:ascii="Calibri" w:eastAsia="Calibri" w:hAnsi="Calibri" w:cs="Arial"/>
          <w:sz w:val="22"/>
          <w:szCs w:val="22"/>
          <w:lang w:val="en-AU" w:eastAsia="en-US"/>
        </w:rPr>
      </w:pPr>
    </w:p>
    <w:p w14:paraId="043B1B49" w14:textId="373EFDCC" w:rsidR="007923B1" w:rsidRPr="007923B1" w:rsidRDefault="007923B1" w:rsidP="007923B1">
      <w:pPr>
        <w:autoSpaceDE/>
        <w:autoSpaceDN/>
        <w:rPr>
          <w:rFonts w:ascii="Calibri" w:eastAsia="Calibri" w:hAnsi="Calibri" w:cs="Arial"/>
          <w:sz w:val="22"/>
          <w:szCs w:val="22"/>
          <w:lang w:val="en-AU" w:eastAsia="en-US"/>
        </w:rPr>
      </w:pPr>
    </w:p>
    <w:p w14:paraId="6A9269A1" w14:textId="38CC7B33" w:rsidR="007923B1" w:rsidRPr="007923B1" w:rsidRDefault="00802A5B" w:rsidP="007923B1">
      <w:pPr>
        <w:autoSpaceDE/>
        <w:autoSpaceDN/>
        <w:rPr>
          <w:rFonts w:ascii="Calibri" w:eastAsia="Calibri" w:hAnsi="Calibri" w:cs="Arial"/>
          <w:sz w:val="22"/>
          <w:szCs w:val="22"/>
          <w:lang w:val="en-AU" w:eastAsia="en-US"/>
        </w:rPr>
      </w:pP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85376" behindDoc="0" locked="0" layoutInCell="1" allowOverlap="1" wp14:anchorId="29F02BC4" wp14:editId="524E3CBA">
                <wp:simplePos x="0" y="0"/>
                <wp:positionH relativeFrom="column">
                  <wp:posOffset>-63500</wp:posOffset>
                </wp:positionH>
                <wp:positionV relativeFrom="paragraph">
                  <wp:posOffset>558800</wp:posOffset>
                </wp:positionV>
                <wp:extent cx="722630" cy="262890"/>
                <wp:effectExtent l="1270" t="0" r="2540" b="2540"/>
                <wp:wrapTopAndBottom/>
                <wp:docPr id="33" name="Flowchart: Alternate Process 33"/>
                <wp:cNvGraphicFramePr/>
                <a:graphic xmlns:a="http://schemas.openxmlformats.org/drawingml/2006/main">
                  <a:graphicData uri="http://schemas.microsoft.com/office/word/2010/wordprocessingShape">
                    <wps:wsp>
                      <wps:cNvSpPr/>
                      <wps:spPr>
                        <a:xfrm rot="16200000">
                          <a:off x="0" y="0"/>
                          <a:ext cx="722630" cy="262890"/>
                        </a:xfrm>
                        <a:prstGeom prst="flowChartAlternateProcess">
                          <a:avLst/>
                        </a:prstGeom>
                        <a:solidFill>
                          <a:srgbClr val="7BA79D"/>
                        </a:solidFill>
                        <a:ln>
                          <a:noFill/>
                        </a:ln>
                        <a:effectLst/>
                      </wps:spPr>
                      <wps:txbx>
                        <w:txbxContent>
                          <w:p w14:paraId="03576BC2"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Included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9F02BC4" id="Flowchart: Alternate Process 33" o:spid="_x0000_s1037" type="#_x0000_t176" style="position:absolute;margin-left:-5pt;margin-top:44pt;width:56.9pt;height:20.7pt;rotation:-90;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" fillcolor="#7ba79d" stroked="f">
                <v:textbox>
                  <w:txbxContent>
                    <w:p w14:paraId="03576BC2" w14:textId="77777777" w:rsidR="007923B1" w:rsidRPr="001C3167" w:rsidRDefault="007923B1" w:rsidP="007923B1">
                      <w:pPr>
                        <w:jc w:val="center"/>
                        <w:rPr>
                          <w:rFonts w:ascii="Arial" w:hAnsi="Arial" w:cs="Arial"/>
                          <w:b/>
                          <w:color w:val="000000"/>
                          <w:sz w:val="18"/>
                          <w:szCs w:val="18"/>
                        </w:rPr>
                      </w:pPr>
                      <w:r w:rsidRPr="001C3167">
                        <w:rPr>
                          <w:rFonts w:ascii="Arial" w:hAnsi="Arial" w:cs="Arial"/>
                          <w:b/>
                          <w:color w:val="000000"/>
                          <w:sz w:val="18"/>
                          <w:szCs w:val="18"/>
                        </w:rPr>
                        <w:t>Included</w:t>
                      </w:r>
                    </w:p>
                  </w:txbxContent>
                </v:textbox>
                <w10:wrap type="topAndBottom"/>
              </v:shape>
            </w:pict>
          </mc:Fallback>
        </mc:AlternateContent>
      </w:r>
      <w:r w:rsidRPr="007923B1">
        <w:rPr>
          <w:rFonts w:ascii="Calibri" w:eastAsia="Calibri" w:hAnsi="Calibri" w:cs="Arial"/>
          <w:noProof/>
          <w:sz w:val="22"/>
          <w:szCs w:val="22"/>
          <w:lang w:val="en-AU" w:eastAsia="en-US"/>
        </w:rPr>
        <mc:AlternateContent>
          <mc:Choice Requires="wps">
            <w:drawing>
              <wp:anchor distT="0" distB="0" distL="114300" distR="114300" simplePos="0" relativeHeight="251677184" behindDoc="0" locked="0" layoutInCell="1" allowOverlap="1" wp14:anchorId="0DD32AB3" wp14:editId="0C4F605C">
                <wp:simplePos x="0" y="0"/>
                <wp:positionH relativeFrom="column">
                  <wp:posOffset>594360</wp:posOffset>
                </wp:positionH>
                <wp:positionV relativeFrom="paragraph">
                  <wp:posOffset>280949</wp:posOffset>
                </wp:positionV>
                <wp:extent cx="1752600" cy="857250"/>
                <wp:effectExtent l="0" t="0" r="0" b="0"/>
                <wp:wrapTopAndBottom/>
                <wp:docPr id="13" name="Rectangle 13"/>
                <wp:cNvGraphicFramePr/>
                <a:graphic xmlns:a="http://schemas.openxmlformats.org/drawingml/2006/main">
                  <a:graphicData uri="http://schemas.microsoft.com/office/word/2010/wordprocessingShape">
                    <wps:wsp>
                      <wps:cNvSpPr/>
                      <wps:spPr>
                        <a:xfrm>
                          <a:off x="0" y="0"/>
                          <a:ext cx="1752600" cy="857250"/>
                        </a:xfrm>
                        <a:prstGeom prst="rect">
                          <a:avLst/>
                        </a:prstGeom>
                        <a:gradFill flip="none" rotWithShape="1">
                          <a:gsLst>
                            <a:gs pos="0">
                              <a:srgbClr val="A5AB81">
                                <a:lumMod val="67000"/>
                              </a:srgbClr>
                            </a:gs>
                            <a:gs pos="48000">
                              <a:srgbClr val="A5AB81">
                                <a:lumMod val="97000"/>
                                <a:lumOff val="3000"/>
                              </a:srgbClr>
                            </a:gs>
                            <a:gs pos="100000">
                              <a:srgbClr val="A5AB81">
                                <a:lumMod val="60000"/>
                                <a:lumOff val="40000"/>
                              </a:srgbClr>
                            </a:gs>
                          </a:gsLst>
                          <a:lin ang="16200000" scaled="1"/>
                          <a:tileRect/>
                        </a:gradFill>
                        <a:ln>
                          <a:noFill/>
                        </a:ln>
                        <a:effectLst/>
                      </wps:spPr>
                      <wps:txbx>
                        <w:txbxContent>
                          <w:p w14:paraId="4BCDA806"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Studies included in review</w:t>
                            </w:r>
                          </w:p>
                          <w:p w14:paraId="2BB3D103"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(n = </w:t>
                            </w:r>
                            <w:proofErr w:type="gramStart"/>
                            <w:r w:rsidRPr="008A7B81">
                              <w:rPr>
                                <w:rFonts w:ascii="Arial" w:hAnsi="Arial" w:cs="Arial"/>
                                <w:b/>
                                <w:bCs/>
                                <w:color w:val="FFFFFF" w:themeColor="background1"/>
                                <w:sz w:val="18"/>
                              </w:rPr>
                              <w:t>1,149  )</w:t>
                            </w:r>
                            <w:proofErr w:type="gramEnd"/>
                          </w:p>
                          <w:p w14:paraId="2C6629F8" w14:textId="77777777" w:rsidR="007923B1" w:rsidRPr="001C3167" w:rsidRDefault="007923B1" w:rsidP="007923B1">
                            <w:pPr>
                              <w:rPr>
                                <w:rFonts w:ascii="Arial" w:hAnsi="Arial" w:cs="Arial"/>
                                <w:color w:val="000000"/>
                                <w:sz w:val="18"/>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DD32AB3" id="Rectangle 13" o:spid="_x0000_s1038" style="position:absolute;margin-left:46.8pt;margin-top:22.1pt;width:138pt;height:6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" fillcolor="#737950" stroked="f">
                <v:fill color2="#c9cdb3" rotate="t" angle="180" colors="0 #737950;31457f #a8ae85;1 #c9cdb3" focus="100%" type="gradient"/>
                <v:textbox>
                  <w:txbxContent>
                    <w:p w14:paraId="4BCDA806"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Studies included in review</w:t>
                      </w:r>
                    </w:p>
                    <w:p w14:paraId="2BB3D103" w14:textId="77777777" w:rsidR="007923B1" w:rsidRPr="008A7B81" w:rsidRDefault="007923B1" w:rsidP="007923B1">
                      <w:pPr>
                        <w:rPr>
                          <w:rFonts w:ascii="Arial" w:hAnsi="Arial" w:cs="Arial"/>
                          <w:b/>
                          <w:bCs/>
                          <w:color w:val="FFFFFF" w:themeColor="background1"/>
                          <w:sz w:val="18"/>
                        </w:rPr>
                      </w:pPr>
                      <w:r w:rsidRPr="008A7B81">
                        <w:rPr>
                          <w:rFonts w:ascii="Arial" w:hAnsi="Arial" w:cs="Arial"/>
                          <w:b/>
                          <w:bCs/>
                          <w:color w:val="FFFFFF" w:themeColor="background1"/>
                          <w:sz w:val="18"/>
                        </w:rPr>
                        <w:t xml:space="preserve">(n = </w:t>
                      </w:r>
                      <w:proofErr w:type="gramStart"/>
                      <w:r w:rsidRPr="008A7B81">
                        <w:rPr>
                          <w:rFonts w:ascii="Arial" w:hAnsi="Arial" w:cs="Arial"/>
                          <w:b/>
                          <w:bCs/>
                          <w:color w:val="FFFFFF" w:themeColor="background1"/>
                          <w:sz w:val="18"/>
                        </w:rPr>
                        <w:t>1,149  )</w:t>
                      </w:r>
                      <w:proofErr w:type="gramEnd"/>
                    </w:p>
                    <w:p w14:paraId="2C6629F8" w14:textId="77777777" w:rsidR="007923B1" w:rsidRPr="001C3167" w:rsidRDefault="007923B1" w:rsidP="007923B1">
                      <w:pPr>
                        <w:rPr>
                          <w:rFonts w:ascii="Arial" w:hAnsi="Arial" w:cs="Arial"/>
                          <w:color w:val="000000"/>
                          <w:sz w:val="18"/>
                        </w:rPr>
                      </w:pPr>
                    </w:p>
                  </w:txbxContent>
                </v:textbox>
                <w10:wrap type="topAndBottom"/>
              </v:rect>
            </w:pict>
          </mc:Fallback>
        </mc:AlternateContent>
      </w:r>
    </w:p>
    <w:bookmarkEnd w:id="11"/>
    <w:p w14:paraId="0DEB227A" w14:textId="3F158CEF" w:rsidR="007923B1" w:rsidRPr="007923B1" w:rsidRDefault="007923B1" w:rsidP="007923B1">
      <w:pPr>
        <w:autoSpaceDE/>
        <w:autoSpaceDN/>
        <w:spacing w:after="160" w:line="259" w:lineRule="auto"/>
        <w:jc w:val="both"/>
        <w:rPr>
          <w:rFonts w:eastAsia="Calibri" w:cs="Traditional Arabic"/>
          <w:b/>
          <w:bCs/>
          <w:sz w:val="24"/>
          <w:szCs w:val="24"/>
          <w:lang w:val="en-ID" w:eastAsia="en-US"/>
        </w:rPr>
      </w:pPr>
    </w:p>
    <w:p w14:paraId="7B3DD303" w14:textId="77777777" w:rsidR="007923B1" w:rsidRPr="00122F5F" w:rsidRDefault="007923B1" w:rsidP="00F369EC">
      <w:pPr>
        <w:spacing w:before="120" w:after="120"/>
        <w:ind w:left="426"/>
        <w:jc w:val="both"/>
        <w:rPr>
          <w:rFonts w:ascii="Calibri Light" w:hAnsi="Calibri Light" w:cs="Calibri Light"/>
          <w:color w:val="FF0000"/>
          <w:sz w:val="24"/>
          <w:szCs w:val="24"/>
          <w:lang w:val="id-ID"/>
        </w:rPr>
      </w:pPr>
    </w:p>
    <w:p w14:paraId="30A73BE2" w14:textId="659A0227" w:rsidR="00D813BC" w:rsidRDefault="00F51BE9" w:rsidP="00334792">
      <w:pPr>
        <w:spacing w:before="120" w:after="120"/>
        <w:rPr>
          <w:rFonts w:ascii="Calibri Light" w:hAnsi="Calibri Light" w:cs="Calibri Light"/>
          <w:bCs/>
          <w:sz w:val="24"/>
          <w:szCs w:val="24"/>
          <w:lang w:val="id-ID"/>
        </w:rPr>
      </w:pPr>
      <w:r w:rsidRPr="00F00D99">
        <w:rPr>
          <w:rFonts w:ascii="Calibri Light" w:hAnsi="Calibri Light" w:cs="Calibri Light"/>
          <w:b/>
          <w:sz w:val="24"/>
          <w:szCs w:val="24"/>
          <w:lang w:val="id-ID"/>
        </w:rPr>
        <w:t xml:space="preserve">        Figure 1.</w:t>
      </w:r>
      <w:r w:rsidRPr="00F51BE9">
        <w:rPr>
          <w:rFonts w:ascii="Calibri Light" w:hAnsi="Calibri Light" w:cs="Calibri Light"/>
          <w:bCs/>
          <w:sz w:val="24"/>
          <w:szCs w:val="24"/>
          <w:lang w:val="id-ID"/>
        </w:rPr>
        <w:t xml:space="preserve"> The PRISMA-based systematic review process, highlighting the identification, screening, and inclusion phases in analyzing research on Basel Accords and Islamic banking.</w:t>
      </w:r>
    </w:p>
    <w:p w14:paraId="0B523085" w14:textId="50837046" w:rsidR="006D0A4B" w:rsidRDefault="006D0A4B" w:rsidP="006D0A4B">
      <w:pPr>
        <w:spacing w:before="120" w:after="120"/>
        <w:ind w:left="426"/>
        <w:jc w:val="both"/>
        <w:rPr>
          <w:rFonts w:ascii="Calibri Light" w:hAnsi="Calibri Light" w:cs="Calibri Light"/>
          <w:bCs/>
          <w:sz w:val="24"/>
          <w:szCs w:val="24"/>
          <w:lang w:val="id-ID"/>
        </w:rPr>
      </w:pPr>
      <w:r w:rsidRPr="006D0A4B">
        <w:rPr>
          <w:rFonts w:ascii="Calibri Light" w:hAnsi="Calibri Light" w:cs="Calibri Light"/>
          <w:bCs/>
          <w:sz w:val="24"/>
          <w:szCs w:val="24"/>
          <w:lang w:val="id-ID"/>
        </w:rPr>
        <w:t>The inclusion and exclusion criteria for data screening were carefully defined to ensure the relevance and quality of the selected studies. The inclusion criteria focused on English-language articles published between 2015 and 2024 in specific subject areas such as Islamic Banks, Shariah and Islamic Economics  . Conversely, studies falling outside these parameters were excluded to maintain the accuracy and focus of the bibliometric analysis</w:t>
      </w:r>
      <w:r w:rsidR="00602879">
        <w:rPr>
          <w:rFonts w:ascii="Calibri Light" w:hAnsi="Calibri Light" w:cs="Calibri Light"/>
          <w:bCs/>
          <w:sz w:val="24"/>
          <w:szCs w:val="24"/>
          <w:lang w:val="id-ID"/>
        </w:rPr>
        <w:t xml:space="preserve"> </w:t>
      </w:r>
      <w:r w:rsidR="00602879">
        <w:rPr>
          <w:rFonts w:ascii="Calibri Light" w:hAnsi="Calibri Light" w:cs="Calibri Light"/>
          <w:bCs/>
          <w:sz w:val="24"/>
          <w:szCs w:val="24"/>
          <w:lang w:val="id-ID"/>
        </w:rPr>
        <w:fldChar w:fldCharType="begin" w:fldLock="1"/>
      </w:r>
      <w:r w:rsidR="002D33A7">
        <w:rPr>
          <w:rFonts w:ascii="Calibri Light" w:hAnsi="Calibri Light" w:cs="Calibri Light"/>
          <w:bCs/>
          <w:sz w:val="24"/>
          <w:szCs w:val="24"/>
          <w:lang w:val="id-ID"/>
        </w:rPr>
        <w:instrText>ADDIN CSL_CITATION {"citationItems":[{"id":"ITEM-1","itemData":{"DOI":"10.1108/JIMA-12-2023-0397","ISSN":"17590833 (ISSN)","abstract":"Purpose: The fact that Islamic banking in Indonesia held only a 7% market share in 2023 is ironic, considering that Indonesia has the largest Muslim population in the world. Beyond differences in ethnicity, race and religious understanding, Indonesia’s sociopolitical diversity also presents an intriguing study area about consumer decisions to use financial services. This study aims to investigate the influence of sociopolitical identity on attitudes and intentions to participate in Islamic banking in Indonesia using the theory of reasoned action as a basis. Design/methodology/approach: This study used SEM-PLS to investigate the intention to participate in Islamic banking among Muslim communities in Indonesia. Its focus on prediction and theory building aligns perfectly with the objectives of this study, making it the most appropriate methodological choice. The sample used in this study comprised 343 respondents. The structural model was used to test the relationship between intention to participate in Islamic banking and religiosity, subjective norms, attitudes and sociopolitical identity, with reputation as mediation. Findings: This study found that three variables significantly affect the intention to participate in Islamic banks: attitude (AT), reputation (RP) and subjective norms (SN). Sociopolitical identity (SP) and religiosity (RE) do not have a direct effect. However, sociopolitical identity (SP), attitudes (AT) and religiosity (RE) have been proven to have an indirect impact through reputation (RP) as mediation, and only subjective norms (SN) have not. Practical implications: This study implies that Islamic banking needs to consider non-marketing aspects because, based on its findings, non-marketing factors such as sociopolitical identity and religiosity have been proven to influence the intention to participate in Islamic banking in Indonesia. Originality/value: This study’s respondents were two Muslim communities in Indonesia with the largest mass and assets, namely, Nahdhatul Ulama and Muhammadiyah. The inclusion of non-marketing aspects, such as sociopolitical identity, in the research model added value, which is still rarely researched. © 2024, Emerald Publishing Limited.","author":[{"dropping-particle":"","family":"Fathoni","given":"M A","non-dropping-particle":"","parse-names":false,"suffix":""},{"dropping-particle":"","family":"Rodoni","given":"A","non-dropping-particle":"","parse-names":false,"suffix":""},{"dropping-particle":"","family":"Arif","given":"M N R","non-dropping-particle":"Al","parse-names":false,"suffix":""},{"dropping-particle":"","family":"Hidayah","given":"N","non-dropping-particle":"","parse-names":false,"suffix":""}],"container-title":"Journal of Islamic Marketing","id":"ITEM-1","issued":{"date-parts":[["2024"]]},"language":"English","note":"Export Date: 24 April 2025; Cited By: 2; Correspondence Address: M.A. Fathoni; Department of Islamic Economics, Universitas Pembangunan Nasional Veteran Jakarta, Jakarta, Indonesia; email: mfathoni@upnvj.ac.id","publisher":"Emerald Publishing","publisher-place":"Department of Islamic Economics, Universitas Pembangunan Nasional Veteran Jakarta, Jakarta, Indonesia","title":"Intention to participate in Islamic banking in Indonesia: Does socio-political identity matter?","type":"article-journal"},"uris":["http://www.mendeley.com/documents/?uuid=205db91e-486d-4044-bc07-058be02c4c82"]}],"mendeley":{"formattedCitation":"(Fathoni et al., 2024)","plainTextFormattedCitation":"(Fathoni et al., 2024)","previouslyFormattedCitation":"(Fathoni et al., 2024)"},"properties":{"noteIndex":0},"schema":"https://github.com/citation-style-language/schema/raw/master/csl-citation.json"}</w:instrText>
      </w:r>
      <w:r w:rsidR="00602879">
        <w:rPr>
          <w:rFonts w:ascii="Calibri Light" w:hAnsi="Calibri Light" w:cs="Calibri Light"/>
          <w:bCs/>
          <w:sz w:val="24"/>
          <w:szCs w:val="24"/>
          <w:lang w:val="id-ID"/>
        </w:rPr>
        <w:fldChar w:fldCharType="separate"/>
      </w:r>
      <w:r w:rsidR="00602879" w:rsidRPr="00602879">
        <w:rPr>
          <w:rFonts w:ascii="Calibri Light" w:hAnsi="Calibri Light" w:cs="Calibri Light"/>
          <w:bCs/>
          <w:noProof/>
          <w:sz w:val="24"/>
          <w:szCs w:val="24"/>
          <w:lang w:val="id-ID"/>
        </w:rPr>
        <w:t>(Fathoni et al., 2024)</w:t>
      </w:r>
      <w:r w:rsidR="00602879">
        <w:rPr>
          <w:rFonts w:ascii="Calibri Light" w:hAnsi="Calibri Light" w:cs="Calibri Light"/>
          <w:bCs/>
          <w:sz w:val="24"/>
          <w:szCs w:val="24"/>
          <w:lang w:val="id-ID"/>
        </w:rPr>
        <w:fldChar w:fldCharType="end"/>
      </w:r>
      <w:r w:rsidRPr="006D0A4B">
        <w:rPr>
          <w:rFonts w:ascii="Calibri Light" w:hAnsi="Calibri Light" w:cs="Calibri Light"/>
          <w:bCs/>
          <w:sz w:val="24"/>
          <w:szCs w:val="24"/>
          <w:lang w:val="id-ID"/>
        </w:rPr>
        <w:t xml:space="preserve">. These criteria played a crucial role in refining the dataset and </w:t>
      </w:r>
      <w:r w:rsidRPr="006D0A4B">
        <w:rPr>
          <w:rFonts w:ascii="Calibri Light" w:hAnsi="Calibri Light" w:cs="Calibri Light"/>
          <w:bCs/>
          <w:sz w:val="24"/>
          <w:szCs w:val="24"/>
          <w:lang w:val="id-ID"/>
        </w:rPr>
        <w:lastRenderedPageBreak/>
        <w:t>ensuring a systematic and robust review process, as outlined in Table 1, which details the inclusion and exclusion criteria.</w:t>
      </w:r>
    </w:p>
    <w:tbl>
      <w:tblPr>
        <w:tblStyle w:val="PlainTable21"/>
        <w:tblW w:w="9072" w:type="dxa"/>
        <w:tblInd w:w="426" w:type="dxa"/>
        <w:tblLook w:val="04A0" w:firstRow="1" w:lastRow="0" w:firstColumn="1" w:lastColumn="0" w:noHBand="0" w:noVBand="1"/>
      </w:tblPr>
      <w:tblGrid>
        <w:gridCol w:w="1496"/>
        <w:gridCol w:w="1337"/>
        <w:gridCol w:w="1299"/>
        <w:gridCol w:w="1619"/>
        <w:gridCol w:w="1212"/>
        <w:gridCol w:w="972"/>
        <w:gridCol w:w="1137"/>
      </w:tblGrid>
      <w:tr w:rsidR="00CB5866" w:rsidRPr="00CB5866" w14:paraId="79D20230" w14:textId="77777777" w:rsidTr="00835E51">
        <w:trPr>
          <w:cnfStyle w:val="100000000000" w:firstRow="1" w:lastRow="0" w:firstColumn="0" w:lastColumn="0" w:oddVBand="0" w:evenVBand="0" w:oddHBand="0" w:evenHBand="0" w:firstRowFirstColumn="0" w:firstRowLastColumn="0" w:lastRowFirstColumn="0" w:lastRowLastColumn="0"/>
          <w:trHeight w:val="795"/>
        </w:trPr>
        <w:tc>
          <w:tcPr>
            <w:cnfStyle w:val="001000000000" w:firstRow="0" w:lastRow="0" w:firstColumn="1" w:lastColumn="0" w:oddVBand="0" w:evenVBand="0" w:oddHBand="0" w:evenHBand="0" w:firstRowFirstColumn="0" w:firstRowLastColumn="0" w:lastRowFirstColumn="0" w:lastRowLastColumn="0"/>
            <w:tcW w:w="1496" w:type="dxa"/>
            <w:shd w:val="clear" w:color="auto" w:fill="E5B8B7" w:themeFill="accent2" w:themeFillTint="66"/>
          </w:tcPr>
          <w:p w14:paraId="14FE8082" w14:textId="77777777" w:rsidR="00CB5866" w:rsidRPr="00CB5866" w:rsidRDefault="00CB5866" w:rsidP="00CB5866">
            <w:pPr>
              <w:autoSpaceDE/>
              <w:autoSpaceDN/>
              <w:spacing w:after="160" w:line="259" w:lineRule="auto"/>
              <w:rPr>
                <w:lang w:val="en-ID" w:eastAsia="en-US"/>
              </w:rPr>
            </w:pPr>
          </w:p>
        </w:tc>
        <w:tc>
          <w:tcPr>
            <w:tcW w:w="1337" w:type="dxa"/>
            <w:shd w:val="clear" w:color="auto" w:fill="E5B8B7" w:themeFill="accent2" w:themeFillTint="66"/>
          </w:tcPr>
          <w:p w14:paraId="0294A950"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 xml:space="preserve">Year </w:t>
            </w:r>
          </w:p>
        </w:tc>
        <w:tc>
          <w:tcPr>
            <w:tcW w:w="1299" w:type="dxa"/>
            <w:shd w:val="clear" w:color="auto" w:fill="E5B8B7" w:themeFill="accent2" w:themeFillTint="66"/>
          </w:tcPr>
          <w:p w14:paraId="1C300A60"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Subject area</w:t>
            </w:r>
          </w:p>
        </w:tc>
        <w:tc>
          <w:tcPr>
            <w:tcW w:w="1619" w:type="dxa"/>
            <w:shd w:val="clear" w:color="auto" w:fill="E5B8B7" w:themeFill="accent2" w:themeFillTint="66"/>
          </w:tcPr>
          <w:p w14:paraId="7A0AD413"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Document type</w:t>
            </w:r>
          </w:p>
        </w:tc>
        <w:tc>
          <w:tcPr>
            <w:tcW w:w="1212" w:type="dxa"/>
            <w:shd w:val="clear" w:color="auto" w:fill="E5B8B7" w:themeFill="accent2" w:themeFillTint="66"/>
          </w:tcPr>
          <w:p w14:paraId="0C76CD86"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Keyword</w:t>
            </w:r>
          </w:p>
        </w:tc>
        <w:tc>
          <w:tcPr>
            <w:tcW w:w="972" w:type="dxa"/>
            <w:shd w:val="clear" w:color="auto" w:fill="E5B8B7" w:themeFill="accent2" w:themeFillTint="66"/>
          </w:tcPr>
          <w:p w14:paraId="44B74175"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Source type</w:t>
            </w:r>
          </w:p>
        </w:tc>
        <w:tc>
          <w:tcPr>
            <w:tcW w:w="1137" w:type="dxa"/>
            <w:shd w:val="clear" w:color="auto" w:fill="E5B8B7" w:themeFill="accent2" w:themeFillTint="66"/>
          </w:tcPr>
          <w:p w14:paraId="4556ECB0"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CB5866">
              <w:rPr>
                <w:rFonts w:ascii="Calibri Light" w:hAnsi="Calibri Light" w:cs="Calibri Light"/>
                <w:lang w:val="en-ID" w:eastAsia="en-US"/>
              </w:rPr>
              <w:t>Language</w:t>
            </w:r>
          </w:p>
          <w:p w14:paraId="32C2E4D8" w14:textId="77777777" w:rsidR="00CB5866" w:rsidRPr="00CB5866" w:rsidRDefault="00CB5866" w:rsidP="00CB5866">
            <w:pPr>
              <w:autoSpaceDE/>
              <w:autoSpaceDN/>
              <w:spacing w:after="160" w:line="259" w:lineRule="auto"/>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p>
        </w:tc>
      </w:tr>
      <w:tr w:rsidR="00CB5866" w:rsidRPr="00CB5866" w14:paraId="43620BC2" w14:textId="77777777" w:rsidTr="008D75B2">
        <w:trPr>
          <w:cnfStyle w:val="000000100000" w:firstRow="0" w:lastRow="0" w:firstColumn="0" w:lastColumn="0" w:oddVBand="0" w:evenVBand="0" w:oddHBand="1" w:evenHBand="0" w:firstRowFirstColumn="0" w:firstRowLastColumn="0" w:lastRowFirstColumn="0" w:lastRowLastColumn="0"/>
          <w:trHeight w:val="757"/>
        </w:trPr>
        <w:tc>
          <w:tcPr>
            <w:cnfStyle w:val="001000000000" w:firstRow="0" w:lastRow="0" w:firstColumn="1" w:lastColumn="0" w:oddVBand="0" w:evenVBand="0" w:oddHBand="0" w:evenHBand="0" w:firstRowFirstColumn="0" w:firstRowLastColumn="0" w:lastRowFirstColumn="0" w:lastRowLastColumn="0"/>
            <w:tcW w:w="1496" w:type="dxa"/>
          </w:tcPr>
          <w:p w14:paraId="08AAF5D5" w14:textId="77777777" w:rsidR="00CB5866" w:rsidRPr="00CB5866" w:rsidRDefault="00CB5866" w:rsidP="00CB5866">
            <w:pPr>
              <w:autoSpaceDE/>
              <w:autoSpaceDN/>
              <w:spacing w:after="160" w:line="259" w:lineRule="auto"/>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INCLUSION CRITERIA</w:t>
            </w:r>
          </w:p>
        </w:tc>
        <w:tc>
          <w:tcPr>
            <w:tcW w:w="1337" w:type="dxa"/>
          </w:tcPr>
          <w:p w14:paraId="21A5B2BD"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from 2015-2024</w:t>
            </w:r>
          </w:p>
        </w:tc>
        <w:tc>
          <w:tcPr>
            <w:tcW w:w="1299" w:type="dxa"/>
          </w:tcPr>
          <w:p w14:paraId="6CC6C5A3"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economics and business (ECON, BUSI)</w:t>
            </w:r>
          </w:p>
        </w:tc>
        <w:tc>
          <w:tcPr>
            <w:tcW w:w="1619" w:type="dxa"/>
          </w:tcPr>
          <w:p w14:paraId="2098FB46"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Only Articles.</w:t>
            </w:r>
          </w:p>
        </w:tc>
        <w:tc>
          <w:tcPr>
            <w:tcW w:w="1212" w:type="dxa"/>
          </w:tcPr>
          <w:p w14:paraId="27EC660D"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Basel Accords, Islamic banking</w:t>
            </w:r>
          </w:p>
        </w:tc>
        <w:tc>
          <w:tcPr>
            <w:tcW w:w="972" w:type="dxa"/>
          </w:tcPr>
          <w:p w14:paraId="3313CE59"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Journal</w:t>
            </w:r>
          </w:p>
        </w:tc>
        <w:tc>
          <w:tcPr>
            <w:tcW w:w="1137" w:type="dxa"/>
          </w:tcPr>
          <w:p w14:paraId="19E00D11" w14:textId="77777777" w:rsidR="00CB5866" w:rsidRPr="00CB5866" w:rsidRDefault="00CB5866" w:rsidP="00CB5866">
            <w:pPr>
              <w:autoSpaceDE/>
              <w:autoSpaceDN/>
              <w:spacing w:after="160" w:line="259" w:lineRule="auto"/>
              <w:cnfStyle w:val="000000100000" w:firstRow="0" w:lastRow="0" w:firstColumn="0" w:lastColumn="0" w:oddVBand="0" w:evenVBand="0" w:oddHBand="1"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English Language</w:t>
            </w:r>
          </w:p>
        </w:tc>
      </w:tr>
      <w:tr w:rsidR="00CB5866" w:rsidRPr="00CB5866" w14:paraId="53F59399" w14:textId="77777777" w:rsidTr="008D75B2">
        <w:trPr>
          <w:trHeight w:val="1145"/>
        </w:trPr>
        <w:tc>
          <w:tcPr>
            <w:cnfStyle w:val="001000000000" w:firstRow="0" w:lastRow="0" w:firstColumn="1" w:lastColumn="0" w:oddVBand="0" w:evenVBand="0" w:oddHBand="0" w:evenHBand="0" w:firstRowFirstColumn="0" w:firstRowLastColumn="0" w:lastRowFirstColumn="0" w:lastRowLastColumn="0"/>
            <w:tcW w:w="1496" w:type="dxa"/>
          </w:tcPr>
          <w:p w14:paraId="2369EF5D" w14:textId="77777777" w:rsidR="00CB5866" w:rsidRPr="00CB5866" w:rsidRDefault="00CB5866" w:rsidP="00CB5866">
            <w:pPr>
              <w:autoSpaceDE/>
              <w:autoSpaceDN/>
              <w:spacing w:after="160" w:line="259" w:lineRule="auto"/>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EXCLUSION CRITERIA</w:t>
            </w:r>
          </w:p>
        </w:tc>
        <w:tc>
          <w:tcPr>
            <w:tcW w:w="1337" w:type="dxa"/>
          </w:tcPr>
          <w:p w14:paraId="32108D1D"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research before 2014 was excluded</w:t>
            </w:r>
          </w:p>
        </w:tc>
        <w:tc>
          <w:tcPr>
            <w:tcW w:w="1299" w:type="dxa"/>
          </w:tcPr>
          <w:p w14:paraId="40027291"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other</w:t>
            </w:r>
          </w:p>
          <w:p w14:paraId="38F20722"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field</w:t>
            </w:r>
          </w:p>
        </w:tc>
        <w:tc>
          <w:tcPr>
            <w:tcW w:w="1619" w:type="dxa"/>
          </w:tcPr>
          <w:p w14:paraId="380870C1"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 xml:space="preserve">Conference </w:t>
            </w:r>
            <w:proofErr w:type="spellStart"/>
            <w:proofErr w:type="gramStart"/>
            <w:r w:rsidRPr="00CB5866">
              <w:rPr>
                <w:rFonts w:ascii="Calibri Light" w:hAnsi="Calibri Light" w:cs="Calibri Light"/>
                <w:sz w:val="20"/>
                <w:szCs w:val="20"/>
                <w:lang w:val="en-ID" w:eastAsia="en-US"/>
              </w:rPr>
              <w:t>papers,Book</w:t>
            </w:r>
            <w:proofErr w:type="spellEnd"/>
            <w:proofErr w:type="gramEnd"/>
            <w:r w:rsidRPr="00CB5866">
              <w:rPr>
                <w:rFonts w:ascii="Calibri Light" w:hAnsi="Calibri Light" w:cs="Calibri Light"/>
                <w:sz w:val="20"/>
                <w:szCs w:val="20"/>
                <w:lang w:val="en-ID" w:eastAsia="en-US"/>
              </w:rPr>
              <w:t xml:space="preserve">, </w:t>
            </w:r>
            <w:proofErr w:type="spellStart"/>
            <w:r w:rsidRPr="00CB5866">
              <w:rPr>
                <w:rFonts w:ascii="Calibri Light" w:hAnsi="Calibri Light" w:cs="Calibri Light"/>
                <w:sz w:val="20"/>
                <w:szCs w:val="20"/>
                <w:lang w:val="en-ID" w:eastAsia="en-US"/>
              </w:rPr>
              <w:t>theises</w:t>
            </w:r>
            <w:proofErr w:type="spellEnd"/>
            <w:r w:rsidRPr="00CB5866">
              <w:rPr>
                <w:rFonts w:ascii="Calibri Light" w:hAnsi="Calibri Light" w:cs="Calibri Light"/>
                <w:sz w:val="20"/>
                <w:szCs w:val="20"/>
                <w:lang w:val="en-ID" w:eastAsia="en-US"/>
              </w:rPr>
              <w:t>,</w:t>
            </w:r>
            <w:r w:rsidRPr="00CB5866">
              <w:rPr>
                <w:rFonts w:ascii="Calibri Light" w:hAnsi="Calibri Light" w:cs="Calibri Light"/>
                <w:color w:val="2E2E2E"/>
                <w:sz w:val="20"/>
                <w:szCs w:val="20"/>
                <w:shd w:val="clear" w:color="auto" w:fill="FFFFFF"/>
                <w:lang w:val="en-ID" w:eastAsia="en-US"/>
              </w:rPr>
              <w:t xml:space="preserve"> </w:t>
            </w:r>
            <w:r w:rsidRPr="00CB5866">
              <w:rPr>
                <w:rFonts w:ascii="Calibri Light" w:hAnsi="Calibri Light" w:cs="Calibri Light"/>
                <w:sz w:val="20"/>
                <w:szCs w:val="20"/>
                <w:lang w:val="en-ID" w:eastAsia="en-US"/>
              </w:rPr>
              <w:t>Review</w:t>
            </w:r>
          </w:p>
        </w:tc>
        <w:tc>
          <w:tcPr>
            <w:tcW w:w="1212" w:type="dxa"/>
          </w:tcPr>
          <w:p w14:paraId="36DA67F1"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other keywords</w:t>
            </w:r>
          </w:p>
        </w:tc>
        <w:tc>
          <w:tcPr>
            <w:tcW w:w="972" w:type="dxa"/>
          </w:tcPr>
          <w:p w14:paraId="73D25B7E"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Book series</w:t>
            </w:r>
          </w:p>
        </w:tc>
        <w:tc>
          <w:tcPr>
            <w:tcW w:w="1137" w:type="dxa"/>
          </w:tcPr>
          <w:p w14:paraId="680CF3E5" w14:textId="77777777" w:rsidR="00CB5866" w:rsidRPr="00CB5866" w:rsidRDefault="00CB5866" w:rsidP="00CB5866">
            <w:pPr>
              <w:autoSpaceDE/>
              <w:autoSpaceDN/>
              <w:spacing w:after="160" w:line="259" w:lineRule="auto"/>
              <w:cnfStyle w:val="000000000000" w:firstRow="0" w:lastRow="0" w:firstColumn="0" w:lastColumn="0" w:oddVBand="0" w:evenVBand="0" w:oddHBand="0" w:evenHBand="0" w:firstRowFirstColumn="0" w:firstRowLastColumn="0" w:lastRowFirstColumn="0" w:lastRowLastColumn="0"/>
              <w:rPr>
                <w:rFonts w:ascii="Calibri Light" w:hAnsi="Calibri Light" w:cs="Calibri Light"/>
                <w:sz w:val="20"/>
                <w:szCs w:val="20"/>
                <w:lang w:val="en-ID" w:eastAsia="en-US"/>
              </w:rPr>
            </w:pPr>
            <w:r w:rsidRPr="00CB5866">
              <w:rPr>
                <w:rFonts w:ascii="Calibri Light" w:hAnsi="Calibri Light" w:cs="Calibri Light"/>
                <w:sz w:val="20"/>
                <w:szCs w:val="20"/>
                <w:lang w:val="en-ID" w:eastAsia="en-US"/>
              </w:rPr>
              <w:t>Any other Languages</w:t>
            </w:r>
          </w:p>
        </w:tc>
      </w:tr>
    </w:tbl>
    <w:p w14:paraId="0CD9110B" w14:textId="4B115D80" w:rsidR="00D813BC" w:rsidRPr="00C377E7" w:rsidRDefault="00C377E7" w:rsidP="00C377E7">
      <w:pPr>
        <w:spacing w:before="120" w:after="120"/>
        <w:jc w:val="center"/>
        <w:rPr>
          <w:rFonts w:ascii="Calibri Light" w:hAnsi="Calibri Light" w:cs="Calibri Light"/>
          <w:bCs/>
          <w:sz w:val="24"/>
          <w:szCs w:val="24"/>
          <w:lang w:val="id-ID"/>
        </w:rPr>
      </w:pPr>
      <w:r w:rsidRPr="00F00D99">
        <w:rPr>
          <w:rFonts w:ascii="Calibri Light" w:hAnsi="Calibri Light" w:cs="Calibri Light"/>
          <w:b/>
          <w:sz w:val="24"/>
          <w:szCs w:val="24"/>
          <w:lang w:val="id-ID"/>
        </w:rPr>
        <w:t>Table 1.</w:t>
      </w:r>
      <w:r w:rsidRPr="00C377E7">
        <w:rPr>
          <w:rFonts w:ascii="Calibri Light" w:hAnsi="Calibri Light" w:cs="Calibri Light"/>
          <w:bCs/>
          <w:sz w:val="24"/>
          <w:szCs w:val="24"/>
          <w:lang w:val="id-ID"/>
        </w:rPr>
        <w:t xml:space="preserve"> The inclusion and the exclusion criteria for data screening</w:t>
      </w:r>
    </w:p>
    <w:p w14:paraId="183319DF" w14:textId="77777777" w:rsidR="00D813BC" w:rsidRDefault="00D813BC" w:rsidP="00334792">
      <w:pPr>
        <w:spacing w:before="120" w:after="120"/>
        <w:rPr>
          <w:rFonts w:ascii="Calibri Light" w:hAnsi="Calibri Light" w:cs="Calibri Light"/>
          <w:b/>
          <w:sz w:val="24"/>
          <w:szCs w:val="24"/>
          <w:lang w:val="id-ID"/>
        </w:rPr>
      </w:pPr>
    </w:p>
    <w:p w14:paraId="3110BACC" w14:textId="7E6F8AF7" w:rsidR="00D26ADD" w:rsidRPr="00122F5F" w:rsidRDefault="007636FC" w:rsidP="00334792">
      <w:pPr>
        <w:spacing w:before="120" w:after="120"/>
        <w:rPr>
          <w:rFonts w:ascii="Calibri Light" w:hAnsi="Calibri Light" w:cs="Calibri Light"/>
          <w:b/>
          <w:sz w:val="24"/>
          <w:szCs w:val="24"/>
          <w:lang w:val="id-ID"/>
        </w:rPr>
      </w:pPr>
      <w:r w:rsidRPr="00122F5F">
        <w:rPr>
          <w:rFonts w:ascii="Calibri Light" w:hAnsi="Calibri Light" w:cs="Calibri Light"/>
          <w:b/>
          <w:sz w:val="24"/>
          <w:szCs w:val="24"/>
          <w:lang w:val="id-ID"/>
        </w:rPr>
        <w:t>I</w:t>
      </w:r>
      <w:r w:rsidR="00781D8B" w:rsidRPr="00122F5F">
        <w:rPr>
          <w:rFonts w:ascii="Calibri Light" w:hAnsi="Calibri Light" w:cs="Calibri Light"/>
          <w:b/>
          <w:sz w:val="24"/>
          <w:szCs w:val="24"/>
        </w:rPr>
        <w:t>II</w:t>
      </w:r>
      <w:r w:rsidRPr="00122F5F">
        <w:rPr>
          <w:rFonts w:ascii="Calibri Light" w:hAnsi="Calibri Light" w:cs="Calibri Light"/>
          <w:b/>
          <w:sz w:val="24"/>
          <w:szCs w:val="24"/>
          <w:lang w:val="id-ID"/>
        </w:rPr>
        <w:t xml:space="preserve">. </w:t>
      </w:r>
      <w:r w:rsidR="00F369EC" w:rsidRPr="00122F5F">
        <w:rPr>
          <w:rFonts w:ascii="Calibri Light" w:hAnsi="Calibri Light" w:cs="Calibri Light"/>
          <w:b/>
          <w:sz w:val="24"/>
          <w:szCs w:val="24"/>
          <w:lang w:val="id-ID"/>
        </w:rPr>
        <w:t xml:space="preserve"> </w:t>
      </w:r>
      <w:r w:rsidR="00334792" w:rsidRPr="00122F5F">
        <w:rPr>
          <w:rFonts w:ascii="Calibri Light" w:hAnsi="Calibri Light" w:cs="Calibri Light"/>
          <w:b/>
          <w:sz w:val="24"/>
          <w:szCs w:val="24"/>
          <w:lang w:val="id-ID"/>
        </w:rPr>
        <w:t xml:space="preserve">RESULT AND </w:t>
      </w:r>
      <w:bookmarkStart w:id="14" w:name="_Hlk196388253"/>
      <w:r w:rsidR="00334792" w:rsidRPr="00122F5F">
        <w:rPr>
          <w:rFonts w:ascii="Calibri Light" w:hAnsi="Calibri Light" w:cs="Calibri Light"/>
          <w:b/>
          <w:sz w:val="24"/>
          <w:szCs w:val="24"/>
          <w:lang w:val="id-ID"/>
        </w:rPr>
        <w:t>DISCUSSION</w:t>
      </w:r>
      <w:r w:rsidR="00D26ADD" w:rsidRPr="00122F5F">
        <w:rPr>
          <w:rFonts w:ascii="Calibri Light" w:hAnsi="Calibri Light" w:cs="Calibri Light"/>
          <w:b/>
          <w:sz w:val="24"/>
          <w:szCs w:val="24"/>
        </w:rPr>
        <w:t xml:space="preserve"> </w:t>
      </w:r>
    </w:p>
    <w:bookmarkEnd w:id="14"/>
    <w:p w14:paraId="0E0B8A75" w14:textId="3D5B8084" w:rsidR="0007539D" w:rsidRPr="0007539D" w:rsidRDefault="0007539D" w:rsidP="0007539D">
      <w:pPr>
        <w:spacing w:before="120" w:after="120"/>
        <w:ind w:left="440" w:right="-1" w:hanging="14"/>
        <w:jc w:val="both"/>
        <w:rPr>
          <w:rFonts w:ascii="Calibri Light" w:hAnsi="Calibri Light" w:cs="Calibri Light"/>
          <w:b/>
          <w:bCs/>
          <w:sz w:val="24"/>
          <w:szCs w:val="24"/>
          <w:lang w:val="en-ID"/>
        </w:rPr>
      </w:pPr>
      <w:r w:rsidRPr="0007539D">
        <w:rPr>
          <w:rFonts w:ascii="Calibri Light" w:hAnsi="Calibri Light" w:cs="Calibri Light"/>
          <w:b/>
          <w:bCs/>
          <w:sz w:val="24"/>
          <w:szCs w:val="24"/>
          <w:lang w:val="en-ID"/>
        </w:rPr>
        <w:t>Results</w:t>
      </w:r>
      <w:r w:rsidR="004E43C7">
        <w:rPr>
          <w:rFonts w:ascii="Calibri Light" w:hAnsi="Calibri Light" w:cs="Calibri Light"/>
          <w:b/>
          <w:bCs/>
          <w:sz w:val="24"/>
          <w:szCs w:val="24"/>
          <w:lang w:val="en-ID"/>
        </w:rPr>
        <w:t xml:space="preserve"> </w:t>
      </w:r>
      <w:r w:rsidR="004E43C7" w:rsidRPr="004E43C7">
        <w:rPr>
          <w:rFonts w:ascii="Calibri Light" w:eastAsia="MS Mincho" w:hAnsi="Calibri Light" w:cs="Calibri Light"/>
          <w:b/>
          <w:bCs/>
          <w:sz w:val="24"/>
          <w:szCs w:val="24"/>
          <w:lang w:val="en-ID" w:eastAsia="en-US"/>
        </w:rPr>
        <w:t>ANALYSIS</w:t>
      </w:r>
    </w:p>
    <w:p w14:paraId="5F3A51B2" w14:textId="37690C14" w:rsidR="00200009" w:rsidRPr="00046968" w:rsidRDefault="00200009" w:rsidP="00200009">
      <w:pPr>
        <w:autoSpaceDE/>
        <w:autoSpaceDN/>
        <w:spacing w:after="200" w:line="276" w:lineRule="auto"/>
        <w:ind w:left="426"/>
        <w:jc w:val="both"/>
        <w:rPr>
          <w:rFonts w:ascii="Calibri Light" w:eastAsia="MS Mincho" w:hAnsi="Calibri Light" w:cs="Calibri Light"/>
          <w:sz w:val="24"/>
          <w:szCs w:val="24"/>
          <w:lang w:val="en-ID" w:eastAsia="en-US"/>
        </w:rPr>
      </w:pPr>
      <w:r w:rsidRPr="00200009">
        <w:rPr>
          <w:rFonts w:ascii="Calibri Light" w:eastAsia="MS Mincho" w:hAnsi="Calibri Light" w:cs="Calibri Light"/>
          <w:sz w:val="24"/>
          <w:szCs w:val="24"/>
          <w:lang w:val="en-ID" w:eastAsia="en-US"/>
        </w:rPr>
        <w:t xml:space="preserve">The analysis in this study will be conducted from four main perspectives. First, we will examine the key characteristics of published research to explore the academic field related to Basel Accords and Islamic banking. Second, we will </w:t>
      </w:r>
      <w:proofErr w:type="spellStart"/>
      <w:r w:rsidRPr="00200009">
        <w:rPr>
          <w:rFonts w:ascii="Calibri Light" w:eastAsia="MS Mincho" w:hAnsi="Calibri Light" w:cs="Calibri Light"/>
          <w:sz w:val="24"/>
          <w:szCs w:val="24"/>
          <w:lang w:val="en-ID" w:eastAsia="en-US"/>
        </w:rPr>
        <w:t>analyze</w:t>
      </w:r>
      <w:proofErr w:type="spellEnd"/>
      <w:r w:rsidRPr="00200009">
        <w:rPr>
          <w:rFonts w:ascii="Calibri Light" w:eastAsia="MS Mincho" w:hAnsi="Calibri Light" w:cs="Calibri Light"/>
          <w:sz w:val="24"/>
          <w:szCs w:val="24"/>
          <w:lang w:val="en-ID" w:eastAsia="en-US"/>
        </w:rPr>
        <w:t xml:space="preserve"> data and present visual representations to identify research trends, leading countries, and academic institutions contributing to this field</w:t>
      </w:r>
      <w:r w:rsidR="002D33A7">
        <w:rPr>
          <w:rFonts w:ascii="Calibri Light" w:eastAsia="MS Mincho" w:hAnsi="Calibri Light" w:cs="Calibri Light"/>
          <w:sz w:val="24"/>
          <w:szCs w:val="24"/>
          <w:lang w:val="en-ID" w:eastAsia="en-US"/>
        </w:rPr>
        <w:t xml:space="preserve"> </w:t>
      </w:r>
      <w:r w:rsidR="002D33A7">
        <w:rPr>
          <w:rFonts w:ascii="Calibri Light" w:eastAsia="MS Mincho" w:hAnsi="Calibri Light" w:cs="Calibri Light"/>
          <w:sz w:val="24"/>
          <w:szCs w:val="24"/>
          <w:lang w:val="en-ID" w:eastAsia="en-US"/>
        </w:rPr>
        <w:fldChar w:fldCharType="begin" w:fldLock="1"/>
      </w:r>
      <w:r w:rsidR="002D33A7">
        <w:rPr>
          <w:rFonts w:ascii="Calibri Light" w:eastAsia="MS Mincho" w:hAnsi="Calibri Light" w:cs="Calibri Light"/>
          <w:sz w:val="24"/>
          <w:szCs w:val="24"/>
          <w:lang w:val="en-ID" w:eastAsia="en-US"/>
        </w:rPr>
        <w:instrText>ADDIN CSL_CITATION {"citationItems":[{"id":"ITEM-1","itemData":{"DOI":"10.1007/s13132-022-00933-y","ISSN":"18687865 (ISSN)","abstract":"This study aims to investigate the impact of customer knowledge, political support, and innovative advancement on the development of Islamic bank. There is a strong microeconomics ground of Islamic financing for the economy-wide conduct of good monetary issues, and issues including the procedure structure. Islamic bank clients limit the dangers related to premium-based obligation financing, and simple credit, which tormented regular banks amid the sub-prime home loan emergency. In short, when there will be sufficient knowledge and information about the Islamic banking services and products, then it will help to develop the Islamic banking system, and similar is the case for advanced innovations. Meanwhile, strong political support can also play an influential role in the development of the Islamic banking system. This study collects the data through self-administered survey from managers of Islamic banks located in the Lahore region. The results of regression analysis are obtained through SPSS. The findings revealed that customer knowledge, innovations, and political support positively and significantly influence the growth of Islamic banks in Pakistan. In other words, good knowledge, innovations, and political support can result in more Islamic banking system development. Conclusively, general monetary development of Islamic banking in Muslim nations will drive the development of Islamic money-related administrations, prompting further in Sharia-consistent system. © 2022, The Author(s), under exclusive licence to Springer Science+Business Media, LLC, part of Springer Nature.","author":[{"dropping-particle":"","family":"Abrar","given":"M","non-dropping-particle":"","parse-names":false,"suffix":""},{"dropping-particle":"","family":"Abbas","given":"S","non-dropping-particle":"","parse-names":false,"suffix":""},{"dropping-particle":"","family":"Kousar","given":"S","non-dropping-particle":"","parse-names":false,"suffix":""},{"dropping-particle":"","family":"Mushtaq","given":"M","non-dropping-particle":"","parse-names":false,"suffix":""}],"container-title":"Journal of the Knowledge Economy","id":"ITEM-1","issue":"2","issued":{"date-parts":[["2023"]]},"language":"English","note":"Export Date: 24 April 2025; Cited By: 4; Correspondence Address: S. Abbas; Climate Research Institute, Department of Geography, Konkuk University, Seoul, South Korea; email: sohail.konkuk@gmail.com; S. Kousar; Department of Economics, Lahore College of Women University (LCWU), Lahore, Pakistan; email: shaziabilal2002@gmail.com","page":"946-965","publisher":"Springer","publisher-place":"Business School, Department of Finance, Konkuk University, Seoul, South Korea","title":"Investigation on the Effects of Customer Knowledge, Political Support, and Innovation on the Growth of Islamic Banking System: a Case Study of Pakistan","type":"article-journal","volume":"14"},"uris":["http://www.mendeley.com/documents/?uuid=4a1b384b-7a63-450d-888c-572172d12cf5"]}],"mendeley":{"formattedCitation":"(Abrar et al., 2023)","plainTextFormattedCitation":"(Abrar et al., 2023)","previouslyFormattedCitation":"(Abrar et al., 2023)"},"properties":{"noteIndex":0},"schema":"https://github.com/citation-style-language/schema/raw/master/csl-citation.json"}</w:instrText>
      </w:r>
      <w:r w:rsidR="002D33A7">
        <w:rPr>
          <w:rFonts w:ascii="Calibri Light" w:eastAsia="MS Mincho" w:hAnsi="Calibri Light" w:cs="Calibri Light"/>
          <w:sz w:val="24"/>
          <w:szCs w:val="24"/>
          <w:lang w:val="en-ID" w:eastAsia="en-US"/>
        </w:rPr>
        <w:fldChar w:fldCharType="separate"/>
      </w:r>
      <w:r w:rsidR="002D33A7" w:rsidRPr="002D33A7">
        <w:rPr>
          <w:rFonts w:ascii="Calibri Light" w:eastAsia="MS Mincho" w:hAnsi="Calibri Light" w:cs="Calibri Light"/>
          <w:noProof/>
          <w:sz w:val="24"/>
          <w:szCs w:val="24"/>
          <w:lang w:val="en-ID" w:eastAsia="en-US"/>
        </w:rPr>
        <w:t>(Abrar et al., 2023)</w:t>
      </w:r>
      <w:r w:rsidR="002D33A7">
        <w:rPr>
          <w:rFonts w:ascii="Calibri Light" w:eastAsia="MS Mincho" w:hAnsi="Calibri Light" w:cs="Calibri Light"/>
          <w:sz w:val="24"/>
          <w:szCs w:val="24"/>
          <w:lang w:val="en-ID" w:eastAsia="en-US"/>
        </w:rPr>
        <w:fldChar w:fldCharType="end"/>
      </w:r>
      <w:r w:rsidRPr="00200009">
        <w:rPr>
          <w:rFonts w:ascii="Calibri Light" w:eastAsia="MS Mincho" w:hAnsi="Calibri Light" w:cs="Calibri Light"/>
          <w:sz w:val="24"/>
          <w:szCs w:val="24"/>
          <w:lang w:val="en-ID" w:eastAsia="en-US"/>
        </w:rPr>
        <w:t>. Third, we will define the conceptual structure of keywords related to Islamic banking and Basel Accords. Finally, we will apply bibliometric analysis, including keyword co-occurrence and citation network analysis, to identify current research trends, future directions, and key topics in this field</w:t>
      </w:r>
      <w:r w:rsidR="002D33A7">
        <w:rPr>
          <w:rFonts w:ascii="Calibri Light" w:eastAsia="MS Mincho" w:hAnsi="Calibri Light" w:cs="Calibri Light"/>
          <w:sz w:val="24"/>
          <w:szCs w:val="24"/>
          <w:lang w:val="en-ID" w:eastAsia="en-US"/>
        </w:rPr>
        <w:t xml:space="preserve"> </w:t>
      </w:r>
      <w:r w:rsidR="002D33A7">
        <w:rPr>
          <w:rFonts w:ascii="Calibri Light" w:eastAsia="MS Mincho" w:hAnsi="Calibri Light" w:cs="Calibri Light"/>
          <w:sz w:val="24"/>
          <w:szCs w:val="24"/>
          <w:lang w:val="en-ID" w:eastAsia="en-US"/>
        </w:rPr>
        <w:fldChar w:fldCharType="begin" w:fldLock="1"/>
      </w:r>
      <w:r w:rsidR="00804B31">
        <w:rPr>
          <w:rFonts w:ascii="Calibri Light" w:eastAsia="MS Mincho" w:hAnsi="Calibri Light" w:cs="Calibri Light"/>
          <w:sz w:val="24"/>
          <w:szCs w:val="24"/>
          <w:lang w:val="en-ID" w:eastAsia="en-US"/>
        </w:rPr>
        <w:instrText>ADDIN CSL_CITATION {"citationItems":[{"id":"ITEM-1","itemData":{"ISSN":"26007975 (ISSN)","abstract":"This research provides an in-depth examination of the crucial connection between Sharia Supervisory Boards (SSB) and Sharia Compliance Disclosure (SCD) in the context of Indonesian Islamic banks. Using secondary data from the years 2014 to 2019, sourced from a selection of Islamic Banks, this research employed panel multiple regression analysis conducted using E-Views software. The findings of this investigation yielded remarkable insights. Firstly, it was demonstrated that the expertise of SSB members played a pivotal role in significantly and positively influencing the extent of SCD. Conversely, the size and education of SSB members exerted a significant and negative influence on SCD. Intriguingly, the study revealed that SSB’s meetings and SSB’s cross-directorship did not have any impact on SCD. These findings hold profound implications for the strategic selection and composition of SSB, highlighting the paramount importance of expertise in driving robust SCD practices within Islamic Banks. In this way, this research advances our understanding of SSB dynamics and their impact on financial transparency, contributing valuable insights to the global discourse on Islamic finance. © 2023, Universiti Teknologi Mara. All rights reserved.","author":[{"dropping-particle":"","family":"Hudayati","given":"A","non-dropping-particle":"","parse-names":false,"suffix":""}],"container-title":"Management and Accounting Review","id":"ITEM-1","issue":"3","issued":{"date-parts":[["2023"]]},"language":"English","note":"Export Date: 24 April 2025; Cited By: 0; Correspondence Address: A. Hudayati; Economics Faculty, Universitas Islam Indonesia, Yogyakarta, Indonesia; email: ataina.hudayati@uii.ac.id","page":"407-428","publisher":"Universiti Teknologi Mara","publisher-place":"Department of Sharia Economics, STAI Darul Ulum, South Kalimantan, Indonesia","title":"Exploring the Nexus of Disclosure of Sharia Compliance and Governance in Islamic Banking: A Comprehensive Analysis of the Sharia Supervisory Board","type":"article-journal","volume":"22"},"uris":["http://www.mendeley.com/documents/?uuid=e457ef72-bfe9-4390-b0f4-071fb7803289"]}],"mendeley":{"formattedCitation":"(Hudayati, 2023)","plainTextFormattedCitation":"(Hudayati, 2023)","previouslyFormattedCitation":"(Hudayati, 2023)"},"properties":{"noteIndex":0},"schema":"https://github.com/citation-style-language/schema/raw/master/csl-citation.json"}</w:instrText>
      </w:r>
      <w:r w:rsidR="002D33A7">
        <w:rPr>
          <w:rFonts w:ascii="Calibri Light" w:eastAsia="MS Mincho" w:hAnsi="Calibri Light" w:cs="Calibri Light"/>
          <w:sz w:val="24"/>
          <w:szCs w:val="24"/>
          <w:lang w:val="en-ID" w:eastAsia="en-US"/>
        </w:rPr>
        <w:fldChar w:fldCharType="separate"/>
      </w:r>
      <w:r w:rsidR="002D33A7" w:rsidRPr="002D33A7">
        <w:rPr>
          <w:rFonts w:ascii="Calibri Light" w:eastAsia="MS Mincho" w:hAnsi="Calibri Light" w:cs="Calibri Light"/>
          <w:noProof/>
          <w:sz w:val="24"/>
          <w:szCs w:val="24"/>
          <w:lang w:val="en-ID" w:eastAsia="en-US"/>
        </w:rPr>
        <w:t>(Hudayati, 2023)</w:t>
      </w:r>
      <w:r w:rsidR="002D33A7">
        <w:rPr>
          <w:rFonts w:ascii="Calibri Light" w:eastAsia="MS Mincho" w:hAnsi="Calibri Light" w:cs="Calibri Light"/>
          <w:sz w:val="24"/>
          <w:szCs w:val="24"/>
          <w:lang w:val="en-ID" w:eastAsia="en-US"/>
        </w:rPr>
        <w:fldChar w:fldCharType="end"/>
      </w:r>
      <w:r w:rsidRPr="00200009">
        <w:rPr>
          <w:rFonts w:ascii="Calibri Light" w:eastAsia="MS Mincho" w:hAnsi="Calibri Light" w:cs="Calibri Light"/>
          <w:sz w:val="24"/>
          <w:szCs w:val="24"/>
          <w:lang w:val="en-ID" w:eastAsia="en-US"/>
        </w:rPr>
        <w:t>.</w:t>
      </w:r>
    </w:p>
    <w:p w14:paraId="137E9A96" w14:textId="13AA457A" w:rsidR="00046968" w:rsidRPr="00046968" w:rsidRDefault="00E649E6" w:rsidP="003F1684">
      <w:pPr>
        <w:autoSpaceDE/>
        <w:autoSpaceDN/>
        <w:spacing w:after="200" w:line="276" w:lineRule="auto"/>
        <w:ind w:left="426"/>
        <w:rPr>
          <w:rFonts w:ascii="Calibri Light" w:eastAsia="MS Mincho" w:hAnsi="Calibri Light" w:cs="Calibri Light"/>
          <w:sz w:val="24"/>
          <w:szCs w:val="24"/>
          <w:lang w:val="en-ID" w:eastAsia="en-US"/>
        </w:rPr>
      </w:pPr>
      <w:r>
        <w:rPr>
          <w:rFonts w:ascii="Calibri Light" w:eastAsia="MS Mincho" w:hAnsi="Calibri Light" w:cs="Calibri Light"/>
          <w:b/>
          <w:bCs/>
          <w:sz w:val="24"/>
          <w:szCs w:val="24"/>
          <w:lang w:val="en-ID" w:eastAsia="en-US"/>
        </w:rPr>
        <w:t xml:space="preserve">3.1. </w:t>
      </w:r>
      <w:r w:rsidR="00046968" w:rsidRPr="00200009">
        <w:rPr>
          <w:rFonts w:ascii="Calibri Light" w:eastAsia="MS Mincho" w:hAnsi="Calibri Light" w:cs="Calibri Light"/>
          <w:b/>
          <w:bCs/>
          <w:sz w:val="24"/>
          <w:szCs w:val="24"/>
          <w:lang w:val="en-ID" w:eastAsia="en-US"/>
        </w:rPr>
        <w:t>Size and Growth of Publication</w:t>
      </w:r>
    </w:p>
    <w:p w14:paraId="6C2675C7" w14:textId="77777777" w:rsidR="00750DAC" w:rsidRDefault="00046968" w:rsidP="00750DAC">
      <w:pPr>
        <w:autoSpaceDE/>
        <w:autoSpaceDN/>
        <w:spacing w:after="200" w:line="276" w:lineRule="auto"/>
        <w:ind w:left="426"/>
        <w:rPr>
          <w:rFonts w:ascii="Calibri Light" w:eastAsia="MS Mincho" w:hAnsi="Calibri Light" w:cs="Calibri Light"/>
          <w:sz w:val="24"/>
          <w:szCs w:val="24"/>
          <w:lang w:val="en-ID" w:eastAsia="en-US"/>
        </w:rPr>
      </w:pPr>
      <w:r w:rsidRPr="00046968">
        <w:rPr>
          <w:rFonts w:ascii="Calibri Light" w:eastAsia="MS Mincho" w:hAnsi="Calibri Light" w:cs="Calibri Light"/>
          <w:sz w:val="24"/>
          <w:szCs w:val="24"/>
          <w:lang w:val="en-ID" w:eastAsia="en-US"/>
        </w:rPr>
        <w:t xml:space="preserve">The 1st research </w:t>
      </w:r>
      <w:proofErr w:type="spellStart"/>
      <w:proofErr w:type="gramStart"/>
      <w:r w:rsidRPr="00046968">
        <w:rPr>
          <w:rFonts w:ascii="Calibri Light" w:eastAsia="MS Mincho" w:hAnsi="Calibri Light" w:cs="Calibri Light"/>
          <w:sz w:val="24"/>
          <w:szCs w:val="24"/>
          <w:lang w:val="en-ID" w:eastAsia="en-US"/>
        </w:rPr>
        <w:t>question:What</w:t>
      </w:r>
      <w:proofErr w:type="spellEnd"/>
      <w:proofErr w:type="gramEnd"/>
      <w:r w:rsidRPr="00046968">
        <w:rPr>
          <w:rFonts w:ascii="Calibri Light" w:eastAsia="MS Mincho" w:hAnsi="Calibri Light" w:cs="Calibri Light"/>
          <w:sz w:val="24"/>
          <w:szCs w:val="24"/>
          <w:lang w:val="en-ID" w:eastAsia="en-US"/>
        </w:rPr>
        <w:t xml:space="preserve"> is the annual distribution of publications related to Basel Accords and Islamic banking over the past decade?</w:t>
      </w:r>
    </w:p>
    <w:p w14:paraId="5E03B395" w14:textId="5D771282" w:rsidR="00C377E7" w:rsidRDefault="00046968" w:rsidP="001C3DA7">
      <w:pPr>
        <w:autoSpaceDE/>
        <w:autoSpaceDN/>
        <w:spacing w:after="200" w:line="276" w:lineRule="auto"/>
        <w:ind w:left="426"/>
        <w:jc w:val="both"/>
        <w:rPr>
          <w:rFonts w:ascii="Calibri Light" w:eastAsia="MS Mincho" w:hAnsi="Calibri Light" w:cs="Calibri Light"/>
          <w:sz w:val="24"/>
          <w:szCs w:val="24"/>
          <w:lang w:val="en-ID" w:eastAsia="en-US"/>
        </w:rPr>
      </w:pPr>
      <w:r w:rsidRPr="00046968">
        <w:rPr>
          <w:rFonts w:ascii="Calibri Light" w:eastAsia="MS Mincho" w:hAnsi="Calibri Light" w:cs="Calibri Light"/>
          <w:sz w:val="24"/>
          <w:szCs w:val="24"/>
          <w:lang w:val="en-ID" w:eastAsia="en-US"/>
        </w:rPr>
        <w:t>The chart illustrates the annual growth of academic publications related to Basel Accords and Islamic Banking from 2015 to 2024. The blue bars represent the number of newly published studies each year, showing a steady increase over time. The absence of orange</w:t>
      </w:r>
      <w:r w:rsidR="00750DAC">
        <w:rPr>
          <w:rFonts w:ascii="Calibri Light" w:eastAsia="MS Mincho" w:hAnsi="Calibri Light" w:cs="Calibri Light"/>
          <w:sz w:val="24"/>
          <w:szCs w:val="24"/>
          <w:lang w:val="en-ID" w:eastAsia="en-US"/>
        </w:rPr>
        <w:t xml:space="preserve"> </w:t>
      </w:r>
      <w:r w:rsidRPr="00046968">
        <w:rPr>
          <w:rFonts w:ascii="Calibri Light" w:eastAsia="MS Mincho" w:hAnsi="Calibri Light" w:cs="Calibri Light"/>
          <w:sz w:val="24"/>
          <w:szCs w:val="24"/>
          <w:lang w:val="en-ID" w:eastAsia="en-US"/>
        </w:rPr>
        <w:lastRenderedPageBreak/>
        <w:t xml:space="preserve">(Decrease) and </w:t>
      </w:r>
      <w:proofErr w:type="spellStart"/>
      <w:r w:rsidRPr="00046968">
        <w:rPr>
          <w:rFonts w:ascii="Calibri Light" w:eastAsia="MS Mincho" w:hAnsi="Calibri Light" w:cs="Calibri Light"/>
          <w:sz w:val="24"/>
          <w:szCs w:val="24"/>
          <w:lang w:val="en-ID" w:eastAsia="en-US"/>
        </w:rPr>
        <w:t>gray</w:t>
      </w:r>
      <w:proofErr w:type="spellEnd"/>
      <w:r w:rsidRPr="00046968">
        <w:rPr>
          <w:rFonts w:ascii="Calibri Light" w:eastAsia="MS Mincho" w:hAnsi="Calibri Light" w:cs="Calibri Light"/>
          <w:sz w:val="24"/>
          <w:szCs w:val="24"/>
          <w:lang w:val="en-ID" w:eastAsia="en-US"/>
        </w:rPr>
        <w:t xml:space="preserve"> (Total) bars suggests that the focus is specifically on the growth of </w:t>
      </w:r>
      <w:r w:rsidR="00750DAC" w:rsidRPr="00F00D99">
        <w:rPr>
          <w:rFonts w:eastAsia="Calibri" w:cs="Traditional Arabic"/>
          <w:noProof/>
          <w:sz w:val="24"/>
          <w:szCs w:val="24"/>
          <w:lang w:val="en-ID" w:eastAsia="en-US"/>
        </w:rPr>
        <w:drawing>
          <wp:anchor distT="0" distB="0" distL="114300" distR="114300" simplePos="0" relativeHeight="251691520" behindDoc="0" locked="0" layoutInCell="1" allowOverlap="1" wp14:anchorId="2B24792B" wp14:editId="44EA0784">
            <wp:simplePos x="0" y="0"/>
            <wp:positionH relativeFrom="column">
              <wp:posOffset>723900</wp:posOffset>
            </wp:positionH>
            <wp:positionV relativeFrom="paragraph">
              <wp:posOffset>541655</wp:posOffset>
            </wp:positionV>
            <wp:extent cx="4572000" cy="2743200"/>
            <wp:effectExtent l="0" t="0" r="0" b="6985"/>
            <wp:wrapTopAndBottom/>
            <wp:docPr id="98538311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BEBA8EAE-BF5A-486C-A8C5-ECC9F3942E4B}">
                          <a14:imgProps xmlns:a14="http://schemas.microsoft.com/office/drawing/2010/main">
                            <a14:imgLayer r:embed="rId14">
                              <a14:imgEffect>
                                <a14:saturation sat="400000"/>
                              </a14:imgEffect>
                              <a14:imgEffect>
                                <a14:brightnessContrast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4572000" cy="27432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046968">
        <w:rPr>
          <w:rFonts w:ascii="Calibri Light" w:eastAsia="MS Mincho" w:hAnsi="Calibri Light" w:cs="Calibri Light"/>
          <w:sz w:val="24"/>
          <w:szCs w:val="24"/>
          <w:lang w:val="en-ID" w:eastAsia="en-US"/>
        </w:rPr>
        <w:t>research rather than overall publication trends.</w:t>
      </w:r>
    </w:p>
    <w:p w14:paraId="1275C87F" w14:textId="17EFEB23" w:rsidR="00F00D99" w:rsidRDefault="00F00D99" w:rsidP="00F00D99">
      <w:pPr>
        <w:autoSpaceDE/>
        <w:autoSpaceDN/>
        <w:spacing w:after="200" w:line="276" w:lineRule="auto"/>
        <w:ind w:left="426"/>
        <w:jc w:val="center"/>
        <w:rPr>
          <w:rFonts w:ascii="Calibri Light" w:eastAsia="MS Mincho" w:hAnsi="Calibri Light" w:cs="Calibri Light"/>
          <w:sz w:val="24"/>
          <w:szCs w:val="24"/>
          <w:lang w:val="en-ID" w:eastAsia="en-US"/>
        </w:rPr>
      </w:pPr>
      <w:r w:rsidRPr="00F00D99">
        <w:rPr>
          <w:rFonts w:ascii="Calibri Light" w:eastAsia="MS Mincho" w:hAnsi="Calibri Light" w:cs="Calibri Light"/>
          <w:b/>
          <w:bCs/>
          <w:sz w:val="24"/>
          <w:szCs w:val="24"/>
          <w:lang w:val="en-ID" w:eastAsia="en-US"/>
        </w:rPr>
        <w:t>Figure 2.</w:t>
      </w:r>
      <w:r w:rsidRPr="00F00D99">
        <w:rPr>
          <w:rFonts w:ascii="Calibri Light" w:eastAsia="MS Mincho" w:hAnsi="Calibri Light" w:cs="Calibri Light"/>
          <w:sz w:val="24"/>
          <w:szCs w:val="24"/>
          <w:lang w:val="en-ID" w:eastAsia="en-US"/>
        </w:rPr>
        <w:t xml:space="preserve"> Distribution by year</w:t>
      </w:r>
    </w:p>
    <w:p w14:paraId="0596B959" w14:textId="6DDD12E2" w:rsidR="0094630C" w:rsidRPr="0094630C" w:rsidRDefault="0094630C"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94630C">
        <w:rPr>
          <w:rFonts w:ascii="Calibri Light" w:eastAsia="MS Mincho" w:hAnsi="Calibri Light" w:cs="Calibri Light"/>
          <w:sz w:val="24"/>
          <w:szCs w:val="24"/>
          <w:lang w:val="en-ID" w:eastAsia="en-US"/>
        </w:rPr>
        <w:t xml:space="preserve">From the data, it is evident that the number of publications has consistently risen, reflecting growing scholarly interest in the field. </w:t>
      </w:r>
      <w:commentRangeStart w:id="15"/>
      <w:r w:rsidRPr="0094630C">
        <w:rPr>
          <w:rFonts w:ascii="Calibri Light" w:eastAsia="MS Mincho" w:hAnsi="Calibri Light" w:cs="Calibri Light"/>
          <w:sz w:val="24"/>
          <w:szCs w:val="24"/>
          <w:lang w:val="en-ID" w:eastAsia="en-US"/>
        </w:rPr>
        <w:t>The highest increase occurred in 2020 (151 publications), followed by 2022 (147) and 2021 (113</w:t>
      </w:r>
      <w:commentRangeEnd w:id="15"/>
      <w:r w:rsidR="00ED5DCF">
        <w:rPr>
          <w:rStyle w:val="CommentReference"/>
        </w:rPr>
        <w:commentReference w:id="15"/>
      </w:r>
      <w:r w:rsidRPr="0094630C">
        <w:rPr>
          <w:rFonts w:ascii="Calibri Light" w:eastAsia="MS Mincho" w:hAnsi="Calibri Light" w:cs="Calibri Light"/>
          <w:sz w:val="24"/>
          <w:szCs w:val="24"/>
          <w:lang w:val="en-ID" w:eastAsia="en-US"/>
        </w:rPr>
        <w:t>). This surge could be linked to developments in Basel III regulations, risk management, and the increasing role of Islamic banking in the global financial system</w:t>
      </w:r>
      <w:r w:rsidR="001C3DA7">
        <w:rPr>
          <w:rFonts w:ascii="Calibri Light" w:eastAsia="MS Mincho" w:hAnsi="Calibri Light" w:cs="Calibri Light"/>
          <w:sz w:val="24"/>
          <w:szCs w:val="24"/>
          <w:lang w:val="en-ID" w:eastAsia="en-US"/>
        </w:rPr>
        <w:t xml:space="preserve"> </w:t>
      </w:r>
      <w:r w:rsidR="001C3DA7">
        <w:rPr>
          <w:rFonts w:ascii="Calibri Light" w:eastAsia="MS Mincho" w:hAnsi="Calibri Light" w:cs="Calibri Light"/>
          <w:sz w:val="24"/>
          <w:szCs w:val="24"/>
          <w:lang w:val="en-ID" w:eastAsia="en-US"/>
        </w:rPr>
        <w:fldChar w:fldCharType="begin" w:fldLock="1"/>
      </w:r>
      <w:r w:rsidR="001C3DA7">
        <w:rPr>
          <w:rFonts w:ascii="Calibri Light" w:eastAsia="MS Mincho" w:hAnsi="Calibri Light" w:cs="Calibri Light"/>
          <w:sz w:val="24"/>
          <w:szCs w:val="24"/>
          <w:lang w:val="en-ID" w:eastAsia="en-US"/>
        </w:rPr>
        <w:instrText>ADDIN CSL_CITATION {"citationItems":[{"id":"ITEM-1","itemData":{"DOI":"10.1142/S0217590819500620","ISSN":"02175908 (ISSN)","abstract":"Participatory financing schemes, including Musharakah and Mudarabah, are theoretically claimed to be the ideal modes of Islamic financing, but their practice is restrained by several factors. That is why Islamic banks have a consistent tendency to avoid participatory financing on the assets side throughout the world. However, recently this trend has started changing in Pakistan and Indonesia where the share of participatory finance has raised significantly in the financing portfolio of Islamic banks. The present paper explores this recent spur of participatory finance in Pakistan in terms of its domains of applications and the responsible factors. The findings lead to a novel posteriori framework which shows that the shift toward participatory financing is primarily characterized by increase in working capital financing and commodity operations financing through Musharakah mode Islamic banks. Moreover, five factors contribute to the spur of participatory financing including: (i) introducing varieties in Musharakah, (ii) enhanced applicability, (iii) high volume projects, (iv) government interventions, and (v) regulator's role. The framework can significantly advance understanding with respect to the implementation theory of participation financing within Islamic banking and related Shariah compliance and regulation.  © 2022 World Scientific Publishing Company.","author":[{"dropping-particle":"","family":"Nouman","given":"M","non-dropping-particle":"","parse-names":false,"suffix":""},{"dropping-particle":"","family":"Ullah","given":"K","non-dropping-particle":"","parse-names":false,"suffix":""},{"dropping-particle":"","family":"Jan","given":"S","non-dropping-particle":"","parse-names":false,"suffix":""}],"container-title":"Singapore Economic Review","id":"ITEM-1","issue":"1","issued":{"date-parts":[["2022"]]},"language":"English","note":"Export Date: 24 April 2025; Cited By: 9; Correspondence Address: S. Jan; Institute of Management Sciences Peshawar, Pakistan; email: shafiullah.jan@imsciences.edu.pk","page":"381-409","publisher":"World Scientific","publisher-place":"Institute of Business and Management Sciences (IBMS), The University of Agriculture Peshawar, Pakistan","title":"DOMAINS and MOTIVES of MUSHARAKAH SPUR in the ISLAMIC BANKING INDUSTRY of PAKISTAN","type":"article-journal","volume":"67"},"uris":["http://www.mendeley.com/documents/?uuid=3956b406-ff63-4221-964e-f3746db73da8"]}],"mendeley":{"formattedCitation":"(Nouman et al., 2022)","plainTextFormattedCitation":"(Nouman et al., 2022)","previouslyFormattedCitation":"(Nouman et al., 2022)"},"properties":{"noteIndex":0},"schema":"https://github.com/citation-style-language/schema/raw/master/csl-citation.json"}</w:instrText>
      </w:r>
      <w:r w:rsidR="001C3DA7">
        <w:rPr>
          <w:rFonts w:ascii="Calibri Light" w:eastAsia="MS Mincho" w:hAnsi="Calibri Light" w:cs="Calibri Light"/>
          <w:sz w:val="24"/>
          <w:szCs w:val="24"/>
          <w:lang w:val="en-ID" w:eastAsia="en-US"/>
        </w:rPr>
        <w:fldChar w:fldCharType="separate"/>
      </w:r>
      <w:r w:rsidR="001C3DA7" w:rsidRPr="001C3DA7">
        <w:rPr>
          <w:rFonts w:ascii="Calibri Light" w:eastAsia="MS Mincho" w:hAnsi="Calibri Light" w:cs="Calibri Light"/>
          <w:noProof/>
          <w:sz w:val="24"/>
          <w:szCs w:val="24"/>
          <w:lang w:val="en-ID" w:eastAsia="en-US"/>
        </w:rPr>
        <w:t>(Nouman et al., 2022)</w:t>
      </w:r>
      <w:r w:rsidR="001C3DA7">
        <w:rPr>
          <w:rFonts w:ascii="Calibri Light" w:eastAsia="MS Mincho" w:hAnsi="Calibri Light" w:cs="Calibri Light"/>
          <w:sz w:val="24"/>
          <w:szCs w:val="24"/>
          <w:lang w:val="en-ID" w:eastAsia="en-US"/>
        </w:rPr>
        <w:fldChar w:fldCharType="end"/>
      </w:r>
      <w:r w:rsidRPr="0094630C">
        <w:rPr>
          <w:rFonts w:ascii="Calibri Light" w:eastAsia="MS Mincho" w:hAnsi="Calibri Light" w:cs="Calibri Light"/>
          <w:sz w:val="24"/>
          <w:szCs w:val="24"/>
          <w:lang w:val="en-ID" w:eastAsia="en-US"/>
        </w:rPr>
        <w:t>.</w:t>
      </w:r>
    </w:p>
    <w:p w14:paraId="02514C86" w14:textId="4ED010E7" w:rsidR="0094630C" w:rsidRPr="0094630C" w:rsidRDefault="0094630C"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94630C">
        <w:rPr>
          <w:rFonts w:ascii="Calibri Light" w:eastAsia="MS Mincho" w:hAnsi="Calibri Light" w:cs="Calibri Light"/>
          <w:sz w:val="24"/>
          <w:szCs w:val="24"/>
          <w:lang w:val="en-ID" w:eastAsia="en-US"/>
        </w:rPr>
        <w:t>In contrast, the lowest recorded growth was in 2015 (65 publications), suggesting that research in this area was still in its early stages. Over the years, the consistent rise in publications indicates that Islamic finance and Basel regulations have become crucial topics of academic and industry discussions, with scholars actively contributing to the field</w:t>
      </w:r>
      <w:r w:rsidR="001C3DA7">
        <w:rPr>
          <w:rFonts w:ascii="Calibri Light" w:eastAsia="MS Mincho" w:hAnsi="Calibri Light" w:cs="Calibri Light"/>
          <w:sz w:val="24"/>
          <w:szCs w:val="24"/>
          <w:lang w:val="en-ID" w:eastAsia="en-US"/>
        </w:rPr>
        <w:t xml:space="preserve"> </w:t>
      </w:r>
      <w:r w:rsidR="001C3DA7">
        <w:rPr>
          <w:rFonts w:ascii="Calibri Light" w:eastAsia="MS Mincho" w:hAnsi="Calibri Light" w:cs="Calibri Light"/>
          <w:sz w:val="24"/>
          <w:szCs w:val="24"/>
          <w:lang w:val="en-ID" w:eastAsia="en-US"/>
        </w:rPr>
        <w:fldChar w:fldCharType="begin" w:fldLock="1"/>
      </w:r>
      <w:r w:rsidR="001C3DA7">
        <w:rPr>
          <w:rFonts w:ascii="Calibri Light" w:eastAsia="MS Mincho" w:hAnsi="Calibri Light" w:cs="Calibri Light"/>
          <w:sz w:val="24"/>
          <w:szCs w:val="24"/>
          <w:lang w:val="en-ID" w:eastAsia="en-US"/>
        </w:rPr>
        <w:instrText>ADDIN CSL_CITATION {"citationItems":[{"id":"ITEM-1","itemData":{"DOI":"10.1504/ijmef.2022.126888","ISSN":"17520479 (ISSN)","abstract":"In Indonesia, the Islamic banking industry has been experiencing growth since its establishment in 1992. Although its profitability has declined slightly due to Covid-19, Islamic banks have recorded higher profitability than the average banking industry nationwide. Motivated to identify the factors that determine the banking profitability, this research empirically tests the contribution of intellectual capital (measured by VAICTM), banks’ liquidity (financing-to-deposit ratio), and financing ineffectiveness (non-performing financing or NPF) to the profitability (return on assets or ROA) of Islamic banks in Indonesia. We gathered data from the published financial information comprising a total of 130 observation years. The result shows that intellectual capital, banks’ liquidity, and financing ineffectiveness impacted the profitability of Islamic banks in Indonesia. The findings of this study provide policy implications for Indonesia’s Islamic banks to apply prudential banking principles in their financing activities. Copyright © 2022 Inderscience Enterprises Ltd.","author":[{"dropping-particle":"","family":"Fitri","given":"F A","non-dropping-particle":"","parse-names":false,"suffix":""},{"dropping-particle":"","family":"Syukur","given":"M","non-dropping-particle":"","parse-names":false,"suffix":""},{"dropping-particle":"","family":"Majid","given":"M S A","non-dropping-particle":"","parse-names":false,"suffix":""},{"dropping-particle":"","family":"Farhana","given":"I","non-dropping-particle":"","parse-names":false,"suffix":""},{"dropping-particle":"","family":"Hatta","given":"F","non-dropping-particle":"","parse-names":false,"suffix":""}],"container-title":"International Journal of Monetary Economics and Finance","id":"ITEM-1","issue":"3","issued":{"date-parts":[["2022"]]},"language":"English","note":"Export Date: 24 April 2025; Cited By: 3; Correspondence Address: F.A. Fitri; Department of Accounting, Faculty of Economics and Business, Universitas Syiah Kuala (USK), Banda Aceh, Jl. Teuku Nyak Arief No. 441, 23111, Indonesia; email: fauziah.afitri@unsyiah.ac.id","page":"293-308","publisher":"Inderscience Publishers","publisher-place":"Department of Accounting, Faculty of Economics and Business, Universitas Syiah Kuala (USK), Jl. Teuku Nyak Arief No. 441, Banda Aceh, 23111, Indonesia","title":"Do intellectual capital and financing matter for the profitability of the Islamic banking industry in Indonesia?","type":"article-journal","volume":"15"},"uris":["http://www.mendeley.com/documents/?uuid=a59b395a-9099-4512-bb6e-472b5ac1e678"]}],"mendeley":{"formattedCitation":"(Fitri et al., 2022)","plainTextFormattedCitation":"(Fitri et al., 2022)","previouslyFormattedCitation":"(Fitri et al., 2022)"},"properties":{"noteIndex":0},"schema":"https://github.com/citation-style-language/schema/raw/master/csl-citation.json"}</w:instrText>
      </w:r>
      <w:r w:rsidR="001C3DA7">
        <w:rPr>
          <w:rFonts w:ascii="Calibri Light" w:eastAsia="MS Mincho" w:hAnsi="Calibri Light" w:cs="Calibri Light"/>
          <w:sz w:val="24"/>
          <w:szCs w:val="24"/>
          <w:lang w:val="en-ID" w:eastAsia="en-US"/>
        </w:rPr>
        <w:fldChar w:fldCharType="separate"/>
      </w:r>
      <w:r w:rsidR="001C3DA7" w:rsidRPr="001C3DA7">
        <w:rPr>
          <w:rFonts w:ascii="Calibri Light" w:eastAsia="MS Mincho" w:hAnsi="Calibri Light" w:cs="Calibri Light"/>
          <w:noProof/>
          <w:sz w:val="24"/>
          <w:szCs w:val="24"/>
          <w:lang w:val="en-ID" w:eastAsia="en-US"/>
        </w:rPr>
        <w:t>(Fitri et al., 2022)</w:t>
      </w:r>
      <w:r w:rsidR="001C3DA7">
        <w:rPr>
          <w:rFonts w:ascii="Calibri Light" w:eastAsia="MS Mincho" w:hAnsi="Calibri Light" w:cs="Calibri Light"/>
          <w:sz w:val="24"/>
          <w:szCs w:val="24"/>
          <w:lang w:val="en-ID" w:eastAsia="en-US"/>
        </w:rPr>
        <w:fldChar w:fldCharType="end"/>
      </w:r>
      <w:r w:rsidRPr="0094630C">
        <w:rPr>
          <w:rFonts w:ascii="Calibri Light" w:eastAsia="MS Mincho" w:hAnsi="Calibri Light" w:cs="Calibri Light"/>
          <w:sz w:val="24"/>
          <w:szCs w:val="24"/>
          <w:lang w:val="en-ID" w:eastAsia="en-US"/>
        </w:rPr>
        <w:t>.</w:t>
      </w:r>
    </w:p>
    <w:p w14:paraId="279C995B" w14:textId="7076B9CE" w:rsidR="0094630C" w:rsidRDefault="0094630C"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94630C">
        <w:rPr>
          <w:rFonts w:ascii="Calibri Light" w:eastAsia="MS Mincho" w:hAnsi="Calibri Light" w:cs="Calibri Light"/>
          <w:sz w:val="24"/>
          <w:szCs w:val="24"/>
          <w:lang w:val="en-ID" w:eastAsia="en-US"/>
        </w:rPr>
        <w:t>This upward trend highlights the increasing global emphasis on financial stability, risk management, and regulatory frameworks. The data suggests that research in Islamic banking and financial regulations is maturing, with more institutions and scholars recognizing its significance in shaping the financial landscape.</w:t>
      </w:r>
    </w:p>
    <w:tbl>
      <w:tblPr>
        <w:tblStyle w:val="PlainTable22"/>
        <w:tblW w:w="8079" w:type="dxa"/>
        <w:tblInd w:w="426" w:type="dxa"/>
        <w:tblLook w:val="04A0" w:firstRow="1" w:lastRow="0" w:firstColumn="1" w:lastColumn="0" w:noHBand="0" w:noVBand="1"/>
      </w:tblPr>
      <w:tblGrid>
        <w:gridCol w:w="977"/>
        <w:gridCol w:w="2307"/>
        <w:gridCol w:w="827"/>
        <w:gridCol w:w="2552"/>
        <w:gridCol w:w="1416"/>
      </w:tblGrid>
      <w:tr w:rsidR="00D26D30" w:rsidRPr="00D26D30" w14:paraId="712293B5" w14:textId="77777777" w:rsidTr="00835E51">
        <w:trPr>
          <w:cnfStyle w:val="100000000000" w:firstRow="1" w:lastRow="0" w:firstColumn="0" w:lastColumn="0" w:oddVBand="0" w:evenVBand="0" w:oddHBand="0" w:evenHBand="0" w:firstRowFirstColumn="0" w:firstRowLastColumn="0" w:lastRowFirstColumn="0" w:lastRowLastColumn="0"/>
          <w:trHeight w:val="483"/>
        </w:trPr>
        <w:tc>
          <w:tcPr>
            <w:cnfStyle w:val="001000000000" w:firstRow="0" w:lastRow="0" w:firstColumn="1" w:lastColumn="0" w:oddVBand="0" w:evenVBand="0" w:oddHBand="0" w:evenHBand="0" w:firstRowFirstColumn="0" w:firstRowLastColumn="0" w:lastRowFirstColumn="0" w:lastRowLastColumn="0"/>
            <w:tcW w:w="0" w:type="auto"/>
            <w:shd w:val="clear" w:color="auto" w:fill="E5B8B7" w:themeFill="accent2" w:themeFillTint="66"/>
            <w:hideMark/>
          </w:tcPr>
          <w:p w14:paraId="3D867444" w14:textId="77777777" w:rsidR="00D26D30" w:rsidRPr="00D26D30" w:rsidRDefault="00D26D30" w:rsidP="00D26D30">
            <w:pPr>
              <w:autoSpaceDE/>
              <w:autoSpaceDN/>
              <w:jc w:val="center"/>
              <w:rPr>
                <w:rFonts w:ascii="Calibri Light" w:hAnsi="Calibri Light" w:cs="Calibri Light"/>
                <w:lang w:val="en-ID" w:eastAsia="en-ID"/>
              </w:rPr>
            </w:pPr>
            <w:r w:rsidRPr="00D26D30">
              <w:rPr>
                <w:rFonts w:ascii="Calibri Light" w:hAnsi="Calibri Light" w:cs="Calibri Light"/>
                <w:lang w:val="en-ID" w:eastAsia="en-ID"/>
              </w:rPr>
              <w:t>Year</w:t>
            </w:r>
          </w:p>
        </w:tc>
        <w:tc>
          <w:tcPr>
            <w:tcW w:w="0" w:type="auto"/>
            <w:shd w:val="clear" w:color="auto" w:fill="E5B8B7" w:themeFill="accent2" w:themeFillTint="66"/>
            <w:hideMark/>
          </w:tcPr>
          <w:p w14:paraId="6A2716B6"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proofErr w:type="spellStart"/>
            <w:r w:rsidRPr="00D26D30">
              <w:rPr>
                <w:rFonts w:ascii="Calibri Light" w:hAnsi="Calibri Light" w:cs="Calibri Light"/>
                <w:lang w:val="en-ID" w:eastAsia="en-ID"/>
              </w:rPr>
              <w:t>MeanTCperArt</w:t>
            </w:r>
            <w:proofErr w:type="spellEnd"/>
          </w:p>
        </w:tc>
        <w:tc>
          <w:tcPr>
            <w:tcW w:w="827" w:type="dxa"/>
            <w:shd w:val="clear" w:color="auto" w:fill="E5B8B7" w:themeFill="accent2" w:themeFillTint="66"/>
            <w:hideMark/>
          </w:tcPr>
          <w:p w14:paraId="789F454A"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r w:rsidRPr="00D26D30">
              <w:rPr>
                <w:rFonts w:ascii="Calibri Light" w:hAnsi="Calibri Light" w:cs="Calibri Light"/>
                <w:lang w:val="en-ID" w:eastAsia="en-ID"/>
              </w:rPr>
              <w:t xml:space="preserve">N     </w:t>
            </w:r>
          </w:p>
        </w:tc>
        <w:tc>
          <w:tcPr>
            <w:tcW w:w="2552" w:type="dxa"/>
            <w:shd w:val="clear" w:color="auto" w:fill="E5B8B7" w:themeFill="accent2" w:themeFillTint="66"/>
            <w:hideMark/>
          </w:tcPr>
          <w:p w14:paraId="11322DC8"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proofErr w:type="spellStart"/>
            <w:r w:rsidRPr="00D26D30">
              <w:rPr>
                <w:rFonts w:ascii="Calibri Light" w:hAnsi="Calibri Light" w:cs="Calibri Light"/>
                <w:lang w:val="en-ID" w:eastAsia="en-ID"/>
              </w:rPr>
              <w:t>MeanTCperYear</w:t>
            </w:r>
            <w:proofErr w:type="spellEnd"/>
          </w:p>
        </w:tc>
        <w:tc>
          <w:tcPr>
            <w:tcW w:w="1416" w:type="dxa"/>
            <w:shd w:val="clear" w:color="auto" w:fill="E5B8B7" w:themeFill="accent2" w:themeFillTint="66"/>
            <w:hideMark/>
          </w:tcPr>
          <w:p w14:paraId="4D131BE9" w14:textId="77777777" w:rsidR="00D26D30" w:rsidRPr="00D26D30" w:rsidRDefault="00D26D30" w:rsidP="00D26D30">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ID"/>
              </w:rPr>
            </w:pPr>
            <w:proofErr w:type="spellStart"/>
            <w:r w:rsidRPr="00D26D30">
              <w:rPr>
                <w:rFonts w:ascii="Calibri Light" w:hAnsi="Calibri Light" w:cs="Calibri Light"/>
                <w:lang w:val="en-ID" w:eastAsia="en-ID"/>
              </w:rPr>
              <w:t>CitableYears</w:t>
            </w:r>
            <w:proofErr w:type="spellEnd"/>
          </w:p>
        </w:tc>
      </w:tr>
      <w:tr w:rsidR="00D26D30" w:rsidRPr="00D26D30" w14:paraId="3756270F" w14:textId="77777777" w:rsidTr="003F1684">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56896D54" w14:textId="77777777" w:rsidR="00D26D30" w:rsidRPr="00D26D30" w:rsidRDefault="00D26D30" w:rsidP="00D26D30">
            <w:pPr>
              <w:autoSpaceDE/>
              <w:autoSpaceDN/>
              <w:rPr>
                <w:lang w:val="en-ID" w:eastAsia="en-ID"/>
              </w:rPr>
            </w:pPr>
            <w:r w:rsidRPr="00D26D30">
              <w:rPr>
                <w:lang w:val="en-ID" w:eastAsia="en-ID"/>
              </w:rPr>
              <w:t>2015</w:t>
            </w:r>
          </w:p>
        </w:tc>
        <w:tc>
          <w:tcPr>
            <w:tcW w:w="0" w:type="auto"/>
            <w:hideMark/>
          </w:tcPr>
          <w:p w14:paraId="713422FA"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27.55</w:t>
            </w:r>
          </w:p>
        </w:tc>
        <w:tc>
          <w:tcPr>
            <w:tcW w:w="827" w:type="dxa"/>
            <w:hideMark/>
          </w:tcPr>
          <w:p w14:paraId="782ECD7F"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44</w:t>
            </w:r>
          </w:p>
        </w:tc>
        <w:tc>
          <w:tcPr>
            <w:tcW w:w="2552" w:type="dxa"/>
            <w:hideMark/>
          </w:tcPr>
          <w:p w14:paraId="368E8AEE" w14:textId="77777777" w:rsidR="00D26D30" w:rsidRPr="00D26D30" w:rsidRDefault="00D26D30" w:rsidP="00D26D30">
            <w:pPr>
              <w:autoSpaceDE/>
              <w:autoSpaceDN/>
              <w:ind w:left="-246"/>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 xml:space="preserve">     2.76</w:t>
            </w:r>
          </w:p>
        </w:tc>
        <w:tc>
          <w:tcPr>
            <w:tcW w:w="1416" w:type="dxa"/>
            <w:hideMark/>
          </w:tcPr>
          <w:p w14:paraId="1574A7CD"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10</w:t>
            </w:r>
          </w:p>
        </w:tc>
      </w:tr>
      <w:tr w:rsidR="00D26D30" w:rsidRPr="00D26D30" w14:paraId="748D172E"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7F253E24" w14:textId="77777777" w:rsidR="00D26D30" w:rsidRPr="00D26D30" w:rsidRDefault="00D26D30" w:rsidP="00D26D30">
            <w:pPr>
              <w:autoSpaceDE/>
              <w:autoSpaceDN/>
              <w:rPr>
                <w:lang w:val="en-ID" w:eastAsia="en-ID"/>
              </w:rPr>
            </w:pPr>
            <w:r w:rsidRPr="00D26D30">
              <w:rPr>
                <w:lang w:val="en-ID" w:eastAsia="en-ID"/>
              </w:rPr>
              <w:t>2016</w:t>
            </w:r>
          </w:p>
        </w:tc>
        <w:tc>
          <w:tcPr>
            <w:tcW w:w="0" w:type="auto"/>
            <w:hideMark/>
          </w:tcPr>
          <w:p w14:paraId="52CDE729"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20.31</w:t>
            </w:r>
          </w:p>
        </w:tc>
        <w:tc>
          <w:tcPr>
            <w:tcW w:w="827" w:type="dxa"/>
            <w:hideMark/>
          </w:tcPr>
          <w:p w14:paraId="4029E1F1"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45</w:t>
            </w:r>
          </w:p>
        </w:tc>
        <w:tc>
          <w:tcPr>
            <w:tcW w:w="2552" w:type="dxa"/>
            <w:hideMark/>
          </w:tcPr>
          <w:p w14:paraId="21CDB06C"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2.26</w:t>
            </w:r>
          </w:p>
        </w:tc>
        <w:tc>
          <w:tcPr>
            <w:tcW w:w="1416" w:type="dxa"/>
            <w:hideMark/>
          </w:tcPr>
          <w:p w14:paraId="6AF5D8DA"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9</w:t>
            </w:r>
          </w:p>
        </w:tc>
      </w:tr>
      <w:tr w:rsidR="00D26D30" w:rsidRPr="00D26D30" w14:paraId="0EC6DB67" w14:textId="77777777" w:rsidTr="003F1684">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63BF46CE" w14:textId="77777777" w:rsidR="00D26D30" w:rsidRPr="00D26D30" w:rsidRDefault="00D26D30" w:rsidP="00D26D30">
            <w:pPr>
              <w:autoSpaceDE/>
              <w:autoSpaceDN/>
              <w:rPr>
                <w:lang w:val="en-ID" w:eastAsia="en-ID"/>
              </w:rPr>
            </w:pPr>
            <w:r w:rsidRPr="00D26D30">
              <w:rPr>
                <w:lang w:val="en-ID" w:eastAsia="en-ID"/>
              </w:rPr>
              <w:t>2017</w:t>
            </w:r>
          </w:p>
        </w:tc>
        <w:tc>
          <w:tcPr>
            <w:tcW w:w="0" w:type="auto"/>
            <w:hideMark/>
          </w:tcPr>
          <w:p w14:paraId="3C0C39DB"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37.79</w:t>
            </w:r>
          </w:p>
        </w:tc>
        <w:tc>
          <w:tcPr>
            <w:tcW w:w="827" w:type="dxa"/>
            <w:hideMark/>
          </w:tcPr>
          <w:p w14:paraId="3C146B6A"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48</w:t>
            </w:r>
          </w:p>
        </w:tc>
        <w:tc>
          <w:tcPr>
            <w:tcW w:w="2552" w:type="dxa"/>
            <w:hideMark/>
          </w:tcPr>
          <w:p w14:paraId="766987B6"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4.72</w:t>
            </w:r>
          </w:p>
        </w:tc>
        <w:tc>
          <w:tcPr>
            <w:tcW w:w="1416" w:type="dxa"/>
            <w:hideMark/>
          </w:tcPr>
          <w:p w14:paraId="498858E3"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8</w:t>
            </w:r>
          </w:p>
        </w:tc>
      </w:tr>
      <w:tr w:rsidR="00D26D30" w:rsidRPr="00D26D30" w14:paraId="4CF91A75"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7DDBB736" w14:textId="77777777" w:rsidR="00D26D30" w:rsidRPr="00D26D30" w:rsidRDefault="00D26D30" w:rsidP="00D26D30">
            <w:pPr>
              <w:autoSpaceDE/>
              <w:autoSpaceDN/>
              <w:rPr>
                <w:lang w:val="en-ID" w:eastAsia="en-ID"/>
              </w:rPr>
            </w:pPr>
            <w:r w:rsidRPr="00D26D30">
              <w:rPr>
                <w:lang w:val="en-ID" w:eastAsia="en-ID"/>
              </w:rPr>
              <w:t>2018</w:t>
            </w:r>
          </w:p>
        </w:tc>
        <w:tc>
          <w:tcPr>
            <w:tcW w:w="0" w:type="auto"/>
            <w:hideMark/>
          </w:tcPr>
          <w:p w14:paraId="711086AE"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35.27</w:t>
            </w:r>
          </w:p>
        </w:tc>
        <w:tc>
          <w:tcPr>
            <w:tcW w:w="827" w:type="dxa"/>
            <w:hideMark/>
          </w:tcPr>
          <w:p w14:paraId="220BA8FD"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70</w:t>
            </w:r>
          </w:p>
        </w:tc>
        <w:tc>
          <w:tcPr>
            <w:tcW w:w="2552" w:type="dxa"/>
            <w:hideMark/>
          </w:tcPr>
          <w:p w14:paraId="345EBB6A"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5.04</w:t>
            </w:r>
          </w:p>
        </w:tc>
        <w:tc>
          <w:tcPr>
            <w:tcW w:w="1416" w:type="dxa"/>
            <w:hideMark/>
          </w:tcPr>
          <w:p w14:paraId="3148B29E"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7</w:t>
            </w:r>
          </w:p>
        </w:tc>
      </w:tr>
      <w:tr w:rsidR="00D26D30" w:rsidRPr="00D26D30" w14:paraId="30373840" w14:textId="77777777" w:rsidTr="003F1684">
        <w:trPr>
          <w:cnfStyle w:val="000000100000" w:firstRow="0" w:lastRow="0" w:firstColumn="0" w:lastColumn="0" w:oddVBand="0" w:evenVBand="0" w:oddHBand="1" w:evenHBand="0" w:firstRowFirstColumn="0" w:firstRowLastColumn="0" w:lastRowFirstColumn="0" w:lastRowLastColumn="0"/>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0B78EA27" w14:textId="77777777" w:rsidR="00D26D30" w:rsidRPr="00D26D30" w:rsidRDefault="00D26D30" w:rsidP="00D26D30">
            <w:pPr>
              <w:autoSpaceDE/>
              <w:autoSpaceDN/>
              <w:rPr>
                <w:lang w:val="en-ID" w:eastAsia="en-ID"/>
              </w:rPr>
            </w:pPr>
            <w:r w:rsidRPr="00D26D30">
              <w:rPr>
                <w:lang w:val="en-ID" w:eastAsia="en-ID"/>
              </w:rPr>
              <w:t>2019</w:t>
            </w:r>
          </w:p>
        </w:tc>
        <w:tc>
          <w:tcPr>
            <w:tcW w:w="0" w:type="auto"/>
            <w:hideMark/>
          </w:tcPr>
          <w:p w14:paraId="38BB8002"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20.43</w:t>
            </w:r>
          </w:p>
        </w:tc>
        <w:tc>
          <w:tcPr>
            <w:tcW w:w="827" w:type="dxa"/>
            <w:hideMark/>
          </w:tcPr>
          <w:p w14:paraId="0C2A9C27"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77</w:t>
            </w:r>
          </w:p>
        </w:tc>
        <w:tc>
          <w:tcPr>
            <w:tcW w:w="2552" w:type="dxa"/>
            <w:hideMark/>
          </w:tcPr>
          <w:p w14:paraId="59B54C53"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3.40</w:t>
            </w:r>
          </w:p>
        </w:tc>
        <w:tc>
          <w:tcPr>
            <w:tcW w:w="1416" w:type="dxa"/>
            <w:hideMark/>
          </w:tcPr>
          <w:p w14:paraId="1B3DE2EC"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6</w:t>
            </w:r>
          </w:p>
        </w:tc>
      </w:tr>
      <w:tr w:rsidR="00D26D30" w:rsidRPr="00D26D30" w14:paraId="577ABB65"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5175B1C9" w14:textId="77777777" w:rsidR="00D26D30" w:rsidRPr="00D26D30" w:rsidRDefault="00D26D30" w:rsidP="00D26D30">
            <w:pPr>
              <w:autoSpaceDE/>
              <w:autoSpaceDN/>
              <w:rPr>
                <w:lang w:val="en-ID" w:eastAsia="en-ID"/>
              </w:rPr>
            </w:pPr>
            <w:r w:rsidRPr="00D26D30">
              <w:rPr>
                <w:lang w:val="en-ID" w:eastAsia="en-ID"/>
              </w:rPr>
              <w:lastRenderedPageBreak/>
              <w:t>2020</w:t>
            </w:r>
          </w:p>
        </w:tc>
        <w:tc>
          <w:tcPr>
            <w:tcW w:w="0" w:type="auto"/>
            <w:hideMark/>
          </w:tcPr>
          <w:p w14:paraId="2B325140"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18.31</w:t>
            </w:r>
          </w:p>
        </w:tc>
        <w:tc>
          <w:tcPr>
            <w:tcW w:w="827" w:type="dxa"/>
            <w:hideMark/>
          </w:tcPr>
          <w:p w14:paraId="4463C6F0"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74</w:t>
            </w:r>
          </w:p>
        </w:tc>
        <w:tc>
          <w:tcPr>
            <w:tcW w:w="2552" w:type="dxa"/>
            <w:hideMark/>
          </w:tcPr>
          <w:p w14:paraId="42D3B1FD"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3.66</w:t>
            </w:r>
          </w:p>
        </w:tc>
        <w:tc>
          <w:tcPr>
            <w:tcW w:w="1416" w:type="dxa"/>
            <w:hideMark/>
          </w:tcPr>
          <w:p w14:paraId="4E6017B8"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5</w:t>
            </w:r>
          </w:p>
        </w:tc>
      </w:tr>
      <w:tr w:rsidR="00D26D30" w:rsidRPr="00D26D30" w14:paraId="51AE9F01" w14:textId="77777777" w:rsidTr="003F1684">
        <w:trPr>
          <w:cnfStyle w:val="000000100000" w:firstRow="0" w:lastRow="0" w:firstColumn="0" w:lastColumn="0" w:oddVBand="0" w:evenVBand="0" w:oddHBand="1" w:evenHBand="0" w:firstRowFirstColumn="0" w:firstRowLastColumn="0" w:lastRowFirstColumn="0" w:lastRowLastColumn="0"/>
          <w:trHeight w:val="354"/>
        </w:trPr>
        <w:tc>
          <w:tcPr>
            <w:cnfStyle w:val="001000000000" w:firstRow="0" w:lastRow="0" w:firstColumn="1" w:lastColumn="0" w:oddVBand="0" w:evenVBand="0" w:oddHBand="0" w:evenHBand="0" w:firstRowFirstColumn="0" w:firstRowLastColumn="0" w:lastRowFirstColumn="0" w:lastRowLastColumn="0"/>
            <w:tcW w:w="0" w:type="auto"/>
            <w:hideMark/>
          </w:tcPr>
          <w:p w14:paraId="1A73EB75" w14:textId="77777777" w:rsidR="00D26D30" w:rsidRPr="00D26D30" w:rsidRDefault="00D26D30" w:rsidP="00D26D30">
            <w:pPr>
              <w:autoSpaceDE/>
              <w:autoSpaceDN/>
              <w:rPr>
                <w:lang w:val="en-ID" w:eastAsia="en-ID"/>
              </w:rPr>
            </w:pPr>
            <w:r w:rsidRPr="00D26D30">
              <w:rPr>
                <w:lang w:val="en-ID" w:eastAsia="en-ID"/>
              </w:rPr>
              <w:t>2021</w:t>
            </w:r>
          </w:p>
        </w:tc>
        <w:tc>
          <w:tcPr>
            <w:tcW w:w="0" w:type="auto"/>
            <w:hideMark/>
          </w:tcPr>
          <w:p w14:paraId="6C1CB234"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15.18</w:t>
            </w:r>
          </w:p>
        </w:tc>
        <w:tc>
          <w:tcPr>
            <w:tcW w:w="827" w:type="dxa"/>
            <w:hideMark/>
          </w:tcPr>
          <w:p w14:paraId="23ED78C4"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73</w:t>
            </w:r>
          </w:p>
        </w:tc>
        <w:tc>
          <w:tcPr>
            <w:tcW w:w="2552" w:type="dxa"/>
            <w:hideMark/>
          </w:tcPr>
          <w:p w14:paraId="683EC50D"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3.45</w:t>
            </w:r>
          </w:p>
        </w:tc>
        <w:tc>
          <w:tcPr>
            <w:tcW w:w="1416" w:type="dxa"/>
            <w:hideMark/>
          </w:tcPr>
          <w:p w14:paraId="4B1A795C"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4</w:t>
            </w:r>
          </w:p>
        </w:tc>
      </w:tr>
      <w:tr w:rsidR="00D26D30" w:rsidRPr="00D26D30" w14:paraId="45B0E4B1" w14:textId="77777777" w:rsidTr="003F1684">
        <w:trPr>
          <w:trHeight w:val="336"/>
        </w:trPr>
        <w:tc>
          <w:tcPr>
            <w:cnfStyle w:val="001000000000" w:firstRow="0" w:lastRow="0" w:firstColumn="1" w:lastColumn="0" w:oddVBand="0" w:evenVBand="0" w:oddHBand="0" w:evenHBand="0" w:firstRowFirstColumn="0" w:firstRowLastColumn="0" w:lastRowFirstColumn="0" w:lastRowLastColumn="0"/>
            <w:tcW w:w="0" w:type="auto"/>
            <w:hideMark/>
          </w:tcPr>
          <w:p w14:paraId="3316C860" w14:textId="77777777" w:rsidR="00D26D30" w:rsidRPr="00D26D30" w:rsidRDefault="00D26D30" w:rsidP="00D26D30">
            <w:pPr>
              <w:autoSpaceDE/>
              <w:autoSpaceDN/>
              <w:rPr>
                <w:lang w:val="en-ID" w:eastAsia="en-ID"/>
              </w:rPr>
            </w:pPr>
            <w:r w:rsidRPr="00D26D30">
              <w:rPr>
                <w:lang w:val="en-ID" w:eastAsia="en-ID"/>
              </w:rPr>
              <w:t>2022</w:t>
            </w:r>
          </w:p>
        </w:tc>
        <w:tc>
          <w:tcPr>
            <w:tcW w:w="0" w:type="auto"/>
            <w:hideMark/>
          </w:tcPr>
          <w:p w14:paraId="0C11CAA4"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9.59</w:t>
            </w:r>
          </w:p>
        </w:tc>
        <w:tc>
          <w:tcPr>
            <w:tcW w:w="827" w:type="dxa"/>
            <w:hideMark/>
          </w:tcPr>
          <w:p w14:paraId="2197BF29"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80</w:t>
            </w:r>
          </w:p>
        </w:tc>
        <w:tc>
          <w:tcPr>
            <w:tcW w:w="2552" w:type="dxa"/>
            <w:hideMark/>
          </w:tcPr>
          <w:p w14:paraId="558D499B"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3.20</w:t>
            </w:r>
          </w:p>
        </w:tc>
        <w:tc>
          <w:tcPr>
            <w:tcW w:w="1416" w:type="dxa"/>
            <w:hideMark/>
          </w:tcPr>
          <w:p w14:paraId="284DA49D" w14:textId="77777777" w:rsidR="00D26D30" w:rsidRPr="00D26D30" w:rsidRDefault="00D26D30" w:rsidP="00D26D30">
            <w:pPr>
              <w:autoSpaceDE/>
              <w:autoSpaceDN/>
              <w:cnfStyle w:val="000000000000" w:firstRow="0" w:lastRow="0" w:firstColumn="0" w:lastColumn="0" w:oddVBand="0" w:evenVBand="0" w:oddHBand="0" w:evenHBand="0" w:firstRowFirstColumn="0" w:firstRowLastColumn="0" w:lastRowFirstColumn="0" w:lastRowLastColumn="0"/>
              <w:rPr>
                <w:lang w:val="en-ID" w:eastAsia="en-ID"/>
              </w:rPr>
            </w:pPr>
            <w:r w:rsidRPr="00D26D30">
              <w:rPr>
                <w:lang w:val="en-ID" w:eastAsia="en-ID"/>
              </w:rPr>
              <w:t>3</w:t>
            </w:r>
          </w:p>
        </w:tc>
      </w:tr>
      <w:tr w:rsidR="00D26D30" w:rsidRPr="00D26D30" w14:paraId="1FF1B0A1" w14:textId="77777777" w:rsidTr="003F1684">
        <w:trPr>
          <w:cnfStyle w:val="000000100000" w:firstRow="0" w:lastRow="0" w:firstColumn="0" w:lastColumn="0" w:oddVBand="0" w:evenVBand="0" w:oddHBand="1" w:evenHBand="0" w:firstRowFirstColumn="0" w:firstRowLastColumn="0" w:lastRowFirstColumn="0" w:lastRowLastColumn="0"/>
          <w:trHeight w:val="316"/>
        </w:trPr>
        <w:tc>
          <w:tcPr>
            <w:cnfStyle w:val="001000000000" w:firstRow="0" w:lastRow="0" w:firstColumn="1" w:lastColumn="0" w:oddVBand="0" w:evenVBand="0" w:oddHBand="0" w:evenHBand="0" w:firstRowFirstColumn="0" w:firstRowLastColumn="0" w:lastRowFirstColumn="0" w:lastRowLastColumn="0"/>
            <w:tcW w:w="0" w:type="auto"/>
            <w:hideMark/>
          </w:tcPr>
          <w:p w14:paraId="2E4222FC" w14:textId="77777777" w:rsidR="00D26D30" w:rsidRPr="00D26D30" w:rsidRDefault="00D26D30" w:rsidP="00D26D30">
            <w:pPr>
              <w:autoSpaceDE/>
              <w:autoSpaceDN/>
              <w:rPr>
                <w:lang w:val="en-ID" w:eastAsia="en-ID"/>
              </w:rPr>
            </w:pPr>
            <w:r w:rsidRPr="00D26D30">
              <w:rPr>
                <w:lang w:val="en-ID" w:eastAsia="en-ID"/>
              </w:rPr>
              <w:t>2023</w:t>
            </w:r>
          </w:p>
        </w:tc>
        <w:tc>
          <w:tcPr>
            <w:tcW w:w="0" w:type="auto"/>
            <w:hideMark/>
          </w:tcPr>
          <w:p w14:paraId="3A44D85E"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2.40</w:t>
            </w:r>
          </w:p>
        </w:tc>
        <w:tc>
          <w:tcPr>
            <w:tcW w:w="827" w:type="dxa"/>
            <w:hideMark/>
          </w:tcPr>
          <w:p w14:paraId="7E2D582D"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97</w:t>
            </w:r>
          </w:p>
        </w:tc>
        <w:tc>
          <w:tcPr>
            <w:tcW w:w="2552" w:type="dxa"/>
            <w:hideMark/>
          </w:tcPr>
          <w:p w14:paraId="2C9CA1DF"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1.20</w:t>
            </w:r>
          </w:p>
        </w:tc>
        <w:tc>
          <w:tcPr>
            <w:tcW w:w="1416" w:type="dxa"/>
            <w:hideMark/>
          </w:tcPr>
          <w:p w14:paraId="0FFAB4AB" w14:textId="77777777" w:rsidR="00D26D30" w:rsidRPr="00D26D30" w:rsidRDefault="00D26D30" w:rsidP="00D26D30">
            <w:pPr>
              <w:autoSpaceDE/>
              <w:autoSpaceDN/>
              <w:cnfStyle w:val="000000100000" w:firstRow="0" w:lastRow="0" w:firstColumn="0" w:lastColumn="0" w:oddVBand="0" w:evenVBand="0" w:oddHBand="1" w:evenHBand="0" w:firstRowFirstColumn="0" w:firstRowLastColumn="0" w:lastRowFirstColumn="0" w:lastRowLastColumn="0"/>
              <w:rPr>
                <w:lang w:val="en-ID" w:eastAsia="en-ID"/>
              </w:rPr>
            </w:pPr>
            <w:r w:rsidRPr="00D26D30">
              <w:rPr>
                <w:lang w:val="en-ID" w:eastAsia="en-ID"/>
              </w:rPr>
              <w:t>2</w:t>
            </w:r>
          </w:p>
        </w:tc>
      </w:tr>
    </w:tbl>
    <w:p w14:paraId="79B51F19" w14:textId="3476F9BE" w:rsidR="00D26D30" w:rsidRPr="00D26D30" w:rsidRDefault="00D26D30" w:rsidP="0094630C">
      <w:pPr>
        <w:autoSpaceDE/>
        <w:autoSpaceDN/>
        <w:spacing w:after="200" w:line="276" w:lineRule="auto"/>
        <w:ind w:left="426"/>
        <w:jc w:val="both"/>
        <w:rPr>
          <w:rFonts w:ascii="Calibri Light" w:eastAsia="MS Mincho" w:hAnsi="Calibri Light" w:cs="Calibri Light"/>
          <w:sz w:val="32"/>
          <w:szCs w:val="32"/>
          <w:lang w:val="en-ID" w:eastAsia="en-US"/>
        </w:rPr>
      </w:pPr>
      <w:r w:rsidRPr="00D26D30">
        <w:rPr>
          <w:rFonts w:ascii="Calibri Light" w:hAnsi="Calibri Light" w:cs="Calibri Light"/>
          <w:b/>
          <w:bCs/>
          <w:sz w:val="24"/>
          <w:szCs w:val="24"/>
        </w:rPr>
        <w:t xml:space="preserve">Table 2: </w:t>
      </w:r>
      <w:r w:rsidRPr="00D26D30">
        <w:rPr>
          <w:rFonts w:ascii="Calibri Light" w:hAnsi="Calibri Light" w:cs="Calibri Light"/>
          <w:sz w:val="24"/>
          <w:szCs w:val="24"/>
        </w:rPr>
        <w:t>Average Citation Per Year in Selected Publications using R-studio</w:t>
      </w:r>
    </w:p>
    <w:p w14:paraId="0C27587B" w14:textId="3C0DE057" w:rsidR="00D26D30" w:rsidRDefault="003F1684"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This table presents the average citation per year in selected research publications. It includes key metrics such as Mean Total Citations per Article (</w:t>
      </w:r>
      <w:proofErr w:type="spellStart"/>
      <w:r w:rsidRPr="003F1684">
        <w:rPr>
          <w:rFonts w:ascii="Calibri Light" w:eastAsia="MS Mincho" w:hAnsi="Calibri Light" w:cs="Calibri Light"/>
          <w:sz w:val="24"/>
          <w:szCs w:val="24"/>
          <w:lang w:val="en-ID" w:eastAsia="en-US"/>
        </w:rPr>
        <w:t>MeanTCperArt</w:t>
      </w:r>
      <w:proofErr w:type="spellEnd"/>
      <w:r w:rsidRPr="003F1684">
        <w:rPr>
          <w:rFonts w:ascii="Calibri Light" w:eastAsia="MS Mincho" w:hAnsi="Calibri Light" w:cs="Calibri Light"/>
          <w:sz w:val="24"/>
          <w:szCs w:val="24"/>
          <w:lang w:val="en-ID" w:eastAsia="en-US"/>
        </w:rPr>
        <w:t>), the number of articles published (N), the Mean Total Citations per Year (</w:t>
      </w:r>
      <w:proofErr w:type="spellStart"/>
      <w:r w:rsidRPr="003F1684">
        <w:rPr>
          <w:rFonts w:ascii="Calibri Light" w:eastAsia="MS Mincho" w:hAnsi="Calibri Light" w:cs="Calibri Light"/>
          <w:sz w:val="24"/>
          <w:szCs w:val="24"/>
          <w:lang w:val="en-ID" w:eastAsia="en-US"/>
        </w:rPr>
        <w:t>MeanTCperYear</w:t>
      </w:r>
      <w:proofErr w:type="spellEnd"/>
      <w:r w:rsidRPr="003F1684">
        <w:rPr>
          <w:rFonts w:ascii="Calibri Light" w:eastAsia="MS Mincho" w:hAnsi="Calibri Light" w:cs="Calibri Light"/>
          <w:sz w:val="24"/>
          <w:szCs w:val="24"/>
          <w:lang w:val="en-ID" w:eastAsia="en-US"/>
        </w:rPr>
        <w:t>), and the number of citable years for each publication period</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217165">
        <w:rPr>
          <w:rFonts w:ascii="Calibri Light" w:eastAsia="MS Mincho" w:hAnsi="Calibri Light" w:cs="Calibri Light"/>
          <w:sz w:val="24"/>
          <w:szCs w:val="24"/>
          <w:lang w:val="en-ID" w:eastAsia="en-US"/>
        </w:rPr>
        <w:instrText>ADDIN CSL_CITATION {"citationItems":[{"id":"ITEM-1","itemData":{"DOI":"10.1002/ijfe.2115","ISSN":"10769307 (ISSN)","abstract":"Islamic banking has gleaned considerable attention recently owing to its quantum growth. This study examines the asymmetric association between Islamic banking development (IBD) and economic growth (EG) in Pakistan that spans 2007Q1 to 2017Q4. We apply the non-linear autoregressive distributed lag (NARDL) model of Shin et al., (2014). Our findings confirm co-integration between IBD and EG in Pakistan. The positive (negative) shocks of IBD have significant positive (negative) association with EG in the long-run; however, only positive shocks have significant positive relationship with EG in the short run. We observe that the interconnection between IBD-EG is asymmetric/non-linear in the long-run, whereas symmetric/linear in the short run. We conclude that unlike the linear models, the non-linear models provide realistic results by capturing hidden asymmetries, thereby assisting policymakers in useful decision making. © 2020 John Wiley &amp; Sons, Ltd.","author":[{"dropping-particle":"","family":"Ullah","given":"A","non-dropping-particle":"","parse-names":false,"suffix":""},{"dropping-particle":"","family":"Zhao","given":"X","non-dropping-particle":"","parse-names":false,"suffix":""},{"dropping-particle":"","family":"Kamal","given":"M A","non-dropping-particle":"","parse-names":false,"suffix":""},{"dropping-particle":"","family":"Riaz","given":"A","non-dropping-particle":"","parse-names":false,"suffix":""},{"dropping-particle":"","family":"Zheng","given":"B","non-dropping-particle":"","parse-names":false,"suffix":""}],"container-title":"International Journal of Finance and Economics","id":"ITEM-1","issue":"4","issued":{"date-parts":[["2021"]]},"language":"English","note":"Export Date: 24 April 2025; Cited By: 25; Correspondence Address: A. Ullah; School of Economics, Henan University, Kaifeng, China; email: assad@henu.edu.cn","page":"6168-6187","publisher":"John Wiley and Sons Ltd","publisher-place":"School of Economics, Henan University, Kaifeng, China","title":"Exploring asymmetric relationship between Islamic banking development and economic growth in Pakistan: Fresh evidence from a non-linear ARDL approach","type":"article-journal","volume":"26"},"uris":["http://www.mendeley.com/documents/?uuid=e6a874a7-5d18-43ac-bea6-5590437d437b"]}],"mendeley":{"formattedCitation":"(A. Ullah et al., 2021)","plainTextFormattedCitation":"(A. Ullah et al., 2021)","previouslyFormattedCitation":"(A. Ullah et al., 2021)"},"properties":{"noteIndex":0},"schema":"https://github.com/citation-style-language/schema/raw/master/csl-citation.json"}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217165" w:rsidRPr="00217165">
        <w:rPr>
          <w:rFonts w:ascii="Calibri Light" w:eastAsia="MS Mincho" w:hAnsi="Calibri Light" w:cs="Calibri Light"/>
          <w:noProof/>
          <w:sz w:val="24"/>
          <w:szCs w:val="24"/>
          <w:lang w:val="en-ID" w:eastAsia="en-US"/>
        </w:rPr>
        <w:t>(A. Ullah et al., 2021)</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 The data reflects the citation trends over time, showing variations in research impact and relevance. The citation analysis in Table 2. Average Citation Per Year in Selected Publications provides insights into citation trends across different years. The data indicate that older publications have had more time to accumulate citations, while recent ones, particularly 2022 and 2023, show lower citation counts due to their limited exposure time. The highest Mean Total Citations per Article (Mean TC per Art) is observed in 2017, reaching 37.79 with 48 articles. However, the highest Mean Total Citations per Year (Mean TC per Year) is recorded in 2018, at 5.04, over 7 citable years. In contrast, research published in 2023 has the lowest Mean TC per Art of 2.40 and a Mean TC per Year of 1.20, reflecting its recent publication status and limited citation accumulation. Between 2015 and 2020, the Mean TC per Year fluctuated, peaking in 2018 and declining afterward. The Mean TC per Art also shows variation, with a decline from 2017 (37.79) to 2021 (15.18) and further decreasing in subsequent years</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217165">
        <w:rPr>
          <w:rFonts w:ascii="Calibri Light" w:eastAsia="MS Mincho" w:hAnsi="Calibri Light" w:cs="Calibri Light"/>
          <w:sz w:val="24"/>
          <w:szCs w:val="24"/>
          <w:lang w:val="en-ID" w:eastAsia="en-US"/>
        </w:rPr>
        <w:instrText>ADDIN CSL_CITATION {"citationItems":[{"id":"ITEM-1","itemData":{"DOI":"10.1108/IMEFM-04-2023-0144","ISSN":"17538394 (ISSN)","abstract":"Purpose: This study aims to attempt to investigate the factors that influence non-Muslims’ withdrawal behavioural intention from Islamic banking in Malaysia. Design/methodology/approach: The push–pull–mooring approach is used to examine the determinants of withdrawal intention by non-Muslims from Islamic banking in Malaysia. Variables used in this study include religiosity (RELG) under push, deposit guarantee (DG), rate of return (RR), Islamic banks’ specific factors (IBSF) under pull and mooring factors as social influence (SI) and voluntary switching (VS) as the determinants of withdrawal intention from Islamic banking. In this study, the SPSS Statistics Version 22 and smart partial least squares were used to measure the withdrawal level. Findings: Three variables, namely, SI, RR and IBSF are found to significantly influence the withdrawal behaviour intention. Meanwhile, three other variables, namely, RELG, DG and VS are not significant. Practical implications: This study provides valuable insights pertaining to non-Muslim consumer withdrawal behaviour from Islamic banks. Bank managers, marketers and regulators could use these findings in developing effective strategies to increase and retain customer withdrawal. Originality/value: This study expands the understanding of key determinants of the non-Muslim withdrawal behaviour from Islamic banks in Malaysia. To the best of the authors’ knowledge, this research is among the pioneer empirical study to assess the issue. © 2023, Emerald Publishing Limited.","author":[{"dropping-particle":"","family":"Mohd Thas Thaker","given":"H","non-dropping-particle":"","parse-names":false,"suffix":""},{"dropping-particle":"","family":"Lelchumanan","given":"B","non-dropping-particle":"","parse-names":false,"suffix":""},{"dropping-particle":"","family":"Ah Mand","given":"A","non-dropping-particle":"","parse-names":false,"suffix":""},{"dropping-particle":"","family":"Khaliq","given":"A","non-dropping-particle":"","parse-names":false,"suffix":""}],"container-title":"International Journal of Islamic and Middle Eastern Finance and Management","id":"ITEM-1","issue":"1","issued":{"date-parts":[["2024"]]},"language":"English","note":"Export Date: 24 April 2025; Cited By: 1; Correspondence Address: H. Mohd Thas Thaker; Kulliyyah of Economics and Management Sciences, International Islamic University Malaysia, Kuala Lumpur, Malaysia; email: hassanfinance21@yahoo.com","page":"195-212","publisher":"Emerald Publishing","publisher-place":"Kulliyyah of Economics and Management Sciences, International Islamic University Malaysia, Kuala Lumpur, Malaysia","title":"Push – pull – mooring determinants of non-Muslims’ withdrawal from Islamic banking: evidence from Malaysia","type":"article-journal","volume":"17"},"uris":["http://www.mendeley.com/documents/?uuid=8baa2a9c-3ce9-4b33-ab55-8dd6c766ff8e"]}],"mendeley":{"formattedCitation":"(Mohd Thas Thaker et al., 2024)","plainTextFormattedCitation":"(Mohd Thas Thaker et al., 2024)","previouslyFormattedCitation":"(Mohd Thas Thaker et al., 2024)"},"properties":{"noteIndex":0},"schema":"https://github.com/citation-style-language/schema/raw/master/csl-citation.json"}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217165" w:rsidRPr="00217165">
        <w:rPr>
          <w:rFonts w:ascii="Calibri Light" w:eastAsia="MS Mincho" w:hAnsi="Calibri Light" w:cs="Calibri Light"/>
          <w:noProof/>
          <w:sz w:val="24"/>
          <w:szCs w:val="24"/>
          <w:lang w:val="en-ID" w:eastAsia="en-US"/>
        </w:rPr>
        <w:t>(Mohd Thas Thaker et al., 2024)</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 This trend indicates that earlier studies continue to receive more citations over time, reinforcing their impact, while newer research is still gaining academic recognition</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217165">
        <w:rPr>
          <w:rFonts w:ascii="Calibri Light" w:eastAsia="MS Mincho" w:hAnsi="Calibri Light" w:cs="Calibri Light"/>
          <w:sz w:val="24"/>
          <w:szCs w:val="24"/>
          <w:lang w:val="en-ID" w:eastAsia="en-US"/>
        </w:rPr>
        <w:instrText>ADDIN CSL_CITATION {"citationItems":[{"id":"ITEM-1","itemData":{"DOI":"10.1108/IJLMA-11-2023-0250","ISSN":"1754243X (ISSN)","abstract":"Purpose: The primary aim of this study is to explore challenges and prospects of Islamic banking system in non-Muslim states to foster regulatory frameworks of the system. Design/methodology/approach: Content analysis as an integral part of qualitative research was used. Secondary data through the exploration of cursory literature was taken into consideration. Findings: The findings identified three prime challenges, namely, regulatory, operational and institutional, which are impeding the smooth activities and performances of Islamic banks in using innovative Islamic products and services that can favourably compete with products and services of conventional banking system in non-Muslim states. In addition, strengthening the adoption and performance of Islamic banking in non-Muslim states can efficiently and effectively address the identified and multifarious regulatory, operational and institutional challenges to achieve financial inclusion and overall economic growth. Research limitations/implications: Challenges encountered and prodigies or potentials of operating Islamic banking system by most of non-Muslim countries remains a pivotal aspect that needs research attention in the recent. Practical implications: Nonetheless, the limitation of this study is that the study relies on the use of secondary data. However, it has provided a substantial direction for future studies in empirically exploring the variables of this study. Social implications: Indeed, 19th century was a remarkable turning point in the development and expansion of Islamic banking system in the Muslim world. Many predominant Muslim countries such as Malaysia, Indonesia, Saudi Arabia, Bangladesh, Pakistan, among others have been efficiently and effectively operating Islamic banking system within the framework of Islamic legal provisions. Many non-Muslim countries such as Australia, the UK, USA, etc., have also adopted Islamic banking system. Originality/value: It is noted that policy directions of the study among others should address the regulatory frameworks that is Shari’ah-compliant in the operation of Islamic banking system in non-Muslim states. It is therefore suggested that the policymakers, Islamic financial experts and regulators should use the innovation that could bring competitiveness into the operation of Islamic banking system in non-Muslim states. © 2024, Emerald Publishing Limited.","author":[{"dropping-particle":"","family":"Amuda","given":"Y J","non-dropping-particle":"","parse-names":false,"suffix":""},{"dropping-particle":"","family":"Al-Nasser","given":"S A","non-dropping-particle":"","parse-names":false,"suffix":""}],"container-title":"International Journal of Law and Management","id":"ITEM-1","issued":{"date-parts":[["2024"]]},"language":"English","note":"Export Date: 24 April 2025; Cited By: 4; Correspondence Address: Y.J. Amuda; College of Law, Prince Sultan University, Riyadh, Saudi Arabia; email: yusuffja@psu.edu.sa","publisher":"Emerald Publishing","publisher-place":"College of Law, Prince Sultan University, Riyadh, Saudi Arabia","title":"Exploring encounters and prodigies of Islamic banks in non-Muslim states: towards enhancing regulatory frameworks of Islamic banking system","type":"article-journal"},"uris":["http://www.mendeley.com/documents/?uuid=2781d09d-f948-4caf-9cce-16aa873d299a"]}],"mendeley":{"formattedCitation":"(Amuda &amp; Al-Nasser, 2024)","plainTextFormattedCitation":"(Amuda &amp; Al-Nasser, 2024)","previouslyFormattedCitation":"(Amuda &amp; Al-Nasser, 2024)"},"properties":{"noteIndex":0},"schema":"https://github.com/citation-style-language/schema/raw/master/csl-citation.json"}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217165" w:rsidRPr="00217165">
        <w:rPr>
          <w:rFonts w:ascii="Calibri Light" w:eastAsia="MS Mincho" w:hAnsi="Calibri Light" w:cs="Calibri Light"/>
          <w:noProof/>
          <w:sz w:val="24"/>
          <w:szCs w:val="24"/>
          <w:lang w:val="en-ID" w:eastAsia="en-US"/>
        </w:rPr>
        <w:t>(Amuda &amp; Al-Nasser, 2024)</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w:t>
      </w:r>
    </w:p>
    <w:p w14:paraId="55E7C2B3" w14:textId="38F5EC14" w:rsidR="003F1684" w:rsidRDefault="003F1684" w:rsidP="0094630C">
      <w:pPr>
        <w:autoSpaceDE/>
        <w:autoSpaceDN/>
        <w:spacing w:after="200" w:line="276" w:lineRule="auto"/>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Overall, the data suggest that citation patterns align with publication recency, with older studies accumulating more citations due to their longer availability. However, the steady number of publications in recent years highlights continued research interest in the field.</w:t>
      </w:r>
    </w:p>
    <w:p w14:paraId="628C99C0" w14:textId="77777777" w:rsidR="003F1684" w:rsidRPr="003F1684" w:rsidRDefault="003F1684" w:rsidP="003F1684">
      <w:pPr>
        <w:autoSpaceDE/>
        <w:autoSpaceDN/>
        <w:spacing w:after="200" w:line="276" w:lineRule="auto"/>
        <w:ind w:left="426"/>
        <w:rPr>
          <w:rFonts w:ascii="Calibri Light" w:eastAsia="MS Mincho" w:hAnsi="Calibri Light" w:cs="Calibri Light"/>
          <w:b/>
          <w:bCs/>
          <w:sz w:val="24"/>
          <w:szCs w:val="24"/>
          <w:lang w:val="en-ID" w:eastAsia="en-US"/>
        </w:rPr>
      </w:pPr>
      <w:r w:rsidRPr="003F1684">
        <w:rPr>
          <w:rFonts w:ascii="Calibri Light" w:eastAsia="MS Mincho" w:hAnsi="Calibri Light" w:cs="Calibri Light"/>
          <w:b/>
          <w:bCs/>
          <w:sz w:val="24"/>
          <w:szCs w:val="24"/>
          <w:lang w:val="en-ID" w:eastAsia="en-US"/>
        </w:rPr>
        <w:t>3.2. Influential Authors and Journals Analysis</w:t>
      </w:r>
    </w:p>
    <w:p w14:paraId="46F336B0" w14:textId="77777777" w:rsidR="003F1684" w:rsidRPr="003F1684" w:rsidRDefault="003F1684" w:rsidP="003F1684">
      <w:pPr>
        <w:autoSpaceDE/>
        <w:autoSpaceDN/>
        <w:spacing w:after="200" w:line="276" w:lineRule="auto"/>
        <w:ind w:left="426"/>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t xml:space="preserve">The 2nd research </w:t>
      </w:r>
      <w:proofErr w:type="spellStart"/>
      <w:proofErr w:type="gramStart"/>
      <w:r w:rsidRPr="003F1684">
        <w:rPr>
          <w:rFonts w:ascii="Calibri Light" w:eastAsia="MS Mincho" w:hAnsi="Calibri Light" w:cs="Calibri Light"/>
          <w:sz w:val="24"/>
          <w:szCs w:val="24"/>
          <w:lang w:val="en-ID" w:eastAsia="en-US"/>
        </w:rPr>
        <w:t>question,Which</w:t>
      </w:r>
      <w:proofErr w:type="spellEnd"/>
      <w:proofErr w:type="gramEnd"/>
      <w:r w:rsidRPr="003F1684">
        <w:rPr>
          <w:rFonts w:ascii="Calibri Light" w:eastAsia="MS Mincho" w:hAnsi="Calibri Light" w:cs="Calibri Light"/>
          <w:sz w:val="24"/>
          <w:szCs w:val="24"/>
          <w:lang w:val="en-ID" w:eastAsia="en-US"/>
        </w:rPr>
        <w:t xml:space="preserve"> journals and authors are the most influential in research on Basel Accords and Islamic banking?</w:t>
      </w:r>
    </w:p>
    <w:p w14:paraId="355F2271" w14:textId="2754BE3B" w:rsidR="00217165" w:rsidRDefault="003F1684" w:rsidP="00217165">
      <w:pPr>
        <w:autoSpaceDE/>
        <w:autoSpaceDN/>
        <w:ind w:left="426"/>
        <w:jc w:val="both"/>
        <w:rPr>
          <w:rFonts w:ascii="Calibri Light" w:eastAsia="MS Mincho" w:hAnsi="Calibri Light" w:cs="Calibri Light"/>
          <w:sz w:val="24"/>
          <w:szCs w:val="24"/>
          <w:lang w:val="en-ID" w:eastAsia="en-US"/>
        </w:rPr>
      </w:pPr>
      <w:commentRangeStart w:id="16"/>
      <w:r w:rsidRPr="003F1684">
        <w:rPr>
          <w:rFonts w:ascii="Calibri Light" w:eastAsia="MS Mincho" w:hAnsi="Calibri Light" w:cs="Calibri Light"/>
          <w:sz w:val="24"/>
          <w:szCs w:val="24"/>
          <w:lang w:val="en-ID" w:eastAsia="en-US"/>
        </w:rPr>
        <w:t xml:space="preserve">The Figure 3. presents an analysis </w:t>
      </w:r>
      <w:commentRangeEnd w:id="16"/>
      <w:r w:rsidR="00564E9B">
        <w:rPr>
          <w:rStyle w:val="CommentReference"/>
        </w:rPr>
        <w:commentReference w:id="16"/>
      </w:r>
      <w:r w:rsidRPr="003F1684">
        <w:rPr>
          <w:rFonts w:ascii="Calibri Light" w:eastAsia="MS Mincho" w:hAnsi="Calibri Light" w:cs="Calibri Light"/>
          <w:sz w:val="24"/>
          <w:szCs w:val="24"/>
          <w:lang w:val="en-ID" w:eastAsia="en-US"/>
        </w:rPr>
        <w:t xml:space="preserve">of the most influential authors in the research field based on the number of publications or citations. The bar chart indicates that Hassan, M.K. is the most influential author, significantly surpassing others in terms of publication or citation count. Following him, researchers such as Ibrahim, M.H., Safiullah, M., and Kabir Hassan, M. have made notable contributions, albeit to a lesser </w:t>
      </w:r>
      <w:proofErr w:type="spellStart"/>
      <w:r w:rsidRPr="003F1684">
        <w:rPr>
          <w:rFonts w:ascii="Calibri Light" w:eastAsia="MS Mincho" w:hAnsi="Calibri Light" w:cs="Calibri Light"/>
          <w:sz w:val="24"/>
          <w:szCs w:val="24"/>
          <w:lang w:val="en-ID" w:eastAsia="en-US"/>
        </w:rPr>
        <w:t>extent.This</w:t>
      </w:r>
      <w:proofErr w:type="spellEnd"/>
      <w:r w:rsidRPr="003F1684">
        <w:rPr>
          <w:rFonts w:ascii="Calibri Light" w:eastAsia="MS Mincho" w:hAnsi="Calibri Light" w:cs="Calibri Light"/>
          <w:sz w:val="24"/>
          <w:szCs w:val="24"/>
          <w:lang w:val="en-ID" w:eastAsia="en-US"/>
        </w:rPr>
        <w:t xml:space="preserve"> distribution highlights that certain scholars have a substantial impact on the field, reflecting their role in shaping research developments</w:t>
      </w:r>
      <w:r w:rsidR="00217165">
        <w:rPr>
          <w:rFonts w:ascii="Calibri Light" w:eastAsia="MS Mincho" w:hAnsi="Calibri Light" w:cs="Calibri Light"/>
          <w:sz w:val="24"/>
          <w:szCs w:val="24"/>
          <w:lang w:val="en-ID" w:eastAsia="en-US"/>
        </w:rPr>
        <w:t xml:space="preserve"> </w:t>
      </w:r>
      <w:r w:rsidR="00217165">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{"citationItems":[{"id":"ITEM-1","itemData":{"DOI":"10.1108/JIABR-02-2022-0047","ISSN":"17590817 (ISSN)","abstract":"Purpose: Bank lending is the major source of monetary expansion. Bank-led money creation is a key issue in both conventional and Islamic financial systems. The purpose of this paper is to examine the issues related to Islamic banking money creation. In this conceptual paper, the authors investigate the involvement of profit and loss sharing (PLS) in money creation and especially how can PLS limit money creation “out of nothing.” In this regard, the authors examine the potential of the PLS principle in tackling the excessive money creation phenomenon. Design/methodology/approach: This study uses a normative approach regarding Islamic bank money creation that fits Sharia directives. In fact, this study discusses “what ought to be,” that is, the values and norms of PLS money creation that impede excessive money creation. Findings: Overall, Islamic banks create money differently compared to conventional ones. Especially, by avoiding a purely financial intermediary, money creation under the PLS principle sustains a strong relationship with the real economy and leads to a lower money multiplier. Therefore, PLS mechanisms allow financing through real assets and not credit assets “out of nothing.” This could prevent excessive money creation from causing harmful effects on indebtedness and financial instability. Practical implications: PLS offers a valuable resolution for banking system money creation through the optimization of Islamic bank financing by facilitating the separation of the monetary function from the credit one. This reform thought reinforces the stability value of money allowing it to fully perform its functions with reference to the directives of Sharia. This especially allows the integrity and purchasing power of money, the reduction of the gap between the evolution of both real and financial economies and, consequently, the indebtedness and crisis. It is recommended to promote PLS financing by reforming institutional and regulatory constraints. Originality/value: This study addresses the contemporary issue of money creation by Islamic banks through the PLS approach. The conceptual framework of this paper highlights the reformist role of PLS in limiting money creation through Mudarabah approach within fractional reserve banking. © 2023, Emerald Publishing Limited.","author":[{"dropping-particle":"","family":"Jedidia","given":"K","non-dropping-particle":"Ben","parse-names":false,"suffix":""},{"dropping-particle":"","family":"Hamza","given":"H","non-dropping-particle":"","parse-names":false,"suffix":""}],"container-title":"Journal of Islamic Accounting and Business Research","id":"ITEM-1","issue":"3","issued":{"date-parts":[["2024"]]},"language":"English","note":"Export Date: 24 April 2025; Cited By: 2; Correspondence Address: K. Ben Jedidia; Department of Economics and Quantitative Methods, ISCAE, Manouba University, Manouba, Tunisia; email: khoutembj@yahoo.fr","page":"422-442","publisher":"Emerald Publishing","publisher-place":"Department of Economics and Quantitative Methods, ISCAE, Manouba University, Manouba, Tunisia","title":"Does PLS in Islamic banking limit excessive money creation?","type":"article-journal","volume":"15"},"uris":["http://www.mendeley.com/documents/?uuid=2eba3c45-e942-4441-b7ae-6761d914786b"]}],"mendeley":{"formattedCitation":"(Ben Jedidia &amp; Hamza, 2024)","plainTextFormattedCitation":"(Ben Jedidia &amp; Hamza, 2024)","previouslyFormattedCitation":"(Ben Jedidia &amp; Hamza, 2024)"},"properties":{"noteIndex":0},"schema":"https://github.com/citation-style-language/schema/raw/master/csl-citation.json"}</w:instrText>
      </w:r>
      <w:r w:rsidR="00217165">
        <w:rPr>
          <w:rFonts w:ascii="Calibri Light" w:eastAsia="MS Mincho" w:hAnsi="Calibri Light" w:cs="Calibri Light"/>
          <w:sz w:val="24"/>
          <w:szCs w:val="24"/>
          <w:lang w:val="en-ID" w:eastAsia="en-US"/>
        </w:rPr>
        <w:fldChar w:fldCharType="separate"/>
      </w:r>
      <w:r w:rsidR="00217165" w:rsidRPr="00217165">
        <w:rPr>
          <w:rFonts w:ascii="Calibri Light" w:eastAsia="MS Mincho" w:hAnsi="Calibri Light" w:cs="Calibri Light"/>
          <w:noProof/>
          <w:sz w:val="24"/>
          <w:szCs w:val="24"/>
          <w:lang w:val="en-ID" w:eastAsia="en-US"/>
        </w:rPr>
        <w:t>(Ben Jedidia &amp; Hamza, 2024)</w:t>
      </w:r>
      <w:r w:rsidR="00217165">
        <w:rPr>
          <w:rFonts w:ascii="Calibri Light" w:eastAsia="MS Mincho" w:hAnsi="Calibri Light" w:cs="Calibri Light"/>
          <w:sz w:val="24"/>
          <w:szCs w:val="24"/>
          <w:lang w:val="en-ID" w:eastAsia="en-US"/>
        </w:rPr>
        <w:fldChar w:fldCharType="end"/>
      </w:r>
      <w:r w:rsidRPr="003F1684">
        <w:rPr>
          <w:rFonts w:ascii="Calibri Light" w:eastAsia="MS Mincho" w:hAnsi="Calibri Light" w:cs="Calibri Light"/>
          <w:sz w:val="24"/>
          <w:szCs w:val="24"/>
          <w:lang w:val="en-ID" w:eastAsia="en-US"/>
        </w:rPr>
        <w:t xml:space="preserve">. Such an analysis can be valuable for </w:t>
      </w:r>
    </w:p>
    <w:p w14:paraId="064B362F" w14:textId="21E769EA" w:rsidR="003F1684" w:rsidRDefault="003F1684" w:rsidP="00217165">
      <w:pPr>
        <w:autoSpaceDE/>
        <w:autoSpaceDN/>
        <w:ind w:left="426"/>
        <w:jc w:val="both"/>
        <w:rPr>
          <w:rFonts w:ascii="Calibri Light" w:eastAsia="MS Mincho" w:hAnsi="Calibri Light" w:cs="Calibri Light"/>
          <w:sz w:val="24"/>
          <w:szCs w:val="24"/>
          <w:lang w:val="en-ID" w:eastAsia="en-US"/>
        </w:rPr>
      </w:pPr>
      <w:r w:rsidRPr="003F1684">
        <w:rPr>
          <w:rFonts w:ascii="Calibri Light" w:eastAsia="MS Mincho" w:hAnsi="Calibri Light" w:cs="Calibri Light"/>
          <w:sz w:val="24"/>
          <w:szCs w:val="24"/>
          <w:lang w:val="en-ID" w:eastAsia="en-US"/>
        </w:rPr>
        <w:lastRenderedPageBreak/>
        <w:t>identifying key authors whose works serve as foundational references in the literature and for guiding future research directions.</w:t>
      </w:r>
    </w:p>
    <w:p w14:paraId="46005EE1" w14:textId="52FE216D" w:rsidR="00AD05B1" w:rsidRDefault="00217165" w:rsidP="00AD05B1">
      <w:pPr>
        <w:autoSpaceDE/>
        <w:autoSpaceDN/>
        <w:spacing w:after="200" w:line="276" w:lineRule="auto"/>
        <w:ind w:left="426"/>
        <w:jc w:val="center"/>
        <w:rPr>
          <w:rFonts w:ascii="Calibri Light" w:eastAsia="MS Mincho" w:hAnsi="Calibri Light" w:cs="Calibri Light"/>
          <w:sz w:val="24"/>
          <w:szCs w:val="24"/>
          <w:lang w:val="en-ID" w:eastAsia="en-US"/>
        </w:rPr>
      </w:pPr>
      <w:r w:rsidRPr="00AD05B1">
        <w:rPr>
          <w:rFonts w:eastAsia="Calibri" w:cs="Traditional Arabic"/>
          <w:noProof/>
          <w:sz w:val="24"/>
          <w:szCs w:val="24"/>
          <w:lang w:val="en-ID" w:eastAsia="en-US"/>
        </w:rPr>
        <w:drawing>
          <wp:anchor distT="0" distB="0" distL="114300" distR="114300" simplePos="0" relativeHeight="251693568" behindDoc="0" locked="0" layoutInCell="1" allowOverlap="1" wp14:anchorId="61FD4E7D" wp14:editId="5FE9943C">
            <wp:simplePos x="0" y="0"/>
            <wp:positionH relativeFrom="margin">
              <wp:posOffset>475615</wp:posOffset>
            </wp:positionH>
            <wp:positionV relativeFrom="paragraph">
              <wp:posOffset>255270</wp:posOffset>
            </wp:positionV>
            <wp:extent cx="4714240" cy="2182495"/>
            <wp:effectExtent l="0" t="0" r="0" b="8255"/>
            <wp:wrapTopAndBottom/>
            <wp:docPr id="190269078"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extLst>
                        <a:ext uri="{BEBA8EAE-BF5A-486C-A8C5-ECC9F3942E4B}">
                          <a14:imgProps xmlns:a14="http://schemas.microsoft.com/office/drawing/2010/main">
                            <a14:imgLayer r:embed="rId16">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714240" cy="218249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4C156B7" w14:textId="2EF8A8FC" w:rsidR="00AD05B1" w:rsidRDefault="00217165" w:rsidP="00217165">
      <w:pPr>
        <w:autoSpaceDE/>
        <w:autoSpaceDN/>
        <w:spacing w:after="200" w:line="276" w:lineRule="auto"/>
        <w:jc w:val="center"/>
        <w:rPr>
          <w:rFonts w:ascii="Calibri Light" w:eastAsia="MS Mincho" w:hAnsi="Calibri Light" w:cs="Calibri Light"/>
          <w:sz w:val="24"/>
          <w:szCs w:val="24"/>
          <w:lang w:val="en-ID" w:eastAsia="en-US"/>
        </w:rPr>
      </w:pPr>
      <w:r w:rsidRPr="00217165">
        <w:rPr>
          <w:rFonts w:ascii="Calibri Light" w:eastAsia="MS Mincho" w:hAnsi="Calibri Light" w:cs="Calibri Light"/>
          <w:b/>
          <w:bCs/>
          <w:sz w:val="24"/>
          <w:szCs w:val="24"/>
          <w:lang w:val="en-ID" w:eastAsia="en-US"/>
        </w:rPr>
        <w:t>Figure 3.</w:t>
      </w:r>
      <w:r w:rsidRPr="00217165">
        <w:rPr>
          <w:rFonts w:ascii="Calibri Light" w:eastAsia="MS Mincho" w:hAnsi="Calibri Light" w:cs="Calibri Light"/>
          <w:sz w:val="24"/>
          <w:szCs w:val="24"/>
          <w:lang w:val="en-ID" w:eastAsia="en-US"/>
        </w:rPr>
        <w:t xml:space="preserve"> Document by Authors </w:t>
      </w:r>
      <w:r w:rsidRPr="00AD05B1">
        <w:rPr>
          <w:rFonts w:eastAsia="Calibri" w:cs="Traditional Arabic"/>
          <w:noProof/>
          <w:sz w:val="24"/>
          <w:szCs w:val="24"/>
          <w:lang w:val="en-ID" w:eastAsia="en-US"/>
        </w:rPr>
        <w:drawing>
          <wp:anchor distT="0" distB="0" distL="114300" distR="114300" simplePos="0" relativeHeight="251695616" behindDoc="0" locked="0" layoutInCell="1" allowOverlap="1" wp14:anchorId="5802DCCB" wp14:editId="4C1279E5">
            <wp:simplePos x="0" y="0"/>
            <wp:positionH relativeFrom="margin">
              <wp:posOffset>363220</wp:posOffset>
            </wp:positionH>
            <wp:positionV relativeFrom="paragraph">
              <wp:posOffset>2620645</wp:posOffset>
            </wp:positionV>
            <wp:extent cx="5040630" cy="3044190"/>
            <wp:effectExtent l="57150" t="57150" r="45720" b="60960"/>
            <wp:wrapTopAndBottom/>
            <wp:docPr id="915734713"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7" cstate="print">
                      <a:extLst>
                        <a:ext uri="{BEBA8EAE-BF5A-486C-A8C5-ECC9F3942E4B}">
                          <a14:imgProps xmlns:a14="http://schemas.microsoft.com/office/drawing/2010/main">
                            <a14:imgLayer r:embed="rId18">
                              <a14:imgEffect>
                                <a14:saturation sat="400000"/>
                              </a14:imgEffect>
                            </a14:imgLayer>
                          </a14:imgProps>
                        </a:ext>
                        <a:ext uri="{28A0092B-C50C-407E-A947-70E740481C1C}">
                          <a14:useLocalDpi xmlns:a14="http://schemas.microsoft.com/office/drawing/2010/main" val="0"/>
                        </a:ext>
                      </a:extLst>
                    </a:blip>
                    <a:srcRect t="3976" r="596"/>
                    <a:stretch/>
                  </pic:blipFill>
                  <pic:spPr bwMode="auto">
                    <a:xfrm>
                      <a:off x="0" y="0"/>
                      <a:ext cx="5040630" cy="3044190"/>
                    </a:xfrm>
                    <a:prstGeom prst="rect">
                      <a:avLst/>
                    </a:prstGeom>
                    <a:ln>
                      <a:solidFill>
                        <a:sysClr val="windowText" lastClr="000000">
                          <a:lumMod val="95000"/>
                          <a:lumOff val="5000"/>
                        </a:sysClr>
                      </a:solidFill>
                    </a:ln>
                    <a:effectLst>
                      <a:innerShdw blurRad="63500" dist="50800" dir="13500000">
                        <a:prstClr val="black">
                          <a:alpha val="50000"/>
                        </a:prstClr>
                      </a:innerShdw>
                      <a:softEdge rad="112500"/>
                    </a:effectLst>
                    <a:scene3d>
                      <a:camera prst="orthographicFront">
                        <a:rot lat="0" lon="0" rev="0"/>
                      </a:camera>
                      <a:lightRig rig="brightRoom" dir="t">
                        <a:rot lat="0" lon="0" rev="600000"/>
                      </a:lightRig>
                    </a:scene3d>
                    <a:sp3d prstMaterial="metal">
                      <a:bevelT w="38100" h="57150" prst="angle"/>
                    </a:sp3d>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6C7469E" w14:textId="7E1EC398" w:rsidR="00217165" w:rsidRDefault="00217165" w:rsidP="00217165">
      <w:pPr>
        <w:autoSpaceDE/>
        <w:autoSpaceDN/>
        <w:spacing w:after="200" w:line="276" w:lineRule="auto"/>
        <w:ind w:left="426"/>
        <w:jc w:val="center"/>
        <w:rPr>
          <w:rFonts w:ascii="Calibri Light" w:eastAsia="MS Mincho" w:hAnsi="Calibri Light" w:cs="Calibri Light"/>
          <w:sz w:val="24"/>
          <w:szCs w:val="24"/>
          <w:lang w:val="en-ID" w:eastAsia="en-US"/>
        </w:rPr>
      </w:pPr>
      <w:commentRangeStart w:id="17"/>
      <w:r w:rsidRPr="00217165">
        <w:rPr>
          <w:rFonts w:ascii="Calibri Light" w:eastAsia="MS Mincho" w:hAnsi="Calibri Light" w:cs="Calibri Light"/>
          <w:b/>
          <w:bCs/>
          <w:sz w:val="24"/>
          <w:szCs w:val="24"/>
          <w:lang w:val="en-ID" w:eastAsia="en-US"/>
        </w:rPr>
        <w:t>Figure 4.</w:t>
      </w:r>
      <w:r w:rsidRPr="00217165">
        <w:rPr>
          <w:rFonts w:ascii="Calibri Light" w:eastAsia="MS Mincho" w:hAnsi="Calibri Light" w:cs="Calibri Light"/>
          <w:sz w:val="24"/>
          <w:szCs w:val="24"/>
          <w:lang w:val="en-ID" w:eastAsia="en-US"/>
        </w:rPr>
        <w:t xml:space="preserve"> Bibliographic coupling with Authors</w:t>
      </w:r>
      <w:commentRangeEnd w:id="17"/>
      <w:r w:rsidR="00564E9B">
        <w:rPr>
          <w:rStyle w:val="CommentReference"/>
        </w:rPr>
        <w:commentReference w:id="17"/>
      </w:r>
    </w:p>
    <w:p w14:paraId="1B120939" w14:textId="7B643EA5" w:rsidR="00674C01" w:rsidRPr="00674C01" w:rsidRDefault="00674C01" w:rsidP="00674C01">
      <w:pPr>
        <w:autoSpaceDE/>
        <w:autoSpaceDN/>
        <w:spacing w:after="200" w:line="276" w:lineRule="auto"/>
        <w:ind w:left="426"/>
        <w:jc w:val="both"/>
        <w:rPr>
          <w:rFonts w:ascii="Calibri Light" w:eastAsia="MS Mincho" w:hAnsi="Calibri Light" w:cs="Calibri Light"/>
          <w:sz w:val="24"/>
          <w:szCs w:val="24"/>
          <w:lang w:val="en-ID" w:eastAsia="en-US"/>
        </w:rPr>
      </w:pPr>
      <w:r w:rsidRPr="00674C01">
        <w:rPr>
          <w:rFonts w:ascii="Calibri Light" w:eastAsia="MS Mincho" w:hAnsi="Calibri Light" w:cs="Calibri Light"/>
          <w:sz w:val="24"/>
          <w:szCs w:val="24"/>
          <w:lang w:val="en-ID" w:eastAsia="en-US"/>
        </w:rPr>
        <w:t xml:space="preserve">Figure 4. The co-authorship network visualization provides insights into the collaborative structure of research on Basel Accords and Islamic banking. The analysis highlights Hassan, M. Kabir as a central figure, with extensive academic collaborations spanning multiple researchers. His strong presence in the network suggests a significant influence in shaping the discourse on risk management, Islamic finance, and regulatory frameworks. The distribution of nodes and connections further indicates the formation of distinct research </w:t>
      </w:r>
      <w:r w:rsidRPr="00674C01">
        <w:rPr>
          <w:rFonts w:ascii="Calibri Light" w:eastAsia="MS Mincho" w:hAnsi="Calibri Light" w:cs="Calibri Light"/>
          <w:sz w:val="24"/>
          <w:szCs w:val="24"/>
          <w:lang w:val="en-ID" w:eastAsia="en-US"/>
        </w:rPr>
        <w:lastRenderedPageBreak/>
        <w:t>clusters, where scholars work within specific thematic areas while maintaining links to the broader academic community</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{"citationItems":[{"id":"ITEM-1","itemData":{"DOI":"10.1504/IJEBR.2021.118378","ISSN":"17569850 (ISSN)","abstract":"This study aims to investigate the level of disclosure of Islamic banking in Bahrain by the web-based disclosure. The web-based disclosure method was implemented to determine the quantity of “the level of web-based disclosure of Islamic banks in Bahrain” by using an index that consists of 90 items. The findings of the 'descriptive analysis' indicated that the overall level of web-based disclosure was 73.3%. The regression results showed a “positive relationship between the independent variables (firm size, age, and profitability) and the level of web-based disclosure”. The results of this paper help the “Islamic banking in Bahrain” to increase the level of web-based disclosure to reach full online financial reporting disclosure (OFRD) to satisfy the stakeholders. The outcomes of this study will be useful elsewhere. © 2021 Inderscience Enterprises Ltd.","author":[{"dropping-particle":"","family":"Sarea","given":"A M","non-dropping-particle":"","parse-names":false,"suffix":""},{"dropping-particle":"","family":"Khalid","given":"A","non-dropping-particle":"","parse-names":false,"suffix":""},{"dropping-particle":"","family":"Shamsuddin","given":"A B","non-dropping-particle":"","parse-names":false,"suffix":""},{"dropping-particle":"","family":"Hawaldar","given":"I","non-dropping-particle":"","parse-names":false,"suffix":""},{"dropping-particle":"","family":"Hossen","given":"Z","non-dropping-particle":"","parse-names":false,"suffix":""}],"container-title":"International Journal of Economics and Business Research","id":"ITEM-1","issue":"4","issued":{"date-parts":[["2021"]]},"language":"English","note":"Export Date: 24 April 2025; Cited By: 2; Correspondence Address: A.M. Sarea; Department of Accounting and Economics, College of Business and Finance, Ahlia University, Manama, 319, Bahrain; email: adelsarea@yahoo.com","page":"311-327","publisher":"Inderscience Publishers","publisher-place":"Department of Accounting and Economics, College of Business and Finance, Ahlia University, Manama, 319, Bahrain","title":"Online financial reporting disclosure in Islamic banking: Evidence from Bahrain","type":"article-journal","volume":"22"},"uris":["http://www.mendeley.com/documents/?uuid=0ff1e48c-b082-49c3-9614-1a1990c14e3e"]}],"mendeley":{"formattedCitation":"(Sarea et al., 2021)","plainTextFormattedCitation":"(Sarea et al., 2021)","previouslyFormattedCitation":"(Sarea et al., 2021)"},"properties":{"noteIndex":0},"schema":"https://github.com/citation-style-language/schema/raw/master/csl-citation.json"}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(Sarea et al., 2021)</w:t>
      </w:r>
      <w:r w:rsidR="00C0389E">
        <w:rPr>
          <w:rFonts w:ascii="Calibri Light" w:eastAsia="MS Mincho" w:hAnsi="Calibri Light" w:cs="Calibri Light"/>
          <w:sz w:val="24"/>
          <w:szCs w:val="24"/>
          <w:lang w:val="en-ID" w:eastAsia="en-US"/>
        </w:rPr>
        <w:fldChar w:fldCharType="end"/>
      </w:r>
      <w:r w:rsidRPr="00674C01">
        <w:rPr>
          <w:rFonts w:ascii="Calibri Light" w:eastAsia="MS Mincho" w:hAnsi="Calibri Light" w:cs="Calibri Light"/>
          <w:sz w:val="24"/>
          <w:szCs w:val="24"/>
          <w:lang w:val="en-ID" w:eastAsia="en-US"/>
        </w:rPr>
        <w:t>.</w:t>
      </w:r>
    </w:p>
    <w:p w14:paraId="29CC3B4A" w14:textId="5F54090B" w:rsidR="00674C01" w:rsidRDefault="00674C01" w:rsidP="00674C01">
      <w:pPr>
        <w:autoSpaceDE/>
        <w:autoSpaceDN/>
        <w:spacing w:after="200" w:line="276" w:lineRule="auto"/>
        <w:ind w:left="426"/>
        <w:jc w:val="both"/>
        <w:rPr>
          <w:rFonts w:ascii="Calibri Light" w:eastAsia="MS Mincho" w:hAnsi="Calibri Light" w:cs="Calibri Light"/>
          <w:sz w:val="24"/>
          <w:szCs w:val="24"/>
          <w:lang w:val="en-ID" w:eastAsia="en-US"/>
        </w:rPr>
      </w:pPr>
      <w:r w:rsidRPr="00674C01">
        <w:rPr>
          <w:rFonts w:ascii="Calibri Light" w:eastAsia="MS Mincho" w:hAnsi="Calibri Light" w:cs="Calibri Light"/>
          <w:sz w:val="24"/>
          <w:szCs w:val="24"/>
          <w:lang w:val="en-ID" w:eastAsia="en-US"/>
        </w:rPr>
        <w:t xml:space="preserve">The </w:t>
      </w:r>
      <w:proofErr w:type="spellStart"/>
      <w:r w:rsidRPr="00674C01">
        <w:rPr>
          <w:rFonts w:ascii="Calibri Light" w:eastAsia="MS Mincho" w:hAnsi="Calibri Light" w:cs="Calibri Light"/>
          <w:sz w:val="24"/>
          <w:szCs w:val="24"/>
          <w:lang w:val="en-ID" w:eastAsia="en-US"/>
        </w:rPr>
        <w:t>color</w:t>
      </w:r>
      <w:proofErr w:type="spellEnd"/>
      <w:r w:rsidRPr="00674C01">
        <w:rPr>
          <w:rFonts w:ascii="Calibri Light" w:eastAsia="MS Mincho" w:hAnsi="Calibri Light" w:cs="Calibri Light"/>
          <w:sz w:val="24"/>
          <w:szCs w:val="24"/>
          <w:lang w:val="en-ID" w:eastAsia="en-US"/>
        </w:rPr>
        <w:t xml:space="preserve"> gradient from blue (2018) to yellow (2024) reveals the temporal evolution of research collaborations. Recent contributions appear around Ali, Muhammad and Ismail, Abdul Ghafar, </w:t>
      </w:r>
      <w:proofErr w:type="spellStart"/>
      <w:r w:rsidRPr="00674C01">
        <w:rPr>
          <w:rFonts w:ascii="Calibri Light" w:eastAsia="MS Mincho" w:hAnsi="Calibri Light" w:cs="Calibri Light"/>
          <w:sz w:val="24"/>
          <w:szCs w:val="24"/>
          <w:lang w:val="en-ID" w:eastAsia="en-US"/>
        </w:rPr>
        <w:t>signaling</w:t>
      </w:r>
      <w:proofErr w:type="spellEnd"/>
      <w:r w:rsidRPr="00674C01">
        <w:rPr>
          <w:rFonts w:ascii="Calibri Light" w:eastAsia="MS Mincho" w:hAnsi="Calibri Light" w:cs="Calibri Light"/>
          <w:sz w:val="24"/>
          <w:szCs w:val="24"/>
          <w:lang w:val="en-ID" w:eastAsia="en-US"/>
        </w:rPr>
        <w:t xml:space="preserve"> emerging research directions. In contrast, well-established collaborations, particularly those linked to Kabir Hassan, M., reflect sustained contributions over time. The presence of multiple independent clusters suggests diversity in research perspectives, with some groups focusing on regulatory frameworks and others on Islamic financial stability. This network structure underscores the dynamic and evolving nature of academic discourse in this field</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{"citationItems":[{"id":"ITEM-1","itemData":{"DOI":"10.1108/IJPPM-06-2020-0331","ISSN":"17410401 (ISSN)","abstract":"Purpose: The purpose of this paper is to examine whether and how Islamic banks' financing affects corporate investment efficiency. Design/methodology/approach: To achieve the research purpose, an empirical model was constructed to describe the relationship between Islamic banks' financing and corporate investment efficiency. The empirical model was tested through generalized method of moments (GMM) estimation technique using a panel data of 163 Malaysian listed firms for the period 2007–2017. Findings: This study provides evidence that Islamic banks' financing plays an important role in enhancing investment efficiency and that this positive effect comes mainly from non-PLS contracts. Moreover, the results show that the effect of Islamic banks' financing in preventing suboptimal investments is stronger in the financial crisis period. The results also reveal that the contribution of Islamic banks' financing in reducing suboptimal investments is more prominent when firms face over-investment problems. Research limitations/implications: This research contributes to the debate on the financial implications of Islamic banks' financing modes by exploring their effect on corporate investment efficiency. Practical implications: From a managerial perspective, the research findings are beneficial to Islamic bank managers to the extent that they highlight the role of Islamic financial contracts in improving corporate investment efficiency. In addition, the lower effect of PLS contracts on investment efficiency implies that policymakers in Malaysia should multiply their efforts to further expand the PLS financing. Originality/value: This paper offers some insights on the role of Islamic banks' financing in mitigating agency conflicts and reducing asymmetric information problems. It is the first attempt focusing on the role of Islamic financing in fostering corporate investment decisions. © 2020, Emerald Publishing Limited.","author":[{"dropping-particle":"","family":"Guizani","given":"M","non-dropping-particle":"","parse-names":false,"suffix":""},{"dropping-particle":"","family":"Ajmi","given":"A N","non-dropping-particle":"","parse-names":false,"suffix":""}],"container-title":"International Journal of Productivity and Performance Management","id":"ITEM-1","issue":"5","issued":{"date-parts":[["2022"]]},"language":"English","note":"Export Date: 24 April 2025; Cited By: 6; Correspondence Address: M. Guizani; Department of Accounting and Finance, High Institute of Computer Science and Management in Kairouan, University of Kairouan, Kairouan, Tunisia; email: guizani_m@yahoo.fr","page":"1854-1871","publisher":"Emerald Group Holdings Ltd.","publisher-place":"Department of Accounting and Finance, High Institute of Computer Science and Management in Kairouan, University of Kairouan, Kairouan, Tunisia","title":"Islamic banking and corporate investment efficiency: empirical evidence from Malaysia","type":"article-journal","volume":"71"},"uris":["http://www.mendeley.com/documents/?uuid=5bbba9b5-583b-403e-a9c1-cef14e165028"]}],"mendeley":{"formattedCitation":"(Guizani &amp; Ajmi, 2022)","plainTextFormattedCitation":"(Guizani &amp; Ajmi, 2022)","previouslyFormattedCitation":"(Guizani &amp; Ajmi, 2022)"},"properties":{"noteIndex":0},"schema":"https://github.com/citation-style-language/schema/raw/master/csl-citation.json"}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(Guizani &amp; Ajmi, 2022)</w:t>
      </w:r>
      <w:r w:rsidR="00C0389E">
        <w:rPr>
          <w:rFonts w:ascii="Calibri Light" w:eastAsia="MS Mincho" w:hAnsi="Calibri Light" w:cs="Calibri Light"/>
          <w:sz w:val="24"/>
          <w:szCs w:val="24"/>
          <w:lang w:val="en-ID" w:eastAsia="en-US"/>
        </w:rPr>
        <w:fldChar w:fldCharType="end"/>
      </w:r>
      <w:r w:rsidRPr="00674C01">
        <w:rPr>
          <w:rFonts w:ascii="Calibri Light" w:eastAsia="MS Mincho" w:hAnsi="Calibri Light" w:cs="Calibri Light"/>
          <w:sz w:val="24"/>
          <w:szCs w:val="24"/>
          <w:lang w:val="en-ID" w:eastAsia="en-US"/>
        </w:rPr>
        <w:t>.</w:t>
      </w:r>
    </w:p>
    <w:p w14:paraId="4548813A" w14:textId="77777777" w:rsidR="008C62AD" w:rsidRDefault="008C62AD" w:rsidP="008C62AD">
      <w:pPr>
        <w:autoSpaceDE/>
        <w:autoSpaceDN/>
        <w:spacing w:after="200" w:line="276" w:lineRule="auto"/>
        <w:ind w:left="426"/>
        <w:rPr>
          <w:rFonts w:ascii="Calibri Light" w:eastAsia="MS Mincho" w:hAnsi="Calibri Light" w:cs="Calibri Light"/>
          <w:b/>
          <w:bCs/>
          <w:sz w:val="24"/>
          <w:szCs w:val="24"/>
          <w:rtl/>
          <w:lang w:val="en-ID" w:eastAsia="en-US"/>
        </w:rPr>
      </w:pPr>
      <w:r w:rsidRPr="008C62AD">
        <w:rPr>
          <w:rFonts w:ascii="Calibri Light" w:eastAsia="MS Mincho" w:hAnsi="Calibri Light" w:cs="Calibri Light"/>
          <w:b/>
          <w:bCs/>
          <w:sz w:val="24"/>
          <w:szCs w:val="24"/>
          <w:lang w:val="en-ID" w:eastAsia="en-US"/>
        </w:rPr>
        <w:t>3.</w:t>
      </w:r>
      <w:proofErr w:type="gramStart"/>
      <w:r w:rsidRPr="008C62AD">
        <w:rPr>
          <w:rFonts w:ascii="Calibri Light" w:eastAsia="MS Mincho" w:hAnsi="Calibri Light" w:cs="Calibri Light"/>
          <w:b/>
          <w:bCs/>
          <w:sz w:val="24"/>
          <w:szCs w:val="24"/>
          <w:lang w:val="en-ID" w:eastAsia="en-US"/>
        </w:rPr>
        <w:t>3.Country</w:t>
      </w:r>
      <w:proofErr w:type="gramEnd"/>
      <w:r w:rsidRPr="008C62AD">
        <w:rPr>
          <w:rFonts w:ascii="Calibri Light" w:eastAsia="MS Mincho" w:hAnsi="Calibri Light" w:cs="Calibri Light"/>
          <w:b/>
          <w:bCs/>
          <w:sz w:val="24"/>
          <w:szCs w:val="24"/>
          <w:lang w:val="en-ID" w:eastAsia="en-US"/>
        </w:rPr>
        <w:t xml:space="preserve"> Wise Publication and Citation</w:t>
      </w:r>
    </w:p>
    <w:p w14:paraId="0916EC3E" w14:textId="5EA4E372" w:rsidR="008F1989" w:rsidRPr="008F1989" w:rsidRDefault="008F1989" w:rsidP="008F1989">
      <w:pPr>
        <w:autoSpaceDE/>
        <w:autoSpaceDN/>
        <w:spacing w:after="200" w:line="276" w:lineRule="auto"/>
        <w:ind w:left="426"/>
        <w:rPr>
          <w:rFonts w:ascii="Calibri Light" w:eastAsia="MS Mincho" w:hAnsi="Calibri Light" w:cs="Calibri Light"/>
          <w:sz w:val="24"/>
          <w:szCs w:val="24"/>
          <w:lang w:val="en-ID" w:eastAsia="en-US"/>
        </w:rPr>
      </w:pPr>
      <w:r w:rsidRPr="008F1989">
        <w:rPr>
          <w:rFonts w:ascii="Calibri Light" w:eastAsia="MS Mincho" w:hAnsi="Calibri Light" w:cs="Calibri Light"/>
          <w:sz w:val="24"/>
          <w:szCs w:val="24"/>
          <w:lang w:val="en-ID" w:eastAsia="en-US"/>
        </w:rPr>
        <w:t>The 3rd research question is: What countries have contributed most significantly to the research on Basel Accords and Islamic banking, and how has their scholarly output evolved over time?</w:t>
      </w:r>
    </w:p>
    <w:p w14:paraId="099278C6" w14:textId="18EBECE1" w:rsidR="008C62AD" w:rsidRP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 xml:space="preserve">Figure 5 presents a global map illustrating the geographical distribution of academic publications related to the topic "The Legal Evolution of Basel Accords and Their Impact on Islamic Banking Regulations" during the period from 2015 to 2024. The </w:t>
      </w:r>
      <w:proofErr w:type="spellStart"/>
      <w:r w:rsidRPr="008C62AD">
        <w:rPr>
          <w:rFonts w:ascii="Calibri Light" w:eastAsia="MS Mincho" w:hAnsi="Calibri Light" w:cs="Calibri Light"/>
          <w:sz w:val="24"/>
          <w:szCs w:val="24"/>
          <w:lang w:val="en-ID" w:eastAsia="en-US"/>
        </w:rPr>
        <w:t>color</w:t>
      </w:r>
      <w:proofErr w:type="spellEnd"/>
      <w:r w:rsidRPr="008C62AD">
        <w:rPr>
          <w:rFonts w:ascii="Calibri Light" w:eastAsia="MS Mincho" w:hAnsi="Calibri Light" w:cs="Calibri Light"/>
          <w:sz w:val="24"/>
          <w:szCs w:val="24"/>
          <w:lang w:val="en-ID" w:eastAsia="en-US"/>
        </w:rPr>
        <w:t xml:space="preserve"> gradient ranges from light blue to dark blue, with darker shades indicating higher research output</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{"citationItems":[{"id":"ITEM-1","itemData":{"ISSN":"15441458 (ISSN)","abstract":"The purpose of this research is to measure the impact of consumer attitude, social norms and perceived behavior on the intention to adopt Islamic banking by freelancers in Pakistan. The sample of the study is taken from the young freelance professionals that are currently working it the city of Mirpur Azad Kashmir. The number of respondents is limited to 150. Correlation, reliability, regression and ANOVA tests are performed to check the accuracy and association of the data variables. The results showed that the variables of religiosity and subjective norms has a positive impact on the behavioral intention to adopt Islamic banking. There for the research team can conclude that religiosity has an impact on the intention of the free lancers of the city of Mirpur to adopt to Islamic banking and subjective norms also has an impact on the intention of the free lancers of the city of Mirpur to adopt to Islamic banking. The study also notes that subjective norms also have an effect the intention to adopt there for allowing customers to know of the ethical and socially responsible practices can also help them to adopt. For any future researchers the study recommends that they can apply the same model in another area to see the results of add or remove variables to see the difference it can make. © 2021, Academy of Strategic Management Journal. All Rights Reserved.","author":[{"dropping-particle":"","family":"Hermawati","given":"A","non-dropping-particle":"","parse-names":false,"suffix":""},{"dropping-particle":"","family":"Ali","given":"S","non-dropping-particle":"","parse-names":false,"suffix":""},{"dropping-particle":"","family":"Fettry","given":"S","non-dropping-particle":"","parse-names":false,"suffix":""},{"dropping-particle":"","family":"Hendarto","given":"T","non-dropping-particle":"","parse-names":false,"suffix":""},{"dropping-particle":"","family":"Husin","given":"H","non-dropping-particle":"","parse-names":false,"suffix":""}],"container-title":"Academy of Strategic Management Journal","id":"ITEM-1","issue":"2","issued":{"date-parts":[["2021"]]},"language":"English","note":"Export Date: 24 April 2025; Cited By: 0","page":"1-16","publisher":"Allied Business Academies","publisher-place":"Universitas Widyagama Malang, Indonesia","title":"Freelancers Intentions Towards Adoption Of Islamic Banking","type":"article-journal","volume":"20"},"uris":["http://www.mendeley.com/documents/?uuid=c800acff-5255-4a33-9978-b98e97ff7f06"]}],"mendeley":{"formattedCitation":"(Hermawati et al., 2021)","plainTextFormattedCitation":"(Hermawati et al., 2021)","previouslyFormattedCitation":"(Hermawati et al., 2021)"},"properties":{"noteIndex":0},"schema":"https://github.com/citation-style-language/schema/raw/master/csl-citation.json"}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(Hermawati et al., 2021)</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p>
    <w:p w14:paraId="53300138" w14:textId="4FF520B2" w:rsidR="008C62AD" w:rsidRP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commentRangeStart w:id="18"/>
      <w:r w:rsidRPr="008C62AD">
        <w:rPr>
          <w:rFonts w:ascii="Calibri Light" w:eastAsia="MS Mincho" w:hAnsi="Calibri Light" w:cs="Calibri Light"/>
          <w:sz w:val="24"/>
          <w:szCs w:val="24"/>
          <w:lang w:val="en-ID" w:eastAsia="en-US"/>
        </w:rPr>
        <w:t>Malaysia and Indonesia emerge as the most prolific contributors, marked by darker hues, reflecting their strong institutional and scholarly engagement in aligning Islamic banking regulations with the Basel regulatory framework. Saudi Arabia, the United Arab Emirates, and Bahrain also demonstrate significant involvement, suggesting growing academic interest in legal harmonization between international financial standards and Shariah-compliant banking</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{"citationItems":[{"id":"ITEM-1","itemData":{"DOI":"10.1504/IJMEF.2024.139028","ISSN":"17520479 (ISSN)","abstract":"The emergence of the Islamic banking system is to accommodate the demand of Muslims for financing that complies with their religious values. Islamic banking is important in the global economy because 34.8% of world population are Muslims. However, the market share of Islamic banks in Indonesia is still low. Therefore, the purpose of this study is to assess the factors influencing Indonesian customers’ acceptance of Islamic banking using the technology acceptance model. This study found that perceived usefulness and religiosity directly influences user acceptance. In addition, user acceptance is also indirectly influenced by perceived ease of use and trust. Copyright © 2024 Inderscience Enterprises Ltd.","author":[{"dropping-particle":"","family":"Faturohman","given":"T","non-dropping-particle":"","parse-names":false,"suffix":""},{"dropping-particle":"","family":"Purwono","given":"M Z","non-dropping-particle":"","parse-names":false,"suffix":""},{"dropping-particle":"","family":"Ooi","given":"S K","non-dropping-particle":"","parse-names":false,"suffix":""}],"container-title":"International Journal of Monetary Economics and Finance","id":"ITEM-1","issue":"2-3","issued":{"date-parts":[["2024"]]},"language":"English","note":"Export Date: 24 April 2025; Cited By: 0; Correspondence Address: T. Faturohman; School of Business and Management, Institut Teknologi Bandung, Bandung, 40132, Indonesia; email: taufik.f@sbm-itb.ac.id","page":"229-237","publisher":"Inderscience Publishers","publisher-place":"School of Business and Management, Institut Teknologi Bandung, Bandung, 40132, Indonesia","title":"User acceptance of Islamic banking in Indonesia: the implementation of technology acceptance models","type":"article-journal","volume":"17"},"uris":["http://www.mendeley.com/documents/?uuid=8838fad6-5a28-4127-9687-351ec2ff3211"]}],"mendeley":{"formattedCitation":"(Faturohman et al., 2024)","plainTextFormattedCitation":"(Faturohman et al., 2024)","previouslyFormattedCitation":"(Faturohman et al., 2024)"},"properties":{"noteIndex":0},"schema":"https://github.com/citation-style-language/schema/raw/master/csl-citation.json"}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(Faturohman et al., 2024)</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r w:rsidR="00C0389E">
        <w:rPr>
          <w:rFonts w:ascii="Calibri Light" w:eastAsia="MS Mincho" w:hAnsi="Calibri Light" w:cs="Calibri Light"/>
          <w:sz w:val="24"/>
          <w:szCs w:val="24"/>
          <w:lang w:val="en-ID" w:eastAsia="en-US"/>
        </w:rPr>
        <w:t xml:space="preserve"> </w:t>
      </w:r>
      <w:commentRangeEnd w:id="18"/>
      <w:r w:rsidR="00817086">
        <w:rPr>
          <w:rStyle w:val="CommentReference"/>
        </w:rPr>
        <w:commentReference w:id="18"/>
      </w:r>
    </w:p>
    <w:p w14:paraId="73ABB182" w14:textId="22F26855" w:rsidR="008C62AD" w:rsidRP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In contrast, countries such as the United States, the United Kingdom, and Australia show moderate research activity. Although Islamic banking is not the dominant financial system in these regions, the academic focus indicates a cross-cultural and comparative interest in the legal dimensions of Islamic finance within global regulatory paradigms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{"citationItems":[{"id":"ITEM-1","itemData":{"DOI":"10.21098/jimf.v7i3.1376","ISSN":"24606146 (ISSN)","abstract":"This paper examines the market discipline of Islamic banks, as manifested by the responses of depositors with regard to their deposits and profit-sharing ratio to the fundamentals of the banks in the case of Indonesia. We analyse the supply and demand function of deposits using panel data from 10 Islamic banks from 2010 Q1 to 2019 Q4. We empirically find that market discipline in Indonesian Islamic banks is relatively weak, and conjecture that this is for two reasons. First, religious depositors have driven the unusual behaviour of Islamic banks, as we find that they stay with the same bank, even if it has poor fundamental conditions. Second, the profit and loss sharing mechanism means that Islamic bank depositors do not have great flexibility in demanding a higher rate relevant to the risk they must bear. This is because depositors’ actual return is set to be consistent with the actual profit obtained from the banks’ lending activities. Our results lead to the call for policymakers to effectively monitor the fundamental conditions of Islamic banks and to collaborate with agencies and organisations that promote Islamic bank development in Indonesia. © 2019 Bank Indonesia Institute. All rights reserved.","author":[{"dropping-particle":"","family":"Suliyono","given":"J","non-dropping-particle":"","parse-names":false,"suffix":""},{"dropping-particle":"","family":"Risfandy","given":"T","non-dropping-particle":"","parse-names":false,"suffix":""}],"container-title":"Journal of Islamic Monetary Economics and Finance","id":"ITEM-1","issue":"3","issued":{"date-parts":[["2021"]]},"language":"English","note":"Export Date: 24 April 2025; Cited By: 5","page":"457-472","publisher":"Bank Indonesia Institute","publisher-place":"Faculty of Economics and Business, Universitas Sebelas Maret, Indonesia","title":"ISLAMIC BANKING MARKET DISCIPLINE IN INDONESIA","type":"article-journal","volume":"7"},"uris":["http://www.mendeley.com/documents/?uuid=432a601e-b154-446e-8e91-fbf4096c359e"]}],"mendeley":{"formattedCitation":"(Suliyono &amp; Risfandy, 2021)","plainTextFormattedCitation":"(Suliyono &amp; Risfandy, 2021)","previouslyFormattedCitation":"(Suliyono &amp; Risfandy, 2021)"},"properties":{"noteIndex":0},"schema":"https://github.com/citation-style-language/schema/raw/master/csl-citation.json"}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(Suliyono &amp; Risfandy, 2021)</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p>
    <w:p w14:paraId="2F417EB3" w14:textId="4FC4465D" w:rsidR="008C62AD" w:rsidRDefault="008C62AD"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8C62AD">
        <w:rPr>
          <w:rFonts w:ascii="Calibri Light" w:eastAsia="MS Mincho" w:hAnsi="Calibri Light" w:cs="Calibri Light"/>
          <w:sz w:val="24"/>
          <w:szCs w:val="24"/>
          <w:lang w:val="en-ID" w:eastAsia="en-US"/>
        </w:rPr>
        <w:t xml:space="preserve">This distribution highlights the increasing global recognition of the importance of regulatory convergence between Islamic banking systems and Basel Accords, especially in countries with dual banking systems or in the process of financial regulatory reform. Future research contributions are expected to expand, particularly in emerging economies </w:t>
      </w:r>
      <w:r w:rsidRPr="008C62AD">
        <w:rPr>
          <w:rFonts w:ascii="Calibri Light" w:eastAsia="MS Mincho" w:hAnsi="Calibri Light" w:cs="Calibri Light"/>
          <w:sz w:val="24"/>
          <w:szCs w:val="24"/>
          <w:lang w:val="en-ID" w:eastAsia="en-US"/>
        </w:rPr>
        <w:lastRenderedPageBreak/>
        <w:t>seeking to balance international compliance with faith-based financial practices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{"citationItems":[{"id":"ITEM-1","itemData":{"DOI":"10.5267/j.uscm.2023.9.022","ISSN":"22916822 (ISSN)","abstract":"This research delves into the intricate nexus between integrated reporting, corporate governance, and financial sustainability in Islamic banking. The study scrutinized a collection of research spanning diverse geographies and periods, emphasizing factors like board dynamics, audit committee proficiency, sustainability disclosures, and the implementation of value-centric strategies. The distillation of insights from an initial pool of 173 studies, which was meticulously narrowed down to 30 through rigorous criteria, indicates a prevalent positive association between these determinants and the financial robustness of Islamic banks. Such findings accentuate the pivotal role of syncing banking operations with the intrinsically sustainable tenets of Islamic finance. This harmony can notably spur sustainable development, potentially drawing more investors and boosting the stature of the Islamic banking domain. Furthermore, this study sheds light on potential avenues for upcoming research, including the analysis of managerial competencies' influence on varying Corporate Social Responsibility (CSR) classifications and the examination of the ramifications of sustainability benchmarks, cultural variances, legal structures, and Islamic statutes in diverse nations. This investigation provides critical insights for professionals and decision-makers in Islamic banking, facilitating a deeper understanding of practices that strengthen financial sustainability. © 2024 by the authors; licensee Growing Science, Canada.","author":[{"dropping-particle":"","family":"Yusuf","given":"M","non-dropping-particle":"","parse-names":false,"suffix":""},{"dropping-particle":"","family":"Dasawaty","given":"E S","non-dropping-particle":"","parse-names":false,"suffix":""},{"dropping-particle":"","family":"Esra","given":"M A","non-dropping-particle":"","parse-names":false,"suffix":""},{"dropping-particle":"","family":"Apriwenni","given":"P","non-dropping-particle":"","parse-names":false,"suffix":""},{"dropping-particle":"","family":"Meiden","given":"C","non-dropping-particle":"","parse-names":false,"suffix":""},{"dropping-particle":"","family":"Fahlevi","given":"M","non-dropping-particle":"","parse-names":false,"suffix":""}],"container-title":"Uncertain Supply Chain Management","id":"ITEM-1","issue":"1","issued":{"date-parts":[["2024"]]},"language":"English","note":"Export Date: 24 April 2025; Cited By: 13; Correspondence Address: M. Yusuf; Institut Teknologi dan Bisnis Bank Rakyat Indonesia, Jakarta, Indonesia; email: myusuf@privietlab.org","page":"273-290","publisher":"Growing Science","publisher-place":"Institut Teknologi dan Bisnis Bank Rakyat Indonesia, Jakarta, Indonesia","title":"Integrated reporting, corporate governance, and financial sustainability in Islamic banking","type":"article-journal","volume":"12"},"uris":["http://www.mendeley.com/documents/?uuid=271f3b1b-9640-43ed-84a5-139a1d5d60e2"]}],"mendeley":{"formattedCitation":"(Yusuf et al., 2024)","plainTextFormattedCitation":"(Yusuf et al., 2024)","previouslyFormattedCitation":"(Yusuf et al., 2024)"},"properties":{"noteIndex":0},"schema":"https://github.com/citation-style-language/schema/raw/master/csl-citation.json"}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(Yusuf et al., 2024)</w:t>
      </w:r>
      <w:r w:rsidR="00C0389E">
        <w:rPr>
          <w:rFonts w:ascii="Calibri Light" w:eastAsia="MS Mincho" w:hAnsi="Calibri Light" w:cs="Calibri Light"/>
          <w:sz w:val="24"/>
          <w:szCs w:val="24"/>
          <w:lang w:val="en-ID" w:eastAsia="en-US"/>
        </w:rPr>
        <w:fldChar w:fldCharType="end"/>
      </w:r>
      <w:r w:rsidRPr="008C62AD">
        <w:rPr>
          <w:rFonts w:ascii="Calibri Light" w:eastAsia="MS Mincho" w:hAnsi="Calibri Light" w:cs="Calibri Light"/>
          <w:sz w:val="24"/>
          <w:szCs w:val="24"/>
          <w:lang w:val="en-ID" w:eastAsia="en-US"/>
        </w:rPr>
        <w:t>.</w:t>
      </w:r>
    </w:p>
    <w:p w14:paraId="79BBE9BC" w14:textId="4725590A" w:rsidR="00D46384" w:rsidRDefault="00D46384" w:rsidP="008C62AD">
      <w:pPr>
        <w:autoSpaceDE/>
        <w:autoSpaceDN/>
        <w:spacing w:after="200" w:line="276" w:lineRule="auto"/>
        <w:ind w:left="426"/>
        <w:jc w:val="both"/>
        <w:rPr>
          <w:rFonts w:ascii="Calibri Light" w:eastAsia="MS Mincho" w:hAnsi="Calibri Light" w:cs="Calibri Light"/>
          <w:sz w:val="24"/>
          <w:szCs w:val="24"/>
          <w:lang w:val="en-ID" w:eastAsia="en-US"/>
        </w:rPr>
      </w:pPr>
      <w:r w:rsidRPr="00D46384">
        <w:rPr>
          <w:rFonts w:eastAsia="Calibri" w:cs="Traditional Arabic"/>
          <w:noProof/>
          <w:sz w:val="24"/>
          <w:szCs w:val="24"/>
          <w:lang w:val="en-ID" w:eastAsia="en-US"/>
        </w:rPr>
        <w:drawing>
          <wp:inline distT="0" distB="0" distL="0" distR="0" wp14:anchorId="7ED5B284" wp14:editId="791D0310">
            <wp:extent cx="5022167" cy="2551926"/>
            <wp:effectExtent l="0" t="0" r="7620" b="1270"/>
            <wp:docPr id="939256153"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117393" cy="2600313"/>
                    </a:xfrm>
                    <a:prstGeom prst="rect">
                      <a:avLst/>
                    </a:prstGeom>
                    <a:noFill/>
                    <a:ln>
                      <a:noFill/>
                    </a:ln>
                  </pic:spPr>
                </pic:pic>
              </a:graphicData>
            </a:graphic>
          </wp:inline>
        </w:drawing>
      </w:r>
    </w:p>
    <w:p w14:paraId="75A8B826" w14:textId="77349EB7" w:rsidR="00D46384" w:rsidRDefault="00D46384" w:rsidP="00D46384">
      <w:pPr>
        <w:autoSpaceDE/>
        <w:autoSpaceDN/>
        <w:spacing w:after="200" w:line="276" w:lineRule="auto"/>
        <w:ind w:left="426"/>
        <w:jc w:val="center"/>
        <w:rPr>
          <w:rFonts w:ascii="Calibri Light" w:eastAsia="MS Mincho" w:hAnsi="Calibri Light" w:cs="Calibri Light"/>
          <w:sz w:val="24"/>
          <w:szCs w:val="24"/>
          <w:lang w:val="en-ID" w:eastAsia="en-US"/>
        </w:rPr>
      </w:pPr>
      <w:r w:rsidRPr="00D46384">
        <w:rPr>
          <w:rFonts w:ascii="Calibri Light" w:eastAsia="MS Mincho" w:hAnsi="Calibri Light" w:cs="Calibri Light"/>
          <w:b/>
          <w:bCs/>
          <w:sz w:val="24"/>
          <w:szCs w:val="24"/>
          <w:lang w:val="en-ID" w:eastAsia="en-US"/>
        </w:rPr>
        <w:t>Figure 5:</w:t>
      </w:r>
      <w:r w:rsidRPr="00D46384">
        <w:rPr>
          <w:rFonts w:ascii="Calibri Light" w:eastAsia="MS Mincho" w:hAnsi="Calibri Light" w:cs="Calibri Light"/>
          <w:sz w:val="24"/>
          <w:szCs w:val="24"/>
          <w:lang w:val="en-ID" w:eastAsia="en-US"/>
        </w:rPr>
        <w:t xml:space="preserve"> Global Distribution of Research on Basel Accords and Islamic Banking Regulations (2015–2024)</w:t>
      </w:r>
    </w:p>
    <w:p w14:paraId="4CC71139" w14:textId="128FF43E" w:rsidR="00B06D1D" w:rsidRP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t>Figure 6 presents a bibliometric overview of selected countries that have contributed significantly to the scholarly discourse during the period 2015–2024. The table captures three core indicators: number of documents, total citations, and total link strength (which reflects the extent of international collaboration)</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{"citationItems":[{"id":"ITEM-1","itemData":{"DOI":"10.1080/23322039.2024.2378961","ISSN":"23322039 (ISSN)","abstract":"Sharia product development in Indonesia faces unique challenges in terms of strategy and innovation compared with conventional products. Islamic banking managers must adhere to Sharia principles to maintain customer trust and comply with Islamic law. Compliance with Sharia principles is not only a religious obligation but also the foundation of the business model. This study used qualitative methods, specifically semi-structured interviews, to validate the Sharia product development practices in Indonesia. Seven experts from diverse backgrounds were interviewed, and their responses were thematically analysed using NVivo version 12. The findings confirm that the Sharia supervisory board and Islamic banking management play crucial roles in developing Sharia products. They collaborate to ensure that Sharia products adhere to the principles, meet customer needs, and comply with relevant regulations and standards. This collaboration enables efficient development of Sharia products that align with values and meet market demands. Moreover, their involvement goes beyond their compliance. They also contribute to the ethical and responsible growth of Islamic banking by fostering customer trust and confidence. Their commitment to upholding the core principles of Islamic banking establishes a solid foundation for the sustainable development of Sharia-compliant products in the global market. © 2024 The Author(s). Published by Informa UK Limited, trading as Taylor &amp; Francis Group.","author":[{"dropping-particle":"","family":"Faizi","given":"F","non-dropping-particle":"","parse-names":false,"suffix":""}],"container-title":"Cogent Economics and Finance","id":"ITEM-1","issue":"1","issued":{"date-parts":[["2024"]]},"language":"English","note":"Export Date: 24 April 2025; Cited By: 1; Correspondence Address: F. Faizi; Department of Islamic Economics, Faculty of Economics and Business, Universitas Pembangunan Nasional Veteran Jakarta, Depok, Indonesia; email: faizi.feb@upnvj.ac.id","publisher":"Cogent OA","publisher-place":"Department of Islamic Economics, Faculty of Economics and Business, Universitas Pembangunan Nasional Veteran Jakarta, Depok, Indonesia","title":"How are Islamic banking products developed? Evidence from emerging country","type":"article-journal","volume":"12"},"uris":["http://www.mendeley.com/documents/?uuid=16baa1b9-e6a1-4667-bda6-5a93583dc9e4"]}],"mendeley":{"formattedCitation":"(Faizi, 2024)","plainTextFormattedCitation":"(Faizi, 2024)","previouslyFormattedCitation":"(Faizi, 2024)"},"properties":{"noteIndex":0},"schema":"https://github.com/citation-style-language/schema/raw/master/csl-citation.json"}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(Faizi, 2024)</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0BECA70E" w14:textId="37CC3288" w:rsidR="00B06D1D" w:rsidRP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t>Malaysia leads with 347 publications and a striking 5,411 citations, as well as the highest total link strength (1,206), underlining its central role as a global hub in the research domain. This evidences Malaysia’s leadership in both output and influence within Islamic banking and Basel-related regulatory studies, likely supported by its strong institutional commitment to Islamic finance. Pakistan follows with 114 documents and 1,936 citations, showing robust academic engagement. The United States, despite having only 70 documents, shows high efficiency with 1,776 citations and notable international collaboration (704 link strength), highlighting its scholarly influence despite fewer contributions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{"citationItems":[{"id":"ITEM-1","itemData":{"DOI":"10.1108/IMEFM-05-2021-0189","ISSN":"17538394 (ISSN)","abstract":"Purpose: The purpose of this study is to develop and thereafter validate a Sharīʿah-based FinTech Money Creation Free [SFMCF] model for Islamic banking. Design/methodology/approach: The study has adopted a qualitative research methodology, using three approaches, namely, a survey of the literature to identify the research gap and the variables needed for developing the model, content analysis to construct the variables into a model and semi-structured interview with 10 experts in banking, Sharīʿah and Financial Technology (FinTech) to validate the SFMCF model. Findings: The major findings of the study lie in developing the SFMCF model for Islamic banking, empirical validation of the model’s viability and acceptability and the implications for the main stakeholders of Islamic banks. Research limitations/implications: The SFMCF model is specific to Islamic banking and its validation is based on the views of 10 experts. Practical implications: The SFMCF would necessitate changes to the central bank regulatory framework, convince Islamic banks to forego their powers and advantages of creating money and enhance their abilities to fully adopt Sharīʿah-compliant FinTech. Social implications: The proposed model if implemented would change positively the perception of the society particularly the stakeholders of Islamic banks and restore their trust and confidence about the direction of the institution toward achieving the Sharīʿah objectives. Originality/value: The novelty of this work lies in developing and validating the viability and acceptability of the SFMCF model for Islamic banking. © 2021, Emerald Publishing Limited.","author":[{"dropping-particle":"","family":"Altwijry","given":"O I","non-dropping-particle":"","parse-names":false,"suffix":""},{"dropping-particle":"","family":"Mohammed","given":"M O","non-dropping-particle":"","parse-names":false,"suffix":""},{"dropping-particle":"","family":"Hassan","given":"M K","non-dropping-particle":"","parse-names":false,"suffix":""},{"dropping-particle":"","family":"Selim","given":"M","non-dropping-particle":"","parse-names":false,"suffix":""}],"container-title":"International Journal of Islamic and Middle Eastern Finance and Management","id":"ITEM-1","issue":"4","issued":{"date-parts":[["2022"]]},"language":"English","note":"Export Date: 24 April 2025; Cited By: 5; Correspondence Address: M.O. Mohammed; Department of Economics, International Islamic University Malaysia, Kuala Lumpur, Malaysia; email: mustafa@iium.edu.my","page":"739-758","publisher":"Emerald Group Holdings Ltd.","publisher-place":"College of Business and Economics, Qassim University College of Business, Buraidah, Saudi Arabia","title":"Developing a Shari’ah based FinTech Money Creation Free [SFMCF] model for Islamic banking","type":"article-journal","volume":"15"},"uris":["http://www.mendeley.com/documents/?uuid=5eeb0e53-6071-4779-b355-9440cd1b17fe"]}],"mendeley":{"formattedCitation":"(Altwijry et al., 2022)","plainTextFormattedCitation":"(Altwijry et al., 2022)","previouslyFormattedCitation":"(Altwijry et al., 2022)"},"properties":{"noteIndex":0},"schema":"https://github.com/citation-style-language/schema/raw/master/csl-citation.json"}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(Altwijry et al., 2022)</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10D1746B" w14:textId="3133B41A" w:rsidR="00B06D1D" w:rsidRP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t>Other notable contributors include Indonesia (201 documents, 1,876 citations), the United Kingdom (100 documents, 1,966 citations), and Saudi Arabia (85 documents, 1,330 citations), each demonstrating meaningful contributions in terms of quantity and impact. Meanwhile, France, Australia, Tunisia, and Bangladesh show varying levels of engagement. Although their total outputs and link strengths are comparatively lower, countries like Australia (1,520 citations from 53 documents) demonstrate relatively high citation-to-document ratios, indicating influential publications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C0389E">
        <w:rPr>
          <w:rFonts w:ascii="Calibri Light" w:eastAsia="MS Mincho" w:hAnsi="Calibri Light" w:cs="Calibri Light"/>
          <w:sz w:val="24"/>
          <w:szCs w:val="24"/>
          <w:lang w:val="en-ID" w:eastAsia="en-US"/>
        </w:rPr>
        <w:instrText>ADDIN CSL_CITATION {"citationItems":[{"id":"ITEM-1","itemData":{"DOI":"10.1108/JIMA-12-2023-0397","ISSN":"17590833 (ISSN)","abstract":"Purpose: The fact that Islamic banking in Indonesia held only a 7% market share in 2023 is ironic, considering that Indonesia has the largest Muslim population in the world. Beyond differences in ethnicity, race and religious understanding, Indonesia’s sociopolitical diversity also presents an intriguing study area about consumer decisions to use financial services. This study aims to investigate the influence of sociopolitical identity on attitudes and intentions to participate in Islamic banking in Indonesia using the theory of reasoned action as a basis. Design/methodology/approach: This study used SEM-PLS to investigate the intention to participate in Islamic banking among Muslim communities in Indonesia. Its focus on prediction and theory building aligns perfectly with the objectives of this study, making it the most appropriate methodological choice. The sample used in this study comprised 343 respondents. The structural model was used to test the relationship between intention to participate in Islamic banking and religiosity, subjective norms, attitudes and sociopolitical identity, with reputation as mediation. Findings: This study found that three variables significantly affect the intention to participate in Islamic banks: attitude (AT), reputation (RP) and subjective norms (SN). Sociopolitical identity (SP) and religiosity (RE) do not have a direct effect. However, sociopolitical identity (SP), attitudes (AT) and religiosity (RE) have been proven to have an indirect impact through reputation (RP) as mediation, and only subjective norms (SN) have not. Practical implications: This study implies that Islamic banking needs to consider non-marketing aspects because, based on its findings, non-marketing factors such as sociopolitical identity and religiosity have been proven to influence the intention to participate in Islamic banking in Indonesia. Originality/value: This study’s respondents were two Muslim communities in Indonesia with the largest mass and assets, namely, Nahdhatul Ulama and Muhammadiyah. The inclusion of non-marketing aspects, such as sociopolitical identity, in the research model added value, which is still rarely researched. © 2024, Emerald Publishing Limited.","author":[{"dropping-particle":"","family":"Fathoni","given":"M A","non-dropping-particle":"","parse-names":false,"suffix":""},{"dropping-particle":"","family":"Rodoni","given":"A","non-dropping-particle":"","parse-names":false,"suffix":""},{"dropping-particle":"","family":"Arif","given":"M N R","non-dropping-particle":"Al","parse-names":false,"suffix":""},{"dropping-particle":"","family":"Hidayah","given":"N","non-dropping-particle":"","parse-names":false,"suffix":""}],"container-title":"Journal of Islamic Marketing","id":"ITEM-1","issued":{"date-parts":[["2024"]]},"language":"English","note":"Export Date: 24 April 2025; Cited By: 2; Correspondence Address: M.A. Fathoni; Department of Islamic Economics, Universitas Pembangunan Nasional Veteran Jakarta, Jakarta, Indonesia; email: mfathoni@upnvj.ac.id","publisher":"Emerald Publishing","publisher-place":"Department of Islamic Economics, Universitas Pembangunan Nasional Veteran Jakarta, Jakarta, Indonesia","title":"Intention to participate in Islamic banking in Indonesia: Does socio-political identity matter?","type":"article-journal"},"uris":["http://www.mendeley.com/documents/?uuid=205db91e-486d-4044-bc07-058be02c4c82"]}],"mendeley":{"formattedCitation":"(Fathoni et al., 2024)","plainTextFormattedCitation":"(Fathoni et al., 2024)","previouslyFormattedCitation":"(Fathoni et al., 2024)"},"properties":{"noteIndex":0},"schema":"https://github.com/citation-style-language/schema/raw/master/csl-citation.json"}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(Fathoni et al., 2024)</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338E9F0B" w14:textId="5152262D" w:rsid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ascii="Calibri Light" w:eastAsia="MS Mincho" w:hAnsi="Calibri Light" w:cs="Calibri Light"/>
          <w:sz w:val="24"/>
          <w:szCs w:val="24"/>
          <w:lang w:val="en-ID" w:eastAsia="en-US"/>
        </w:rPr>
        <w:lastRenderedPageBreak/>
        <w:t>The total link strength metric further enriches this analysis by highlighting the depth of collaboration. Countries with higher link strength are more embedded in international research networks, which is crucial for knowledge exchange and mutual development of regulatory frameworks in Islamic finance. Overall, this bibliometric mapping underscores the pivotal role of Southeast Asian and selected Western nations in shaping the academic trajectory of Basel compliance in the Islamic banking sector. The observed trends suggest a growing convergence of international scholarly efforts to address the regulatory challenges and opportunities inherent in aligning Islamic financial principles with global banking standards</w:t>
      </w:r>
      <w:r w:rsidR="00C0389E">
        <w:rPr>
          <w:rFonts w:ascii="Calibri Light" w:eastAsia="MS Mincho" w:hAnsi="Calibri Light" w:cs="Calibri Light"/>
          <w:sz w:val="24"/>
          <w:szCs w:val="24"/>
          <w:lang w:val="en-ID" w:eastAsia="en-US"/>
        </w:rPr>
        <w:t xml:space="preserve"> </w:t>
      </w:r>
      <w:r w:rsidR="00C0389E">
        <w:rPr>
          <w:rFonts w:ascii="Calibri Light" w:eastAsia="MS Mincho" w:hAnsi="Calibri Light" w:cs="Calibri Light"/>
          <w:sz w:val="24"/>
          <w:szCs w:val="24"/>
          <w:lang w:val="en-ID" w:eastAsia="en-US"/>
        </w:rPr>
        <w:fldChar w:fldCharType="begin" w:fldLock="1"/>
      </w:r>
      <w:r w:rsidR="007774E4">
        <w:rPr>
          <w:rFonts w:ascii="Calibri Light" w:eastAsia="MS Mincho" w:hAnsi="Calibri Light" w:cs="Calibri Light"/>
          <w:sz w:val="24"/>
          <w:szCs w:val="24"/>
          <w:lang w:val="en-ID" w:eastAsia="en-US"/>
        </w:rPr>
        <w:instrText>ADDIN CSL_CITATION {"citationItems":[{"id":"ITEM-1","itemData":{"DOI":"10.1108/JIABR-05-2020-0171","ISSN":"17590817 (ISSN)","abstract":"Purpose: The purpose of this study is to examine the contribution of academic and professional institutions in promoting the awareness and knowledge of Islamic banking and finance in Nigeria. Design/methodology/approach: The data were generated through a documentary research method by examining the Benchmark Minimum Academic Standards (BMAS) for Nigerian universities and Nigerian university curricula for the relevant undergraduate programs, as well as examination syllabi and training brochures for the relevant professional associations. Findings: The study found that universities do not promote significantly the awareness and knowledge of Islamic banking and finance. Similarly, the relevant professional associations through their examinations and training programs contribute little or nothing to the promotion of awareness and knowledge. Research limitations/implications: This study solely relied upon documentary evidence upon which the findings were based. In addition, for academic institutions, only undergraduate BMAS and curricula were examined. Practical implications: There should be collaborations between the National University Commission of Nigeria, relevant Islamic and non-Islamic professional bodies and Nigerian Universities to ensure that courses (subjects) that could promote the awareness and knowledge of Islamic banking and finance are fully integrated into academic and professional curricula and training programs. Social implications: The integration of an adequate number of relevant courses/topics into academic curricula and professional institution examination syllabi and their Mandatory Continuing Professional Development programs would greatly contribute to the production of competent and skillful employees to work for the growth and development of the Islamic banking and finance industry. Originality/value: This study provides better ways of ensuring that knowledgeable and qualified employees are produced to work for the sustainability of the global Islamic banking and finance industry. © 2021, Emerald Publishing Limited.","author":[{"dropping-particle":"","family":"Umar","given":"U H","non-dropping-particle":"","parse-names":false,"suffix":""},{"dropping-particle":"","family":"AbuBakar","given":"M","non-dropping-particle":"","parse-names":false,"suffix":""},{"dropping-particle":"","family":"Baita","given":"A J","non-dropping-particle":"","parse-names":false,"suffix":""},{"dropping-particle":"","family":"Kademi","given":"T T","non-dropping-particle":"","parse-names":false,"suffix":""},{"dropping-particle":"","family":"Haron","given":"M H","non-dropping-particle":"","parse-names":false,"suffix":""}],"container-title":"Journal of Islamic Accounting and Business Research","id":"ITEM-1","issue":"3","issued":{"date-parts":[["2021"]]},"language":"English","note":"Export Date: 24 April 2025; Cited By: 9; Correspondence Address: U.H. Umar; Department of Finance, School of Business and Economics, Universiti Brunei Darussalam, Gadong, Brunei Darussalam; email: uhumar21@gmail.com","page":"401-417","publisher":"Emerald Group Holdings Ltd.","publisher-place":"Department of Finance, School of Business and Economics, Universiti Brunei Darussalam, Gadong, Brunei Darussalam","title":"Do academic and professional institutions promote the awareness and knowledge of Islamic banking and finance in Nigeria?","type":"article-journal","volume":"12"},"uris":["http://www.mendeley.com/documents/?uuid=b33fbfbe-f092-4c61-b7e4-1161c6244543"]}],"mendeley":{"formattedCitation":"(Umar et al., 2021)","plainTextFormattedCitation":"(Umar et al., 2021)","previouslyFormattedCitation":"(Umar et al., 2021)"},"properties":{"noteIndex":0},"schema":"https://github.com/citation-style-language/schema/raw/master/csl-citation.json"}</w:instrText>
      </w:r>
      <w:r w:rsidR="00C0389E">
        <w:rPr>
          <w:rFonts w:ascii="Calibri Light" w:eastAsia="MS Mincho" w:hAnsi="Calibri Light" w:cs="Calibri Light"/>
          <w:sz w:val="24"/>
          <w:szCs w:val="24"/>
          <w:lang w:val="en-ID" w:eastAsia="en-US"/>
        </w:rPr>
        <w:fldChar w:fldCharType="separate"/>
      </w:r>
      <w:r w:rsidR="00C0389E" w:rsidRPr="00C0389E">
        <w:rPr>
          <w:rFonts w:ascii="Calibri Light" w:eastAsia="MS Mincho" w:hAnsi="Calibri Light" w:cs="Calibri Light"/>
          <w:noProof/>
          <w:sz w:val="24"/>
          <w:szCs w:val="24"/>
          <w:lang w:val="en-ID" w:eastAsia="en-US"/>
        </w:rPr>
        <w:t>(Umar et al., 2021)</w:t>
      </w:r>
      <w:r w:rsidR="00C0389E">
        <w:rPr>
          <w:rFonts w:ascii="Calibri Light" w:eastAsia="MS Mincho" w:hAnsi="Calibri Light" w:cs="Calibri Light"/>
          <w:sz w:val="24"/>
          <w:szCs w:val="24"/>
          <w:lang w:val="en-ID" w:eastAsia="en-US"/>
        </w:rPr>
        <w:fldChar w:fldCharType="end"/>
      </w:r>
      <w:r w:rsidRPr="00B06D1D">
        <w:rPr>
          <w:rFonts w:ascii="Calibri Light" w:eastAsia="MS Mincho" w:hAnsi="Calibri Light" w:cs="Calibri Light"/>
          <w:sz w:val="24"/>
          <w:szCs w:val="24"/>
          <w:lang w:val="en-ID" w:eastAsia="en-US"/>
        </w:rPr>
        <w:t>.</w:t>
      </w:r>
    </w:p>
    <w:p w14:paraId="10D7E8E6" w14:textId="26DA74E7" w:rsidR="00B06D1D" w:rsidRDefault="00B06D1D" w:rsidP="00B06D1D">
      <w:pPr>
        <w:autoSpaceDE/>
        <w:autoSpaceDN/>
        <w:spacing w:after="200" w:line="276" w:lineRule="auto"/>
        <w:ind w:left="426"/>
        <w:jc w:val="both"/>
        <w:rPr>
          <w:rFonts w:ascii="Calibri Light" w:eastAsia="MS Mincho" w:hAnsi="Calibri Light" w:cs="Calibri Light"/>
          <w:sz w:val="24"/>
          <w:szCs w:val="24"/>
          <w:lang w:val="en-ID" w:eastAsia="en-US"/>
        </w:rPr>
      </w:pPr>
      <w:r w:rsidRPr="00B06D1D">
        <w:rPr>
          <w:rFonts w:eastAsia="Calibri" w:cs="Traditional Arabic"/>
          <w:b/>
          <w:bCs/>
          <w:noProof/>
          <w:sz w:val="24"/>
          <w:szCs w:val="24"/>
          <w:lang w:val="en-ID" w:eastAsia="en-US"/>
        </w:rPr>
        <w:drawing>
          <wp:inline distT="0" distB="0" distL="0" distR="0" wp14:anchorId="25C37A6A" wp14:editId="573C0CB3">
            <wp:extent cx="5730875" cy="2438400"/>
            <wp:effectExtent l="0" t="0" r="3175" b="0"/>
            <wp:docPr id="1109403752"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30875" cy="2438400"/>
                    </a:xfrm>
                    <a:prstGeom prst="rect">
                      <a:avLst/>
                    </a:prstGeom>
                    <a:noFill/>
                  </pic:spPr>
                </pic:pic>
              </a:graphicData>
            </a:graphic>
          </wp:inline>
        </w:drawing>
      </w:r>
    </w:p>
    <w:p w14:paraId="15374C36" w14:textId="77777777" w:rsidR="00B06D1D" w:rsidRDefault="00B06D1D" w:rsidP="00B06D1D">
      <w:pPr>
        <w:pStyle w:val="NormalWeb"/>
        <w:jc w:val="center"/>
        <w:rPr>
          <w:rFonts w:ascii="Calibri Light" w:hAnsi="Calibri Light" w:cs="Calibri Light"/>
        </w:rPr>
      </w:pPr>
      <w:r w:rsidRPr="00B06D1D">
        <w:rPr>
          <w:rFonts w:ascii="Calibri Light" w:hAnsi="Calibri Light" w:cs="Calibri Light"/>
          <w:b/>
          <w:bCs/>
        </w:rPr>
        <w:t>Figure 6</w:t>
      </w:r>
      <w:r w:rsidRPr="00B06D1D">
        <w:rPr>
          <w:rFonts w:ascii="Calibri Light" w:hAnsi="Calibri Light" w:cs="Calibri Light"/>
          <w:b/>
          <w:bCs/>
          <w:rtl/>
        </w:rPr>
        <w:t>.</w:t>
      </w:r>
      <w:r w:rsidRPr="00B06D1D">
        <w:rPr>
          <w:rFonts w:ascii="Calibri Light" w:hAnsi="Calibri Light" w:cs="Calibri Light"/>
        </w:rPr>
        <w:t xml:space="preserve"> Bibliometric Comparison of Leading Countries in Basel and Islamic Banking Research</w:t>
      </w:r>
    </w:p>
    <w:p w14:paraId="4D3F7AC5" w14:textId="77777777" w:rsidR="00B06D1D" w:rsidRPr="00B06D1D" w:rsidRDefault="00B06D1D" w:rsidP="00B06D1D">
      <w:pPr>
        <w:pStyle w:val="NormalWeb"/>
        <w:jc w:val="center"/>
        <w:rPr>
          <w:rFonts w:ascii="Calibri Light" w:hAnsi="Calibri Light" w:cs="Calibri Light"/>
        </w:rPr>
      </w:pPr>
    </w:p>
    <w:p w14:paraId="3C4098EB" w14:textId="3F1341F9" w:rsidR="00B06D1D" w:rsidRDefault="00B06D1D" w:rsidP="00B06D1D">
      <w:pPr>
        <w:autoSpaceDE/>
        <w:autoSpaceDN/>
        <w:spacing w:after="200" w:line="276" w:lineRule="auto"/>
        <w:ind w:left="426"/>
        <w:jc w:val="both"/>
        <w:rPr>
          <w:rFonts w:ascii="Calibri Light" w:eastAsia="MS Mincho" w:hAnsi="Calibri Light" w:cs="Calibri Light"/>
          <w:sz w:val="24"/>
          <w:szCs w:val="24"/>
          <w:rtl/>
          <w:lang w:eastAsia="en-US"/>
        </w:rPr>
      </w:pPr>
      <w:proofErr w:type="spellStart"/>
      <w:r w:rsidRPr="00B06D1D">
        <w:rPr>
          <w:rFonts w:ascii="Calibri Light" w:eastAsia="MS Mincho" w:hAnsi="Calibri Light" w:cs="Calibri Light"/>
          <w:sz w:val="24"/>
          <w:szCs w:val="24"/>
          <w:lang w:eastAsia="en-US"/>
        </w:rPr>
        <w:t>VOSviewer</w:t>
      </w:r>
      <w:proofErr w:type="spellEnd"/>
      <w:r w:rsidRPr="00B06D1D">
        <w:rPr>
          <w:rFonts w:ascii="Calibri Light" w:eastAsia="MS Mincho" w:hAnsi="Calibri Light" w:cs="Calibri Light"/>
          <w:sz w:val="24"/>
          <w:szCs w:val="24"/>
          <w:lang w:eastAsia="en-US"/>
        </w:rPr>
        <w:t xml:space="preserve"> was utilized to visualize the bibliographic relationships and linkages among countries contributing to the literature on the Basel Accords and their impact on Islamic banking regulations, as illustrated in the figure above. The minimum threshold for inclusion in the analysis was set at five publications per country, resulting in 45 countries being classified into nine color-coded clusters based on the strength of their bibliographic connections. Malaysia appears as the central node in the red cluster, representing the most influential and highly cited country in this field </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0900AD">
        <w:rPr>
          <w:rFonts w:ascii="Calibri Light" w:eastAsia="MS Mincho" w:hAnsi="Calibri Light" w:cs="Calibri Light"/>
          <w:sz w:val="24"/>
          <w:szCs w:val="24"/>
          <w:lang w:eastAsia="en-US"/>
        </w:rPr>
        <w:instrText>ADDIN CSL_CITATION {"citationItems":[{"id":"ITEM-1","itemData":{"DOI":"10.1057/s41283-023-00135-z","ISSN":"14603799 (ISSN)","abstract":"This study employs a systematic review approach to examine the existing body of literature on risk management in Islamic banking. The focus of this work is to analyze published manuscripts to provide a comprehensive overview of the current state of research in this field. After conducting an extensive examination of eighty articles classified as Q1 and Q2, we have identified six prominent risk themes. These themes include stability and resilience, risk-taking behavior, credit risk, Shariah non-compliance risk, liquidity risk, and other pertinent concerns that span various disciplines. The assessment yielded four key themes pertaining to the risk management of the Islamic banking system, namely prudential regulation, environment and sustainability, cybersecurity, and risk-taking behavior. Two risk frameworks were provided based on the identified themes. The microframework encompasses internal and external risk elements that influence the bank's basic activities and risk feedback system. The macro-framework encompasses several elements that influence the risk management environment for Islamic banks (IB), including exogenous institutional factors, domestic endogenous factors, and global endogenous factors. Thematic discoveries are incorporated to identify potential avenues for future research and policy consequences. © 2023, The Author(s), under exclusive licence to Springer Nature Limited.","author":[{"dropping-particle":"","family":"Hassan","given":"M K","non-dropping-particle":"","parse-names":false,"suffix":""},{"dropping-particle":"","family":"Sohel","given":"M N I","non-dropping-particle":"","parse-names":false,"suffix":""},{"dropping-particle":"","family":"Choudhury","given":"T","non-dropping-particle":"","parse-names":false,"suffix":""},{"dropping-particle":"","family":"Rashid","given":"M","non-dropping-particle":"","parse-names":false,"suffix":""}],"container-title":"Risk Management","id":"ITEM-1","issue":"1","issued":{"date-parts":[["2024"]]},"language":"English","note":"Export Date: 24 April 2025; Cited By: 1; Correspondence Address: M. Rashid; Christ Church Business School, Canterbury Christ Church University, Canterbury, United Kingdom; email: mamunur.rashid@canterbury.ac.uk","publisher":"Palgrave Macmillan","publisher-place":"University of New Orleans, New Orleans, United States","title":"A systematic literature review of risks in Islamic banking system: research agenda and future research directions","type":"article-journal","volume":"26"},"uris":["http://www.mendeley.com/documents/?uuid=29be0313-4205-4f75-bd8e-843b0f350c6d"]}],"mendeley":{"formattedCitation":"(Hassan et al., 2024)","plainTextFormattedCitation":"(Hassan et al., 2024)","previouslyFormattedCitation":"(M. K. Hassan et al., 2024)"},"properties":{"noteIndex":0},"schema":"https://github.com/citation-style-language/schema/raw/master/csl-citation.json"}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0900AD" w:rsidRPr="000900AD">
        <w:rPr>
          <w:rFonts w:ascii="Calibri Light" w:eastAsia="MS Mincho" w:hAnsi="Calibri Light" w:cs="Calibri Light"/>
          <w:noProof/>
          <w:sz w:val="24"/>
          <w:szCs w:val="24"/>
          <w:lang w:eastAsia="en-US"/>
        </w:rPr>
        <w:t>(Hassan et al., 2024)</w:t>
      </w:r>
      <w:r w:rsidR="007774E4">
        <w:rPr>
          <w:rFonts w:ascii="Calibri Light" w:eastAsia="MS Mincho" w:hAnsi="Calibri Light" w:cs="Calibri Light"/>
          <w:sz w:val="24"/>
          <w:szCs w:val="24"/>
          <w:lang w:eastAsia="en-US"/>
        </w:rPr>
        <w:fldChar w:fldCharType="end"/>
      </w:r>
      <w:r w:rsidRPr="00B06D1D">
        <w:rPr>
          <w:rFonts w:ascii="Calibri Light" w:eastAsia="MS Mincho" w:hAnsi="Calibri Light" w:cs="Calibri Light"/>
          <w:sz w:val="24"/>
          <w:szCs w:val="24"/>
          <w:lang w:eastAsia="en-US"/>
        </w:rPr>
        <w:t>. Indonesia serves as the core of the pink cluster, indicating a relatively independent yet connected research pathway, particularly with countries like Iraq and Switzerland. Saudi Arabia and Pakistan are also key nodes within their respective clusters, with strong linkages to countries such as the United Kingdom, Jordan, and China, reflecting a diverse and collaborative research landscape. The thickness of the lines connecting countries represents the strength of their bibliographic coupling—thicker lines indicate stronger co-citation ties—while the size of each node corresponds to the number of citations received, making this map a powerful tool to highlight active research hubs and regional collaborations in the evolving academic discourse on Basel regulations and Islamic banking</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7774E4">
        <w:rPr>
          <w:rFonts w:ascii="Calibri Light" w:eastAsia="MS Mincho" w:hAnsi="Calibri Light" w:cs="Calibri Light"/>
          <w:sz w:val="24"/>
          <w:szCs w:val="24"/>
          <w:lang w:eastAsia="en-US"/>
        </w:rPr>
        <w:instrText>ADDIN CSL_CITATION {"citationItems":[{"id":"ITEM-1","itemData":{"DOI":"10.48161/qaj.v4n1a198","ISSN":"27098206 (ISSN)","abstract":"Sharia Banking is a business entity that carries out the function of collecting funds from parties with a surplus of funds and then channeling them to parties with a deficit of funds and providing other financial services based on Islamic sharia principles. This article analyzes. This type of research uses normative legal research, using a conceptual approach and a statutory approach as well as the Koran and hadith, primary and secondary. Legal materials obtained and analyzed qualitatively and then presented descriptively. The article aims to explain in general, the principles of sharia financing business activities include justice ('adl), balance (tawazun), kemashlahatan (maslahah), universalism (alamiyah), and do not contain gharar, maisir, usury, zhulm, risywah, and other haram objects. Financing or financing is funding provided by one party to another to support planned investments, both carried out by themselves and institutions. In other words, financing is funding issued to support planned investments. Law Number 10 of 1998 states that financing based on sharia principles is the provision of money or bills that are equated with it based on an agreement or agreement between a bank and another party that requires the financed party to return the money or bill after a certain period of time in return or profit sharing. © 2024, Qubahan. All rights reserved.","author":[{"dropping-particle":"","family":"Syah","given":"D","non-dropping-particle":"","parse-names":false,"suffix":""},{"dropping-particle":"","family":"Rahmadani","given":"G","non-dropping-particle":"","parse-names":false,"suffix":""}],"container-title":"Qubahan Academic Journal ","id":"ITEM-1","issue":"1","issued":{"date-parts":[["2024"]]},"language":"English","note":"Export Date: 24 April 2025; Cited By: 0; Correspondence Address: D. Syah; Department of Law, Faculty of Law, Universitas Islam Sumatera Utara, Indonesia; email: danialsyah@fh.uisu.ac.id","page":"300-309","publisher":"Qubahan","publisher-place":"Department of Law, Faculty of Law, Universitas Islam Sumatera Utara, Indonesia","title":"The Profit-Sharing System in Financing Islamic Banking","type":"article-journal","volume":"4"},"uris":["http://www.mendeley.com/documents/?uuid=0aa12dbd-6a6e-457e-89f5-c01d54a34ffd"]}],"mendeley":{"formattedCitation":"(Syah &amp; Rahmadani, 2024)","plainTextFormattedCitation":"(Syah &amp; Rahmadani, 2024)","previouslyFormattedCitation":"(Syah &amp; Rahmadani, 2024)"},"properties":{"noteIndex":0},"schema":"https://github.com/citation-style-language/schema/raw/master/csl-citation.json"}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7774E4" w:rsidRPr="007774E4">
        <w:rPr>
          <w:rFonts w:ascii="Calibri Light" w:eastAsia="MS Mincho" w:hAnsi="Calibri Light" w:cs="Calibri Light"/>
          <w:noProof/>
          <w:sz w:val="24"/>
          <w:szCs w:val="24"/>
          <w:lang w:eastAsia="en-US"/>
        </w:rPr>
        <w:t>(Syah &amp; Rahmadani, 2024)</w:t>
      </w:r>
      <w:r w:rsidR="007774E4">
        <w:rPr>
          <w:rFonts w:ascii="Calibri Light" w:eastAsia="MS Mincho" w:hAnsi="Calibri Light" w:cs="Calibri Light"/>
          <w:sz w:val="24"/>
          <w:szCs w:val="24"/>
          <w:lang w:eastAsia="en-US"/>
        </w:rPr>
        <w:fldChar w:fldCharType="end"/>
      </w:r>
      <w:r w:rsidRPr="00B06D1D">
        <w:rPr>
          <w:rFonts w:ascii="Calibri Light" w:eastAsia="MS Mincho" w:hAnsi="Calibri Light" w:cs="Calibri Light"/>
          <w:sz w:val="24"/>
          <w:szCs w:val="24"/>
          <w:lang w:eastAsia="en-US"/>
        </w:rPr>
        <w:t>.</w:t>
      </w:r>
    </w:p>
    <w:p w14:paraId="6F1472B7" w14:textId="5FA85F18" w:rsidR="008F1989" w:rsidRDefault="007774E4" w:rsidP="007774E4">
      <w:pPr>
        <w:autoSpaceDE/>
        <w:autoSpaceDN/>
        <w:spacing w:after="200" w:line="276" w:lineRule="auto"/>
        <w:ind w:left="426"/>
        <w:jc w:val="both"/>
        <w:rPr>
          <w:rFonts w:ascii="Calibri Light" w:eastAsia="MS Mincho" w:hAnsi="Calibri Light" w:cs="Calibri Light"/>
          <w:sz w:val="24"/>
          <w:szCs w:val="24"/>
          <w:lang w:eastAsia="en-US"/>
        </w:rPr>
      </w:pPr>
      <w:r w:rsidRPr="008F1989">
        <w:rPr>
          <w:rFonts w:eastAsia="Calibri" w:cs="Traditional Arabic"/>
          <w:noProof/>
          <w:sz w:val="24"/>
          <w:szCs w:val="24"/>
          <w:lang w:val="en-ID" w:eastAsia="en-US"/>
        </w:rPr>
        <w:lastRenderedPageBreak/>
        <w:drawing>
          <wp:anchor distT="0" distB="0" distL="114300" distR="114300" simplePos="0" relativeHeight="251697664" behindDoc="0" locked="0" layoutInCell="1" allowOverlap="1" wp14:anchorId="4052B1DA" wp14:editId="41855D4B">
            <wp:simplePos x="0" y="0"/>
            <wp:positionH relativeFrom="margin">
              <wp:posOffset>334010</wp:posOffset>
            </wp:positionH>
            <wp:positionV relativeFrom="paragraph">
              <wp:posOffset>501015</wp:posOffset>
            </wp:positionV>
            <wp:extent cx="5316220" cy="2370455"/>
            <wp:effectExtent l="0" t="0" r="0" b="0"/>
            <wp:wrapTopAndBottom/>
            <wp:docPr id="541561026"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16220" cy="2370455"/>
                    </a:xfrm>
                    <a:prstGeom prst="rect">
                      <a:avLst/>
                    </a:prstGeom>
                    <a:noFill/>
                  </pic:spPr>
                </pic:pic>
              </a:graphicData>
            </a:graphic>
            <wp14:sizeRelH relativeFrom="margin">
              <wp14:pctWidth>0</wp14:pctWidth>
            </wp14:sizeRelH>
            <wp14:sizeRelV relativeFrom="margin">
              <wp14:pctHeight>0</wp14:pctHeight>
            </wp14:sizeRelV>
          </wp:anchor>
        </w:drawing>
      </w:r>
    </w:p>
    <w:p w14:paraId="112FEA88" w14:textId="357651E4" w:rsidR="008F1989" w:rsidRDefault="008F1989" w:rsidP="008F1989">
      <w:pPr>
        <w:autoSpaceDE/>
        <w:autoSpaceDN/>
        <w:spacing w:after="200" w:line="276" w:lineRule="auto"/>
        <w:ind w:left="426"/>
        <w:jc w:val="center"/>
        <w:rPr>
          <w:rFonts w:ascii="Calibri Light" w:eastAsia="MS Mincho" w:hAnsi="Calibri Light" w:cs="Calibri Light"/>
          <w:sz w:val="24"/>
          <w:szCs w:val="24"/>
          <w:rtl/>
          <w:lang w:eastAsia="en-US"/>
        </w:rPr>
      </w:pPr>
      <w:bookmarkStart w:id="19" w:name="_Hlk196319795"/>
      <w:r w:rsidRPr="008F1989">
        <w:rPr>
          <w:rFonts w:ascii="Calibri Light" w:eastAsia="MS Mincho" w:hAnsi="Calibri Light" w:cs="Calibri Light"/>
          <w:b/>
          <w:bCs/>
          <w:sz w:val="24"/>
          <w:szCs w:val="24"/>
          <w:lang w:eastAsia="en-US"/>
        </w:rPr>
        <w:t>Figure 7.</w:t>
      </w:r>
      <w:r w:rsidRPr="008F1989">
        <w:rPr>
          <w:rFonts w:ascii="Calibri Light" w:eastAsia="MS Mincho" w:hAnsi="Calibri Light" w:cs="Calibri Light"/>
          <w:sz w:val="24"/>
          <w:szCs w:val="24"/>
          <w:lang w:eastAsia="en-US"/>
        </w:rPr>
        <w:t xml:space="preserve"> </w:t>
      </w:r>
      <w:bookmarkEnd w:id="19"/>
      <w:r w:rsidRPr="008F1989">
        <w:rPr>
          <w:rFonts w:ascii="Calibri Light" w:eastAsia="MS Mincho" w:hAnsi="Calibri Light" w:cs="Calibri Light"/>
          <w:sz w:val="24"/>
          <w:szCs w:val="24"/>
          <w:lang w:eastAsia="en-US"/>
        </w:rPr>
        <w:t>Bibliographic Coupling Network of Countries</w:t>
      </w:r>
    </w:p>
    <w:p w14:paraId="1E821FDF" w14:textId="037FE01B" w:rsidR="00923573" w:rsidRPr="00923573" w:rsidRDefault="005A6A0E" w:rsidP="00E363A9">
      <w:pPr>
        <w:autoSpaceDE/>
        <w:autoSpaceDN/>
        <w:spacing w:after="200" w:line="276" w:lineRule="auto"/>
        <w:ind w:left="426"/>
        <w:jc w:val="both"/>
        <w:rPr>
          <w:rFonts w:ascii="Calibri Light" w:eastAsia="MS Mincho" w:hAnsi="Calibri Light" w:cs="Calibri Light"/>
          <w:b/>
          <w:bCs/>
          <w:sz w:val="24"/>
          <w:szCs w:val="24"/>
          <w:lang w:eastAsia="en-US"/>
        </w:rPr>
      </w:pPr>
      <w:r w:rsidRPr="005A6A0E">
        <w:rPr>
          <w:rFonts w:ascii="Calibri Light" w:eastAsia="MS Mincho" w:hAnsi="Calibri Light" w:cs="Calibri Light"/>
          <w:b/>
          <w:bCs/>
          <w:sz w:val="24"/>
          <w:szCs w:val="24"/>
          <w:lang w:eastAsia="en-US"/>
        </w:rPr>
        <w:t>3.</w:t>
      </w:r>
      <w:r>
        <w:rPr>
          <w:rFonts w:ascii="Calibri Light" w:eastAsia="MS Mincho" w:hAnsi="Calibri Light" w:cs="Calibri Light" w:hint="cs"/>
          <w:b/>
          <w:bCs/>
          <w:sz w:val="24"/>
          <w:szCs w:val="24"/>
          <w:rtl/>
          <w:lang w:eastAsia="en-US"/>
        </w:rPr>
        <w:t>4</w:t>
      </w:r>
      <w:r w:rsidRPr="005A6A0E">
        <w:rPr>
          <w:rFonts w:ascii="Calibri Light" w:eastAsia="MS Mincho" w:hAnsi="Calibri Light" w:cs="Calibri Light"/>
          <w:b/>
          <w:bCs/>
          <w:sz w:val="24"/>
          <w:szCs w:val="24"/>
          <w:lang w:eastAsia="en-US"/>
        </w:rPr>
        <w:t>.</w:t>
      </w:r>
      <w:r>
        <w:rPr>
          <w:rFonts w:ascii="Calibri Light" w:eastAsia="MS Mincho" w:hAnsi="Calibri Light" w:cs="Calibri Light" w:hint="cs"/>
          <w:b/>
          <w:bCs/>
          <w:sz w:val="24"/>
          <w:szCs w:val="24"/>
          <w:rtl/>
          <w:lang w:eastAsia="en-US"/>
        </w:rPr>
        <w:t xml:space="preserve"> </w:t>
      </w:r>
      <w:r w:rsidR="00E363A9" w:rsidRPr="00E363A9">
        <w:rPr>
          <w:rFonts w:ascii="Calibri Light" w:eastAsia="MS Mincho" w:hAnsi="Calibri Light" w:cs="Calibri Light"/>
          <w:b/>
          <w:bCs/>
          <w:sz w:val="24"/>
          <w:szCs w:val="24"/>
          <w:lang w:eastAsia="en-US"/>
        </w:rPr>
        <w:t>Top Sources and Institutions in Islamic Banking Research</w:t>
      </w:r>
    </w:p>
    <w:p w14:paraId="52FA7FC8" w14:textId="2E973812" w:rsidR="008D5536" w:rsidRDefault="00923573" w:rsidP="008D5536">
      <w:pPr>
        <w:autoSpaceDE/>
        <w:autoSpaceDN/>
        <w:spacing w:after="200" w:line="276" w:lineRule="auto"/>
        <w:ind w:left="426"/>
        <w:jc w:val="both"/>
        <w:rPr>
          <w:rFonts w:ascii="Calibri Light" w:eastAsia="MS Mincho" w:hAnsi="Calibri Light" w:cs="Calibri Light"/>
          <w:sz w:val="24"/>
          <w:szCs w:val="24"/>
          <w:rtl/>
          <w:lang w:eastAsia="en-US"/>
        </w:rPr>
      </w:pPr>
      <w:r w:rsidRPr="00923573">
        <w:rPr>
          <w:rFonts w:ascii="Calibri Light" w:eastAsia="MS Mincho" w:hAnsi="Calibri Light" w:cs="Calibri Light"/>
          <w:sz w:val="24"/>
          <w:szCs w:val="24"/>
          <w:lang w:eastAsia="en-US"/>
        </w:rPr>
        <w:t xml:space="preserve">The 4th research question is: </w:t>
      </w:r>
      <w:r w:rsidR="008D5536" w:rsidRPr="008D5536">
        <w:rPr>
          <w:rFonts w:ascii="Calibri Light" w:eastAsia="MS Mincho" w:hAnsi="Calibri Light" w:cs="Calibri Light"/>
          <w:sz w:val="24"/>
          <w:szCs w:val="24"/>
          <w:lang w:eastAsia="en-US"/>
        </w:rPr>
        <w:t>Which sources and institutions have most influenced Islamic banking research and its development</w:t>
      </w:r>
      <w:r w:rsidR="008D5536">
        <w:rPr>
          <w:rFonts w:ascii="Calibri Light" w:eastAsia="MS Mincho" w:hAnsi="Calibri Light" w:cs="Calibri Light"/>
          <w:sz w:val="24"/>
          <w:szCs w:val="24"/>
          <w:lang w:eastAsia="en-US"/>
        </w:rPr>
        <w:t>?</w:t>
      </w:r>
    </w:p>
    <w:p w14:paraId="74416116" w14:textId="326A1B75" w:rsidR="00706053" w:rsidRDefault="008D5536" w:rsidP="008D5536">
      <w:pPr>
        <w:autoSpaceDE/>
        <w:autoSpaceDN/>
        <w:spacing w:after="200" w:line="276" w:lineRule="auto"/>
        <w:ind w:left="426"/>
        <w:jc w:val="both"/>
        <w:rPr>
          <w:rFonts w:ascii="Calibri Light" w:eastAsia="MS Mincho" w:hAnsi="Calibri Light" w:cs="Calibri Light"/>
          <w:sz w:val="24"/>
          <w:szCs w:val="24"/>
          <w:rtl/>
          <w:lang w:eastAsia="en-US"/>
        </w:rPr>
      </w:pPr>
      <w:r w:rsidRPr="008D5536">
        <w:rPr>
          <w:rFonts w:ascii="Calibri Light" w:eastAsia="MS Mincho" w:hAnsi="Calibri Light" w:cs="Calibri Light"/>
          <w:b/>
          <w:bCs/>
          <w:sz w:val="24"/>
          <w:szCs w:val="24"/>
          <w:lang w:eastAsia="en-US"/>
        </w:rPr>
        <w:t xml:space="preserve"> </w:t>
      </w:r>
      <w:r w:rsidRPr="008D5536">
        <w:rPr>
          <w:rFonts w:ascii="Calibri Light" w:eastAsia="MS Mincho" w:hAnsi="Calibri Light" w:cs="Calibri Light"/>
          <w:sz w:val="24"/>
          <w:szCs w:val="24"/>
          <w:lang w:eastAsia="en-US"/>
        </w:rPr>
        <w:t xml:space="preserve">Figure </w:t>
      </w:r>
      <w:r w:rsidR="001F582A">
        <w:rPr>
          <w:rFonts w:ascii="Calibri Light" w:eastAsia="MS Mincho" w:hAnsi="Calibri Light" w:cs="Calibri Light"/>
          <w:sz w:val="24"/>
          <w:szCs w:val="24"/>
          <w:lang w:eastAsia="en-US"/>
        </w:rPr>
        <w:t>8</w:t>
      </w:r>
      <w:r w:rsidR="00706053" w:rsidRPr="00706053">
        <w:rPr>
          <w:rFonts w:ascii="Calibri Light" w:eastAsia="MS Mincho" w:hAnsi="Calibri Light" w:cs="Calibri Light"/>
          <w:sz w:val="24"/>
          <w:szCs w:val="24"/>
          <w:lang w:eastAsia="en-US"/>
        </w:rPr>
        <w:t xml:space="preserve"> presents an analysis of the most influential academic institutions in the field of Islamic banking research, based on the number of publications indexed in the Scopus database. The International Islamic University Malaysia (IIUM) ranks first with 78 publications, followed by </w:t>
      </w:r>
      <w:proofErr w:type="spellStart"/>
      <w:r w:rsidR="00706053" w:rsidRPr="00706053">
        <w:rPr>
          <w:rFonts w:ascii="Calibri Light" w:eastAsia="MS Mincho" w:hAnsi="Calibri Light" w:cs="Calibri Light"/>
          <w:sz w:val="24"/>
          <w:szCs w:val="24"/>
          <w:lang w:eastAsia="en-US"/>
        </w:rPr>
        <w:t>Universiti</w:t>
      </w:r>
      <w:proofErr w:type="spellEnd"/>
      <w:r w:rsidR="00706053" w:rsidRPr="00706053">
        <w:rPr>
          <w:rFonts w:ascii="Calibri Light" w:eastAsia="MS Mincho" w:hAnsi="Calibri Light" w:cs="Calibri Light"/>
          <w:sz w:val="24"/>
          <w:szCs w:val="24"/>
          <w:lang w:eastAsia="en-US"/>
        </w:rPr>
        <w:t xml:space="preserve"> Malaya (44 publications) and INCEIF University (42 publications), reflecting the leading role of Malaysian institutions in this area</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7774E4">
        <w:rPr>
          <w:rFonts w:ascii="Calibri Light" w:eastAsia="MS Mincho" w:hAnsi="Calibri Light" w:cs="Calibri Light"/>
          <w:sz w:val="24"/>
          <w:szCs w:val="24"/>
          <w:lang w:eastAsia="en-US"/>
        </w:rPr>
        <w:instrText>ADDIN CSL_CITATION {"citationItems":[{"id":"ITEM-1","itemData":{"DOI":"10.1108/IJOES-03-2021-0053","ISSN":"25149369 (ISSN)","abstract":"Purpose: Islamic banking industry with all of its exponential growth and global recognition has been under criticism for the past two decades. However, the problem signifies further when such criticism is made from within the organization and is well supported by outside (the customers). The purpose of this study is to provide a coherent exploration to investigate the factors that polarize its employees and customers across many parts of the world. Design/methodology/approach: To investigate the phenomenon, a total of 30 responses were taken through interviews 15 each from customers and employees. Afterwards, the data was analysed and summarized into two categories. In doing so, the top five Malaysia’s Islamic banks were shortlisted to collect data from employees and customers. Findings: A detailed thematic analysis resulted in six themes (Contradiction between theory and practice, Islamic banking knowledge and awareness, inadequate Shariah training, employees’ background, Shariah compliance, Islamic banking benefits) for employees and five (Islamic banking benefits, applying Shariah in Islamic banking, knowledge of Islamic banking, Islamic banking promotion, Islamic banking employees’ behaviour) for customers, respectively. Research limitations/implications: The results have stronger implications for both practice and theory as organizations can assess stakeholders and their perceptions about Islamic banking. Another implication is the comparative examination of employees and customers which can potentially affect decision and policy making in Islamic banks. Islamic banks can also address employment-related issues related to employees’ behaviour vis-à-vis marketing-related problems faced by its customers that will ultimately improve its global market share and strategic positioning. Originality/value: The study is based on the importance of Islamic banking in Malaysia and explores the factors that potentially create a positive or negative insight into Islamic banking – both in employees and customers. © 2021, Emerald Publishing Limited.","author":[{"dropping-particle":"","family":"Ali","given":"S A","non-dropping-particle":"","parse-names":false,"suffix":""},{"dropping-particle":"","family":"Loussaief","given":"A","non-dropping-particle":"","parse-names":false,"suffix":""},{"dropping-particle":"","family":"Ahmed","given":"M","non-dropping-particle":"","parse-names":false,"suffix":""}],"container-title":"International Journal of Ethics and Systems","id":"ITEM-1","issue":"2","issued":{"date-parts":[["2022"]]},"language":"English","note":"Export Date: 24 April 2025; Cited By: 5; Correspondence Address: S.A. Ali; University of Management and Technology, Lahore, Main Campus, Pakistan; email: sahmedzaidi@gmail.com","page":"209-234","publisher":"Emerald Group Holdings Ltd.","publisher-place":"University of Management and Technology, Main Campus, Lahore, Pakistan","title":"A comparative analysis of employees’ and customers’ attitude towards Islamic banking","type":"article-journal","volume":"38"},"uris":["http://www.mendeley.com/documents/?uuid=79aadb05-bdf0-4026-9d34-1841afbc081c"]}],"mendeley":{"formattedCitation":"(S. A. Ali et al., 2022)","plainTextFormattedCitation":"(S. A. Ali et al., 2022)","previouslyFormattedCitation":"(S. A. Ali et al., 2022)"},"properties":{"noteIndex":0},"schema":"https://github.com/citation-style-language/schema/raw/master/csl-citation.json"}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7774E4" w:rsidRPr="007774E4">
        <w:rPr>
          <w:rFonts w:ascii="Calibri Light" w:eastAsia="MS Mincho" w:hAnsi="Calibri Light" w:cs="Calibri Light"/>
          <w:noProof/>
          <w:sz w:val="24"/>
          <w:szCs w:val="24"/>
          <w:lang w:eastAsia="en-US"/>
        </w:rPr>
        <w:t>(S. A. Ali et al., 2022)</w:t>
      </w:r>
      <w:r w:rsidR="007774E4">
        <w:rPr>
          <w:rFonts w:ascii="Calibri Light" w:eastAsia="MS Mincho" w:hAnsi="Calibri Light" w:cs="Calibri Light"/>
          <w:sz w:val="24"/>
          <w:szCs w:val="24"/>
          <w:lang w:eastAsia="en-US"/>
        </w:rPr>
        <w:fldChar w:fldCharType="end"/>
      </w:r>
      <w:r w:rsidR="00706053" w:rsidRPr="00706053">
        <w:rPr>
          <w:rFonts w:ascii="Calibri Light" w:eastAsia="MS Mincho" w:hAnsi="Calibri Light" w:cs="Calibri Light"/>
          <w:sz w:val="24"/>
          <w:szCs w:val="24"/>
          <w:lang w:eastAsia="en-US"/>
        </w:rPr>
        <w:t>. The accompanying Pareto curve indicates that a substantial portion of research output is concentrated within a limited number of institutions, with the top three alone accounting for nearly half of the total publications. This concentration highlights Malaysia’s position as an academic and intellectual hub in the development of Islamic banking studies, particularly in the context of aligning Sharia principles with the regulatory requirements of the Basel Accords. This analysis underscores the importance of institutional contributions in shaping academic discourse on the legal and regulatory challenges facing Islamic banks within the framework of international financial regulation</w:t>
      </w:r>
      <w:r w:rsidR="007774E4">
        <w:rPr>
          <w:rFonts w:ascii="Calibri Light" w:eastAsia="MS Mincho" w:hAnsi="Calibri Light" w:cs="Calibri Light"/>
          <w:sz w:val="24"/>
          <w:szCs w:val="24"/>
          <w:lang w:eastAsia="en-US"/>
        </w:rPr>
        <w:t xml:space="preserve"> </w:t>
      </w:r>
      <w:r w:rsidR="007774E4">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{"citationItems":[{"id":"ITEM-1","itemData":{"DOI":"10.4197/Islec.35-2.4","ISSN":"10187383 (ISSN)","abstract":"The adoption of the Islamic Financial Services Board (IFSB) criteria for Islamic banks is more challenging for a bigger number of supervisory and regulatory authorities than for conventional banks. This paper investigated the IFSB-15 standard; revised capital adequacy standard for institutions offering Islamic financial services [excluding islamic insurance (takāful) institutions and islamic collective investment schemes], by evaluating the possibility of its adoption within a dual banking system and introduced an analysis of the effects of Islamic banks in Pakistan. The study found that in practise, investment account holders are treated as conventional depositors that are capital-guaranteed rather than basing that allocation on the basis of profit and loss sharing (PLS) in accordance to Sharīʿah norms and stipulations. This treatment forced Islamic banking institutions to take a market-perspective approach to profit distribution. This makes them ensure a steady profit pay-out (paying a competitive rate of return by accepting displaced commercial risk). The paper therefore suggested that the implementation of technical standards has to be accompanied with institutional growth, like that involved in the Islamic banking structure and institutional capacity in accordace to the substance of Sharīʿah norms and stipulations rather than the form. © 2022,Journal of King Abdulaziz University, Islamic Economics. All Rights Reserved.","author":[{"dropping-particle":"","family":"Ali","given":"A","non-dropping-particle":"","parse-names":false,"suffix":""},{"dropping-particle":"","family":"Zulkhibri","given":"M","non-dropping-particle":"","parse-names":false,"suffix":""},{"dropping-particle":"","family":"Kishwar","given":"T","non-dropping-particle":"","parse-names":false,"suffix":""}],"container-title":"Journal of King Abdulaziz University, Islamic Economics","id":"ITEM-1","issue":"2","issued":{"date-parts":[["2022"]]},"language":"English","note":"Export Date: 24 April 2025; Cited By: 0","page":"55-76","publisher":"King Abdulaziz University Scientific Publishing Center","publisher-place":"COMMECS Institute of Business and Emerging Sciences, Karachi, Pakistan","title":"IFSB Standards Adoption and Its Impact on Islamic Banking Practices: Evidence from Pakistan","type":"article-journal","volume":"35"},"uris":["http://www.mendeley.com/documents/?uuid=79b5ec51-66cc-4dbd-b8b7-bb0b29ae952a"]}],"mendeley":{"formattedCitation":"(A. Ali et al., 2022)","plainTextFormattedCitation":"(A. Ali et al., 2022)","previouslyFormattedCitation":"(A. Ali et al., 2022)"},"properties":{"noteIndex":0},"schema":"https://github.com/citation-style-language/schema/raw/master/csl-citation.json"}</w:instrText>
      </w:r>
      <w:r w:rsidR="007774E4">
        <w:rPr>
          <w:rFonts w:ascii="Calibri Light" w:eastAsia="MS Mincho" w:hAnsi="Calibri Light" w:cs="Calibri Light"/>
          <w:sz w:val="24"/>
          <w:szCs w:val="24"/>
          <w:lang w:eastAsia="en-US"/>
        </w:rPr>
        <w:fldChar w:fldCharType="separate"/>
      </w:r>
      <w:r w:rsidR="007774E4" w:rsidRPr="007774E4">
        <w:rPr>
          <w:rFonts w:ascii="Calibri Light" w:eastAsia="MS Mincho" w:hAnsi="Calibri Light" w:cs="Calibri Light"/>
          <w:noProof/>
          <w:sz w:val="24"/>
          <w:szCs w:val="24"/>
          <w:lang w:eastAsia="en-US"/>
        </w:rPr>
        <w:t>(A. Ali et al., 2022)</w:t>
      </w:r>
      <w:r w:rsidR="007774E4">
        <w:rPr>
          <w:rFonts w:ascii="Calibri Light" w:eastAsia="MS Mincho" w:hAnsi="Calibri Light" w:cs="Calibri Light"/>
          <w:sz w:val="24"/>
          <w:szCs w:val="24"/>
          <w:lang w:eastAsia="en-US"/>
        </w:rPr>
        <w:fldChar w:fldCharType="end"/>
      </w:r>
      <w:r w:rsidR="00706053" w:rsidRPr="00706053">
        <w:rPr>
          <w:rFonts w:ascii="Calibri Light" w:eastAsia="MS Mincho" w:hAnsi="Calibri Light" w:cs="Calibri Light"/>
          <w:sz w:val="24"/>
          <w:szCs w:val="24"/>
          <w:lang w:eastAsia="en-US"/>
        </w:rPr>
        <w:t>.</w:t>
      </w:r>
    </w:p>
    <w:p w14:paraId="7B32F76F" w14:textId="77777777" w:rsidR="00706053" w:rsidRPr="00923573" w:rsidRDefault="00706053" w:rsidP="00706053">
      <w:pPr>
        <w:autoSpaceDE/>
        <w:autoSpaceDN/>
        <w:spacing w:after="200" w:line="276" w:lineRule="auto"/>
        <w:ind w:left="426"/>
        <w:jc w:val="both"/>
        <w:rPr>
          <w:rFonts w:ascii="Calibri Light" w:eastAsia="MS Mincho" w:hAnsi="Calibri Light" w:cs="Calibri Light"/>
          <w:sz w:val="24"/>
          <w:szCs w:val="24"/>
          <w:lang w:eastAsia="en-US"/>
        </w:rPr>
      </w:pPr>
    </w:p>
    <w:p w14:paraId="70BCC519" w14:textId="0666BACE" w:rsidR="008F1989" w:rsidRPr="00CB660C" w:rsidRDefault="00CB660C" w:rsidP="00CB660C">
      <w:pPr>
        <w:autoSpaceDE/>
        <w:autoSpaceDN/>
        <w:spacing w:after="200" w:line="276" w:lineRule="auto"/>
        <w:jc w:val="center"/>
        <w:rPr>
          <w:rFonts w:ascii="Calibri Light" w:eastAsia="MS Mincho" w:hAnsi="Calibri Light" w:cs="Calibri Light"/>
          <w:sz w:val="24"/>
          <w:szCs w:val="24"/>
          <w:lang w:val="en-GB" w:eastAsia="en-US"/>
        </w:rPr>
      </w:pPr>
      <w:r w:rsidRPr="00706053">
        <w:rPr>
          <w:rFonts w:eastAsia="Calibri" w:cs="Traditional Arabic"/>
          <w:noProof/>
          <w:sz w:val="24"/>
          <w:szCs w:val="24"/>
          <w:lang w:val="en-ID" w:eastAsia="en-US"/>
        </w:rPr>
        <w:lastRenderedPageBreak/>
        <w:drawing>
          <wp:anchor distT="0" distB="0" distL="114300" distR="114300" simplePos="0" relativeHeight="251699712" behindDoc="0" locked="0" layoutInCell="1" allowOverlap="1" wp14:anchorId="7EF6B9B8" wp14:editId="7FD6CA5A">
            <wp:simplePos x="0" y="0"/>
            <wp:positionH relativeFrom="margin">
              <wp:align>center</wp:align>
            </wp:positionH>
            <wp:positionV relativeFrom="paragraph">
              <wp:posOffset>34946</wp:posOffset>
            </wp:positionV>
            <wp:extent cx="5162550" cy="2585085"/>
            <wp:effectExtent l="0" t="0" r="0" b="5715"/>
            <wp:wrapTopAndBottom/>
            <wp:docPr id="124755429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168943" cy="258874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5A4B" w:rsidRPr="00706053">
        <w:rPr>
          <w:rFonts w:ascii="Calibri Light" w:eastAsia="MS Mincho" w:hAnsi="Calibri Light" w:cs="Calibri Light"/>
          <w:b/>
          <w:bCs/>
          <w:sz w:val="24"/>
          <w:szCs w:val="24"/>
          <w:lang w:eastAsia="en-US"/>
        </w:rPr>
        <w:t xml:space="preserve">Figure </w:t>
      </w:r>
      <w:r w:rsidR="008D75B2">
        <w:rPr>
          <w:rFonts w:ascii="Calibri Light" w:eastAsia="MS Mincho" w:hAnsi="Calibri Light" w:cs="Calibri Light"/>
          <w:b/>
          <w:bCs/>
          <w:sz w:val="24"/>
          <w:szCs w:val="24"/>
          <w:lang w:eastAsia="en-US"/>
        </w:rPr>
        <w:t>8</w:t>
      </w:r>
      <w:r w:rsidR="00B75A4B" w:rsidRPr="00706053">
        <w:rPr>
          <w:rFonts w:ascii="Calibri Light" w:eastAsia="MS Mincho" w:hAnsi="Calibri Light" w:cs="Calibri Light"/>
          <w:b/>
          <w:bCs/>
          <w:sz w:val="24"/>
          <w:szCs w:val="24"/>
          <w:lang w:eastAsia="en-US"/>
        </w:rPr>
        <w:t>.</w:t>
      </w:r>
      <w:r w:rsidR="00B75A4B" w:rsidRPr="00706053">
        <w:rPr>
          <w:rFonts w:ascii="Calibri Light" w:eastAsia="MS Mincho" w:hAnsi="Calibri Light" w:cs="Calibri Light"/>
          <w:sz w:val="24"/>
          <w:szCs w:val="24"/>
          <w:lang w:eastAsia="en-US"/>
        </w:rPr>
        <w:t xml:space="preserve"> Top Contributing Institutions in Islamic Banking Research</w:t>
      </w:r>
      <w:r w:rsidR="00B75A4B" w:rsidRPr="00706053">
        <w:rPr>
          <w:rFonts w:eastAsia="Calibri" w:cs="Traditional Arabic"/>
          <w:noProof/>
          <w:sz w:val="24"/>
          <w:szCs w:val="24"/>
          <w:lang w:val="en-ID" w:eastAsia="en-US"/>
        </w:rPr>
        <w:t xml:space="preserve"> </w:t>
      </w:r>
    </w:p>
    <w:tbl>
      <w:tblPr>
        <w:tblStyle w:val="PlainTable21"/>
        <w:tblW w:w="0" w:type="auto"/>
        <w:tblLook w:val="04A0" w:firstRow="1" w:lastRow="0" w:firstColumn="1" w:lastColumn="0" w:noHBand="0" w:noVBand="1"/>
      </w:tblPr>
      <w:tblGrid>
        <w:gridCol w:w="2232"/>
        <w:gridCol w:w="1008"/>
        <w:gridCol w:w="762"/>
        <w:gridCol w:w="848"/>
        <w:gridCol w:w="2344"/>
        <w:gridCol w:w="1441"/>
      </w:tblGrid>
      <w:tr w:rsidR="00B75A4B" w14:paraId="08CCC053" w14:textId="77777777" w:rsidTr="00835E5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2" w:type="dxa"/>
            <w:shd w:val="clear" w:color="auto" w:fill="E5B8B7" w:themeFill="accent2" w:themeFillTint="66"/>
          </w:tcPr>
          <w:p w14:paraId="50120BFC" w14:textId="6BADE5CB" w:rsidR="009C7D8B" w:rsidRPr="005A1BE1" w:rsidRDefault="009C7D8B" w:rsidP="001834D8">
            <w:pPr>
              <w:autoSpaceDE/>
              <w:autoSpaceDN/>
              <w:spacing w:after="200" w:line="276" w:lineRule="auto"/>
              <w:jc w:val="center"/>
              <w:rPr>
                <w:rFonts w:ascii="Calibri Light" w:eastAsia="MS Mincho" w:hAnsi="Calibri Light" w:cs="Calibri Light"/>
                <w:b w:val="0"/>
                <w:bCs w:val="0"/>
                <w:lang w:eastAsia="en-US"/>
              </w:rPr>
            </w:pPr>
            <w:r w:rsidRPr="005A1BE1">
              <w:rPr>
                <w:rFonts w:ascii="Calibri Light" w:eastAsia="MS Mincho" w:hAnsi="Calibri Light" w:cs="Calibri Light"/>
                <w:lang w:eastAsia="en-US"/>
              </w:rPr>
              <w:t>Source/Journal</w:t>
            </w:r>
          </w:p>
        </w:tc>
        <w:tc>
          <w:tcPr>
            <w:tcW w:w="1008" w:type="dxa"/>
            <w:shd w:val="clear" w:color="auto" w:fill="E5B8B7" w:themeFill="accent2" w:themeFillTint="66"/>
          </w:tcPr>
          <w:p w14:paraId="5F629D5C" w14:textId="7D59067E" w:rsidR="009C7D8B" w:rsidRPr="005A1BE1" w:rsidRDefault="009C7D8B" w:rsidP="001834D8">
            <w:pPr>
              <w:autoSpaceDE/>
              <w:autoSpaceDN/>
              <w:spacing w:after="200"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TP</w:t>
            </w:r>
          </w:p>
        </w:tc>
        <w:tc>
          <w:tcPr>
            <w:tcW w:w="762" w:type="dxa"/>
            <w:shd w:val="clear" w:color="auto" w:fill="E5B8B7" w:themeFill="accent2" w:themeFillTint="66"/>
          </w:tcPr>
          <w:p w14:paraId="653BB1F4" w14:textId="555B9799" w:rsidR="009C7D8B" w:rsidRPr="005A1BE1" w:rsidRDefault="009C7D8B" w:rsidP="00706053">
            <w:pPr>
              <w:autoSpaceDE/>
              <w:autoSpaceDN/>
              <w:spacing w:after="200" w:line="276" w:lineRule="auto"/>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TC</w:t>
            </w:r>
          </w:p>
        </w:tc>
        <w:tc>
          <w:tcPr>
            <w:tcW w:w="848" w:type="dxa"/>
            <w:shd w:val="clear" w:color="auto" w:fill="E5B8B7" w:themeFill="accent2" w:themeFillTint="66"/>
          </w:tcPr>
          <w:p w14:paraId="772A6E7C" w14:textId="7E7944A4" w:rsidR="009C7D8B" w:rsidRPr="005A1BE1" w:rsidRDefault="009C7D8B" w:rsidP="009C7D8B">
            <w:pPr>
              <w:autoSpaceDE/>
              <w:autoSpaceDN/>
              <w:spacing w:after="200" w:line="276" w:lineRule="auto"/>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9C7D8B">
              <w:rPr>
                <w:rFonts w:ascii="Calibri Light" w:eastAsia="MS Mincho" w:hAnsi="Calibri Light" w:cs="Calibri Light"/>
                <w:lang w:eastAsia="en-US"/>
              </w:rPr>
              <w:t>Cite score</w:t>
            </w:r>
          </w:p>
        </w:tc>
        <w:tc>
          <w:tcPr>
            <w:tcW w:w="2344" w:type="dxa"/>
            <w:shd w:val="clear" w:color="auto" w:fill="E5B8B7" w:themeFill="accent2" w:themeFillTint="66"/>
          </w:tcPr>
          <w:p w14:paraId="2098033E" w14:textId="1EF4F32D" w:rsidR="009C7D8B" w:rsidRPr="005A1BE1" w:rsidRDefault="009C7D8B" w:rsidP="00DD6F37">
            <w:pPr>
              <w:autoSpaceDE/>
              <w:autoSpaceDN/>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The most</w:t>
            </w:r>
            <w:r w:rsidR="00DD6F37">
              <w:rPr>
                <w:rFonts w:ascii="Calibri Light" w:eastAsia="MS Mincho" w:hAnsi="Calibri Light" w:cs="Calibri Light"/>
                <w:lang w:eastAsia="en-US"/>
              </w:rPr>
              <w:t xml:space="preserve"> </w:t>
            </w:r>
            <w:r w:rsidRPr="005A1BE1">
              <w:rPr>
                <w:rFonts w:ascii="Calibri Light" w:eastAsia="MS Mincho" w:hAnsi="Calibri Light" w:cs="Calibri Light"/>
                <w:lang w:eastAsia="en-US"/>
              </w:rPr>
              <w:t>cited</w:t>
            </w:r>
          </w:p>
          <w:p w14:paraId="3E26CE2F" w14:textId="02C11CDF" w:rsidR="009C7D8B" w:rsidRPr="005A1BE1" w:rsidRDefault="009C7D8B" w:rsidP="00DD6F37">
            <w:pPr>
              <w:autoSpaceDE/>
              <w:autoSpaceDN/>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5A1BE1">
              <w:rPr>
                <w:rFonts w:ascii="Calibri Light" w:eastAsia="MS Mincho" w:hAnsi="Calibri Light" w:cs="Calibri Light"/>
                <w:lang w:eastAsia="en-US"/>
              </w:rPr>
              <w:t>article</w:t>
            </w:r>
          </w:p>
        </w:tc>
        <w:tc>
          <w:tcPr>
            <w:tcW w:w="1441" w:type="dxa"/>
            <w:shd w:val="clear" w:color="auto" w:fill="E5B8B7" w:themeFill="accent2" w:themeFillTint="66"/>
          </w:tcPr>
          <w:p w14:paraId="71C0B42B" w14:textId="66A0036D" w:rsidR="009C7D8B" w:rsidRPr="005A1BE1" w:rsidRDefault="008003D6" w:rsidP="008003D6">
            <w:pPr>
              <w:autoSpaceDE/>
              <w:autoSpaceDN/>
              <w:jc w:val="center"/>
              <w:cnfStyle w:val="100000000000" w:firstRow="1" w:lastRow="0" w:firstColumn="0" w:lastColumn="0" w:oddVBand="0" w:evenVBand="0" w:oddHBand="0" w:evenHBand="0" w:firstRowFirstColumn="0" w:firstRowLastColumn="0" w:lastRowFirstColumn="0" w:lastRowLastColumn="0"/>
              <w:rPr>
                <w:rFonts w:ascii="Calibri Light" w:eastAsia="MS Mincho" w:hAnsi="Calibri Light" w:cs="Calibri Light"/>
                <w:b w:val="0"/>
                <w:bCs w:val="0"/>
                <w:lang w:eastAsia="en-US"/>
              </w:rPr>
            </w:pPr>
            <w:r w:rsidRPr="008003D6">
              <w:rPr>
                <w:rFonts w:ascii="Calibri Light" w:eastAsia="MS Mincho" w:hAnsi="Calibri Light" w:cs="Calibri Light"/>
                <w:lang w:eastAsia="en-US"/>
              </w:rPr>
              <w:t>Publisher</w:t>
            </w:r>
          </w:p>
        </w:tc>
      </w:tr>
      <w:tr w:rsidR="00B75A4B" w14:paraId="22343749" w14:textId="77777777" w:rsidTr="00835E51">
        <w:trPr>
          <w:cnfStyle w:val="000000100000" w:firstRow="0" w:lastRow="0" w:firstColumn="0" w:lastColumn="0" w:oddVBand="0" w:evenVBand="0" w:oddHBand="1" w:evenHBand="0" w:firstRowFirstColumn="0" w:firstRowLastColumn="0" w:lastRowFirstColumn="0" w:lastRowLastColumn="0"/>
          <w:trHeight w:val="1178"/>
        </w:trPr>
        <w:tc>
          <w:tcPr>
            <w:cnfStyle w:val="001000000000" w:firstRow="0" w:lastRow="0" w:firstColumn="1" w:lastColumn="0" w:oddVBand="0" w:evenVBand="0" w:oddHBand="0" w:evenHBand="0" w:firstRowFirstColumn="0" w:firstRowLastColumn="0" w:lastRowFirstColumn="0" w:lastRowLastColumn="0"/>
            <w:tcW w:w="2232" w:type="dxa"/>
          </w:tcPr>
          <w:p w14:paraId="31FAD671" w14:textId="2190B9EF" w:rsidR="009C7D8B" w:rsidRPr="003E017E" w:rsidRDefault="009C7D8B" w:rsidP="00B75A4B">
            <w:pPr>
              <w:autoSpaceDE/>
              <w:autoSpaceDN/>
              <w:spacing w:after="200" w:line="276" w:lineRule="auto"/>
              <w:rPr>
                <w:rFonts w:ascii="Calibri Light" w:eastAsia="MS Mincho" w:hAnsi="Calibri Light" w:cs="Calibri Light"/>
                <w:lang w:val="en-ID" w:eastAsia="en-US"/>
              </w:rPr>
            </w:pPr>
            <w:r w:rsidRPr="003E017E">
              <w:rPr>
                <w:rFonts w:ascii="Calibri Light" w:eastAsia="MS Mincho" w:hAnsi="Calibri Light" w:cs="Calibri Light"/>
                <w:lang w:val="en-ID" w:eastAsia="en-US"/>
              </w:rPr>
              <w:t>Journal of</w:t>
            </w:r>
            <w:r w:rsidR="00B75A4B">
              <w:rPr>
                <w:rFonts w:ascii="Calibri Light" w:eastAsia="MS Mincho" w:hAnsi="Calibri Light" w:cs="Calibri Light"/>
                <w:lang w:val="en-ID" w:eastAsia="en-US"/>
              </w:rPr>
              <w:t xml:space="preserve"> </w:t>
            </w:r>
            <w:r w:rsidRPr="003E017E">
              <w:rPr>
                <w:rFonts w:ascii="Calibri Light" w:eastAsia="MS Mincho" w:hAnsi="Calibri Light" w:cs="Calibri Light"/>
                <w:lang w:val="en-ID" w:eastAsia="en-US"/>
              </w:rPr>
              <w:t>Islamic Accounting and Business Research</w:t>
            </w:r>
          </w:p>
        </w:tc>
        <w:tc>
          <w:tcPr>
            <w:tcW w:w="1008" w:type="dxa"/>
          </w:tcPr>
          <w:p w14:paraId="623ACC81"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7F017FEB" w14:textId="1676AF96" w:rsidR="009C7D8B" w:rsidRDefault="00AD5DCB"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312</w:t>
            </w:r>
          </w:p>
        </w:tc>
        <w:tc>
          <w:tcPr>
            <w:tcW w:w="762" w:type="dxa"/>
          </w:tcPr>
          <w:p w14:paraId="7DD0DAC0"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77955686" w14:textId="04C467DA" w:rsidR="009C7D8B" w:rsidRDefault="00AD5DCB"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1.493</w:t>
            </w:r>
          </w:p>
        </w:tc>
        <w:tc>
          <w:tcPr>
            <w:tcW w:w="848" w:type="dxa"/>
          </w:tcPr>
          <w:p w14:paraId="4DB13024" w14:textId="77777777" w:rsidR="001C1AEE" w:rsidRDefault="001C1AEE" w:rsidP="009C7D8B">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1AC0ED2C" w14:textId="5064FFAB" w:rsidR="009C7D8B" w:rsidRDefault="009C7D8B" w:rsidP="009C7D8B">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9C7D8B">
              <w:rPr>
                <w:rFonts w:ascii="Calibri Light" w:eastAsia="MS Mincho" w:hAnsi="Calibri Light" w:cs="Calibri Light"/>
                <w:lang w:eastAsia="en-US"/>
              </w:rPr>
              <w:t>4.8</w:t>
            </w:r>
          </w:p>
        </w:tc>
        <w:tc>
          <w:tcPr>
            <w:tcW w:w="2344" w:type="dxa"/>
          </w:tcPr>
          <w:p w14:paraId="6D23B34B" w14:textId="77777777" w:rsidR="009C7D8B" w:rsidRDefault="002E4286" w:rsidP="008003D6">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val="en-ID" w:eastAsia="en-US"/>
              </w:rPr>
            </w:pPr>
            <w:r w:rsidRPr="002E4286">
              <w:rPr>
                <w:rFonts w:ascii="Calibri Light" w:eastAsia="MS Mincho" w:hAnsi="Calibri Light" w:cs="Calibri Light"/>
                <w:lang w:val="en-ID" w:eastAsia="en-US"/>
              </w:rPr>
              <w:t xml:space="preserve">Corporate Social Performance </w:t>
            </w:r>
            <w:proofErr w:type="gramStart"/>
            <w:r w:rsidRPr="002E4286">
              <w:rPr>
                <w:rFonts w:ascii="Calibri Light" w:eastAsia="MS Mincho" w:hAnsi="Calibri Light" w:cs="Calibri Light"/>
                <w:lang w:val="en-ID" w:eastAsia="en-US"/>
              </w:rPr>
              <w:t>And</w:t>
            </w:r>
            <w:proofErr w:type="gramEnd"/>
            <w:r w:rsidRPr="002E4286">
              <w:rPr>
                <w:rFonts w:ascii="Calibri Light" w:eastAsia="MS Mincho" w:hAnsi="Calibri Light" w:cs="Calibri Light"/>
                <w:lang w:val="en-ID" w:eastAsia="en-US"/>
              </w:rPr>
              <w:t xml:space="preserve"> Financial Stability: Evidence From Islamic, Social And Conventional Banking Models</w:t>
            </w:r>
          </w:p>
          <w:p w14:paraId="37255222" w14:textId="0A2D43D3" w:rsidR="00771574" w:rsidRPr="002E4286" w:rsidRDefault="00771574" w:rsidP="008003D6">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val="en-ID" w:eastAsia="en-US"/>
              </w:rPr>
            </w:pPr>
          </w:p>
        </w:tc>
        <w:tc>
          <w:tcPr>
            <w:tcW w:w="1441" w:type="dxa"/>
          </w:tcPr>
          <w:p w14:paraId="2DCCBB25" w14:textId="0715CC78" w:rsidR="009C7D8B" w:rsidRDefault="008003D6" w:rsidP="008003D6">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8003D6">
              <w:rPr>
                <w:rFonts w:ascii="Calibri Light" w:eastAsia="MS Mincho" w:hAnsi="Calibri Light" w:cs="Calibri Light"/>
                <w:lang w:eastAsia="en-US"/>
              </w:rPr>
              <w:t>Bank Indonesia Institute</w:t>
            </w:r>
          </w:p>
        </w:tc>
      </w:tr>
      <w:tr w:rsidR="00B75A4B" w14:paraId="20734782" w14:textId="77777777" w:rsidTr="00835E51">
        <w:trPr>
          <w:trHeight w:val="1655"/>
        </w:trPr>
        <w:tc>
          <w:tcPr>
            <w:cnfStyle w:val="001000000000" w:firstRow="0" w:lastRow="0" w:firstColumn="1" w:lastColumn="0" w:oddVBand="0" w:evenVBand="0" w:oddHBand="0" w:evenHBand="0" w:firstRowFirstColumn="0" w:firstRowLastColumn="0" w:lastRowFirstColumn="0" w:lastRowLastColumn="0"/>
            <w:tcW w:w="2232" w:type="dxa"/>
          </w:tcPr>
          <w:p w14:paraId="6CB9296A" w14:textId="77777777" w:rsidR="001C1AEE" w:rsidRDefault="001C1AEE" w:rsidP="00B75A4B">
            <w:pPr>
              <w:autoSpaceDE/>
              <w:autoSpaceDN/>
              <w:spacing w:after="200" w:line="276" w:lineRule="auto"/>
              <w:jc w:val="center"/>
              <w:rPr>
                <w:rFonts w:ascii="Calibri Light" w:eastAsia="MS Mincho" w:hAnsi="Calibri Light" w:cs="Calibri Light"/>
                <w:b w:val="0"/>
                <w:bCs w:val="0"/>
                <w:lang w:eastAsia="en-US"/>
              </w:rPr>
            </w:pPr>
          </w:p>
          <w:p w14:paraId="4839B1E1" w14:textId="15C975CE" w:rsidR="009C7D8B" w:rsidRDefault="00BF672B" w:rsidP="00B75A4B">
            <w:pPr>
              <w:autoSpaceDE/>
              <w:autoSpaceDN/>
              <w:spacing w:after="200" w:line="276" w:lineRule="auto"/>
              <w:jc w:val="center"/>
              <w:rPr>
                <w:rFonts w:ascii="Calibri Light" w:eastAsia="MS Mincho" w:hAnsi="Calibri Light" w:cs="Calibri Light"/>
                <w:lang w:eastAsia="en-US"/>
              </w:rPr>
            </w:pPr>
            <w:r w:rsidRPr="00BF672B">
              <w:rPr>
                <w:rFonts w:ascii="Calibri Light" w:eastAsia="MS Mincho" w:hAnsi="Calibri Light" w:cs="Calibri Light"/>
                <w:lang w:eastAsia="en-US"/>
              </w:rPr>
              <w:t>Journal Of Islamic Marketing</w:t>
            </w:r>
          </w:p>
        </w:tc>
        <w:tc>
          <w:tcPr>
            <w:tcW w:w="1008" w:type="dxa"/>
          </w:tcPr>
          <w:p w14:paraId="192A9205" w14:textId="77777777" w:rsidR="001C1AEE" w:rsidRDefault="001C1AEE"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6869CDB7" w14:textId="2D75BEEF" w:rsidR="009C7D8B" w:rsidRDefault="00AD5DC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469</w:t>
            </w:r>
          </w:p>
        </w:tc>
        <w:tc>
          <w:tcPr>
            <w:tcW w:w="762" w:type="dxa"/>
          </w:tcPr>
          <w:p w14:paraId="0F1D9713" w14:textId="77777777" w:rsidR="001C1AEE" w:rsidRDefault="001C1AEE"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3E05E289" w14:textId="11309054" w:rsidR="009C7D8B" w:rsidRDefault="00AD5DC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3.960</w:t>
            </w:r>
          </w:p>
        </w:tc>
        <w:tc>
          <w:tcPr>
            <w:tcW w:w="848" w:type="dxa"/>
          </w:tcPr>
          <w:p w14:paraId="1C8AD992" w14:textId="77777777" w:rsidR="001C1AEE" w:rsidRDefault="001C1AEE"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1464D5A2" w14:textId="7D395BFC" w:rsidR="009C7D8B" w:rsidRDefault="0081566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8.4</w:t>
            </w:r>
          </w:p>
        </w:tc>
        <w:tc>
          <w:tcPr>
            <w:tcW w:w="2344" w:type="dxa"/>
          </w:tcPr>
          <w:p w14:paraId="207FD71F" w14:textId="77777777" w:rsidR="009C7D8B" w:rsidRDefault="0043726F" w:rsidP="0043726F">
            <w:pPr>
              <w:autoSpaceDE/>
              <w:autoSpaceDN/>
              <w:spacing w:after="200" w:line="276" w:lineRule="auto"/>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Readiness to change in Islamic banking: the significance of adaptability and Islamic work ethics</w:t>
            </w:r>
          </w:p>
          <w:p w14:paraId="02D081AF" w14:textId="166A0744" w:rsidR="00771574" w:rsidRDefault="00771574" w:rsidP="0043726F">
            <w:pPr>
              <w:autoSpaceDE/>
              <w:autoSpaceDN/>
              <w:spacing w:after="200" w:line="276" w:lineRule="auto"/>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tc>
        <w:tc>
          <w:tcPr>
            <w:tcW w:w="1441" w:type="dxa"/>
          </w:tcPr>
          <w:p w14:paraId="140BB6DF" w14:textId="7EF3140B" w:rsidR="009C7D8B" w:rsidRDefault="0043726F" w:rsidP="0043726F">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Emerald Publishing</w:t>
            </w:r>
          </w:p>
        </w:tc>
      </w:tr>
      <w:tr w:rsidR="00B75A4B" w14:paraId="68CC5CB4" w14:textId="77777777" w:rsidTr="00835E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2" w:type="dxa"/>
          </w:tcPr>
          <w:p w14:paraId="018AFD14" w14:textId="59D41E0F" w:rsidR="009C7D8B" w:rsidRDefault="00AD5DCB" w:rsidP="00B75A4B">
            <w:pPr>
              <w:autoSpaceDE/>
              <w:autoSpaceDN/>
              <w:spacing w:after="200" w:line="276" w:lineRule="auto"/>
              <w:rPr>
                <w:rFonts w:ascii="Calibri Light" w:eastAsia="MS Mincho" w:hAnsi="Calibri Light" w:cs="Calibri Light"/>
                <w:lang w:eastAsia="en-US"/>
              </w:rPr>
            </w:pPr>
            <w:r w:rsidRPr="00AD5DCB">
              <w:rPr>
                <w:rFonts w:ascii="Calibri Light" w:eastAsia="MS Mincho" w:hAnsi="Calibri Light" w:cs="Calibri Light"/>
                <w:lang w:eastAsia="en-US"/>
              </w:rPr>
              <w:t xml:space="preserve">International Journal </w:t>
            </w:r>
            <w:proofErr w:type="gramStart"/>
            <w:r w:rsidRPr="00AD5DCB">
              <w:rPr>
                <w:rFonts w:ascii="Calibri Light" w:eastAsia="MS Mincho" w:hAnsi="Calibri Light" w:cs="Calibri Light"/>
                <w:lang w:eastAsia="en-US"/>
              </w:rPr>
              <w:t>Of</w:t>
            </w:r>
            <w:proofErr w:type="gramEnd"/>
            <w:r w:rsidRPr="00AD5DCB">
              <w:rPr>
                <w:rFonts w:ascii="Calibri Light" w:eastAsia="MS Mincho" w:hAnsi="Calibri Light" w:cs="Calibri Light"/>
                <w:lang w:eastAsia="en-US"/>
              </w:rPr>
              <w:t xml:space="preserve"> Islamic And Middle Eastern Finance And Management</w:t>
            </w:r>
          </w:p>
        </w:tc>
        <w:tc>
          <w:tcPr>
            <w:tcW w:w="1008" w:type="dxa"/>
          </w:tcPr>
          <w:p w14:paraId="139E1F86"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4C1B9A3E" w14:textId="76EA3FCA" w:rsidR="009C7D8B" w:rsidRDefault="00534EF0"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224</w:t>
            </w:r>
          </w:p>
        </w:tc>
        <w:tc>
          <w:tcPr>
            <w:tcW w:w="762" w:type="dxa"/>
          </w:tcPr>
          <w:p w14:paraId="17A0DB9F"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59F91C48" w14:textId="342C03F7" w:rsidR="009C7D8B" w:rsidRDefault="00534EF0"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1.208</w:t>
            </w:r>
          </w:p>
        </w:tc>
        <w:tc>
          <w:tcPr>
            <w:tcW w:w="848" w:type="dxa"/>
          </w:tcPr>
          <w:p w14:paraId="191A9FEB" w14:textId="77777777" w:rsidR="001C1AEE" w:rsidRDefault="001C1AEE" w:rsidP="00815661">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55E2223C" w14:textId="111621C8" w:rsidR="009C7D8B" w:rsidRDefault="00815661" w:rsidP="00815661">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815661">
              <w:rPr>
                <w:rFonts w:ascii="Calibri Light" w:eastAsia="MS Mincho" w:hAnsi="Calibri Light" w:cs="Calibri Light"/>
                <w:lang w:eastAsia="en-US"/>
              </w:rPr>
              <w:t>5.4</w:t>
            </w:r>
          </w:p>
        </w:tc>
        <w:tc>
          <w:tcPr>
            <w:tcW w:w="2344" w:type="dxa"/>
          </w:tcPr>
          <w:p w14:paraId="44BEE0B4" w14:textId="1B901309" w:rsidR="009C7D8B" w:rsidRDefault="0043726F" w:rsidP="0043726F">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Factors affecting SMEs’ choice of banks in Oman: an emphasis on Islamic banks</w:t>
            </w:r>
          </w:p>
        </w:tc>
        <w:tc>
          <w:tcPr>
            <w:tcW w:w="1441" w:type="dxa"/>
          </w:tcPr>
          <w:p w14:paraId="69BF3E77" w14:textId="1B537AE2" w:rsidR="009C7D8B" w:rsidRDefault="0043726F" w:rsidP="0043726F">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43726F">
              <w:rPr>
                <w:rFonts w:ascii="Calibri Light" w:eastAsia="MS Mincho" w:hAnsi="Calibri Light" w:cs="Calibri Light"/>
                <w:lang w:eastAsia="en-US"/>
              </w:rPr>
              <w:t>Emerald Publishing</w:t>
            </w:r>
          </w:p>
        </w:tc>
      </w:tr>
      <w:tr w:rsidR="00B75A4B" w14:paraId="518EE525" w14:textId="77777777" w:rsidTr="00835E51">
        <w:tc>
          <w:tcPr>
            <w:cnfStyle w:val="001000000000" w:firstRow="0" w:lastRow="0" w:firstColumn="1" w:lastColumn="0" w:oddVBand="0" w:evenVBand="0" w:oddHBand="0" w:evenHBand="0" w:firstRowFirstColumn="0" w:firstRowLastColumn="0" w:lastRowFirstColumn="0" w:lastRowLastColumn="0"/>
            <w:tcW w:w="2232" w:type="dxa"/>
          </w:tcPr>
          <w:p w14:paraId="030D60CD" w14:textId="3A48FEC7" w:rsidR="009C7D8B" w:rsidRDefault="00AD5DCB" w:rsidP="001C1AEE">
            <w:pPr>
              <w:autoSpaceDE/>
              <w:autoSpaceDN/>
              <w:spacing w:after="200" w:line="276" w:lineRule="auto"/>
              <w:jc w:val="center"/>
              <w:rPr>
                <w:rFonts w:ascii="Calibri Light" w:eastAsia="MS Mincho" w:hAnsi="Calibri Light" w:cs="Calibri Light"/>
                <w:lang w:eastAsia="en-US"/>
              </w:rPr>
            </w:pPr>
            <w:r w:rsidRPr="00AD5DCB">
              <w:rPr>
                <w:rFonts w:ascii="Calibri Light" w:eastAsia="MS Mincho" w:hAnsi="Calibri Light" w:cs="Calibri Light"/>
                <w:lang w:eastAsia="en-US"/>
              </w:rPr>
              <w:lastRenderedPageBreak/>
              <w:t xml:space="preserve">Journal Of Islamic Monetary Economics </w:t>
            </w:r>
            <w:proofErr w:type="gramStart"/>
            <w:r w:rsidRPr="00AD5DCB">
              <w:rPr>
                <w:rFonts w:ascii="Calibri Light" w:eastAsia="MS Mincho" w:hAnsi="Calibri Light" w:cs="Calibri Light"/>
                <w:lang w:eastAsia="en-US"/>
              </w:rPr>
              <w:t>And</w:t>
            </w:r>
            <w:proofErr w:type="gramEnd"/>
            <w:r w:rsidRPr="00AD5DCB">
              <w:rPr>
                <w:rFonts w:ascii="Calibri Light" w:eastAsia="MS Mincho" w:hAnsi="Calibri Light" w:cs="Calibri Light"/>
                <w:lang w:eastAsia="en-US"/>
              </w:rPr>
              <w:t xml:space="preserve"> Finance</w:t>
            </w:r>
          </w:p>
        </w:tc>
        <w:tc>
          <w:tcPr>
            <w:tcW w:w="1008" w:type="dxa"/>
          </w:tcPr>
          <w:p w14:paraId="3CFCDB45" w14:textId="77777777" w:rsidR="00835E51" w:rsidRDefault="00835E5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3347522B" w14:textId="17B2AF54" w:rsidR="009C7D8B" w:rsidRDefault="00B75A4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143</w:t>
            </w:r>
          </w:p>
        </w:tc>
        <w:tc>
          <w:tcPr>
            <w:tcW w:w="762" w:type="dxa"/>
          </w:tcPr>
          <w:p w14:paraId="56B412D1" w14:textId="77777777" w:rsidR="00835E51" w:rsidRDefault="00835E5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52281037" w14:textId="4B74B0EB" w:rsidR="009C7D8B" w:rsidRDefault="00B75A4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275</w:t>
            </w:r>
          </w:p>
        </w:tc>
        <w:tc>
          <w:tcPr>
            <w:tcW w:w="848" w:type="dxa"/>
          </w:tcPr>
          <w:p w14:paraId="7DFB9293" w14:textId="77777777" w:rsidR="00835E51" w:rsidRDefault="00835E51"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p w14:paraId="73036516" w14:textId="5542C7E5" w:rsidR="009C7D8B" w:rsidRDefault="00B75A4B"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1.9</w:t>
            </w:r>
          </w:p>
        </w:tc>
        <w:tc>
          <w:tcPr>
            <w:tcW w:w="2344" w:type="dxa"/>
          </w:tcPr>
          <w:p w14:paraId="7D72B598" w14:textId="77777777" w:rsidR="009C7D8B" w:rsidRDefault="00771574" w:rsidP="00771574">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771574">
              <w:rPr>
                <w:rFonts w:ascii="Calibri Light" w:eastAsia="MS Mincho" w:hAnsi="Calibri Light" w:cs="Calibri Light"/>
                <w:lang w:eastAsia="en-US"/>
              </w:rPr>
              <w:t>CORPORATE SOCIAL PERFORMANCE AND FINANCIAL STABILITY: EVIDENCE FROM ISLAMIC, SOCIAL AND CONVENTIONAL BANKING MODELS</w:t>
            </w:r>
          </w:p>
          <w:p w14:paraId="66030198" w14:textId="6E871C07" w:rsidR="00055DD9" w:rsidRDefault="00055DD9" w:rsidP="00771574">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p>
        </w:tc>
        <w:tc>
          <w:tcPr>
            <w:tcW w:w="1441" w:type="dxa"/>
          </w:tcPr>
          <w:p w14:paraId="1C61087A" w14:textId="78DD7829" w:rsidR="009C7D8B" w:rsidRDefault="00771574" w:rsidP="00706053">
            <w:pPr>
              <w:autoSpaceDE/>
              <w:autoSpaceDN/>
              <w:spacing w:after="200" w:line="276" w:lineRule="auto"/>
              <w:jc w:val="center"/>
              <w:cnfStyle w:val="000000000000" w:firstRow="0" w:lastRow="0" w:firstColumn="0" w:lastColumn="0" w:oddVBand="0" w:evenVBand="0" w:oddHBand="0" w:evenHBand="0" w:firstRowFirstColumn="0" w:firstRowLastColumn="0" w:lastRowFirstColumn="0" w:lastRowLastColumn="0"/>
              <w:rPr>
                <w:rFonts w:ascii="Calibri Light" w:eastAsia="MS Mincho" w:hAnsi="Calibri Light" w:cs="Calibri Light"/>
                <w:lang w:eastAsia="en-US"/>
              </w:rPr>
            </w:pPr>
            <w:r w:rsidRPr="00771574">
              <w:rPr>
                <w:rFonts w:ascii="Calibri Light" w:eastAsia="MS Mincho" w:hAnsi="Calibri Light" w:cs="Calibri Light"/>
                <w:lang w:eastAsia="en-US"/>
              </w:rPr>
              <w:t>Bank Indonesia Institute</w:t>
            </w:r>
          </w:p>
        </w:tc>
      </w:tr>
      <w:tr w:rsidR="00B75A4B" w14:paraId="4F9ADA26" w14:textId="77777777" w:rsidTr="00835E5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32" w:type="dxa"/>
          </w:tcPr>
          <w:p w14:paraId="10557A7E" w14:textId="77777777" w:rsidR="001C1AEE" w:rsidRDefault="001C1AEE" w:rsidP="00706053">
            <w:pPr>
              <w:autoSpaceDE/>
              <w:autoSpaceDN/>
              <w:spacing w:after="200" w:line="276" w:lineRule="auto"/>
              <w:jc w:val="center"/>
              <w:rPr>
                <w:rFonts w:ascii="Calibri Light" w:eastAsia="MS Mincho" w:hAnsi="Calibri Light" w:cs="Calibri Light"/>
                <w:b w:val="0"/>
                <w:bCs w:val="0"/>
                <w:lang w:eastAsia="en-US"/>
              </w:rPr>
            </w:pPr>
          </w:p>
          <w:p w14:paraId="71F99873" w14:textId="0F6427BF" w:rsidR="009C7D8B" w:rsidRDefault="00AD5DCB" w:rsidP="00706053">
            <w:pPr>
              <w:autoSpaceDE/>
              <w:autoSpaceDN/>
              <w:spacing w:after="200" w:line="276" w:lineRule="auto"/>
              <w:jc w:val="center"/>
              <w:rPr>
                <w:rFonts w:ascii="Calibri Light" w:eastAsia="MS Mincho" w:hAnsi="Calibri Light" w:cs="Calibri Light"/>
                <w:lang w:eastAsia="en-US"/>
              </w:rPr>
            </w:pPr>
            <w:r w:rsidRPr="00AD5DCB">
              <w:rPr>
                <w:rFonts w:ascii="Calibri Light" w:eastAsia="MS Mincho" w:hAnsi="Calibri Light" w:cs="Calibri Light"/>
                <w:lang w:eastAsia="en-US"/>
              </w:rPr>
              <w:t>Banks And Bank Systems</w:t>
            </w:r>
          </w:p>
        </w:tc>
        <w:tc>
          <w:tcPr>
            <w:tcW w:w="1008" w:type="dxa"/>
          </w:tcPr>
          <w:p w14:paraId="3D2BB993" w14:textId="77777777" w:rsidR="00835E51" w:rsidRDefault="00835E51"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0F5A7615" w14:textId="3733114E" w:rsidR="009C7D8B" w:rsidRDefault="00CB660C"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293</w:t>
            </w:r>
          </w:p>
        </w:tc>
        <w:tc>
          <w:tcPr>
            <w:tcW w:w="762" w:type="dxa"/>
          </w:tcPr>
          <w:p w14:paraId="77C3D4B4" w14:textId="77777777" w:rsidR="00835E51" w:rsidRDefault="00835E51"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1C70B250" w14:textId="517B06E1" w:rsidR="009C7D8B" w:rsidRDefault="00CB660C"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776</w:t>
            </w:r>
          </w:p>
        </w:tc>
        <w:tc>
          <w:tcPr>
            <w:tcW w:w="848" w:type="dxa"/>
          </w:tcPr>
          <w:p w14:paraId="5D5134D1" w14:textId="77777777" w:rsidR="001C1AEE" w:rsidRDefault="001C1AEE"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p w14:paraId="042488B1" w14:textId="5EF7A3BB" w:rsidR="009C7D8B" w:rsidRDefault="00CB660C"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Pr>
                <w:rFonts w:ascii="Calibri Light" w:eastAsia="MS Mincho" w:hAnsi="Calibri Light" w:cs="Calibri Light"/>
                <w:lang w:eastAsia="en-US"/>
              </w:rPr>
              <w:t>2.6</w:t>
            </w:r>
          </w:p>
        </w:tc>
        <w:tc>
          <w:tcPr>
            <w:tcW w:w="2344" w:type="dxa"/>
          </w:tcPr>
          <w:p w14:paraId="670F54DE" w14:textId="77777777" w:rsidR="00055DD9" w:rsidRDefault="007E4168" w:rsidP="001C1AEE">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7E4168">
              <w:rPr>
                <w:rFonts w:ascii="Calibri Light" w:eastAsia="MS Mincho" w:hAnsi="Calibri Light" w:cs="Calibri Light"/>
                <w:lang w:eastAsia="en-US"/>
              </w:rPr>
              <w:t>How does global economic policy uncertainty affect Islamic bank performance? An exploration from heterogeneous sample</w:t>
            </w:r>
          </w:p>
          <w:p w14:paraId="2A7560C2" w14:textId="6C553050" w:rsidR="001C1AEE" w:rsidRDefault="001C1AEE" w:rsidP="001C1AEE">
            <w:pPr>
              <w:autoSpaceDE/>
              <w:autoSpaceDN/>
              <w:spacing w:after="200" w:line="276" w:lineRule="auto"/>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p>
        </w:tc>
        <w:tc>
          <w:tcPr>
            <w:tcW w:w="1441" w:type="dxa"/>
          </w:tcPr>
          <w:p w14:paraId="740DC711" w14:textId="318900A4" w:rsidR="009C7D8B" w:rsidRDefault="007E4168" w:rsidP="00706053">
            <w:pPr>
              <w:autoSpaceDE/>
              <w:autoSpaceDN/>
              <w:spacing w:after="200" w:line="276" w:lineRule="auto"/>
              <w:jc w:val="center"/>
              <w:cnfStyle w:val="000000100000" w:firstRow="0" w:lastRow="0" w:firstColumn="0" w:lastColumn="0" w:oddVBand="0" w:evenVBand="0" w:oddHBand="1" w:evenHBand="0" w:firstRowFirstColumn="0" w:firstRowLastColumn="0" w:lastRowFirstColumn="0" w:lastRowLastColumn="0"/>
              <w:rPr>
                <w:rFonts w:ascii="Calibri Light" w:eastAsia="MS Mincho" w:hAnsi="Calibri Light" w:cs="Calibri Light"/>
                <w:lang w:eastAsia="en-US"/>
              </w:rPr>
            </w:pPr>
            <w:r w:rsidRPr="007E4168">
              <w:rPr>
                <w:rFonts w:ascii="Calibri Light" w:eastAsia="MS Mincho" w:hAnsi="Calibri Light" w:cs="Calibri Light"/>
                <w:lang w:eastAsia="en-US"/>
              </w:rPr>
              <w:t>Business Perspectives</w:t>
            </w:r>
          </w:p>
        </w:tc>
      </w:tr>
    </w:tbl>
    <w:p w14:paraId="474CB66A" w14:textId="77777777" w:rsidR="003E017E" w:rsidRDefault="003E017E" w:rsidP="003E017E">
      <w:pPr>
        <w:autoSpaceDE/>
        <w:autoSpaceDN/>
        <w:spacing w:after="200" w:line="276" w:lineRule="auto"/>
        <w:ind w:left="426"/>
        <w:rPr>
          <w:rFonts w:ascii="Calibri Light" w:eastAsia="MS Mincho" w:hAnsi="Calibri Light" w:cs="Calibri Light"/>
          <w:sz w:val="24"/>
          <w:szCs w:val="24"/>
          <w:lang w:eastAsia="en-US"/>
        </w:rPr>
      </w:pPr>
      <w:r w:rsidRPr="003E017E">
        <w:rPr>
          <w:rFonts w:ascii="Calibri Light" w:eastAsia="MS Mincho" w:hAnsi="Calibri Light" w:cs="Calibri Light"/>
          <w:sz w:val="24"/>
          <w:szCs w:val="24"/>
          <w:lang w:eastAsia="en-US"/>
        </w:rPr>
        <w:t xml:space="preserve">TP= Total publications, TC= total citations </w:t>
      </w:r>
    </w:p>
    <w:p w14:paraId="1EBA4C29" w14:textId="7E797C41" w:rsidR="001834D8" w:rsidRDefault="003E017E" w:rsidP="003E017E">
      <w:pPr>
        <w:autoSpaceDE/>
        <w:autoSpaceDN/>
        <w:spacing w:after="200" w:line="276" w:lineRule="auto"/>
        <w:ind w:left="426"/>
        <w:jc w:val="center"/>
        <w:rPr>
          <w:rFonts w:ascii="Calibri Light" w:eastAsia="MS Mincho" w:hAnsi="Calibri Light" w:cs="Calibri Light"/>
          <w:sz w:val="24"/>
          <w:szCs w:val="24"/>
          <w:rtl/>
          <w:lang w:eastAsia="en-US"/>
        </w:rPr>
      </w:pPr>
      <w:r w:rsidRPr="00A03679">
        <w:rPr>
          <w:rFonts w:ascii="Calibri Light" w:eastAsia="MS Mincho" w:hAnsi="Calibri Light" w:cs="Calibri Light"/>
          <w:b/>
          <w:bCs/>
          <w:sz w:val="24"/>
          <w:szCs w:val="24"/>
          <w:lang w:eastAsia="en-US"/>
        </w:rPr>
        <w:t xml:space="preserve">Table </w:t>
      </w:r>
      <w:r w:rsidR="00A03679" w:rsidRPr="00A03679">
        <w:rPr>
          <w:rFonts w:ascii="Calibri Light" w:eastAsia="MS Mincho" w:hAnsi="Calibri Light" w:cs="Calibri Light"/>
          <w:b/>
          <w:bCs/>
          <w:sz w:val="24"/>
          <w:szCs w:val="24"/>
          <w:lang w:eastAsia="en-US"/>
        </w:rPr>
        <w:t>3</w:t>
      </w:r>
      <w:r w:rsidRPr="00A03679">
        <w:rPr>
          <w:rFonts w:ascii="Calibri Light" w:eastAsia="MS Mincho" w:hAnsi="Calibri Light" w:cs="Calibri Light"/>
          <w:b/>
          <w:bCs/>
          <w:sz w:val="24"/>
          <w:szCs w:val="24"/>
          <w:lang w:eastAsia="en-US"/>
        </w:rPr>
        <w:t>.</w:t>
      </w:r>
      <w:r w:rsidRPr="003E017E">
        <w:rPr>
          <w:rFonts w:ascii="Calibri Light" w:eastAsia="MS Mincho" w:hAnsi="Calibri Light" w:cs="Calibri Light"/>
          <w:sz w:val="24"/>
          <w:szCs w:val="24"/>
          <w:lang w:eastAsia="en-US"/>
        </w:rPr>
        <w:t xml:space="preserve"> Summary of the most relevant journals</w:t>
      </w:r>
    </w:p>
    <w:p w14:paraId="2851AA7E" w14:textId="2BAC214F" w:rsidR="009E336E" w:rsidRDefault="009E336E" w:rsidP="009E336E">
      <w:pPr>
        <w:autoSpaceDE/>
        <w:autoSpaceDN/>
        <w:spacing w:after="200" w:line="276" w:lineRule="auto"/>
        <w:ind w:left="426"/>
        <w:jc w:val="both"/>
        <w:rPr>
          <w:rFonts w:ascii="Calibri Light" w:eastAsia="MS Mincho" w:hAnsi="Calibri Light" w:cs="Calibri Light"/>
          <w:sz w:val="24"/>
          <w:szCs w:val="24"/>
          <w:rtl/>
          <w:lang w:eastAsia="en-US"/>
        </w:rPr>
      </w:pPr>
      <w:r w:rsidRPr="009E336E">
        <w:rPr>
          <w:rFonts w:ascii="Calibri Light" w:eastAsia="MS Mincho" w:hAnsi="Calibri Light" w:cs="Calibri Light"/>
          <w:sz w:val="24"/>
          <w:szCs w:val="24"/>
          <w:lang w:eastAsia="en-US"/>
        </w:rPr>
        <w:t>Table</w:t>
      </w:r>
      <w:r w:rsidR="00BB50DF">
        <w:rPr>
          <w:rFonts w:ascii="Calibri Light" w:eastAsia="MS Mincho" w:hAnsi="Calibri Light" w:cs="Calibri Light"/>
          <w:sz w:val="24"/>
          <w:szCs w:val="24"/>
          <w:lang w:eastAsia="en-US"/>
        </w:rPr>
        <w:t xml:space="preserve"> 3 </w:t>
      </w:r>
      <w:r w:rsidRPr="009E336E">
        <w:rPr>
          <w:rFonts w:ascii="Calibri Light" w:eastAsia="MS Mincho" w:hAnsi="Calibri Light" w:cs="Calibri Light"/>
          <w:sz w:val="24"/>
          <w:szCs w:val="24"/>
          <w:lang w:eastAsia="en-US"/>
        </w:rPr>
        <w:t xml:space="preserve">presents a comparative analysis of the most prominent academic journals specializing in Islamic accounting, </w:t>
      </w:r>
      <w:r w:rsidR="00BB50DF">
        <w:rPr>
          <w:rFonts w:ascii="Calibri Light" w:eastAsia="MS Mincho" w:hAnsi="Calibri Light" w:cs="Calibri Light"/>
          <w:sz w:val="24"/>
          <w:szCs w:val="24"/>
          <w:lang w:eastAsia="en-US"/>
        </w:rPr>
        <w:t>banking</w:t>
      </w:r>
      <w:r w:rsidRPr="009E336E">
        <w:rPr>
          <w:rFonts w:ascii="Calibri Light" w:eastAsia="MS Mincho" w:hAnsi="Calibri Light" w:cs="Calibri Light"/>
          <w:sz w:val="24"/>
          <w:szCs w:val="24"/>
          <w:lang w:eastAsia="en-US"/>
        </w:rPr>
        <w:t xml:space="preserve"> and finance, based on scientific productivity (total publications), academic impact (total citations), and research quality (</w:t>
      </w:r>
      <w:proofErr w:type="spellStart"/>
      <w:r w:rsidRPr="009E336E">
        <w:rPr>
          <w:rFonts w:ascii="Calibri Light" w:eastAsia="MS Mincho" w:hAnsi="Calibri Light" w:cs="Calibri Light"/>
          <w:sz w:val="24"/>
          <w:szCs w:val="24"/>
          <w:lang w:eastAsia="en-US"/>
        </w:rPr>
        <w:t>CiteScore</w:t>
      </w:r>
      <w:proofErr w:type="spellEnd"/>
      <w:r w:rsidRPr="009E336E">
        <w:rPr>
          <w:rFonts w:ascii="Calibri Light" w:eastAsia="MS Mincho" w:hAnsi="Calibri Light" w:cs="Calibri Light"/>
          <w:sz w:val="24"/>
          <w:szCs w:val="24"/>
          <w:lang w:eastAsia="en-US"/>
        </w:rPr>
        <w:t>)</w:t>
      </w:r>
      <w:r w:rsidR="00C6181C">
        <w:rPr>
          <w:rFonts w:ascii="Calibri Light" w:eastAsia="MS Mincho" w:hAnsi="Calibri Light" w:cs="Calibri Light"/>
          <w:sz w:val="24"/>
          <w:szCs w:val="24"/>
          <w:lang w:eastAsia="en-US"/>
        </w:rPr>
        <w:t xml:space="preserve"> </w:t>
      </w:r>
      <w:r w:rsidR="00C6181C">
        <w:rPr>
          <w:rFonts w:ascii="Calibri Light" w:eastAsia="MS Mincho" w:hAnsi="Calibri Light" w:cs="Calibri Light"/>
          <w:sz w:val="24"/>
          <w:szCs w:val="24"/>
          <w:lang w:eastAsia="en-US"/>
        </w:rPr>
        <w:fldChar w:fldCharType="begin" w:fldLock="1"/>
      </w:r>
      <w:r w:rsidR="00C56155">
        <w:rPr>
          <w:rFonts w:ascii="Calibri Light" w:eastAsia="MS Mincho" w:hAnsi="Calibri Light" w:cs="Calibri Light"/>
          <w:sz w:val="24"/>
          <w:szCs w:val="24"/>
          <w:lang w:eastAsia="en-US"/>
        </w:rPr>
        <w:instrText>ADDIN CSL_CITATION {"citationItems":[{"id":"ITEM-1","itemData":{"ISSN":"2965-730X","author":[{"dropping-particle":"","family":"Ali","given":"Mohamad","non-dropping-particle":"","parse-names":false,"suffix":""},{"dropping-particle":"","family":"Tamami","given":"Fauziyah Qurrota A’yun","non-dropping-particle":"","parse-names":false,"suffix":""},{"dropping-particle":"","family":"Rahmawati","given":"Siti","non-dropping-particle":"","parse-names":false,"suffix":""},{"dropping-particle":"","family":"Elbanna","given":"Mariam","non-dropping-particle":"","parse-names":false,"suffix":""},{"dropping-particle":"","family":"AN","given":"Andri Nirwana","non-dropping-particle":"","parse-names":false,"suffix":""}],"container-title":"Journal of Lifestyle and SDGs Review","id":"ITEM-1","issue":"1","issued":{"date-parts":[["2025"]]},"page":"e03295-e03295","title":"Tracking Education Transformation Towards Sustainable Development Goals: A Bibliometric Review on the Influence of Socioeconomic Factors in the Education Ecosystem","type":"article-journal","volume":"5"},"uris":["http://www.mendeley.com/documents/?uuid=1790e42b-64c2-48a0-857d-df3572910017"]}],"mendeley":{"formattedCitation":"(M. Ali et al., 2025)","plainTextFormattedCitation":"(M. Ali et al., 2025)","previouslyFormattedCitation":"(M. Ali et al., 2025)"},"properties":{"noteIndex":0},"schema":"https://github.com/citation-style-language/schema/raw/master/csl-citation.json"}</w:instrText>
      </w:r>
      <w:r w:rsidR="00C6181C">
        <w:rPr>
          <w:rFonts w:ascii="Calibri Light" w:eastAsia="MS Mincho" w:hAnsi="Calibri Light" w:cs="Calibri Light"/>
          <w:sz w:val="24"/>
          <w:szCs w:val="24"/>
          <w:lang w:eastAsia="en-US"/>
        </w:rPr>
        <w:fldChar w:fldCharType="separate"/>
      </w:r>
      <w:r w:rsidR="00C6181C" w:rsidRPr="00C6181C">
        <w:rPr>
          <w:rFonts w:ascii="Calibri Light" w:eastAsia="MS Mincho" w:hAnsi="Calibri Light" w:cs="Calibri Light"/>
          <w:noProof/>
          <w:sz w:val="24"/>
          <w:szCs w:val="24"/>
          <w:lang w:eastAsia="en-US"/>
        </w:rPr>
        <w:t>(M. Ali et al., 2025)</w:t>
      </w:r>
      <w:r w:rsidR="00C6181C">
        <w:rPr>
          <w:rFonts w:ascii="Calibri Light" w:eastAsia="MS Mincho" w:hAnsi="Calibri Light" w:cs="Calibri Light"/>
          <w:sz w:val="24"/>
          <w:szCs w:val="24"/>
          <w:lang w:eastAsia="en-US"/>
        </w:rPr>
        <w:fldChar w:fldCharType="end"/>
      </w:r>
      <w:r w:rsidRPr="009E336E">
        <w:rPr>
          <w:rFonts w:ascii="Calibri Light" w:eastAsia="MS Mincho" w:hAnsi="Calibri Light" w:cs="Calibri Light"/>
          <w:sz w:val="24"/>
          <w:szCs w:val="24"/>
          <w:lang w:eastAsia="en-US"/>
        </w:rPr>
        <w:t xml:space="preserve">. The Journal of Islamic Marketing stands out as the most influential, with the highest number of citations and the highest </w:t>
      </w:r>
      <w:proofErr w:type="spellStart"/>
      <w:r w:rsidRPr="009E336E">
        <w:rPr>
          <w:rFonts w:ascii="Calibri Light" w:eastAsia="MS Mincho" w:hAnsi="Calibri Light" w:cs="Calibri Light"/>
          <w:sz w:val="24"/>
          <w:szCs w:val="24"/>
          <w:lang w:eastAsia="en-US"/>
        </w:rPr>
        <w:t>CiteScore</w:t>
      </w:r>
      <w:proofErr w:type="spellEnd"/>
      <w:r w:rsidRPr="009E336E">
        <w:rPr>
          <w:rFonts w:ascii="Calibri Light" w:eastAsia="MS Mincho" w:hAnsi="Calibri Light" w:cs="Calibri Light"/>
          <w:sz w:val="24"/>
          <w:szCs w:val="24"/>
          <w:lang w:eastAsia="en-US"/>
        </w:rPr>
        <w:t>, reflecting its distinguished academic status in the field. The significance of this analysis lies in its ability to guide</w:t>
      </w:r>
      <w:r w:rsidR="00BB50DF">
        <w:rPr>
          <w:rFonts w:ascii="Calibri Light" w:eastAsia="MS Mincho" w:hAnsi="Calibri Light" w:cs="Calibri Light"/>
          <w:sz w:val="24"/>
          <w:szCs w:val="24"/>
          <w:lang w:eastAsia="en-US"/>
        </w:rPr>
        <w:t xml:space="preserve"> </w:t>
      </w:r>
      <w:r w:rsidRPr="009E336E">
        <w:rPr>
          <w:rFonts w:ascii="Calibri Light" w:eastAsia="MS Mincho" w:hAnsi="Calibri Light" w:cs="Calibri Light"/>
          <w:sz w:val="24"/>
          <w:szCs w:val="24"/>
          <w:lang w:eastAsia="en-US"/>
        </w:rPr>
        <w:t>toward the most credible and impactful sources in the discipline, particularly when constructing the theoretical framework or selecting relevant literature. In the context of my research in Islamic economic law, referring to these journals is essential to enhance the credibility of the study and to rely on well-established and up-to-date scholarly literature in the field</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{"citationItems":[{"id":"ITEM-1","itemData":{"DOI":"10.1177/1350508420939245","ISSN":"13505084 (ISSN)","abstract":"In this article, we use the critical theory literature to describe the processes of co-optation by which capitalism engages with its radical alternatives in order to subvert their emancipatory potential. We chose the global Islamic banking industry as our empirical context, which represents bold efforts to build a radical alternative embedded in Islamic moral precepts. However, we observed that the performative intent of capitalist discourse, reflected in a strong preoccupation with effectiveness and efficiency, has come to dominate all economic claims in the Islamic banking industry. The oppositional ideas that were intended to disturb the economic status quo now reproduce it along with its privileges, despite the vaulted rhetoric about establishing a genuine alternative. The article ends by mapping out some implications of re-introducing co-optation in the critical theory literature. © The Author(s) 2020.","author":[{"dropping-particle":"","family":"Ul-Haq","given":"S","non-dropping-particle":"","parse-names":false,"suffix":""},{"dropping-particle":"","family":"Lone","given":"R A","non-dropping-particle":"","parse-names":false,"suffix":""},{"dropping-particle":"","family":"Ashraf","given":"N","non-dropping-particle":"","parse-names":false,"suffix":""}],"container-title":"Organization","id":"ITEM-1","issue":"1","issued":{"date-parts":[["2022"]]},"language":"English","note":"Export Date: 24 April 2025; Cited By: 13; Correspondence Address: N. Ashraf; Montpellier Business School, France; email: naeem.ashrf@gmail.com","page":"129-154","publisher":"SAGE Publications Ltd","publisher-place":"Karachi School of Business and Leadership, Pakistan","title":"A theory of capitalist co-optation of radical alternatives: The case of Islamic banking industry","type":"article-journal","volume":"29"},"uris":["http://www.mendeley.com/documents/?uuid=0eb88330-f38b-47a2-aa86-53b52d19b927"]}],"mendeley":{"formattedCitation":"(Ul-Haq et al., 2022)","plainTextFormattedCitation":"(Ul-Haq et al., 2022)","previouslyFormattedCitation":"(Ul-Haq et al., 2022)"},"properties":{"noteIndex":0},"schema":"https://github.com/citation-style-language/schema/raw/master/csl-citation.json"}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(Ul-Haq et al., 2022)</w:t>
      </w:r>
      <w:r w:rsidR="00BF5A85">
        <w:rPr>
          <w:rFonts w:ascii="Calibri Light" w:eastAsia="MS Mincho" w:hAnsi="Calibri Light" w:cs="Calibri Light"/>
          <w:sz w:val="24"/>
          <w:szCs w:val="24"/>
          <w:lang w:eastAsia="en-US"/>
        </w:rPr>
        <w:fldChar w:fldCharType="end"/>
      </w:r>
      <w:r w:rsidRPr="009E336E">
        <w:rPr>
          <w:rFonts w:ascii="Calibri Light" w:eastAsia="MS Mincho" w:hAnsi="Calibri Light" w:cs="Calibri Light"/>
          <w:sz w:val="24"/>
          <w:szCs w:val="24"/>
          <w:lang w:eastAsia="en-US"/>
        </w:rPr>
        <w:t>.</w:t>
      </w:r>
    </w:p>
    <w:p w14:paraId="5AC30BE7" w14:textId="0D6C7110" w:rsidR="001A4C9F" w:rsidRDefault="001A4C9F" w:rsidP="003E017E">
      <w:pPr>
        <w:autoSpaceDE/>
        <w:autoSpaceDN/>
        <w:spacing w:after="200" w:line="276" w:lineRule="auto"/>
        <w:ind w:left="426"/>
        <w:jc w:val="center"/>
        <w:rPr>
          <w:rFonts w:ascii="Calibri Light" w:eastAsia="MS Mincho" w:hAnsi="Calibri Light" w:cs="Calibri Light"/>
          <w:sz w:val="24"/>
          <w:szCs w:val="24"/>
          <w:rtl/>
          <w:lang w:eastAsia="en-US"/>
        </w:rPr>
      </w:pPr>
      <w:r>
        <w:rPr>
          <w:noProof/>
        </w:rPr>
        <w:lastRenderedPageBreak/>
        <w:drawing>
          <wp:inline distT="0" distB="0" distL="0" distR="0" wp14:anchorId="6D6810D8" wp14:editId="54601888">
            <wp:extent cx="4582140" cy="2638096"/>
            <wp:effectExtent l="0" t="0" r="9525" b="0"/>
            <wp:docPr id="906920719"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603097" cy="2650162"/>
                    </a:xfrm>
                    <a:prstGeom prst="rect">
                      <a:avLst/>
                    </a:prstGeom>
                    <a:noFill/>
                    <a:ln>
                      <a:noFill/>
                    </a:ln>
                  </pic:spPr>
                </pic:pic>
              </a:graphicData>
            </a:graphic>
          </wp:inline>
        </w:drawing>
      </w:r>
    </w:p>
    <w:p w14:paraId="1612541A" w14:textId="40C3F1A3" w:rsidR="001A4C9F" w:rsidRDefault="001A4C9F" w:rsidP="001A4C9F">
      <w:pPr>
        <w:autoSpaceDE/>
        <w:autoSpaceDN/>
        <w:spacing w:after="200" w:line="276" w:lineRule="auto"/>
        <w:ind w:left="426"/>
        <w:jc w:val="center"/>
        <w:rPr>
          <w:rFonts w:ascii="Calibri Light" w:eastAsia="MS Mincho" w:hAnsi="Calibri Light" w:cs="Calibri Light"/>
          <w:sz w:val="24"/>
          <w:szCs w:val="24"/>
          <w:rtl/>
          <w:lang w:eastAsia="en-US"/>
        </w:rPr>
      </w:pPr>
      <w:r w:rsidRPr="001A4C9F">
        <w:rPr>
          <w:rFonts w:ascii="Calibri Light" w:eastAsia="MS Mincho" w:hAnsi="Calibri Light" w:cs="Calibri Light"/>
          <w:b/>
          <w:bCs/>
          <w:sz w:val="24"/>
          <w:szCs w:val="24"/>
          <w:lang w:eastAsia="en-US"/>
        </w:rPr>
        <w:t xml:space="preserve">Figure </w:t>
      </w:r>
      <w:r w:rsidR="001F582A">
        <w:rPr>
          <w:rFonts w:ascii="Calibri Light" w:eastAsia="MS Mincho" w:hAnsi="Calibri Light" w:cs="Calibri Light"/>
          <w:b/>
          <w:bCs/>
          <w:sz w:val="24"/>
          <w:szCs w:val="24"/>
          <w:lang w:eastAsia="en-US"/>
        </w:rPr>
        <w:t>9</w:t>
      </w:r>
      <w:r w:rsidRPr="001A4C9F">
        <w:rPr>
          <w:rFonts w:ascii="Calibri Light" w:eastAsia="MS Mincho" w:hAnsi="Calibri Light" w:cs="Calibri Light"/>
          <w:b/>
          <w:bCs/>
          <w:sz w:val="24"/>
          <w:szCs w:val="24"/>
          <w:lang w:eastAsia="en-US"/>
        </w:rPr>
        <w:t>.</w:t>
      </w:r>
      <w:r w:rsidRPr="001A4C9F">
        <w:rPr>
          <w:rFonts w:ascii="Calibri Light" w:eastAsia="MS Mincho" w:hAnsi="Calibri Light" w:cs="Calibri Light"/>
          <w:sz w:val="24"/>
          <w:szCs w:val="24"/>
          <w:lang w:eastAsia="en-US"/>
        </w:rPr>
        <w:t xml:space="preserve"> The Top 10 Journals according to Scopus ranking</w:t>
      </w:r>
    </w:p>
    <w:p w14:paraId="474BE7FE" w14:textId="00F79E72" w:rsidR="008F1989" w:rsidRPr="00E758FF" w:rsidRDefault="00E758FF" w:rsidP="00B06D1D">
      <w:pPr>
        <w:autoSpaceDE/>
        <w:autoSpaceDN/>
        <w:spacing w:after="200" w:line="276" w:lineRule="auto"/>
        <w:ind w:left="426"/>
        <w:jc w:val="both"/>
        <w:rPr>
          <w:rFonts w:ascii="Calibri Light" w:eastAsia="MS Mincho" w:hAnsi="Calibri Light" w:cs="Calibri Light"/>
          <w:b/>
          <w:bCs/>
          <w:sz w:val="24"/>
          <w:szCs w:val="24"/>
          <w:rtl/>
          <w:lang w:eastAsia="en-US"/>
        </w:rPr>
      </w:pPr>
      <w:r w:rsidRPr="00E758FF">
        <w:rPr>
          <w:rFonts w:ascii="Calibri Light" w:eastAsia="MS Mincho" w:hAnsi="Calibri Light" w:cs="Calibri Light"/>
          <w:b/>
          <w:bCs/>
          <w:sz w:val="24"/>
          <w:szCs w:val="24"/>
          <w:lang w:eastAsia="en-US"/>
        </w:rPr>
        <w:t>3.</w:t>
      </w:r>
      <w:r>
        <w:rPr>
          <w:rFonts w:ascii="Calibri Light" w:eastAsia="MS Mincho" w:hAnsi="Calibri Light" w:cs="Calibri Light" w:hint="cs"/>
          <w:b/>
          <w:bCs/>
          <w:sz w:val="24"/>
          <w:szCs w:val="24"/>
          <w:rtl/>
          <w:lang w:eastAsia="en-US"/>
        </w:rPr>
        <w:t>5</w:t>
      </w:r>
      <w:r w:rsidRPr="00E758FF">
        <w:rPr>
          <w:rFonts w:ascii="Calibri Light" w:eastAsia="MS Mincho" w:hAnsi="Calibri Light" w:cs="Calibri Light"/>
          <w:b/>
          <w:bCs/>
          <w:sz w:val="24"/>
          <w:szCs w:val="24"/>
          <w:lang w:eastAsia="en-US"/>
        </w:rPr>
        <w:t>.</w:t>
      </w:r>
      <w:r>
        <w:rPr>
          <w:rFonts w:ascii="Calibri Light" w:eastAsia="MS Mincho" w:hAnsi="Calibri Light" w:cs="Calibri Light" w:hint="cs"/>
          <w:b/>
          <w:bCs/>
          <w:sz w:val="24"/>
          <w:szCs w:val="24"/>
          <w:rtl/>
          <w:lang w:eastAsia="en-US"/>
        </w:rPr>
        <w:t xml:space="preserve"> </w:t>
      </w:r>
      <w:r w:rsidRPr="00E758FF">
        <w:rPr>
          <w:rFonts w:ascii="Calibri Light" w:eastAsia="MS Mincho" w:hAnsi="Calibri Light" w:cs="Calibri Light"/>
          <w:b/>
          <w:bCs/>
          <w:sz w:val="24"/>
          <w:szCs w:val="24"/>
          <w:lang w:eastAsia="en-US"/>
        </w:rPr>
        <w:t>Word Analysis using Most Frequent Words</w:t>
      </w:r>
    </w:p>
    <w:p w14:paraId="21A4B217" w14:textId="0ED9A596" w:rsidR="00E758FF" w:rsidRPr="00E758FF" w:rsidRDefault="00E758FF" w:rsidP="00BF5A85">
      <w:pPr>
        <w:autoSpaceDE/>
        <w:autoSpaceDN/>
        <w:spacing w:after="200" w:line="276" w:lineRule="auto"/>
        <w:ind w:left="426"/>
        <w:jc w:val="both"/>
        <w:rPr>
          <w:rFonts w:ascii="Calibri Light" w:eastAsia="MS Mincho" w:hAnsi="Calibri Light" w:cs="Calibri Light"/>
          <w:sz w:val="24"/>
          <w:szCs w:val="24"/>
          <w:lang w:eastAsia="en-US"/>
        </w:rPr>
      </w:pPr>
      <w:r w:rsidRPr="00E758FF">
        <w:rPr>
          <w:rFonts w:ascii="Calibri Light" w:eastAsia="MS Mincho" w:hAnsi="Calibri Light" w:cs="Calibri Light"/>
          <w:sz w:val="24"/>
          <w:szCs w:val="24"/>
          <w:lang w:eastAsia="en-US"/>
        </w:rPr>
        <w:t xml:space="preserve">Figure </w:t>
      </w:r>
      <w:r w:rsidR="001F582A">
        <w:rPr>
          <w:rFonts w:ascii="Calibri Light" w:eastAsia="MS Mincho" w:hAnsi="Calibri Light" w:cs="Calibri Light"/>
          <w:sz w:val="24"/>
          <w:szCs w:val="24"/>
          <w:lang w:eastAsia="en-US"/>
        </w:rPr>
        <w:t>10</w:t>
      </w:r>
      <w:r>
        <w:rPr>
          <w:rFonts w:ascii="Calibri Light" w:eastAsia="MS Mincho" w:hAnsi="Calibri Light" w:cs="Calibri Light"/>
          <w:sz w:val="24"/>
          <w:szCs w:val="24"/>
          <w:lang w:eastAsia="en-US"/>
        </w:rPr>
        <w:t xml:space="preserve"> </w:t>
      </w:r>
      <w:r w:rsidRPr="00E758FF">
        <w:rPr>
          <w:rFonts w:ascii="Calibri Light" w:eastAsia="MS Mincho" w:hAnsi="Calibri Light" w:cs="Calibri Light"/>
          <w:sz w:val="24"/>
          <w:szCs w:val="24"/>
          <w:lang w:eastAsia="en-US"/>
        </w:rPr>
        <w:t xml:space="preserve">show a keyword co-occurrence network generated using </w:t>
      </w:r>
      <w:proofErr w:type="spellStart"/>
      <w:r w:rsidRPr="00E758FF">
        <w:rPr>
          <w:rFonts w:ascii="Calibri Light" w:eastAsia="MS Mincho" w:hAnsi="Calibri Light" w:cs="Calibri Light"/>
          <w:sz w:val="24"/>
          <w:szCs w:val="24"/>
          <w:lang w:eastAsia="en-US"/>
        </w:rPr>
        <w:t>VOSviewer</w:t>
      </w:r>
      <w:proofErr w:type="spellEnd"/>
      <w:r w:rsidRPr="00E758FF">
        <w:rPr>
          <w:rFonts w:ascii="Calibri Light" w:eastAsia="MS Mincho" w:hAnsi="Calibri Light" w:cs="Calibri Light"/>
          <w:sz w:val="24"/>
          <w:szCs w:val="24"/>
          <w:lang w:eastAsia="en-US"/>
        </w:rPr>
        <w:t xml:space="preserve"> based on bibliometric data derived from 1,149   publications collected from the Scopus database</w:t>
      </w:r>
      <w:r w:rsidR="00C6181C">
        <w:rPr>
          <w:rFonts w:ascii="Calibri Light" w:eastAsia="MS Mincho" w:hAnsi="Calibri Light" w:cs="Calibri Light"/>
          <w:sz w:val="24"/>
          <w:szCs w:val="24"/>
          <w:lang w:eastAsia="en-US"/>
        </w:rPr>
        <w:t xml:space="preserve"> </w:t>
      </w:r>
      <w:r w:rsidR="00C6181C">
        <w:rPr>
          <w:rFonts w:ascii="Calibri Light" w:eastAsia="MS Mincho" w:hAnsi="Calibri Light" w:cs="Calibri Light"/>
          <w:sz w:val="24"/>
          <w:szCs w:val="24"/>
          <w:lang w:eastAsia="en-US"/>
        </w:rPr>
        <w:fldChar w:fldCharType="begin" w:fldLock="1"/>
      </w:r>
      <w:r w:rsidR="00C6181C">
        <w:rPr>
          <w:rFonts w:ascii="Calibri Light" w:eastAsia="MS Mincho" w:hAnsi="Calibri Light" w:cs="Calibri Light"/>
          <w:sz w:val="24"/>
          <w:szCs w:val="24"/>
          <w:lang w:eastAsia="en-US"/>
        </w:rPr>
        <w:instrText>ADDIN CSL_CITATION {"citationItems":[{"id":"ITEM-1","itemData":{"DOI":"https://doi.org/10.23917/qist.v4i1.7360","ISSN":"2828-2779","abstract":"This study aims to conduct a bibliometric analysis of research intersecting the Sustainable Development Goals (SDGs) and Maqasid Shariah Tafsir, with a focus on using VOSviewer software to visualize research patterns and trends. The analysis spans the last decade, exploring publication trends over time, influential journals, prolific authors, and the most productive countries and institutions in this field. The results show a significant growth in research integrating Maqasid Shariah principles, focusing on the preservation of religion, life, intellect, lineage, and wealth, with the 17 SDGs, such as poverty eradication, quality education, and environmental sustainability. The analysis also highlights key research keywords and emerging themes, such as ethical governance, social justice, and economic sustainability. Using VOSviewer helps create visual maps of research networks, providing insights into relationships between authors, institutions, and keywords. The analysis reveals the prominent role of specific countries and institutions that support research in this area, emphasizing the importance of interdisciplinary collaboration in advancing this discourse. The study provides a foundation for understanding the relationship between Shariah principles and the SDGs, opening avenues for future research aimed at enhancing the use of Islamic values to address global sustainability challenges. The findings assist policymakers and researchers in identifying research gaps and collaboration opportunities for greater impact.","author":[{"dropping-particle":"","family":"Elbanna","given":"Mariam","non-dropping-particle":"","parse-names":false,"suffix":""},{"dropping-particle":"","family":"Wadi","given":"Munshid Falih","non-dropping-particle":"","parse-names":false,"suffix":""},{"dropping-particle":"","family":"Radiamoda","given":"Anwar M.","non-dropping-particle":"","parse-names":false,"suffix":""},{"dropping-particle":"","family":"Matsuyama","given":"Yohei","non-dropping-particle":"","parse-names":false,"suffix":""},{"dropping-particle":"Bin","family":"Ishak","given":"Mohamad Haeqal","non-dropping-particle":"","parse-names":false,"suffix":""}],"container-title":"QiST: Journal of Quran and Tafseer Studies","id":"ITEM-1","issue":"1","issued":{"date-parts":[["2025","1","3"]]},"page":"1-22","title":"A Bibliometric Analysis of Sustainable Development Goals (SDGs) Through the Lens of Maqasid Shariah Tafsir","type":"article-journal","volume":"4"},"uris":["http://www.mendeley.com/documents/?uuid=d931fe88-e306-4ffa-8e96-190819c6bf2a"]}],"mendeley":{"formattedCitation":"(Elbanna et al., 2025)","plainTextFormattedCitation":"(Elbanna et al., 2025)","previouslyFormattedCitation":"(Elbanna et al., 2025)"},"properties":{"noteIndex":0},"schema":"https://github.com/citation-style-language/schema/raw/master/csl-citation.json"}</w:instrText>
      </w:r>
      <w:r w:rsidR="00C6181C">
        <w:rPr>
          <w:rFonts w:ascii="Calibri Light" w:eastAsia="MS Mincho" w:hAnsi="Calibri Light" w:cs="Calibri Light"/>
          <w:sz w:val="24"/>
          <w:szCs w:val="24"/>
          <w:lang w:eastAsia="en-US"/>
        </w:rPr>
        <w:fldChar w:fldCharType="separate"/>
      </w:r>
      <w:r w:rsidR="00C6181C" w:rsidRPr="00C6181C">
        <w:rPr>
          <w:rFonts w:ascii="Calibri Light" w:eastAsia="MS Mincho" w:hAnsi="Calibri Light" w:cs="Calibri Light"/>
          <w:noProof/>
          <w:sz w:val="24"/>
          <w:szCs w:val="24"/>
          <w:lang w:eastAsia="en-US"/>
        </w:rPr>
        <w:t>(Elbanna et al., 2025)</w:t>
      </w:r>
      <w:r w:rsidR="00C6181C">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 xml:space="preserve">. From this dataset, a total of 2,655 keywords were initially extracted. For the purpose of clarity and analytical significance, a minimum co-occurrence threshold of five was applied—meaning only keywords that appeared at least five times across the dataset were included in the final analysis. As a result, 167 keywords met this criterion and were used to construct the visual network displayed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{"citationItems":[{"id":"ITEM-1","itemData":{"DOI":"10.1002/ijfe.1986","ISSN":"10769307 (ISSN)","abstract":"This paper empirically investigates whether intellectual capital (IC) and shariah governance jointly affect the economic performance of Islamic banks (IBs). In contrast to prior research, this paper disaggregate IC and corporate governance features and examine whether the two are jointly related to economic performance. These relationships are further explored before, during and after the financial crisis based on a sample of 64 Islamic banks operating in different regions during the period 2007–2014. The required data to calculate different constituents of IC efficiency and governance mechanism is hand collected from 512 annual reports. After controlling for other corporate governance and bank-specific characteristics (operational type, bank size, listing status, risk, type of auditor, accounting standard and region), we find both intellectual capital efficiency and shariah governance proxies (size and dominance of prominent scholars of shariah supervisory board) to have a significant positive relationship with accounting measure of performance. However, based on market performance measure, only one proxy for shariah governance mechanism, that is, prominent scholars on SSB, is found to be significant but in the negative direction. These results provide important insights into the relationship between IC efficiency, corporate governance and performance in Islamic banking business model and have policy and practical implications. © 2020 The Authors. International Journal of Finance &amp; Economics published by John Wiley &amp; Sons Ltd.","author":[{"dropping-particle":"","family":"Nawaz","given":"T","non-dropping-particle":"","parse-names":false,"suffix":""},{"dropping-particle":"","family":"Haniffa","given":"R","non-dropping-particle":"","parse-names":false,"suffix":""},{"dropping-particle":"","family":"Hudaib","given":"M","non-dropping-particle":"","parse-names":false,"suffix":""}],"container-title":"International Journal of Finance and Economics","id":"ITEM-1","issue":"3","issued":{"date-parts":[["2021"]]},"language":"English","note":"Export Date: 24 April 2025; Cited By: 41; Correspondence Address: T. Nawaz; Department of Accounting, Finance and Economics, Plymouth Business School, University of Plymouth, Plymouth, United Kingdom; email: tnawaz@plymouth.ac.uk","page":"3770-3787","publisher":"John Wiley and Sons Ltd","publisher-place":"Department of Accounting, Finance and Economics, Plymouth Business School, University of Plymouth, Plymouth, United Kingdom","title":"On intellectual capital efficiency and shariah governance in Islamic banking business model","type":"article-journal","volume":"26"},"uris":["http://www.mendeley.com/documents/?uuid=29e8403d-d67c-40ae-927e-425440d1211e"]}],"mendeley":{"formattedCitation":"(Nawaz et al., 2021)","plainTextFormattedCitation":"(Nawaz et al., 2021)","previouslyFormattedCitation":"(Nawaz et al., 2021)"},"properties":{"noteIndex":0},"schema":"https://github.com/citation-style-language/schema/raw/master/csl-citation.json"}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(Nawaz et al., 2021)</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w:t>
      </w:r>
    </w:p>
    <w:p w14:paraId="69AE9CD9" w14:textId="0586AA52" w:rsidR="008F1989" w:rsidRDefault="00E758FF" w:rsidP="00E758FF">
      <w:pPr>
        <w:autoSpaceDE/>
        <w:autoSpaceDN/>
        <w:spacing w:after="200" w:line="276" w:lineRule="auto"/>
        <w:ind w:left="426"/>
        <w:jc w:val="both"/>
        <w:rPr>
          <w:rFonts w:ascii="Calibri Light" w:eastAsia="MS Mincho" w:hAnsi="Calibri Light" w:cs="Calibri Light"/>
          <w:sz w:val="24"/>
          <w:szCs w:val="24"/>
          <w:rtl/>
          <w:lang w:eastAsia="en-US"/>
        </w:rPr>
      </w:pPr>
      <w:r w:rsidRPr="00E758FF">
        <w:rPr>
          <w:rFonts w:ascii="Calibri Light" w:eastAsia="MS Mincho" w:hAnsi="Calibri Light" w:cs="Calibri Light"/>
          <w:sz w:val="24"/>
          <w:szCs w:val="24"/>
          <w:lang w:eastAsia="en-US"/>
        </w:rPr>
        <w:t>The network is visually organized into distinct clusters, each represented by a different color, to signify closely related keywords that frequently appear together within the literature</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{"citationItems":[{"id":"ITEM-1","itemData":{"DOI":"10.1108/QRFM-04-2024-0108","ISSN":"17554179 (ISSN)","abstract":"Purpose: This paper aims to explore Islamic banking through the lens of Maqasid Shariah so that it can be reimagined to achieve societal well-being and greater confidence of Islamic banking stakeholders in Islamic banking products and practices. Additionally, it aims to identify the gap between Islamic banking theory and its existing practices. Design/methodology/approach: This paper uses the qualitative content analysis method based on the data gathered through semistructured interviews with Islamic banking stakeholders, including Shariah scholars, Islamic economics and finance researchers and Islamic bankers. Findings: This study suggests that Maqasid Shariah represents Islam’s holistic view as a comprehensive code of life that considers individual and societal well-being. If an Islamic bank needs Shariah compliance, it is required to comply with Maqasid Shariah as well. For this purpose, this study proposes that Islamic banks should adopt value-based intermediation. Findings further suggest that the Islamic banks of Pakistan are realizing the Maqasid Aammah and many of the Maqasid Khassah relevant to Islamic banking and finance. It is revealed that Islamic banks are not merely working to maximize shareholders’ wealth but are conducting real economic activities, which bring employment, and distribute charity funds besides corporate social responsibility for the community’s welfare. This study proposes that Islamic banks, along with corporate financing and sovereign Sukuk, should also provide microfinancing to the underprivileged segments of society, which will empower and uplift their communities. This way, IBF practices can be harmonized with the idealized ones Islamic economists advocate. Ultimately, this study proposes specific reforms in Islamic banking in the light of Maqasid Shariah. Originality/value: To the best of the authors’ knowledge, this is the first study that contributes to Islamic economics and finance knowledge by integrating different perspectives of Shariah scholars, bankers and economists on Islamic banking. It also offers context for policy implications, especially regarding financial engineering. © 2024, Emerald Publishing Limited.","author":[{"dropping-particle":"","family":"Sheikh","given":"R","non-dropping-particle":"","parse-names":false,"suffix":""},{"dropping-particle":"","family":"Hussain","given":"K","non-dropping-particle":"","parse-names":false,"suffix":""}],"container-title":"Qualitative Research in Financial Markets","id":"ITEM-1","issued":{"date-parts":[["2024"]]},"language":"English","note":"Export Date: 24 April 2025; Cited By: 0; Correspondence Address: R. Sheikh; Riphah School of Leadership, Riphah International University, Islamabad, Pakistan; email: rafiullah.sheikh@riphah.edu.pk","publisher":"Emerald Publishing","publisher-place":"Riphah School of Leadership, Riphah International University, Islamabad, Pakistan","title":"Reimagining Islamic banking in the light of Maqasid Shariah","type":"article-journal"},"uris":["http://www.mendeley.com/documents/?uuid=bf705165-5e95-42e8-b7b5-8e7f8b4684e9"]}],"mendeley":{"formattedCitation":"(Sheikh &amp; Hussain, 2024)","plainTextFormattedCitation":"(Sheikh &amp; Hussain, 2024)","previouslyFormattedCitation":"(Sheikh &amp; Hussain, 2024)"},"properties":{"noteIndex":0},"schema":"https://github.com/citation-style-language/schema/raw/master/csl-citation.json"}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(Sheikh &amp; Hussain, 2024)</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 The size of each keyword label reflects its frequency of occurrence, while the proximity and thickness of the lines (edges) between keywords indicate the strength of their co-occurrence relationships</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{"citationItems":[{"id":"ITEM-1","itemData":{"DOI":"10.21098/jimf.v9i4.1784","ISSN":"24606146 (ISSN)","abstract":"This article analyzes the performance of Islamic banking in Malaysia and Indonesia using a comprehensive evaluation framework. Malaysia is known for its leading role in Islamic finance, while Indonesia has faced criticism for slower growth. The study argues that assessing Islamic banking performance solely based on financial metrics is insufficient and proposes a broader framework based on the Maqasid Shariah (objectives of Islamic law) for a more objective standard. Using data from 2010 to 2019, the study constructs a Maqasid Shariah Index of Islamic Bank (MSI-iB) and adopts a T-test as well as a panel data model to evaluate their performance. The index includes five sub-indices representing different aspects of the Maqasid Shariah framework. Results show varied scores among Islamic banks in both countries with no statistical difference between the two countries, but with Indonesia leading in religiosity and intellectuality dimensions and Malaysia leading in the posterity dimension. These results challenge the perception that Malaysia’s Islamic banking performance is inherently superior to Indonesia’s based solely on financial metrics. Considering the Maqasid Shariah framework is crucial to evaluating Islamic banking performance, highlighting the significance of non-financial indicators. The study concludes that a comprehensive perspective is necessary, incorporating both financial and non-financial factors, to assess overall performance. © 2023 Bank Indonesia Institute. All Rights Reserved.","author":[{"dropping-particle":"","family":"Hakam Naja","given":"A","non-dropping-particle":"","parse-names":false,"suffix":""}],"container-title":"Journal of Islamic Monetary Economics and Finance","id":"ITEM-1","issue":"4","issued":{"date-parts":[["2023"]]},"language":"English","note":"Export Date: 24 April 2025; Cited By: 3; Correspondence Address: A. Hakam Naja; Padjadjaran University, Indonesia; email: hakamnaja219@gmail.com","page":"611-636","publisher":"Bank Indonesia Institute","publisher-place":"Padjadjaran University, Indonesia","title":"IS ISLAMIC BANKING PERFORMANCE IN MALAYSIA TRULY BETTER THAN INDONESIA?","type":"article-journal","volume":"9"},"uris":["http://www.mendeley.com/documents/?uuid=6657084a-1697-47d7-81d2-31ad655620a0"]}],"mendeley":{"formattedCitation":"(Hakam Naja, 2023)","plainTextFormattedCitation":"(Hakam Naja, 2023)","previouslyFormattedCitation":"(Hakam Naja, 2023)"},"properties":{"noteIndex":0},"schema":"https://github.com/citation-style-language/schema/raw/master/csl-citation.json"}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(Hakam Naja, 2023)</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 At the center of the map, the term “Islamic banking” serves as the core node, surrounded by several overlapping thematic clusters, each distinguished by a unique color. The dark blue cluster represents core themes such as “corporate governance,” “financial development,” and “Shariah”, highlighting the structural and regulatory foundations of Islamic banking. In contrast, the red cluster focuses on terms such as “conventional banks,” “credit risk,” and “Basel accord,” reflecting comparative analyses between Islamic and conventional banking systems, particularly in the context of risk and regulation</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{"citationItems":[{"id":"ITEM-1","itemData":{"DOI":"10.22495/jgrv13i2siart3","ISSN":"22209352 (ISSN)","abstract":"This study investigates the pivotal role of robust legal instruments in driving the outstanding performance of Malaysia’s Islamic banking industry. Our primary objective is to discern the correlation between the regulatory framework’s legal strength and the industry’s achievements. To achieve this, we embark on a comprehensive exploration of the historical progression of Islamic banking in Malaysia. We scrutinize the dynamics and milestones that have shaped the industry, with particular emphasis on its impressive growth. We then delve into the development of the regulatory frameworks, analyzing how the availability of strong legal instruments has contributed to the sector’s triumph. This study finding the presence of robust legal instruments has been a catalyst for the ascension of Malaysia’s Islamic banking industry. Coupled with accommodating regulations and responsive regulatory institutions, these legal foundations have underpinned the sector’s remarkable success. This study underscores the critical importance of having sufficient legal instruments to nurture the Islamic banking industry. We recommend that governments aspiring to bolster Islamic banking’s performance consider the provision of such legal frameworks. Consequently, this research carries significant implications for policymakers and industry stakeholders alike, offering insights into the essential ingredients for fostering a thriving Islamic banking sector. © 2024 The Authors.","author":[{"dropping-particle":"","family":"Triyanta","given":"A","non-dropping-particle":"","parse-names":false,"suffix":""},{"dropping-particle":"","family":"Hassan","given":"R","non-dropping-particle":"","parse-names":false,"suffix":""}],"container-title":"Journal of Governance and Regulation","id":"ITEM-1","issue":"2 (special issue)","issued":{"date-parts":[["2024"]]},"language":"English","note":"Export Date: 24 April 2025; Cited By: 0","page":"267-274","publisher":"Virtus Interpress","publisher-place":"Universitas Islam Indonesia, Yogyakarta, Indonesia","title":"THE CONNECTION BETWEEN ROBUST LEGAL INSTRUMENTS AND THE EXCEPTIONAL PERFORMANCE OF THE ISLAMIC BANKING INDUSTRY","type":"article-journal","volume":"13"},"uris":["http://www.mendeley.com/documents/?uuid=f59f57ed-4881-4100-9572-814b8f418cd0"]}],"mendeley":{"formattedCitation":"(Triyanta &amp; Hassan, 2024)","plainTextFormattedCitation":"(Triyanta &amp; Hassan, 2024)","previouslyFormattedCitation":"(Triyanta &amp; Hassan, 2024)"},"properties":{"noteIndex":0},"schema":"https://github.com/citation-style-language/schema/raw/master/csl-citation.json"}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(Triyanta &amp; Hassan, 2024)</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w:t>
      </w:r>
    </w:p>
    <w:p w14:paraId="03F8D3AD" w14:textId="77777777" w:rsidR="008F1989" w:rsidRDefault="008F1989" w:rsidP="00B06D1D">
      <w:pPr>
        <w:autoSpaceDE/>
        <w:autoSpaceDN/>
        <w:spacing w:after="200" w:line="276" w:lineRule="auto"/>
        <w:ind w:left="426"/>
        <w:jc w:val="both"/>
        <w:rPr>
          <w:rFonts w:ascii="Calibri Light" w:eastAsia="MS Mincho" w:hAnsi="Calibri Light" w:cs="Calibri Light"/>
          <w:sz w:val="24"/>
          <w:szCs w:val="24"/>
          <w:rtl/>
          <w:lang w:eastAsia="en-US"/>
        </w:rPr>
      </w:pPr>
    </w:p>
    <w:p w14:paraId="75956F56" w14:textId="508E5CD4" w:rsidR="008F1989" w:rsidRDefault="00E758FF" w:rsidP="00B06D1D">
      <w:pPr>
        <w:autoSpaceDE/>
        <w:autoSpaceDN/>
        <w:spacing w:after="200" w:line="276" w:lineRule="auto"/>
        <w:ind w:left="426"/>
        <w:jc w:val="both"/>
        <w:rPr>
          <w:rFonts w:ascii="Calibri Light" w:eastAsia="MS Mincho" w:hAnsi="Calibri Light" w:cs="Calibri Light"/>
          <w:sz w:val="24"/>
          <w:szCs w:val="24"/>
          <w:rtl/>
          <w:lang w:eastAsia="en-US"/>
        </w:rPr>
      </w:pPr>
      <w:r w:rsidRPr="00E758FF">
        <w:rPr>
          <w:rFonts w:eastAsia="Calibri" w:cs="Traditional Arabic"/>
          <w:noProof/>
          <w:sz w:val="24"/>
          <w:szCs w:val="24"/>
          <w:lang w:val="en-ID" w:eastAsia="en-US"/>
        </w:rPr>
        <w:lastRenderedPageBreak/>
        <w:drawing>
          <wp:anchor distT="0" distB="0" distL="114300" distR="114300" simplePos="0" relativeHeight="251701760" behindDoc="0" locked="0" layoutInCell="1" allowOverlap="1" wp14:anchorId="008C175F" wp14:editId="57E96958">
            <wp:simplePos x="0" y="0"/>
            <wp:positionH relativeFrom="margin">
              <wp:align>center</wp:align>
            </wp:positionH>
            <wp:positionV relativeFrom="paragraph">
              <wp:posOffset>210575</wp:posOffset>
            </wp:positionV>
            <wp:extent cx="4826000" cy="3018155"/>
            <wp:effectExtent l="0" t="0" r="0" b="0"/>
            <wp:wrapTopAndBottom/>
            <wp:docPr id="2134762638"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826000" cy="301815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E9EA645" w14:textId="2A0507B0" w:rsidR="008F1989" w:rsidRDefault="00E758FF" w:rsidP="00E758FF">
      <w:pPr>
        <w:autoSpaceDE/>
        <w:autoSpaceDN/>
        <w:spacing w:after="200" w:line="276" w:lineRule="auto"/>
        <w:ind w:left="426"/>
        <w:jc w:val="center"/>
        <w:rPr>
          <w:rFonts w:ascii="Calibri Light" w:eastAsia="MS Mincho" w:hAnsi="Calibri Light" w:cs="Calibri Light"/>
          <w:sz w:val="24"/>
          <w:szCs w:val="24"/>
          <w:rtl/>
          <w:lang w:eastAsia="en-US"/>
        </w:rPr>
      </w:pPr>
      <w:r w:rsidRPr="00E758FF">
        <w:rPr>
          <w:rFonts w:ascii="Calibri Light" w:eastAsia="MS Mincho" w:hAnsi="Calibri Light" w:cs="Calibri Light"/>
          <w:b/>
          <w:bCs/>
          <w:sz w:val="24"/>
          <w:szCs w:val="24"/>
          <w:lang w:eastAsia="en-US"/>
        </w:rPr>
        <w:t xml:space="preserve">Figure </w:t>
      </w:r>
      <w:r w:rsidR="001F582A">
        <w:rPr>
          <w:rFonts w:ascii="Calibri Light" w:eastAsia="MS Mincho" w:hAnsi="Calibri Light" w:cs="Calibri Light"/>
          <w:b/>
          <w:bCs/>
          <w:sz w:val="24"/>
          <w:szCs w:val="24"/>
          <w:lang w:eastAsia="en-US"/>
        </w:rPr>
        <w:t>10</w:t>
      </w:r>
      <w:r w:rsidRPr="00E758FF">
        <w:rPr>
          <w:rFonts w:ascii="Calibri Light" w:eastAsia="MS Mincho" w:hAnsi="Calibri Light" w:cs="Calibri Light"/>
          <w:b/>
          <w:bCs/>
          <w:sz w:val="24"/>
          <w:szCs w:val="24"/>
          <w:lang w:eastAsia="en-US"/>
        </w:rPr>
        <w:t xml:space="preserve">. </w:t>
      </w:r>
      <w:r w:rsidRPr="00E758FF">
        <w:rPr>
          <w:rFonts w:ascii="Calibri Light" w:eastAsia="MS Mincho" w:hAnsi="Calibri Light" w:cs="Calibri Light"/>
          <w:sz w:val="24"/>
          <w:szCs w:val="24"/>
          <w:lang w:eastAsia="en-US"/>
        </w:rPr>
        <w:t>Keyword co-occurrence network</w:t>
      </w:r>
    </w:p>
    <w:p w14:paraId="616D599D" w14:textId="1A40BE5E" w:rsidR="00E758FF" w:rsidRPr="00E758FF" w:rsidRDefault="00E758FF" w:rsidP="00E758FF">
      <w:pPr>
        <w:autoSpaceDE/>
        <w:autoSpaceDN/>
        <w:spacing w:after="200" w:line="276" w:lineRule="auto"/>
        <w:ind w:left="426"/>
        <w:jc w:val="both"/>
        <w:rPr>
          <w:rFonts w:ascii="Calibri Light" w:eastAsia="MS Mincho" w:hAnsi="Calibri Light" w:cs="Calibri Light"/>
          <w:sz w:val="24"/>
          <w:szCs w:val="24"/>
          <w:lang w:eastAsia="en-US"/>
        </w:rPr>
      </w:pPr>
      <w:r w:rsidRPr="00E758FF">
        <w:rPr>
          <w:rFonts w:ascii="Calibri Light" w:eastAsia="MS Mincho" w:hAnsi="Calibri Light" w:cs="Calibri Light"/>
          <w:sz w:val="24"/>
          <w:szCs w:val="24"/>
          <w:lang w:eastAsia="en-US"/>
        </w:rPr>
        <w:t>The green cluster encompasses behavioral and social concepts like “trust,” “service quality,” and “religiosity,” indicating a growing research interest in customer perception and satisfaction within Islamic finance. The orange cluster explores themes related to “corporate social responsibility” and “sustainable development,” emphasizing the ethical and socially responsible dimensions of Islamic banking. On the other hand, the purple cluster reflects the geographical scope of the literature, with countries such as “Indonesia,” “Pakistan,” and “Malaysia” featuring prominently, as they represent key markets for Islamic financial services. The light blue cluster addresses technical and financial aspects, including “financial performance” and “regression analysis.” Meanwhile, the yellow cluster highlights key Islamic finance instruments such as “Murabaha” and “</w:t>
      </w:r>
      <w:proofErr w:type="spellStart"/>
      <w:r w:rsidRPr="00E758FF">
        <w:rPr>
          <w:rFonts w:ascii="Calibri Light" w:eastAsia="MS Mincho" w:hAnsi="Calibri Light" w:cs="Calibri Light"/>
          <w:sz w:val="24"/>
          <w:szCs w:val="24"/>
          <w:lang w:eastAsia="en-US"/>
        </w:rPr>
        <w:t>Musharakah</w:t>
      </w:r>
      <w:proofErr w:type="spellEnd"/>
      <w:r w:rsidRPr="00E758FF">
        <w:rPr>
          <w:rFonts w:ascii="Calibri Light" w:eastAsia="MS Mincho" w:hAnsi="Calibri Light" w:cs="Calibri Light"/>
          <w:sz w:val="24"/>
          <w:szCs w:val="24"/>
          <w:lang w:eastAsia="en-US"/>
        </w:rPr>
        <w:t>,” shedding light on the operational mechanisms within Islamic banks</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{"citationItems":[{"id":"ITEM-1","itemData":{"DOI":"10.1016/j.cpa.2022.102449","ISSN":"10452354 (ISSN)","abstract":"This paper explores the manner in which a range of issues relating to emotional propensities – including ethics, trust, fear and institutional exploitation of these – shape perceptions about the Islamic banking industry in the UK. Much of the ethos and practice of Shariah that originally defined such activities have been lost amidst the hegemony of global capital(ism) and a lack of innovation, transparency and social concern have been cited as potential sources of alienation for consumers otherwise likely to be interested in Islamic financial services. However, understanding regarding the impact of emotion in this context is very limited, despite potentially representing motivations for a broad range of financial decision-making. A critical accounting framework is used here to interpret evidence from a series of 32 interviews conducted with UK-based Muslims. The analysis unmasks the hidden interests of Islamic banks and suggests that enhanced stakeholder participation might be transformational in terms of meeting societal needs provided that the complex, but powerful, impact of emotional propensities is recognised. © 2022 The Authors","author":[{"dropping-particle":"","family":"Riaz","given":"U","non-dropping-particle":"","parse-names":false,"suffix":""},{"dropping-particle":"","family":"Burton","given":"B","non-dropping-particle":"","parse-names":false,"suffix":""},{"dropping-particle":"","family":"Fearfull","given":"A","non-dropping-particle":"","parse-names":false,"suffix":""}],"container-title":"Critical Perspectives on Accounting","id":"ITEM-1","issued":{"date-parts":[["2023"]]},"language":"English","note":"Export Date: 24 April 2025; Cited By: 11; Correspondence Address: U. Riaz; Aston Business School, Aston University, Birmingham, Aston Street, B4 7ET, United Kingdom; email: u.riaz@aston.ac.uk","publisher":"Academic Press","publisher-place":"Aston Business School, Aston University, Aston Street, Birmingham, B4 7ET, United Kingdom","title":"Emotional propensities and the contemporary Islamic banking industry","type":"article-journal","volume":"94"},"uris":["http://www.mendeley.com/documents/?uuid=6d571bc6-e28a-4bb0-b3b5-d4c9e9ba748c"]}],"mendeley":{"formattedCitation":"(Riaz et al., 2023)","plainTextFormattedCitation":"(Riaz et al., 2023)","previouslyFormattedCitation":"(Riaz et al., 2023)"},"properties":{"noteIndex":0},"schema":"https://github.com/citation-style-language/schema/raw/master/csl-citation.json"}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(Riaz et al., 2023)</w:t>
      </w:r>
      <w:r w:rsidR="00BF5A85">
        <w:rPr>
          <w:rFonts w:ascii="Calibri Light" w:eastAsia="MS Mincho" w:hAnsi="Calibri Light" w:cs="Calibri Light"/>
          <w:sz w:val="24"/>
          <w:szCs w:val="24"/>
          <w:lang w:eastAsia="en-US"/>
        </w:rPr>
        <w:fldChar w:fldCharType="end"/>
      </w:r>
      <w:r w:rsidRPr="00E758FF">
        <w:rPr>
          <w:rFonts w:ascii="Calibri Light" w:eastAsia="MS Mincho" w:hAnsi="Calibri Light" w:cs="Calibri Light"/>
          <w:sz w:val="24"/>
          <w:szCs w:val="24"/>
          <w:lang w:eastAsia="en-US"/>
        </w:rPr>
        <w:t>.</w:t>
      </w:r>
    </w:p>
    <w:p w14:paraId="413C8AB9" w14:textId="3B13C71C" w:rsidR="008F1989" w:rsidRDefault="00E758FF" w:rsidP="00E758FF">
      <w:pPr>
        <w:autoSpaceDE/>
        <w:autoSpaceDN/>
        <w:spacing w:after="200" w:line="276" w:lineRule="auto"/>
        <w:ind w:left="426"/>
        <w:jc w:val="both"/>
        <w:rPr>
          <w:rFonts w:ascii="Calibri Light" w:eastAsia="MS Mincho" w:hAnsi="Calibri Light" w:cs="Calibri Light"/>
          <w:sz w:val="24"/>
          <w:szCs w:val="24"/>
          <w:rtl/>
          <w:lang w:eastAsia="en-US"/>
        </w:rPr>
      </w:pPr>
      <w:r w:rsidRPr="00E758FF">
        <w:rPr>
          <w:rFonts w:ascii="Calibri Light" w:eastAsia="MS Mincho" w:hAnsi="Calibri Light" w:cs="Calibri Light"/>
          <w:sz w:val="24"/>
          <w:szCs w:val="24"/>
          <w:lang w:eastAsia="en-US"/>
        </w:rPr>
        <w:t>This visualization provides a structured overview of the main research themes, subtopics, and interconnections within the field of Islamic banking.</w:t>
      </w:r>
    </w:p>
    <w:tbl>
      <w:tblPr>
        <w:tblStyle w:val="PlainTable23"/>
        <w:tblW w:w="8505" w:type="dxa"/>
        <w:tblInd w:w="284" w:type="dxa"/>
        <w:tblLook w:val="04A0" w:firstRow="1" w:lastRow="0" w:firstColumn="1" w:lastColumn="0" w:noHBand="0" w:noVBand="1"/>
      </w:tblPr>
      <w:tblGrid>
        <w:gridCol w:w="2254"/>
        <w:gridCol w:w="2254"/>
        <w:gridCol w:w="2254"/>
        <w:gridCol w:w="1743"/>
      </w:tblGrid>
      <w:tr w:rsidR="00415A81" w:rsidRPr="00415A81" w14:paraId="127492BE" w14:textId="77777777" w:rsidTr="001C1AE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shd w:val="clear" w:color="auto" w:fill="E5B8B7" w:themeFill="accent2" w:themeFillTint="66"/>
          </w:tcPr>
          <w:p w14:paraId="6A88AB7A" w14:textId="77777777" w:rsidR="00415A81" w:rsidRPr="00415A81" w:rsidRDefault="00415A81" w:rsidP="00415A81">
            <w:pPr>
              <w:autoSpaceDE/>
              <w:autoSpaceDN/>
              <w:rPr>
                <w:rFonts w:ascii="Calibri Light" w:hAnsi="Calibri Light" w:cs="Calibri Light"/>
                <w:lang w:val="en-ID" w:eastAsia="en-US"/>
              </w:rPr>
            </w:pPr>
            <w:r w:rsidRPr="00415A81">
              <w:rPr>
                <w:rFonts w:ascii="Calibri Light" w:hAnsi="Calibri Light" w:cs="Calibri Light"/>
                <w:lang w:val="en-ID" w:eastAsia="en-US"/>
              </w:rPr>
              <w:t>keywords</w:t>
            </w:r>
          </w:p>
        </w:tc>
        <w:tc>
          <w:tcPr>
            <w:tcW w:w="2254" w:type="dxa"/>
            <w:shd w:val="clear" w:color="auto" w:fill="E5B8B7" w:themeFill="accent2" w:themeFillTint="66"/>
          </w:tcPr>
          <w:p w14:paraId="1827468F"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Cluster</w:t>
            </w:r>
          </w:p>
        </w:tc>
        <w:tc>
          <w:tcPr>
            <w:tcW w:w="2254" w:type="dxa"/>
            <w:shd w:val="clear" w:color="auto" w:fill="E5B8B7" w:themeFill="accent2" w:themeFillTint="66"/>
          </w:tcPr>
          <w:p w14:paraId="35CA8A41"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Occurrences</w:t>
            </w:r>
          </w:p>
        </w:tc>
        <w:tc>
          <w:tcPr>
            <w:tcW w:w="1743" w:type="dxa"/>
            <w:shd w:val="clear" w:color="auto" w:fill="E5B8B7" w:themeFill="accent2" w:themeFillTint="66"/>
          </w:tcPr>
          <w:p w14:paraId="3626C332"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Total link</w:t>
            </w:r>
          </w:p>
          <w:p w14:paraId="081B1801" w14:textId="77777777" w:rsidR="00415A81" w:rsidRPr="00415A81" w:rsidRDefault="00415A81" w:rsidP="00415A81">
            <w:pPr>
              <w:autoSpaceDE/>
              <w:autoSpaceDN/>
              <w:cnfStyle w:val="100000000000" w:firstRow="1" w:lastRow="0" w:firstColumn="0" w:lastColumn="0" w:oddVBand="0" w:evenVBand="0" w:oddHBand="0" w:evenHBand="0" w:firstRowFirstColumn="0" w:firstRowLastColumn="0" w:lastRowFirstColumn="0" w:lastRowLastColumn="0"/>
              <w:rPr>
                <w:rFonts w:ascii="Calibri Light" w:hAnsi="Calibri Light" w:cs="Calibri Light"/>
                <w:lang w:val="en-ID" w:eastAsia="en-US"/>
              </w:rPr>
            </w:pPr>
            <w:r w:rsidRPr="00415A81">
              <w:rPr>
                <w:rFonts w:ascii="Calibri Light" w:hAnsi="Calibri Light" w:cs="Calibri Light"/>
                <w:lang w:val="en-ID" w:eastAsia="en-US"/>
              </w:rPr>
              <w:t>Strength</w:t>
            </w:r>
          </w:p>
        </w:tc>
      </w:tr>
      <w:tr w:rsidR="00415A81" w:rsidRPr="00415A81" w14:paraId="2A4DFFED"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1D2E353A" w14:textId="77777777" w:rsidR="00415A81" w:rsidRPr="00415A81" w:rsidRDefault="00415A81" w:rsidP="00415A81">
            <w:pPr>
              <w:autoSpaceDE/>
              <w:autoSpaceDN/>
              <w:rPr>
                <w:lang w:val="en-ID" w:eastAsia="en-US"/>
              </w:rPr>
            </w:pPr>
            <w:r w:rsidRPr="00415A81">
              <w:rPr>
                <w:lang w:val="en-ID" w:eastAsia="en-US"/>
              </w:rPr>
              <w:t>Islamic banking</w:t>
            </w:r>
          </w:p>
        </w:tc>
        <w:tc>
          <w:tcPr>
            <w:tcW w:w="2254" w:type="dxa"/>
          </w:tcPr>
          <w:p w14:paraId="10BCC060"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3</w:t>
            </w:r>
          </w:p>
        </w:tc>
        <w:tc>
          <w:tcPr>
            <w:tcW w:w="2254" w:type="dxa"/>
          </w:tcPr>
          <w:p w14:paraId="342CCF3C"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559</w:t>
            </w:r>
          </w:p>
        </w:tc>
        <w:tc>
          <w:tcPr>
            <w:tcW w:w="1743" w:type="dxa"/>
          </w:tcPr>
          <w:p w14:paraId="3616F8A7"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818</w:t>
            </w:r>
          </w:p>
        </w:tc>
      </w:tr>
      <w:tr w:rsidR="00415A81" w:rsidRPr="00415A81" w14:paraId="33F25D18"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D5FF819" w14:textId="77777777" w:rsidR="00415A81" w:rsidRPr="00415A81" w:rsidRDefault="00415A81" w:rsidP="00415A81">
            <w:pPr>
              <w:autoSpaceDE/>
              <w:autoSpaceDN/>
              <w:rPr>
                <w:lang w:val="en-ID" w:eastAsia="en-US"/>
              </w:rPr>
            </w:pPr>
            <w:r w:rsidRPr="00415A81">
              <w:rPr>
                <w:lang w:val="en-ID" w:eastAsia="en-US"/>
              </w:rPr>
              <w:t xml:space="preserve">Basel accord </w:t>
            </w:r>
          </w:p>
        </w:tc>
        <w:tc>
          <w:tcPr>
            <w:tcW w:w="2254" w:type="dxa"/>
          </w:tcPr>
          <w:p w14:paraId="35BD981F"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2</w:t>
            </w:r>
          </w:p>
        </w:tc>
        <w:tc>
          <w:tcPr>
            <w:tcW w:w="2254" w:type="dxa"/>
          </w:tcPr>
          <w:p w14:paraId="4581AA37"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30</w:t>
            </w:r>
          </w:p>
        </w:tc>
        <w:tc>
          <w:tcPr>
            <w:tcW w:w="1743" w:type="dxa"/>
          </w:tcPr>
          <w:p w14:paraId="1A6BC85D"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41</w:t>
            </w:r>
          </w:p>
        </w:tc>
      </w:tr>
      <w:tr w:rsidR="00415A81" w:rsidRPr="00415A81" w14:paraId="4BD65387"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73EA3C3B" w14:textId="77777777" w:rsidR="00415A81" w:rsidRPr="00415A81" w:rsidRDefault="00415A81" w:rsidP="00415A81">
            <w:pPr>
              <w:autoSpaceDE/>
              <w:autoSpaceDN/>
              <w:rPr>
                <w:lang w:val="en-ID" w:eastAsia="en-US"/>
              </w:rPr>
            </w:pPr>
            <w:r w:rsidRPr="00415A81">
              <w:rPr>
                <w:lang w:val="en-ID" w:eastAsia="en-US"/>
              </w:rPr>
              <w:t xml:space="preserve">Islamic finance </w:t>
            </w:r>
          </w:p>
        </w:tc>
        <w:tc>
          <w:tcPr>
            <w:tcW w:w="2254" w:type="dxa"/>
          </w:tcPr>
          <w:p w14:paraId="7C158D74"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3</w:t>
            </w:r>
          </w:p>
        </w:tc>
        <w:tc>
          <w:tcPr>
            <w:tcW w:w="2254" w:type="dxa"/>
          </w:tcPr>
          <w:p w14:paraId="61E09C3E"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104</w:t>
            </w:r>
          </w:p>
        </w:tc>
        <w:tc>
          <w:tcPr>
            <w:tcW w:w="1743" w:type="dxa"/>
          </w:tcPr>
          <w:p w14:paraId="00D6CF2B"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166</w:t>
            </w:r>
          </w:p>
        </w:tc>
      </w:tr>
      <w:tr w:rsidR="00415A81" w:rsidRPr="00415A81" w14:paraId="5C0047C5"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784F30A4" w14:textId="77777777" w:rsidR="00415A81" w:rsidRPr="00415A81" w:rsidRDefault="00415A81" w:rsidP="00415A81">
            <w:pPr>
              <w:autoSpaceDE/>
              <w:autoSpaceDN/>
              <w:rPr>
                <w:lang w:val="en-ID" w:eastAsia="en-US"/>
              </w:rPr>
            </w:pPr>
            <w:r w:rsidRPr="00415A81">
              <w:rPr>
                <w:lang w:val="en-ID" w:eastAsia="en-US"/>
              </w:rPr>
              <w:t xml:space="preserve">Banking </w:t>
            </w:r>
          </w:p>
        </w:tc>
        <w:tc>
          <w:tcPr>
            <w:tcW w:w="2254" w:type="dxa"/>
          </w:tcPr>
          <w:p w14:paraId="1109FDA4"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5</w:t>
            </w:r>
          </w:p>
        </w:tc>
        <w:tc>
          <w:tcPr>
            <w:tcW w:w="2254" w:type="dxa"/>
          </w:tcPr>
          <w:p w14:paraId="47542C02"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90</w:t>
            </w:r>
          </w:p>
        </w:tc>
        <w:tc>
          <w:tcPr>
            <w:tcW w:w="1743" w:type="dxa"/>
          </w:tcPr>
          <w:p w14:paraId="032921BF"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342</w:t>
            </w:r>
          </w:p>
        </w:tc>
      </w:tr>
      <w:tr w:rsidR="00415A81" w:rsidRPr="00415A81" w14:paraId="12E224F6"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11CE30EE" w14:textId="77777777" w:rsidR="00415A81" w:rsidRPr="00415A81" w:rsidRDefault="00415A81" w:rsidP="00415A81">
            <w:pPr>
              <w:autoSpaceDE/>
              <w:autoSpaceDN/>
              <w:rPr>
                <w:lang w:val="en-ID" w:eastAsia="en-US"/>
              </w:rPr>
            </w:pPr>
            <w:r w:rsidRPr="00415A81">
              <w:rPr>
                <w:lang w:val="en-ID" w:eastAsia="en-US"/>
              </w:rPr>
              <w:t xml:space="preserve">Islamic Marketing </w:t>
            </w:r>
          </w:p>
        </w:tc>
        <w:tc>
          <w:tcPr>
            <w:tcW w:w="2254" w:type="dxa"/>
          </w:tcPr>
          <w:p w14:paraId="2E37D535"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7</w:t>
            </w:r>
          </w:p>
        </w:tc>
        <w:tc>
          <w:tcPr>
            <w:tcW w:w="2254" w:type="dxa"/>
          </w:tcPr>
          <w:p w14:paraId="2EFB1551"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14</w:t>
            </w:r>
          </w:p>
        </w:tc>
        <w:tc>
          <w:tcPr>
            <w:tcW w:w="1743" w:type="dxa"/>
          </w:tcPr>
          <w:p w14:paraId="716D8DB4"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21</w:t>
            </w:r>
          </w:p>
        </w:tc>
      </w:tr>
      <w:tr w:rsidR="00415A81" w:rsidRPr="00415A81" w14:paraId="7F2C91FD"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8B09A82" w14:textId="77777777" w:rsidR="00415A81" w:rsidRPr="00415A81" w:rsidRDefault="00415A81" w:rsidP="00415A81">
            <w:pPr>
              <w:autoSpaceDE/>
              <w:autoSpaceDN/>
              <w:rPr>
                <w:lang w:val="en-ID" w:eastAsia="en-US"/>
              </w:rPr>
            </w:pPr>
            <w:r w:rsidRPr="00415A81">
              <w:rPr>
                <w:lang w:val="en-ID" w:eastAsia="en-US"/>
              </w:rPr>
              <w:t>Islamic Economics</w:t>
            </w:r>
          </w:p>
        </w:tc>
        <w:tc>
          <w:tcPr>
            <w:tcW w:w="2254" w:type="dxa"/>
          </w:tcPr>
          <w:p w14:paraId="7A2415FC"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w:t>
            </w:r>
          </w:p>
        </w:tc>
        <w:tc>
          <w:tcPr>
            <w:tcW w:w="2254" w:type="dxa"/>
          </w:tcPr>
          <w:p w14:paraId="556C5D8E"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11</w:t>
            </w:r>
          </w:p>
        </w:tc>
        <w:tc>
          <w:tcPr>
            <w:tcW w:w="1743" w:type="dxa"/>
          </w:tcPr>
          <w:p w14:paraId="394DF7EA"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10</w:t>
            </w:r>
          </w:p>
        </w:tc>
      </w:tr>
      <w:tr w:rsidR="00415A81" w:rsidRPr="00415A81" w14:paraId="35B532A8"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6BE989C6" w14:textId="77777777" w:rsidR="00415A81" w:rsidRPr="00415A81" w:rsidRDefault="00415A81" w:rsidP="00415A81">
            <w:pPr>
              <w:autoSpaceDE/>
              <w:autoSpaceDN/>
              <w:rPr>
                <w:lang w:val="en-ID" w:eastAsia="en-US"/>
              </w:rPr>
            </w:pPr>
            <w:r w:rsidRPr="00415A81">
              <w:rPr>
                <w:lang w:val="en-ID" w:eastAsia="en-US"/>
              </w:rPr>
              <w:t>Financial crisis</w:t>
            </w:r>
          </w:p>
        </w:tc>
        <w:tc>
          <w:tcPr>
            <w:tcW w:w="2254" w:type="dxa"/>
          </w:tcPr>
          <w:p w14:paraId="79575C4C"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w:t>
            </w:r>
          </w:p>
        </w:tc>
        <w:tc>
          <w:tcPr>
            <w:tcW w:w="2254" w:type="dxa"/>
          </w:tcPr>
          <w:p w14:paraId="277CDB0E"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29</w:t>
            </w:r>
          </w:p>
        </w:tc>
        <w:tc>
          <w:tcPr>
            <w:tcW w:w="1743" w:type="dxa"/>
          </w:tcPr>
          <w:p w14:paraId="7BEC5CE8"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83</w:t>
            </w:r>
          </w:p>
        </w:tc>
      </w:tr>
      <w:tr w:rsidR="00415A81" w:rsidRPr="00415A81" w14:paraId="49927C17"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36532F9" w14:textId="77777777" w:rsidR="00415A81" w:rsidRPr="00415A81" w:rsidRDefault="00415A81" w:rsidP="00415A81">
            <w:pPr>
              <w:autoSpaceDE/>
              <w:autoSpaceDN/>
              <w:rPr>
                <w:lang w:val="en-ID" w:eastAsia="en-US"/>
              </w:rPr>
            </w:pPr>
            <w:r w:rsidRPr="00415A81">
              <w:rPr>
                <w:lang w:val="en-ID" w:eastAsia="en-US"/>
              </w:rPr>
              <w:t>Basal iii</w:t>
            </w:r>
          </w:p>
        </w:tc>
        <w:tc>
          <w:tcPr>
            <w:tcW w:w="2254" w:type="dxa"/>
          </w:tcPr>
          <w:p w14:paraId="5C612910"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w:t>
            </w:r>
          </w:p>
        </w:tc>
        <w:tc>
          <w:tcPr>
            <w:tcW w:w="2254" w:type="dxa"/>
          </w:tcPr>
          <w:p w14:paraId="167123E8"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16</w:t>
            </w:r>
          </w:p>
        </w:tc>
        <w:tc>
          <w:tcPr>
            <w:tcW w:w="1743" w:type="dxa"/>
          </w:tcPr>
          <w:p w14:paraId="0D7B2DA3"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31</w:t>
            </w:r>
          </w:p>
        </w:tc>
      </w:tr>
      <w:tr w:rsidR="00415A81" w:rsidRPr="00415A81" w14:paraId="3F6AF6E0" w14:textId="77777777" w:rsidTr="00415A8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54" w:type="dxa"/>
          </w:tcPr>
          <w:p w14:paraId="13AF48D6" w14:textId="77777777" w:rsidR="00415A81" w:rsidRPr="00415A81" w:rsidRDefault="00415A81" w:rsidP="00415A81">
            <w:pPr>
              <w:autoSpaceDE/>
              <w:autoSpaceDN/>
              <w:rPr>
                <w:lang w:val="en-ID" w:eastAsia="en-US"/>
              </w:rPr>
            </w:pPr>
            <w:r w:rsidRPr="00415A81">
              <w:rPr>
                <w:lang w:val="en-ID" w:eastAsia="en-US"/>
              </w:rPr>
              <w:lastRenderedPageBreak/>
              <w:t>fintech</w:t>
            </w:r>
          </w:p>
        </w:tc>
        <w:tc>
          <w:tcPr>
            <w:tcW w:w="2254" w:type="dxa"/>
          </w:tcPr>
          <w:p w14:paraId="468A0259"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3</w:t>
            </w:r>
          </w:p>
        </w:tc>
        <w:tc>
          <w:tcPr>
            <w:tcW w:w="2254" w:type="dxa"/>
          </w:tcPr>
          <w:p w14:paraId="3788EA8C"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10</w:t>
            </w:r>
          </w:p>
        </w:tc>
        <w:tc>
          <w:tcPr>
            <w:tcW w:w="1743" w:type="dxa"/>
          </w:tcPr>
          <w:p w14:paraId="1A9ACB03" w14:textId="77777777" w:rsidR="00415A81" w:rsidRPr="00415A81" w:rsidRDefault="00415A81" w:rsidP="00415A81">
            <w:pPr>
              <w:autoSpaceDE/>
              <w:autoSpaceDN/>
              <w:cnfStyle w:val="000000100000" w:firstRow="0" w:lastRow="0" w:firstColumn="0" w:lastColumn="0" w:oddVBand="0" w:evenVBand="0" w:oddHBand="1" w:evenHBand="0" w:firstRowFirstColumn="0" w:firstRowLastColumn="0" w:lastRowFirstColumn="0" w:lastRowLastColumn="0"/>
              <w:rPr>
                <w:lang w:val="en-ID" w:eastAsia="en-US"/>
              </w:rPr>
            </w:pPr>
            <w:r w:rsidRPr="00415A81">
              <w:rPr>
                <w:lang w:val="en-ID" w:eastAsia="en-US"/>
              </w:rPr>
              <w:t>24</w:t>
            </w:r>
          </w:p>
        </w:tc>
      </w:tr>
      <w:tr w:rsidR="00415A81" w:rsidRPr="00415A81" w14:paraId="41BD57A2" w14:textId="77777777" w:rsidTr="00415A81">
        <w:tc>
          <w:tcPr>
            <w:cnfStyle w:val="001000000000" w:firstRow="0" w:lastRow="0" w:firstColumn="1" w:lastColumn="0" w:oddVBand="0" w:evenVBand="0" w:oddHBand="0" w:evenHBand="0" w:firstRowFirstColumn="0" w:firstRowLastColumn="0" w:lastRowFirstColumn="0" w:lastRowLastColumn="0"/>
            <w:tcW w:w="2254" w:type="dxa"/>
          </w:tcPr>
          <w:p w14:paraId="058DBF7A" w14:textId="77777777" w:rsidR="00415A81" w:rsidRPr="00415A81" w:rsidRDefault="00415A81" w:rsidP="00415A81">
            <w:pPr>
              <w:autoSpaceDE/>
              <w:autoSpaceDN/>
              <w:rPr>
                <w:lang w:val="en-ID" w:eastAsia="en-US"/>
              </w:rPr>
            </w:pPr>
            <w:r w:rsidRPr="00415A81">
              <w:rPr>
                <w:lang w:val="en-ID" w:eastAsia="en-US"/>
              </w:rPr>
              <w:t>sharia</w:t>
            </w:r>
          </w:p>
        </w:tc>
        <w:tc>
          <w:tcPr>
            <w:tcW w:w="2254" w:type="dxa"/>
          </w:tcPr>
          <w:p w14:paraId="29F76577"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3</w:t>
            </w:r>
          </w:p>
        </w:tc>
        <w:tc>
          <w:tcPr>
            <w:tcW w:w="2254" w:type="dxa"/>
          </w:tcPr>
          <w:p w14:paraId="12FC5E46"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12</w:t>
            </w:r>
          </w:p>
        </w:tc>
        <w:tc>
          <w:tcPr>
            <w:tcW w:w="1743" w:type="dxa"/>
          </w:tcPr>
          <w:p w14:paraId="76B96750" w14:textId="77777777" w:rsidR="00415A81" w:rsidRPr="00415A81" w:rsidRDefault="00415A81" w:rsidP="00415A81">
            <w:pPr>
              <w:autoSpaceDE/>
              <w:autoSpaceDN/>
              <w:cnfStyle w:val="000000000000" w:firstRow="0" w:lastRow="0" w:firstColumn="0" w:lastColumn="0" w:oddVBand="0" w:evenVBand="0" w:oddHBand="0" w:evenHBand="0" w:firstRowFirstColumn="0" w:firstRowLastColumn="0" w:lastRowFirstColumn="0" w:lastRowLastColumn="0"/>
              <w:rPr>
                <w:lang w:val="en-ID" w:eastAsia="en-US"/>
              </w:rPr>
            </w:pPr>
            <w:r w:rsidRPr="00415A81">
              <w:rPr>
                <w:lang w:val="en-ID" w:eastAsia="en-US"/>
              </w:rPr>
              <w:t>25</w:t>
            </w:r>
          </w:p>
        </w:tc>
      </w:tr>
    </w:tbl>
    <w:p w14:paraId="5F6A1AA2" w14:textId="3983B35A" w:rsidR="008F1989" w:rsidRDefault="00415A81" w:rsidP="00415A81">
      <w:pPr>
        <w:autoSpaceDE/>
        <w:autoSpaceDN/>
        <w:spacing w:after="200" w:line="276" w:lineRule="auto"/>
        <w:ind w:left="426"/>
        <w:jc w:val="center"/>
        <w:rPr>
          <w:rFonts w:ascii="Calibri Light" w:eastAsia="MS Mincho" w:hAnsi="Calibri Light" w:cs="Calibri Light"/>
          <w:sz w:val="24"/>
          <w:szCs w:val="24"/>
          <w:rtl/>
          <w:lang w:eastAsia="en-US"/>
        </w:rPr>
      </w:pPr>
      <w:r w:rsidRPr="00415A81">
        <w:rPr>
          <w:rFonts w:ascii="Calibri Light" w:eastAsia="MS Mincho" w:hAnsi="Calibri Light" w:cs="Calibri Light"/>
          <w:b/>
          <w:bCs/>
          <w:sz w:val="24"/>
          <w:szCs w:val="24"/>
          <w:lang w:eastAsia="en-US"/>
        </w:rPr>
        <w:t xml:space="preserve">Table </w:t>
      </w:r>
      <w:proofErr w:type="gramStart"/>
      <w:r w:rsidR="001A4C9F">
        <w:rPr>
          <w:rFonts w:ascii="Calibri Light" w:eastAsia="MS Mincho" w:hAnsi="Calibri Light" w:cs="Calibri Light" w:hint="cs"/>
          <w:b/>
          <w:bCs/>
          <w:sz w:val="24"/>
          <w:szCs w:val="24"/>
          <w:rtl/>
          <w:lang w:eastAsia="en-US"/>
        </w:rPr>
        <w:t>4</w:t>
      </w:r>
      <w:r w:rsidRPr="00415A81">
        <w:rPr>
          <w:rFonts w:ascii="Calibri Light" w:eastAsia="MS Mincho" w:hAnsi="Calibri Light" w:cs="Calibri Light"/>
          <w:b/>
          <w:bCs/>
          <w:sz w:val="24"/>
          <w:szCs w:val="24"/>
          <w:lang w:eastAsia="en-US"/>
        </w:rPr>
        <w:t>.</w:t>
      </w:r>
      <w:r w:rsidRPr="00415A81">
        <w:rPr>
          <w:rFonts w:ascii="Calibri Light" w:eastAsia="MS Mincho" w:hAnsi="Calibri Light" w:cs="Calibri Light"/>
          <w:sz w:val="24"/>
          <w:szCs w:val="24"/>
          <w:lang w:eastAsia="en-US"/>
        </w:rPr>
        <w:t>The</w:t>
      </w:r>
      <w:proofErr w:type="gramEnd"/>
      <w:r w:rsidRPr="00415A81">
        <w:rPr>
          <w:rFonts w:ascii="Calibri Light" w:eastAsia="MS Mincho" w:hAnsi="Calibri Light" w:cs="Calibri Light"/>
          <w:sz w:val="24"/>
          <w:szCs w:val="24"/>
          <w:lang w:eastAsia="en-US"/>
        </w:rPr>
        <w:t xml:space="preserve"> top 10 keywords on occurrence</w:t>
      </w:r>
    </w:p>
    <w:p w14:paraId="21D2CBBB" w14:textId="1C7524ED" w:rsidR="008F1989" w:rsidRDefault="00546E89" w:rsidP="00B06D1D">
      <w:pPr>
        <w:autoSpaceDE/>
        <w:autoSpaceDN/>
        <w:spacing w:after="200" w:line="276" w:lineRule="auto"/>
        <w:ind w:left="426"/>
        <w:jc w:val="both"/>
        <w:rPr>
          <w:rFonts w:ascii="Calibri Light" w:eastAsia="MS Mincho" w:hAnsi="Calibri Light" w:cs="Calibri Light"/>
          <w:sz w:val="24"/>
          <w:szCs w:val="24"/>
          <w:lang w:eastAsia="en-US"/>
        </w:rPr>
      </w:pPr>
      <w:r w:rsidRPr="00415A81">
        <w:rPr>
          <w:rFonts w:eastAsia="Calibri" w:cs="Traditional Arabic"/>
          <w:noProof/>
          <w:sz w:val="24"/>
          <w:szCs w:val="24"/>
          <w:lang w:val="en-ID" w:eastAsia="en-US"/>
        </w:rPr>
        <w:drawing>
          <wp:anchor distT="0" distB="0" distL="114300" distR="114300" simplePos="0" relativeHeight="251703808" behindDoc="0" locked="0" layoutInCell="1" allowOverlap="1" wp14:anchorId="755B90D5" wp14:editId="54A0AEE5">
            <wp:simplePos x="0" y="0"/>
            <wp:positionH relativeFrom="margin">
              <wp:align>right</wp:align>
            </wp:positionH>
            <wp:positionV relativeFrom="paragraph">
              <wp:posOffset>2173947</wp:posOffset>
            </wp:positionV>
            <wp:extent cx="5377180" cy="2246630"/>
            <wp:effectExtent l="0" t="0" r="0" b="1270"/>
            <wp:wrapTopAndBottom/>
            <wp:docPr id="467653790"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77180" cy="22466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15A81" w:rsidRPr="00415A81">
        <w:rPr>
          <w:rFonts w:ascii="Calibri Light" w:eastAsia="MS Mincho" w:hAnsi="Calibri Light" w:cs="Calibri Light"/>
          <w:sz w:val="24"/>
          <w:szCs w:val="24"/>
          <w:lang w:eastAsia="en-US"/>
        </w:rPr>
        <w:t xml:space="preserve">Table </w:t>
      </w:r>
      <w:r w:rsidR="001A4C9F">
        <w:rPr>
          <w:rFonts w:ascii="Calibri Light" w:eastAsia="MS Mincho" w:hAnsi="Calibri Light" w:cs="Calibri Light" w:hint="cs"/>
          <w:sz w:val="24"/>
          <w:szCs w:val="24"/>
          <w:rtl/>
          <w:lang w:eastAsia="en-US"/>
        </w:rPr>
        <w:t>4</w:t>
      </w:r>
      <w:r w:rsidR="00415A81" w:rsidRPr="00415A81">
        <w:rPr>
          <w:rFonts w:ascii="Calibri Light" w:eastAsia="MS Mincho" w:hAnsi="Calibri Light" w:cs="Calibri Light"/>
          <w:sz w:val="24"/>
          <w:szCs w:val="24"/>
          <w:lang w:eastAsia="en-US"/>
        </w:rPr>
        <w:t xml:space="preserve"> presents key terms frequently appearing in the literature on Islamic banking, distributed across different conceptual clusters. "Islamic banking" ranks highest in both frequency (559) and total link strength (818), followed by "Islamic finance" and "Banking", highlighting their central role in the field. Terms such as "Basel accord" and "Basel III" appear in separate clusters, indicating a research focus on risk and financial regulation. Meanwhile, "Fintech" and "Islamic Marketing" reflect a shift toward technology and Islamic consumer behavior. Concepts like "Sharia" and "Islamic economics" emphasize the field's ethical and jurisprudential dimensions, showcasing the thematic diversity and interdisciplinary nature of Islamic banking research</w:t>
      </w:r>
      <w:r w:rsidR="00BF5A85">
        <w:rPr>
          <w:rFonts w:ascii="Calibri Light" w:eastAsia="MS Mincho" w:hAnsi="Calibri Light" w:cs="Calibri Light"/>
          <w:sz w:val="24"/>
          <w:szCs w:val="24"/>
          <w:lang w:eastAsia="en-US"/>
        </w:rPr>
        <w:t xml:space="preserve"> </w:t>
      </w:r>
      <w:r w:rsidR="00BF5A85">
        <w:rPr>
          <w:rFonts w:ascii="Calibri Light" w:eastAsia="MS Mincho" w:hAnsi="Calibri Light" w:cs="Calibri Light"/>
          <w:sz w:val="24"/>
          <w:szCs w:val="24"/>
          <w:lang w:eastAsia="en-US"/>
        </w:rPr>
        <w:fldChar w:fldCharType="begin" w:fldLock="1"/>
      </w:r>
      <w:r w:rsidR="00BF5A85">
        <w:rPr>
          <w:rFonts w:ascii="Calibri Light" w:eastAsia="MS Mincho" w:hAnsi="Calibri Light" w:cs="Calibri Light"/>
          <w:sz w:val="24"/>
          <w:szCs w:val="24"/>
          <w:lang w:eastAsia="en-US"/>
        </w:rPr>
        <w:instrText>ADDIN CSL_CITATION {"citationItems":[{"id":"ITEM-1","itemData":{"DOI":"10.1108/JM2-10-2020-0256","ISSN":"17465664 (ISSN)","abstract":"Purpose: This paper aims to compare perceptions of Islamic bank customers concerning FinTech services in Malaysia and Saudi Arabia. It also investigates the level to which customers are willing to adapt FinTech services. Design/methodology/approach: Primary data was collected from May to September 2019 using a questionnaire to survey 102 Islamic bank customers in Malaysia and 147 in Saudi Arabia. The data are analyzed based on Structural Equation Modelling using the partial least squares approach. Findings: The findings show that knowledge, attitude and subjective norms are the highly significant determining factors that influence customers’ opinions on adapting to new technology, but awareness demonstrates only a moderately positive effect. Moreover, the impact of these factors on the intention to adopt FinTech services significantly differs between Malaysian and Saudi Arabian customers. Originality/value: This is an original study based on primary data on customers of Islamic banking in Malaysia and Saudi Arabia. It provides some novel insights into how the banking industry can boost customers’ confidence and enhance their patronage by adopting FinTech in their business operation model. These findings should be of value to senior management, policymakers and regulators in the banking industry in both Muslim and non-Muslim countries. © 2021, Emerald Publishing Limited.","author":[{"dropping-particle":"","family":"Oladapo","given":"I A","non-dropping-particle":"","parse-names":false,"suffix":""},{"dropping-particle":"","family":"Hamoudah","given":"M M","non-dropping-particle":"","parse-names":false,"suffix":""},{"dropping-particle":"","family":"Alam","given":"M M","non-dropping-particle":"","parse-names":false,"suffix":""},{"dropping-particle":"","family":"Olaopa","given":"O R","non-dropping-particle":"","parse-names":false,"suffix":""},{"dropping-particle":"","family":"Muda","given":"R","non-dropping-particle":"","parse-names":false,"suffix":""}],"container-title":"Journal of Modelling in Management","id":"ITEM-1","issue":"4","issued":{"date-parts":[["2022"]]},"language":"English","note":"Export Date: 24 April 2025; Cited By: 39; Correspondence Address: I.A. Oladapo; Department of Economics, College of Business Administration, Imam Abdulrahman Bin Faisal University, Dammam, Saudi Arabia; email: iaoladapo@iau.edu.sa","page":"1241-1261","publisher":"Emerald Publishing","publisher-place":"Department of Economics, College of Business Administration, Imam Abdulrahman Bin Faisal University, Dammam, Saudi Arabia","title":"Customers’ perceptions of FinTech adaptability in the Islamic banking sector: comparative study on Malaysia and Saudi Arabia","type":"article-journal","volume":"17"},"uris":["http://www.mendeley.com/documents/?uuid=89d15f42-af9a-4532-8235-bc86bae60458"]}],"mendeley":{"formattedCitation":"(Oladapo et al., 2022)","plainTextFormattedCitation":"(Oladapo et al., 2022)","previouslyFormattedCitation":"(Oladapo et al., 2022)"},"properties":{"noteIndex":0},"schema":"https://github.com/citation-style-language/schema/raw/master/csl-citation.json"}</w:instrText>
      </w:r>
      <w:r w:rsidR="00BF5A85">
        <w:rPr>
          <w:rFonts w:ascii="Calibri Light" w:eastAsia="MS Mincho" w:hAnsi="Calibri Light" w:cs="Calibri Light"/>
          <w:sz w:val="24"/>
          <w:szCs w:val="24"/>
          <w:lang w:eastAsia="en-US"/>
        </w:rPr>
        <w:fldChar w:fldCharType="separate"/>
      </w:r>
      <w:r w:rsidR="00BF5A85" w:rsidRPr="00BF5A85">
        <w:rPr>
          <w:rFonts w:ascii="Calibri Light" w:eastAsia="MS Mincho" w:hAnsi="Calibri Light" w:cs="Calibri Light"/>
          <w:noProof/>
          <w:sz w:val="24"/>
          <w:szCs w:val="24"/>
          <w:lang w:eastAsia="en-US"/>
        </w:rPr>
        <w:t>(Oladapo et al., 2022)</w:t>
      </w:r>
      <w:r w:rsidR="00BF5A85">
        <w:rPr>
          <w:rFonts w:ascii="Calibri Light" w:eastAsia="MS Mincho" w:hAnsi="Calibri Light" w:cs="Calibri Light"/>
          <w:sz w:val="24"/>
          <w:szCs w:val="24"/>
          <w:lang w:eastAsia="en-US"/>
        </w:rPr>
        <w:fldChar w:fldCharType="end"/>
      </w:r>
      <w:r w:rsidR="00415A81" w:rsidRPr="00415A81">
        <w:rPr>
          <w:rFonts w:ascii="Calibri Light" w:eastAsia="MS Mincho" w:hAnsi="Calibri Light" w:cs="Calibri Light"/>
          <w:sz w:val="24"/>
          <w:szCs w:val="24"/>
          <w:lang w:eastAsia="en-US"/>
        </w:rPr>
        <w:t>.</w:t>
      </w:r>
    </w:p>
    <w:p w14:paraId="7C91667F" w14:textId="36266D2D" w:rsidR="00415A81" w:rsidRDefault="00546E89" w:rsidP="00546E89">
      <w:pPr>
        <w:autoSpaceDE/>
        <w:autoSpaceDN/>
        <w:spacing w:after="200" w:line="276" w:lineRule="auto"/>
        <w:ind w:left="426"/>
        <w:jc w:val="center"/>
        <w:rPr>
          <w:rFonts w:ascii="Calibri Light" w:eastAsia="MS Mincho" w:hAnsi="Calibri Light" w:cs="Calibri Light"/>
          <w:sz w:val="24"/>
          <w:szCs w:val="24"/>
          <w:rtl/>
          <w:lang w:eastAsia="en-US"/>
        </w:rPr>
      </w:pPr>
      <w:r w:rsidRPr="00546E89">
        <w:rPr>
          <w:rFonts w:ascii="Calibri Light" w:eastAsia="MS Mincho" w:hAnsi="Calibri Light" w:cs="Calibri Light"/>
          <w:b/>
          <w:bCs/>
          <w:sz w:val="24"/>
          <w:szCs w:val="24"/>
          <w:lang w:eastAsia="en-US"/>
        </w:rPr>
        <w:t xml:space="preserve">Figure </w:t>
      </w:r>
      <w:r w:rsidR="001A4C9F">
        <w:rPr>
          <w:rFonts w:ascii="Calibri Light" w:eastAsia="MS Mincho" w:hAnsi="Calibri Light" w:cs="Calibri Light" w:hint="cs"/>
          <w:b/>
          <w:bCs/>
          <w:sz w:val="24"/>
          <w:szCs w:val="24"/>
          <w:rtl/>
          <w:lang w:eastAsia="en-US"/>
        </w:rPr>
        <w:t>1</w:t>
      </w:r>
      <w:r w:rsidR="001F582A">
        <w:rPr>
          <w:rFonts w:ascii="Calibri Light" w:eastAsia="MS Mincho" w:hAnsi="Calibri Light" w:cs="Calibri Light"/>
          <w:b/>
          <w:bCs/>
          <w:sz w:val="24"/>
          <w:szCs w:val="24"/>
          <w:lang w:eastAsia="en-US"/>
        </w:rPr>
        <w:t>1</w:t>
      </w:r>
      <w:r w:rsidRPr="00546E89">
        <w:rPr>
          <w:rFonts w:ascii="Calibri Light" w:eastAsia="MS Mincho" w:hAnsi="Calibri Light" w:cs="Calibri Light"/>
          <w:b/>
          <w:bCs/>
          <w:sz w:val="24"/>
          <w:szCs w:val="24"/>
          <w:lang w:eastAsia="en-US"/>
        </w:rPr>
        <w:t>.</w:t>
      </w:r>
      <w:r>
        <w:rPr>
          <w:rFonts w:ascii="Calibri Light" w:eastAsia="MS Mincho" w:hAnsi="Calibri Light" w:cs="Calibri Light"/>
          <w:b/>
          <w:bCs/>
          <w:sz w:val="24"/>
          <w:szCs w:val="24"/>
          <w:lang w:eastAsia="en-US"/>
        </w:rPr>
        <w:t xml:space="preserve"> </w:t>
      </w:r>
      <w:r w:rsidRPr="00546E89">
        <w:rPr>
          <w:rFonts w:ascii="Calibri Light" w:eastAsia="MS Mincho" w:hAnsi="Calibri Light" w:cs="Calibri Light"/>
          <w:sz w:val="24"/>
          <w:szCs w:val="24"/>
          <w:lang w:eastAsia="en-US"/>
        </w:rPr>
        <w:t>The word cloud of strategic Basel and Islamic Banking research</w:t>
      </w:r>
    </w:p>
    <w:p w14:paraId="2AAF43EF" w14:textId="40D3E6ED" w:rsidR="008F1989" w:rsidRDefault="00546E89" w:rsidP="00B06D1D">
      <w:pPr>
        <w:autoSpaceDE/>
        <w:autoSpaceDN/>
        <w:spacing w:after="200" w:line="276" w:lineRule="auto"/>
        <w:ind w:left="426"/>
        <w:jc w:val="both"/>
        <w:rPr>
          <w:rFonts w:ascii="Calibri Light" w:eastAsia="MS Mincho" w:hAnsi="Calibri Light" w:cs="Calibri Light"/>
          <w:sz w:val="24"/>
          <w:szCs w:val="24"/>
          <w:rtl/>
          <w:lang w:eastAsia="en-US"/>
        </w:rPr>
      </w:pPr>
      <w:r w:rsidRPr="00546E89">
        <w:rPr>
          <w:rFonts w:ascii="Calibri Light" w:eastAsia="MS Mincho" w:hAnsi="Calibri Light" w:cs="Calibri Light"/>
          <w:sz w:val="24"/>
          <w:szCs w:val="24"/>
          <w:lang w:eastAsia="en-US"/>
        </w:rPr>
        <w:t xml:space="preserve">Figure </w:t>
      </w:r>
      <w:r w:rsidR="001A4C9F">
        <w:rPr>
          <w:rFonts w:ascii="Calibri Light" w:eastAsia="MS Mincho" w:hAnsi="Calibri Light" w:cs="Calibri Light" w:hint="cs"/>
          <w:sz w:val="24"/>
          <w:szCs w:val="24"/>
          <w:rtl/>
          <w:lang w:eastAsia="en-US"/>
        </w:rPr>
        <w:t>1</w:t>
      </w:r>
      <w:r w:rsidR="001F582A">
        <w:rPr>
          <w:rFonts w:ascii="Calibri Light" w:eastAsia="MS Mincho" w:hAnsi="Calibri Light" w:cs="Calibri Light"/>
          <w:sz w:val="24"/>
          <w:szCs w:val="24"/>
          <w:lang w:eastAsia="en-US"/>
        </w:rPr>
        <w:t>1</w:t>
      </w:r>
      <w:r w:rsidRPr="00546E89">
        <w:rPr>
          <w:rFonts w:ascii="Calibri Light" w:eastAsia="MS Mincho" w:hAnsi="Calibri Light" w:cs="Calibri Light"/>
          <w:sz w:val="24"/>
          <w:szCs w:val="24"/>
          <w:lang w:eastAsia="en-US"/>
        </w:rPr>
        <w:t xml:space="preserve"> presents a word cloud in the image above highlights the central focus on topics related to Basel Accords and Islamic Banking, with frequent associations to key economic and financial concepts. The prominence of terms such as Basel Accords, Islamic Banking, economy, Islam, and bank reflects the dominant themes within this research field. It is evident that regulatory frameworks and Sharia-compliant financial practices form the core of scholarly interest. The inclusion of words like finance, regulation, risk, and compliance indicates a strong emphasis on the legal and economic dimensions of banking operations. Furthermore, the presence of terms such as development, stability, and growth suggests a broader concern with the macroeconomic implications and the evolving role of Islamic finance within global financial systems</w:t>
      </w:r>
      <w:r w:rsidR="00465FB0">
        <w:rPr>
          <w:rFonts w:ascii="Calibri Light" w:eastAsia="MS Mincho" w:hAnsi="Calibri Light" w:cs="Calibri Light"/>
          <w:sz w:val="24"/>
          <w:szCs w:val="24"/>
          <w:lang w:eastAsia="en-US"/>
        </w:rPr>
        <w:t xml:space="preserve"> </w:t>
      </w:r>
      <w:r w:rsidR="00465FB0">
        <w:rPr>
          <w:rFonts w:ascii="Calibri Light" w:eastAsia="MS Mincho" w:hAnsi="Calibri Light" w:cs="Calibri Light"/>
          <w:sz w:val="24"/>
          <w:szCs w:val="24"/>
          <w:lang w:eastAsia="en-US"/>
        </w:rPr>
        <w:fldChar w:fldCharType="begin" w:fldLock="1"/>
      </w:r>
      <w:r w:rsidR="00465FB0">
        <w:rPr>
          <w:rFonts w:ascii="Calibri Light" w:eastAsia="MS Mincho" w:hAnsi="Calibri Light" w:cs="Calibri Light"/>
          <w:sz w:val="24"/>
          <w:szCs w:val="24"/>
          <w:lang w:eastAsia="en-US"/>
        </w:rPr>
        <w:instrText>ADDIN CSL_CITATION {"citationItems":[{"id":"ITEM-1","itemData":{"DOI":"10.1108/JIMA-02-2023-0036","ISSN":"17590833 (ISSN)","abstract":"Purpose: This study aims to investigate the comparative importance of factors influencing the customer shift behavior from conventional to Islamic banking for consumer finance in Pakistan. Design/methodology/approach: First, a comprehensive analysis of the existing literature was conducted to identify a broad range of factors related to customer shift behavior. Through an expert sampling, 14 essential factors were chosen for further investigation. Second, a questionnaire was developed using the analytical hierarchy process (AHP). This questionnaire was then distributed among customers who had previously been using conventional banking services but had made a shift toward Islamic banking. The purpose of this questionnaire was to gather data and insights regarding their motivations and decision-making process behind the shift, and a sample 215 customers are taken in the study. Findings: The results of AHP depicts that the religiosity is a most important factor influencing customers to shift from conventional to Islamic banking, and the second most important factor is pricing. The other subsequent important factors are reputation of the bank, marketing and promotion, service quality, behavior of banks staff, Shariah compliance, management, convenience, fastness and charges/fees. Whereas documentation, ambiance and recommendation are found least important factors to patronize Islamic banking. Practical implications: The study recommends Islamic banks to create awareness, concentrating on religious factor to have a greater impact on growth of Islamic banking and shrinking of conventional banking. Further, it suggests Islamic banks to apply Shariah-recommended approach of doing business, to help community in best possible way and to launch differentiated marketing techniques to attract customers. It also proposes regulatory authorities to provide facilitation to Islamic banking business by providing level playing field similar to conventional banking, tax equality and conversion of public financing from conventional banking to Islamic banking. Originality/value: The originality of this study lies in its comprehensive analysis of factors influencing consumer shift behavior from conventional to Islamic banking in the context of consumer finance in Pakistan. By using the AHP, the study provides a structured approach to understanding the relative importance of these factors. This is the uniqueness of the paper that it applies the AHP for the analysis. Furthermore…","author":[{"dropping-particle":"","family":"Ahmad","given":"M","non-dropping-particle":"","parse-names":false,"suffix":""},{"dropping-particle":"","family":"Zafar","given":"M B","non-dropping-particle":"","parse-names":false,"suffix":""},{"dropping-particle":"","family":"Perveen","given":"A","non-dropping-particle":"","parse-names":false,"suffix":""}],"container-title":"Journal of Islamic Marketing","id":"ITEM-1","issue":"5","issued":{"date-parts":[["2024"]]},"language":"English","note":"Export Date: 24 April 2025; Cited By: 7; Correspondence Address: M.B. Zafar; School of Islamic Economics, Banking and Finance, Minhaj University Lahore, Lahore, Pakistan; email: bilalezafar@gmail.com","page":"1280-1302","publisher":"Emerald Publishing","publisher-place":"Sheikh Zayed Islamic Center, University of Karachi, Karachi, Pakistan","title":"Consumer shift behavior from conventional to Islamic banking: decision-making analysis through AHP","type":"article-journal","volume":"15"},"uris":["http://www.mendeley.com/documents/?uuid=cc961569-f30a-4986-98d8-8b7ae94f986f"]}],"mendeley":{"formattedCitation":"(Ahmad et al., 2024)","plainTextFormattedCitation":"(Ahmad et al., 2024)","previouslyFormattedCitation":"(Ahmad et al., 2024)"},"properties":{"noteIndex":0},"schema":"https://github.com/citation-style-language/schema/raw/master/csl-citation.json"}</w:instrText>
      </w:r>
      <w:r w:rsidR="00465FB0">
        <w:rPr>
          <w:rFonts w:ascii="Calibri Light" w:eastAsia="MS Mincho" w:hAnsi="Calibri Light" w:cs="Calibri Light"/>
          <w:sz w:val="24"/>
          <w:szCs w:val="24"/>
          <w:lang w:eastAsia="en-US"/>
        </w:rPr>
        <w:fldChar w:fldCharType="separate"/>
      </w:r>
      <w:r w:rsidR="00465FB0" w:rsidRPr="00465FB0">
        <w:rPr>
          <w:rFonts w:ascii="Calibri Light" w:eastAsia="MS Mincho" w:hAnsi="Calibri Light" w:cs="Calibri Light"/>
          <w:noProof/>
          <w:sz w:val="24"/>
          <w:szCs w:val="24"/>
          <w:lang w:eastAsia="en-US"/>
        </w:rPr>
        <w:t>(Ahmad et al., 2024)</w:t>
      </w:r>
      <w:r w:rsidR="00465FB0">
        <w:rPr>
          <w:rFonts w:ascii="Calibri Light" w:eastAsia="MS Mincho" w:hAnsi="Calibri Light" w:cs="Calibri Light"/>
          <w:sz w:val="24"/>
          <w:szCs w:val="24"/>
          <w:lang w:eastAsia="en-US"/>
        </w:rPr>
        <w:fldChar w:fldCharType="end"/>
      </w:r>
      <w:r w:rsidRPr="00546E89">
        <w:rPr>
          <w:rFonts w:ascii="Calibri Light" w:eastAsia="MS Mincho" w:hAnsi="Calibri Light" w:cs="Calibri Light"/>
          <w:sz w:val="24"/>
          <w:szCs w:val="24"/>
          <w:lang w:eastAsia="en-US"/>
        </w:rPr>
        <w:t>.</w:t>
      </w:r>
    </w:p>
    <w:p w14:paraId="09411317" w14:textId="77777777" w:rsidR="00E434D8" w:rsidRDefault="00E434D8" w:rsidP="00E434D8">
      <w:pPr>
        <w:autoSpaceDE/>
        <w:autoSpaceDN/>
        <w:spacing w:after="200" w:line="276" w:lineRule="auto"/>
        <w:ind w:left="426"/>
        <w:jc w:val="both"/>
        <w:rPr>
          <w:rFonts w:ascii="Calibri Light" w:eastAsia="MS Mincho" w:hAnsi="Calibri Light" w:cs="Calibri Light"/>
          <w:b/>
          <w:sz w:val="24"/>
          <w:szCs w:val="24"/>
          <w:rtl/>
          <w:lang w:eastAsia="en-US"/>
        </w:rPr>
      </w:pPr>
      <w:commentRangeStart w:id="20"/>
      <w:commentRangeStart w:id="21"/>
      <w:r w:rsidRPr="00E434D8">
        <w:rPr>
          <w:rFonts w:ascii="Calibri Light" w:eastAsia="MS Mincho" w:hAnsi="Calibri Light" w:cs="Calibri Light"/>
          <w:b/>
          <w:sz w:val="24"/>
          <w:szCs w:val="24"/>
          <w:lang w:val="id-ID" w:eastAsia="en-US"/>
        </w:rPr>
        <w:t>DISCUSSION</w:t>
      </w:r>
      <w:r w:rsidRPr="00E434D8">
        <w:rPr>
          <w:rFonts w:ascii="Calibri Light" w:eastAsia="MS Mincho" w:hAnsi="Calibri Light" w:cs="Calibri Light"/>
          <w:b/>
          <w:sz w:val="24"/>
          <w:szCs w:val="24"/>
          <w:lang w:eastAsia="en-US"/>
        </w:rPr>
        <w:t xml:space="preserve"> </w:t>
      </w:r>
      <w:commentRangeEnd w:id="20"/>
      <w:r w:rsidR="00117FCE">
        <w:rPr>
          <w:rStyle w:val="CommentReference"/>
        </w:rPr>
        <w:commentReference w:id="20"/>
      </w:r>
      <w:commentRangeEnd w:id="21"/>
      <w:r w:rsidR="00EE6C25">
        <w:rPr>
          <w:rStyle w:val="CommentReference"/>
        </w:rPr>
        <w:commentReference w:id="21"/>
      </w:r>
    </w:p>
    <w:p w14:paraId="118E711B" w14:textId="1C4EF694" w:rsidR="00E434D8" w:rsidRPr="00E434D8" w:rsidRDefault="00E434D8" w:rsidP="00E434D8">
      <w:pPr>
        <w:autoSpaceDE/>
        <w:autoSpaceDN/>
        <w:spacing w:after="200" w:line="276" w:lineRule="auto"/>
        <w:ind w:left="426"/>
        <w:jc w:val="both"/>
        <w:rPr>
          <w:rFonts w:ascii="Calibri Light" w:eastAsia="MS Mincho" w:hAnsi="Calibri Light" w:cs="Calibri Light"/>
          <w:b/>
          <w:sz w:val="24"/>
          <w:szCs w:val="24"/>
          <w:lang w:val="id-ID" w:eastAsia="en-US"/>
        </w:rPr>
      </w:pPr>
      <w:r w:rsidRPr="00E434D8">
        <w:rPr>
          <w:rFonts w:ascii="Calibri Light" w:eastAsia="MS Mincho" w:hAnsi="Calibri Light" w:cs="Calibri Light"/>
          <w:sz w:val="24"/>
          <w:szCs w:val="24"/>
          <w:lang w:val="en-ID" w:eastAsia="en-US"/>
        </w:rPr>
        <w:lastRenderedPageBreak/>
        <w:t>The bibliometric analysis in this study shows a significant growth in research related to the Basel Accords and Islamic banking, reflecting the increasing interest in this dynamic academic field. Since 2015, there has been a steady rise in publications addressing the impact of Basel regulations on Islamic banking systems, with notable peaks in 2020 and 2022. This trend aligns with major regulatory shifts like Basel III and the growing role of Islamic banking in the global financial system. The rise in publications responds to the growing challenges related to financial stability, risk management, and the role of Islamic banks in providing finance in compliance with Sharia principles, making it a focal point for academic discussions</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465FB0">
        <w:rPr>
          <w:rFonts w:ascii="Calibri Light" w:eastAsia="MS Mincho" w:hAnsi="Calibri Light" w:cs="Calibri Light"/>
          <w:sz w:val="24"/>
          <w:szCs w:val="24"/>
          <w:lang w:val="en-ID" w:eastAsia="en-US"/>
        </w:rPr>
        <w:instrText>ADDIN CSL_CITATION {"citationItems":[{"id":"ITEM-1","itemData":{"DOI":"10.1016/j.jretconser.2021.102558","ISSN":"09696989 (ISSN)","abstract":"Increased support from customers for Islamic financial services is very important to create resilience and competitiveness in the Islamic banking industry. By highlighting certain social activities, this paper estimates the role of Islamic banks’ CSR in influencing customer loyalty, both individually and through the integrated roles of image, trust, satisfaction, and reputation. These paths explore how CSR makes customers impressed, convinced, satisfied, amazed, and ultimately loyal to Islamic banks. The empirical analysis of partial least square structural equation modeling (n = 283) has shown that CSR directly and positively impacts loyalty. Indirectly, these two aspects have an insignificant relationship through the serial roles of image-reputation and satisfaction-reputation, but significant through the single role of reputation and the serial role of trust-reputation. This study has resulted in an updated prediction model of Islamic banking customer loyalty. The practical implication lies in the importance of developing CSR to generate trust and reputation which ultimately increase customer loyalty toward Islamic banks. © 2021 Elsevier Ltd","author":[{"dropping-particle":"","family":"Muflih","given":"M","non-dropping-particle":"","parse-names":false,"suffix":""}],"container-title":"Journal of Retailing and Consumer Services","id":"ITEM-1","issued":{"date-parts":[["2021"]]},"language":"English","note":"Export Date: 24 April 2025; Cited By: 59","publisher":"Elsevier Ltd","publisher-place":"Accounting Department, Politeknik Negeri Bandung, Indonesia","title":"The link between corporate social responsibility and customer loyalty: Empirical evidence from the Islamic banking industry","type":"article-journal","volume":"61"},"uris":["http://www.mendeley.com/documents/?uuid=73eadbe0-359c-4a33-97cb-b9346f6612e4"]}],"mendeley":{"formattedCitation":"(Muflih, 2021)","plainTextFormattedCitation":"(Muflih, 2021)","previouslyFormattedCitation":"(Muflih, 2021)"},"properties":{"noteIndex":0},"schema":"https://github.com/citation-style-language/schema/raw/master/csl-citation.json"}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465FB0" w:rsidRPr="00465FB0">
        <w:rPr>
          <w:rFonts w:ascii="Calibri Light" w:eastAsia="MS Mincho" w:hAnsi="Calibri Light" w:cs="Calibri Light"/>
          <w:noProof/>
          <w:sz w:val="24"/>
          <w:szCs w:val="24"/>
          <w:lang w:val="en-ID" w:eastAsia="en-US"/>
        </w:rPr>
        <w:t>(Muflih, 2021)</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2095E5D6" w14:textId="0E781062" w:rsidR="00E434D8" w:rsidRPr="00E434D8" w:rsidRDefault="00E434D8" w:rsidP="00E434D8">
      <w:pPr>
        <w:autoSpaceDE/>
        <w:autoSpaceDN/>
        <w:spacing w:after="200" w:line="276" w:lineRule="auto"/>
        <w:ind w:left="426"/>
        <w:jc w:val="both"/>
        <w:rPr>
          <w:rFonts w:ascii="Calibri Light" w:eastAsia="MS Mincho" w:hAnsi="Calibri Light" w:cs="Calibri Light"/>
          <w:sz w:val="24"/>
          <w:szCs w:val="24"/>
          <w:lang w:val="en-ID" w:eastAsia="en-US"/>
        </w:rPr>
      </w:pPr>
      <w:r w:rsidRPr="00E434D8">
        <w:rPr>
          <w:rFonts w:ascii="Calibri Light" w:eastAsia="MS Mincho" w:hAnsi="Calibri Light" w:cs="Calibri Light"/>
          <w:sz w:val="24"/>
          <w:szCs w:val="24"/>
          <w:lang w:val="en-ID" w:eastAsia="en-US"/>
        </w:rPr>
        <w:t>The analysis of influential authors highlights Dr. M.K. Hassan as a key figure, whose contributions have significantly shaped research in this area. These contributions serve as foundational references in understanding the research trends, reflecting the importance of in-depth studies to develop regulatory frameworks for Islamic banking and guide academic discourse on the alignment of global financial standards with Sharia-compliant practices. This role is crucial in ensuring that Islamic banking systems adhere to international standards while addressing the unique challenges they face in global financial markets</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465FB0">
        <w:rPr>
          <w:rFonts w:ascii="Calibri Light" w:eastAsia="MS Mincho" w:hAnsi="Calibri Light" w:cs="Calibri Light"/>
          <w:sz w:val="24"/>
          <w:szCs w:val="24"/>
          <w:lang w:val="en-ID" w:eastAsia="en-US"/>
        </w:rPr>
        <w:instrText>ADDIN CSL_CITATION {"citationItems":[{"id":"ITEM-1","itemData":{"DOI":"10.1016/j.iref.2022.02.014","ISSN":"10590560 (ISSN)","abstract":"In this paper, we examine the use of book-to-market equity (BE/ME) as a determinant of asset correlations in the Basel Accord on regulatory capital requirements. Utilizing an international sample from 38 countries during 1989–2017, we discover that asset correlations, controlling for firm size and default probability, are negatively associated with BE/ME. We further decompose BE/ME according to Daniel and Titman (2006) and Penman et al. (2007) to explore why BE/ME can capture variations in asset correlations. The former method demonstrates that obligors with higher assets-in-place (higher BE/ME) exhibit lower asset correlations, and the latter approach reveals that obligors with higher operating risk have lower asset correlations. These findings suggest that BE/ME is potentially a crucial factor in improving estimates of asset correlations and reducing bank regulatory capital arbitrage. © 2022 Elsevier Inc.","author":[{"dropping-particle":"","family":"Ho","given":"K.-C.","non-dropping-particle":"","parse-names":false,"suffix":""},{"dropping-particle":"","family":"Lee","given":"S.-C.","non-dropping-particle":"","parse-names":false,"suffix":""},{"dropping-particle":"","family":"Chen","given":"J.-L.","non-dropping-particle":"","parse-names":false,"suffix":""}],"container-title":"International Review of Economics and Finance","id":"ITEM-1","issued":{"date-parts":[["2022"]]},"language":"English","note":"Export Date: 24 April 2025; Cited By: 2; Correspondence Address: J.-L. Chen; College of Business, Valparaiso University, Valparaiso, 1909 Chapel Dr, 46383, United States; email: jiunlin.chen@valpo.edu","page":"258-274","publisher":"Elsevier Inc.","publisher-place":"School of Finance, Fuzhou University of International Studies and Trade, China","title":"Book-to-market equity and asset correlations—An international study","type":"article-journal","volume":"79"},"uris":["http://www.mendeley.com/documents/?uuid=3e5e2f66-8098-44d5-85d2-584ee8c4b992"]}],"mendeley":{"formattedCitation":"(Ho et al., 2022)","plainTextFormattedCitation":"(Ho et al., 2022)","previouslyFormattedCitation":"(Ho et al., 2022)"},"properties":{"noteIndex":0},"schema":"https://github.com/citation-style-language/schema/raw/master/csl-citation.json"}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465FB0" w:rsidRPr="00465FB0">
        <w:rPr>
          <w:rFonts w:ascii="Calibri Light" w:eastAsia="MS Mincho" w:hAnsi="Calibri Light" w:cs="Calibri Light"/>
          <w:noProof/>
          <w:sz w:val="24"/>
          <w:szCs w:val="24"/>
          <w:lang w:val="en-ID" w:eastAsia="en-US"/>
        </w:rPr>
        <w:t>(Ho et al., 2022)</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319F1218" w14:textId="3A0385A1" w:rsidR="00E434D8" w:rsidRPr="00E434D8" w:rsidRDefault="00E434D8" w:rsidP="00E434D8">
      <w:pPr>
        <w:autoSpaceDE/>
        <w:autoSpaceDN/>
        <w:spacing w:after="200" w:line="276" w:lineRule="auto"/>
        <w:ind w:left="426"/>
        <w:jc w:val="both"/>
        <w:rPr>
          <w:rFonts w:ascii="Calibri Light" w:eastAsia="MS Mincho" w:hAnsi="Calibri Light" w:cs="Calibri Light"/>
          <w:sz w:val="24"/>
          <w:szCs w:val="24"/>
          <w:lang w:val="en-ID" w:eastAsia="en-US"/>
        </w:rPr>
      </w:pPr>
      <w:r w:rsidRPr="00E434D8">
        <w:rPr>
          <w:rFonts w:ascii="Calibri Light" w:eastAsia="MS Mincho" w:hAnsi="Calibri Light" w:cs="Calibri Light"/>
          <w:sz w:val="24"/>
          <w:szCs w:val="24"/>
          <w:lang w:val="en-ID" w:eastAsia="en-US"/>
        </w:rPr>
        <w:t>Geographical analysis reveals that Islamic countries, especially Malaysia and Indonesia, have been central in academic research on the Basel Accords and Islamic banking. This can be attributed to their advanced institutional frameworks for Islamic finance, positioning them as leading research hubs in this field</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465FB0">
        <w:rPr>
          <w:rFonts w:ascii="Calibri Light" w:eastAsia="MS Mincho" w:hAnsi="Calibri Light" w:cs="Calibri Light"/>
          <w:sz w:val="24"/>
          <w:szCs w:val="24"/>
          <w:lang w:val="en-ID" w:eastAsia="en-US"/>
        </w:rPr>
        <w:instrText>ADDIN CSL_CITATION {"citationItems":[{"id":"ITEM-1","itemData":{"DOI":"10.1017/bap.2021.16","ISSN":"13695258 (ISSN)","abstract":"Recent developments in the international banking system, especially the 2007-9 crisis and subsequent wave of postcrisis regulation, have drawn increasing attention to the structural power of banks and banking systems. States need a functioning financial system to ensure the overall health of their economies, so states must shape policy to protect their financial firms. National financial systems may be dominated either by banks or by capital markets. In states where banks dominate provision of capital, states must shape policy to protect their banks because of their structural importance, independent of any lobbying or other direct action on the part of banks to exercise instrumental power. The entangling of structural and instrumental power means studying differences in structural power requires either careful case-study work or cross-national comparison of responses to a common shock. The implementation of the 2011 Basel III Accords provides just such an opportunity. This article offers a quantitative analysis of a new dataset of implementation of Basel III components in the Basel Committee on Banking Stability member states from 2011 to 2019 and demonstrates the structural power of banks in bank-based systems to accelerate implementation of favorable policies and slow implementation of unfavorable ones.  © The Author(s), 2021.","author":[{"dropping-particle":"","family":"Mitchell","given":"C","non-dropping-particle":"","parse-names":false,"suffix":""}],"container-title":"Business and Politics","id":"ITEM-1","issue":"1","issued":{"date-parts":[["2022"]]},"language":"English","note":"Export Date: 24 April 2025; Cited By: 5; Correspondence Address: C. Mitchell; Mount Holyoke College, South Hadley, 01075, United States; email: mitchell@mtholyoke.edu","page":"1-17","publisher":"Cambridge University Press","publisher-place":"Mount Holyoke College, South Hadley, 01075, MA, United States","title":"The Power of Delay: Banking System Structure and Implementation of the Basel Accords","type":"article-journal","volume":"24"},"uris":["http://www.mendeley.com/documents/?uuid=0c034651-1adc-475c-9c22-3baf0c4efbe8"]}],"mendeley":{"formattedCitation":"(Mitchell, 2022)","plainTextFormattedCitation":"(Mitchell, 2022)","previouslyFormattedCitation":"(Mitchell, 2022)"},"properties":{"noteIndex":0},"schema":"https://github.com/citation-style-language/schema/raw/master/csl-citation.json"}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465FB0" w:rsidRPr="00465FB0">
        <w:rPr>
          <w:rFonts w:ascii="Calibri Light" w:eastAsia="MS Mincho" w:hAnsi="Calibri Light" w:cs="Calibri Light"/>
          <w:noProof/>
          <w:sz w:val="24"/>
          <w:szCs w:val="24"/>
          <w:lang w:val="en-ID" w:eastAsia="en-US"/>
        </w:rPr>
        <w:t>(Mitchell, 2022)</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 xml:space="preserve">. On the other hand, countries like the </w:t>
      </w:r>
      <w:commentRangeStart w:id="22"/>
      <w:r w:rsidRPr="00E434D8">
        <w:rPr>
          <w:rFonts w:ascii="Calibri Light" w:eastAsia="MS Mincho" w:hAnsi="Calibri Light" w:cs="Calibri Light"/>
          <w:sz w:val="24"/>
          <w:szCs w:val="24"/>
          <w:lang w:val="en-ID" w:eastAsia="en-US"/>
        </w:rPr>
        <w:t>United Kingdom and the United States</w:t>
      </w:r>
      <w:commentRangeEnd w:id="22"/>
      <w:r w:rsidR="00117FCE">
        <w:rPr>
          <w:rStyle w:val="CommentReference"/>
        </w:rPr>
        <w:commentReference w:id="22"/>
      </w:r>
      <w:r w:rsidRPr="00E434D8">
        <w:rPr>
          <w:rFonts w:ascii="Calibri Light" w:eastAsia="MS Mincho" w:hAnsi="Calibri Light" w:cs="Calibri Light"/>
          <w:sz w:val="24"/>
          <w:szCs w:val="24"/>
          <w:lang w:val="en-ID" w:eastAsia="en-US"/>
        </w:rPr>
        <w:t>, while not dominant in Islamic banking, still contribute to comparative studies between conventional and Islamic banking systems, reflecting a cross-cultural interest in regulatory alignment. This dynamic points to an increasing need for international collaboration between Western and Islamic countries in developing regulatory frameworks that integrate global financial practices with Islamic financial principles</w:t>
      </w:r>
      <w:r w:rsidR="00465FB0">
        <w:rPr>
          <w:rFonts w:ascii="Calibri Light" w:eastAsia="MS Mincho" w:hAnsi="Calibri Light" w:cs="Calibri Light"/>
          <w:sz w:val="24"/>
          <w:szCs w:val="24"/>
          <w:lang w:val="en-ID" w:eastAsia="en-US"/>
        </w:rPr>
        <w:t xml:space="preserve"> </w:t>
      </w:r>
      <w:r w:rsidR="00465FB0">
        <w:rPr>
          <w:rFonts w:ascii="Calibri Light" w:eastAsia="MS Mincho" w:hAnsi="Calibri Light" w:cs="Calibri Light"/>
          <w:sz w:val="24"/>
          <w:szCs w:val="24"/>
          <w:lang w:val="en-ID" w:eastAsia="en-US"/>
        </w:rPr>
        <w:fldChar w:fldCharType="begin" w:fldLock="1"/>
      </w:r>
      <w:r w:rsidR="00465FB0">
        <w:rPr>
          <w:rFonts w:ascii="Calibri Light" w:eastAsia="MS Mincho" w:hAnsi="Calibri Light" w:cs="Calibri Light"/>
          <w:sz w:val="24"/>
          <w:szCs w:val="24"/>
          <w:lang w:val="en-ID" w:eastAsia="en-US"/>
        </w:rPr>
        <w:instrText>ADDIN CSL_CITATION {"citationItems":[{"id":"ITEM-1","itemData":{"DOI":"10.1002/ijfe.2637","ISSN":"10769307 (ISSN)","abstract":"Using data for Italy from 1994 to 2015, we appraise the nexus between Basel II and III accords and both the cost and the profit inefficiency of profit-oriented and mutual cooperative banks. Our analysis further deals with the effects of the regulation in different market structures. To assess the efficiency of the two types of banks under scrutiny, a stochastic frontier approach has been proposed. The evidence reported in this paper indicates that the regulatory framework of the Basel accords had heterogeneous effects on the efficiency of Italian banking institutions. Specifically, Basel II is associated with a contraction in the profit inefficiency and an increase in the cost inefficiency for mutual cooperative banks. On the other hand, Basel III worsened the profit inefficiency, though it is found to reduce the profit inefficiency of mutual cooperative banks, with no significant impact on cost inefficiency. Furthermore, once we control for the degree of market competition, the effects of the regulation are shown to be statistically insignificant. The advent of the 2008 recession and the application of the revenue inefficiency do not alter the main findings. There is also some evidence of spatial effects of the Basel II regulation at the LMA level. © 2022 The Authors. International Journal of Finance &amp; Economics published by John Wiley &amp; Sons Ltd.","author":[{"dropping-particle":"","family":"Barra","given":"C","non-dropping-particle":"","parse-names":false,"suffix":""},{"dropping-particle":"","family":"Papaccio","given":"A","non-dropping-particle":"","parse-names":false,"suffix":""},{"dropping-particle":"","family":"Ruggiero","given":"N","non-dropping-particle":"","parse-names":false,"suffix":""}],"container-title":"International Journal of Finance and Economics","id":"ITEM-1","issue":"4","issued":{"date-parts":[["2023"]]},"language":"English","note":"Export Date: 24 April 2025; Cited By: 3; Correspondence Address: C. Barra; Department of Economics and Statistics (DISES), Centre for Labour Economics and Economic Policy (CELPE), University of Salerno, Fisciano, Via Giovanni Paolo II, 84084, Italy; email: cbarra@unisa.it","page":"4079-4119","publisher":"John Wiley and Sons Ltd","publisher-place":"Department of Economics and Statistics (DISES), Centre for Labour Economics and Economic Policy (CELPE), University of Salerno, Fisciano, Italy","title":"Basel accords and banking inefficiency: Evidence from the Italian local market","type":"article-journal","volume":"28"},"uris":["http://www.mendeley.com/documents/?uuid=80f38133-cfa6-43be-af3d-2a29936783b3"]}],"mendeley":{"formattedCitation":"(Barra et al., 2023)","plainTextFormattedCitation":"(Barra et al., 2023)","previouslyFormattedCitation":"(Barra et al., 2023)"},"properties":{"noteIndex":0},"schema":"https://github.com/citation-style-language/schema/raw/master/csl-citation.json"}</w:instrText>
      </w:r>
      <w:r w:rsidR="00465FB0">
        <w:rPr>
          <w:rFonts w:ascii="Calibri Light" w:eastAsia="MS Mincho" w:hAnsi="Calibri Light" w:cs="Calibri Light"/>
          <w:sz w:val="24"/>
          <w:szCs w:val="24"/>
          <w:lang w:val="en-ID" w:eastAsia="en-US"/>
        </w:rPr>
        <w:fldChar w:fldCharType="separate"/>
      </w:r>
      <w:r w:rsidR="00465FB0" w:rsidRPr="00465FB0">
        <w:rPr>
          <w:rFonts w:ascii="Calibri Light" w:eastAsia="MS Mincho" w:hAnsi="Calibri Light" w:cs="Calibri Light"/>
          <w:noProof/>
          <w:sz w:val="24"/>
          <w:szCs w:val="24"/>
          <w:lang w:val="en-ID" w:eastAsia="en-US"/>
        </w:rPr>
        <w:t>(Barra et al., 2023)</w:t>
      </w:r>
      <w:r w:rsidR="00465FB0">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3E85E3E8" w14:textId="1C56557F" w:rsidR="00E434D8" w:rsidRPr="00E434D8" w:rsidRDefault="00E434D8" w:rsidP="00E434D8">
      <w:pPr>
        <w:autoSpaceDE/>
        <w:autoSpaceDN/>
        <w:spacing w:after="200" w:line="276" w:lineRule="auto"/>
        <w:ind w:left="426"/>
        <w:jc w:val="both"/>
        <w:rPr>
          <w:rFonts w:ascii="Calibri Light" w:eastAsia="MS Mincho" w:hAnsi="Calibri Light" w:cs="Calibri Light"/>
          <w:sz w:val="24"/>
          <w:szCs w:val="24"/>
          <w:lang w:val="en-ID" w:eastAsia="en-US"/>
        </w:rPr>
      </w:pPr>
      <w:r w:rsidRPr="00E434D8">
        <w:rPr>
          <w:rFonts w:ascii="Calibri Light" w:eastAsia="MS Mincho" w:hAnsi="Calibri Light" w:cs="Calibri Light"/>
          <w:sz w:val="24"/>
          <w:szCs w:val="24"/>
          <w:lang w:val="en-ID" w:eastAsia="en-US"/>
        </w:rPr>
        <w:t>Furthermore, the bibliometric networks provide a comprehensive view of the research evolution in this field, with increasing focus on topics such as corporate governance, risk management, and sustainability within Islamic banking. These themes are reflected in the various semantic clusters that dominate the literature, illustrating the close connections between global financial risks and Sharia-compliant practices. Islamic finance is gaining more attention as social and economic transformations occur, with a growing interest in topics like corporate social responsibility and sustainable development in Islamic banking</w:t>
      </w:r>
      <w:r w:rsidR="00C6181C">
        <w:rPr>
          <w:rFonts w:ascii="Calibri Light" w:eastAsia="MS Mincho" w:hAnsi="Calibri Light" w:cs="Calibri Light"/>
          <w:sz w:val="24"/>
          <w:szCs w:val="24"/>
          <w:lang w:val="en-ID" w:eastAsia="en-US"/>
        </w:rPr>
        <w:fldChar w:fldCharType="begin" w:fldLock="1"/>
      </w:r>
      <w:r w:rsidR="00C6181C">
        <w:rPr>
          <w:rFonts w:ascii="Calibri Light" w:eastAsia="MS Mincho" w:hAnsi="Calibri Light" w:cs="Calibri Light"/>
          <w:sz w:val="24"/>
          <w:szCs w:val="24"/>
          <w:lang w:val="en-ID" w:eastAsia="en-US"/>
        </w:rPr>
        <w:instrText>ADDIN CSL_CITATION {"citationItems":[{"id":"ITEM-1","itemData":{"DOI":"10.31893/multirev.2024132","ISSN":"25953982","abstract":"This study aims to reveal the ethics of sharia accounting: the ethics and contextualization of documenting the economics of sharia, muamalah, and accounts payable, as well as their execution in an Islamic environment, and the ramifications of al-Baqarah: 282 if applied. This research method employs qualitative and descriptive research methods, the data source is literature study, specifically the collection of documents containing primary data from al-Baqarah: 282 and secondary sources, and the approach is content analysis, normative-theological, and phenomenological. The results of the study indicate that in the contextualization of sharia accounting, muamalah, accounts payable, and so on, must be based on the general principles of sharia, namely, responsibility, fairness, honesty, legitimacy, good personality, continuity (continuity), and muqabalah (matching). This is per the spirit of sharia accounting as stated in al-Baqarah: 282. If this implementation is violated, it can harm all actors of economic transactions, both major and minor, personal and social, in this world and the hereafter.","author":[{"dropping-particle":"","family":"Muthoifin","given":"Muthoifin","non-dropping-particle":"","parse-names":false,"suffix":""},{"dropping-particle":"","family":"Amelia","given":"Ishma","non-dropping-particle":"","parse-names":false,"suffix":""},{"dropping-particle":"","family":"Eprahim Ali","given":"Aisha Bahaaeldin","non-dropping-particle":"","parse-names":false,"suffix":""}],"container-title":"Multidisciplinary Reviews","id":"ITEM-1","issue":"8","issued":{"date-parts":[["2024"]]},"title":"Islamic accounting: Ethics and contextualization of recording in Muamalah transactions","type":"article-journal","volume":"7"},"uris":["http://www.mendeley.com/documents/?uuid=70ee3ab1-de26-4a29-9949-d4bc0429ddd4"]}],"mendeley":{"formattedCitation":"(Muthoifin et al., 2024)","plainTextFormattedCitation":"(Muthoifin et al., 2024)","previouslyFormattedCitation":"(Muthoifin et al., 2024)"},"properties":{"noteIndex":0},"schema":"https://github.com/citation-style-language/schema/raw/master/csl-citation.json"}</w:instrText>
      </w:r>
      <w:r w:rsidR="00C6181C">
        <w:rPr>
          <w:rFonts w:ascii="Calibri Light" w:eastAsia="MS Mincho" w:hAnsi="Calibri Light" w:cs="Calibri Light"/>
          <w:sz w:val="24"/>
          <w:szCs w:val="24"/>
          <w:lang w:val="en-ID" w:eastAsia="en-US"/>
        </w:rPr>
        <w:fldChar w:fldCharType="separate"/>
      </w:r>
      <w:r w:rsidR="00C6181C" w:rsidRPr="00C6181C">
        <w:rPr>
          <w:rFonts w:ascii="Calibri Light" w:eastAsia="MS Mincho" w:hAnsi="Calibri Light" w:cs="Calibri Light"/>
          <w:noProof/>
          <w:sz w:val="24"/>
          <w:szCs w:val="24"/>
          <w:lang w:val="en-ID" w:eastAsia="en-US"/>
        </w:rPr>
        <w:t>(Muthoifin et al., 2024)</w:t>
      </w:r>
      <w:r w:rsidR="00C6181C">
        <w:rPr>
          <w:rFonts w:ascii="Calibri Light" w:eastAsia="MS Mincho" w:hAnsi="Calibri Light" w:cs="Calibri Light"/>
          <w:sz w:val="24"/>
          <w:szCs w:val="24"/>
          <w:lang w:val="en-ID" w:eastAsia="en-US"/>
        </w:rPr>
        <w:fldChar w:fldCharType="end"/>
      </w:r>
      <w:r w:rsidRPr="00E434D8">
        <w:rPr>
          <w:rFonts w:ascii="Calibri Light" w:eastAsia="MS Mincho" w:hAnsi="Calibri Light" w:cs="Calibri Light"/>
          <w:sz w:val="24"/>
          <w:szCs w:val="24"/>
          <w:lang w:val="en-ID" w:eastAsia="en-US"/>
        </w:rPr>
        <w:t>.</w:t>
      </w:r>
    </w:p>
    <w:p w14:paraId="6D8BF202" w14:textId="781B49A6" w:rsidR="00E434D8" w:rsidRPr="00E434D8" w:rsidRDefault="00E434D8" w:rsidP="00232961">
      <w:pPr>
        <w:autoSpaceDE/>
        <w:autoSpaceDN/>
        <w:spacing w:after="200" w:line="276" w:lineRule="auto"/>
        <w:ind w:left="426"/>
        <w:jc w:val="both"/>
        <w:rPr>
          <w:rFonts w:ascii="Calibri Light" w:eastAsia="MS Mincho" w:hAnsi="Calibri Light" w:cs="Calibri Light"/>
          <w:sz w:val="24"/>
          <w:szCs w:val="24"/>
          <w:rtl/>
          <w:lang w:val="en-ID" w:eastAsia="en-US"/>
        </w:rPr>
      </w:pPr>
      <w:r w:rsidRPr="00E434D8">
        <w:rPr>
          <w:rFonts w:ascii="Calibri Light" w:eastAsia="MS Mincho" w:hAnsi="Calibri Light" w:cs="Calibri Light"/>
          <w:sz w:val="24"/>
          <w:szCs w:val="24"/>
          <w:lang w:val="en-ID" w:eastAsia="en-US"/>
        </w:rPr>
        <w:t xml:space="preserve">Through these trends, this study emphasizes the importance of continued research in the field of Islamic banking and its development within the global regulatory framework. The </w:t>
      </w:r>
      <w:r w:rsidRPr="00E434D8">
        <w:rPr>
          <w:rFonts w:ascii="Calibri Light" w:eastAsia="MS Mincho" w:hAnsi="Calibri Light" w:cs="Calibri Light"/>
          <w:sz w:val="24"/>
          <w:szCs w:val="24"/>
          <w:lang w:val="en-ID" w:eastAsia="en-US"/>
        </w:rPr>
        <w:lastRenderedPageBreak/>
        <w:t xml:space="preserve">alignment of conventional banking systems with Sharia principles is essential for addressing contemporary financial challenges, opening doors for researchers and policymakers to develop innovative solutions that contribute to global financial </w:t>
      </w:r>
      <w:proofErr w:type="gramStart"/>
      <w:r w:rsidRPr="00E434D8">
        <w:rPr>
          <w:rFonts w:ascii="Calibri Light" w:eastAsia="MS Mincho" w:hAnsi="Calibri Light" w:cs="Calibri Light"/>
          <w:sz w:val="24"/>
          <w:szCs w:val="24"/>
          <w:lang w:val="en-ID" w:eastAsia="en-US"/>
        </w:rPr>
        <w:t>stability</w:t>
      </w:r>
      <w:r w:rsidR="00465FB0">
        <w:rPr>
          <w:rFonts w:ascii="Calibri Light" w:eastAsia="MS Mincho" w:hAnsi="Calibri Light" w:cs="Calibri Light"/>
          <w:sz w:val="24"/>
          <w:szCs w:val="24"/>
          <w:lang w:val="en-ID" w:eastAsia="en-US"/>
        </w:rPr>
        <w:t xml:space="preserve"> </w:t>
      </w:r>
      <w:r w:rsidRPr="00E434D8">
        <w:rPr>
          <w:rFonts w:ascii="Calibri Light" w:eastAsia="MS Mincho" w:hAnsi="Calibri Light" w:cs="Calibri Light"/>
          <w:sz w:val="24"/>
          <w:szCs w:val="24"/>
          <w:lang w:val="en-ID" w:eastAsia="en-US"/>
        </w:rPr>
        <w:t>.</w:t>
      </w:r>
      <w:proofErr w:type="gramEnd"/>
    </w:p>
    <w:p w14:paraId="5D5458E0" w14:textId="77777777" w:rsidR="00741058" w:rsidRPr="002003B1" w:rsidRDefault="00741058" w:rsidP="00781D8B">
      <w:pPr>
        <w:numPr>
          <w:ilvl w:val="0"/>
          <w:numId w:val="28"/>
        </w:numPr>
        <w:autoSpaceDE/>
        <w:autoSpaceDN/>
        <w:spacing w:line="240" w:lineRule="atLeast"/>
        <w:ind w:left="426" w:hanging="426"/>
        <w:rPr>
          <w:rFonts w:ascii="Calibri Light" w:hAnsi="Calibri Light" w:cs="Calibri Light"/>
          <w:b/>
          <w:color w:val="A6A6A6"/>
          <w:sz w:val="24"/>
          <w:szCs w:val="24"/>
        </w:rPr>
      </w:pPr>
      <w:r w:rsidRPr="00122F5F">
        <w:rPr>
          <w:rFonts w:ascii="Calibri Light" w:hAnsi="Calibri Light" w:cs="Calibri Light"/>
          <w:b/>
          <w:sz w:val="24"/>
          <w:szCs w:val="24"/>
        </w:rPr>
        <w:t>CONCLUSION</w:t>
      </w:r>
      <w:r w:rsidRPr="00122F5F">
        <w:rPr>
          <w:rFonts w:ascii="Calibri Light" w:hAnsi="Calibri Light" w:cs="Calibri Light"/>
          <w:b/>
          <w:color w:val="7030A0"/>
          <w:sz w:val="23"/>
        </w:rPr>
        <w:t xml:space="preserve"> </w:t>
      </w:r>
    </w:p>
    <w:p w14:paraId="4C49085A" w14:textId="6FD11D1B" w:rsidR="006254AD" w:rsidRPr="006254AD" w:rsidRDefault="006254AD" w:rsidP="002D33A7">
      <w:pPr>
        <w:tabs>
          <w:tab w:val="left" w:pos="3900"/>
        </w:tabs>
        <w:spacing w:before="120" w:after="120"/>
        <w:ind w:right="-1"/>
        <w:jc w:val="both"/>
        <w:rPr>
          <w:rFonts w:ascii="Calibri Light" w:hAnsi="Calibri Light" w:cs="Calibri Light"/>
          <w:sz w:val="24"/>
          <w:szCs w:val="24"/>
          <w:lang w:val="en-ID"/>
        </w:rPr>
      </w:pPr>
      <w:r w:rsidRPr="006254AD">
        <w:rPr>
          <w:rFonts w:ascii="Calibri Light" w:hAnsi="Calibri Light" w:cs="Calibri Light"/>
          <w:sz w:val="24"/>
          <w:szCs w:val="24"/>
          <w:lang w:val="en-ID"/>
        </w:rPr>
        <w:t>This study provides a comprehensive bibliometric analysis of the intersection between the Basel Accords and Islamic banking, revealing key trends and the continued growth of academic publications in this field since 2015, with notable increases in recent years. The findings suggest that research in this area is steadily expanding, reflecting the growing interest in discussions surrounding risk management frameworks and Sharia-compliant banking practices in light of global financial regulations.</w:t>
      </w:r>
      <w:r w:rsidR="001F582A">
        <w:rPr>
          <w:rFonts w:ascii="Calibri Light" w:hAnsi="Calibri Light" w:cs="Calibri Light"/>
          <w:sz w:val="24"/>
          <w:szCs w:val="24"/>
          <w:lang w:val="en-ID"/>
        </w:rPr>
        <w:t xml:space="preserve"> </w:t>
      </w:r>
      <w:commentRangeStart w:id="23"/>
      <w:r w:rsidRPr="006254AD">
        <w:rPr>
          <w:rFonts w:ascii="Calibri Light" w:hAnsi="Calibri Light" w:cs="Calibri Light"/>
          <w:sz w:val="24"/>
          <w:szCs w:val="24"/>
          <w:lang w:val="en-ID"/>
        </w:rPr>
        <w:t>Geographical data analysis highlights the significant contributions of Asian and Middle Eastern countries</w:t>
      </w:r>
      <w:commentRangeEnd w:id="23"/>
      <w:r w:rsidR="00FA4B17">
        <w:rPr>
          <w:rStyle w:val="CommentReference"/>
        </w:rPr>
        <w:commentReference w:id="23"/>
      </w:r>
      <w:r w:rsidRPr="006254AD">
        <w:rPr>
          <w:rFonts w:ascii="Calibri Light" w:hAnsi="Calibri Light" w:cs="Calibri Light"/>
          <w:sz w:val="24"/>
          <w:szCs w:val="24"/>
          <w:lang w:val="en-ID"/>
        </w:rPr>
        <w:t>, with particular focus on nations striving to align global financial systems with Islamic banking practices. Additionally, keyword network analysis shows that research in Islamic banking has become more diversified, with increasing interest in themes such as corporate governance, financial stability, social responsibility, and emerging technological innovations like fintech.</w:t>
      </w:r>
      <w:r w:rsidR="002D33A7">
        <w:rPr>
          <w:rFonts w:ascii="Calibri Light" w:hAnsi="Calibri Light" w:cs="Calibri Light"/>
          <w:sz w:val="24"/>
          <w:szCs w:val="24"/>
          <w:lang w:val="en-ID"/>
        </w:rPr>
        <w:t xml:space="preserve"> </w:t>
      </w:r>
      <w:r w:rsidRPr="006254AD">
        <w:rPr>
          <w:rFonts w:ascii="Calibri Light" w:hAnsi="Calibri Light" w:cs="Calibri Light"/>
          <w:sz w:val="24"/>
          <w:szCs w:val="24"/>
          <w:lang w:val="en-ID"/>
        </w:rPr>
        <w:t>The study underscores the importance of ongoing collaboration among researchers and global academic institutions to establish effective regulatory frameworks that are Sharia-compliant, in order to enhance the sustainability and effectiveness of Islamic banking within the global financial system. In conclusion, this study highlights the continued need for research and development in this field to ensure the integration of Islamic banking into the future global financial landscape.</w:t>
      </w:r>
    </w:p>
    <w:p w14:paraId="2B98BE3C" w14:textId="77777777" w:rsidR="00741058" w:rsidRPr="00122F5F" w:rsidRDefault="006E466B" w:rsidP="00C44781">
      <w:pPr>
        <w:pStyle w:val="ListParagraph"/>
        <w:tabs>
          <w:tab w:val="left" w:pos="3900"/>
        </w:tabs>
        <w:spacing w:before="120" w:after="120" w:line="240" w:lineRule="auto"/>
        <w:ind w:left="0" w:right="-1"/>
        <w:contextualSpacing w:val="0"/>
        <w:jc w:val="both"/>
        <w:rPr>
          <w:rFonts w:ascii="Calibri Light" w:hAnsi="Calibri Light" w:cs="Calibri Light"/>
          <w:noProof w:val="0"/>
          <w:color w:val="FF0000"/>
          <w:sz w:val="23"/>
          <w:rtl/>
        </w:rPr>
      </w:pPr>
      <w:r>
        <w:rPr>
          <w:rFonts w:ascii="Calibri Light" w:hAnsi="Calibri Light" w:cs="Calibri Light"/>
          <w:color w:val="FF0000"/>
          <w:sz w:val="23"/>
        </w:rPr>
        <w:tab/>
      </w:r>
    </w:p>
    <w:p w14:paraId="1DC6C091" w14:textId="77777777" w:rsidR="00741058" w:rsidRPr="00122F5F" w:rsidRDefault="00F369EC" w:rsidP="00F369EC">
      <w:pPr>
        <w:spacing w:line="240" w:lineRule="atLeast"/>
        <w:rPr>
          <w:rFonts w:ascii="Calibri Light" w:hAnsi="Calibri Light" w:cs="Calibri Light"/>
          <w:b/>
          <w:color w:val="FF0000"/>
          <w:sz w:val="24"/>
          <w:szCs w:val="24"/>
        </w:rPr>
      </w:pPr>
      <w:r w:rsidRPr="00122F5F">
        <w:rPr>
          <w:rFonts w:ascii="Calibri Light" w:hAnsi="Calibri Light" w:cs="Calibri Light"/>
          <w:b/>
          <w:sz w:val="24"/>
          <w:szCs w:val="24"/>
          <w:lang w:val="id-ID"/>
        </w:rPr>
        <w:t>V.</w:t>
      </w:r>
      <w:r w:rsidRPr="00122F5F">
        <w:rPr>
          <w:rFonts w:ascii="Calibri Light" w:hAnsi="Calibri Light" w:cs="Calibri Light"/>
          <w:b/>
          <w:color w:val="7030A0"/>
          <w:sz w:val="24"/>
          <w:szCs w:val="24"/>
          <w:lang w:val="id-ID"/>
        </w:rPr>
        <w:t xml:space="preserve">  </w:t>
      </w:r>
      <w:r w:rsidR="00781D8B" w:rsidRPr="00122F5F">
        <w:rPr>
          <w:rFonts w:ascii="Calibri Light" w:hAnsi="Calibri Light" w:cs="Calibri Light"/>
          <w:b/>
          <w:color w:val="7030A0"/>
          <w:sz w:val="24"/>
          <w:szCs w:val="24"/>
        </w:rPr>
        <w:t xml:space="preserve"> </w:t>
      </w:r>
      <w:r w:rsidR="00741058" w:rsidRPr="00122F5F">
        <w:rPr>
          <w:rFonts w:ascii="Calibri Light" w:hAnsi="Calibri Light" w:cs="Calibri Light"/>
          <w:b/>
          <w:sz w:val="24"/>
          <w:szCs w:val="24"/>
        </w:rPr>
        <w:t>ACKNOWLEDGEMENTS</w:t>
      </w:r>
      <w:r w:rsidR="00741058" w:rsidRPr="00122F5F">
        <w:rPr>
          <w:rFonts w:ascii="Calibri Light" w:hAnsi="Calibri Light" w:cs="Calibri Light"/>
          <w:b/>
          <w:color w:val="7030A0"/>
          <w:sz w:val="24"/>
          <w:szCs w:val="24"/>
        </w:rPr>
        <w:t xml:space="preserve"> </w:t>
      </w:r>
    </w:p>
    <w:p w14:paraId="6CD63A10" w14:textId="77777777" w:rsidR="00E810D4" w:rsidRPr="00ED1805" w:rsidRDefault="00E810D4" w:rsidP="00ED1805">
      <w:pPr>
        <w:pStyle w:val="ListParagraph"/>
        <w:spacing w:before="120" w:after="120"/>
        <w:ind w:left="440" w:right="-1" w:hanging="14"/>
        <w:jc w:val="both"/>
        <w:rPr>
          <w:rFonts w:ascii="Calibri Light" w:hAnsi="Calibri Light" w:cs="Calibri Light"/>
          <w:sz w:val="24"/>
          <w:szCs w:val="22"/>
          <w:lang w:val="en-ID"/>
        </w:rPr>
      </w:pPr>
      <w:r w:rsidRPr="00E810D4">
        <w:rPr>
          <w:sz w:val="24"/>
          <w:szCs w:val="24"/>
          <w:lang w:val="en-ID" w:eastAsia="en-ID"/>
        </w:rPr>
        <w:t xml:space="preserve"> </w:t>
      </w:r>
      <w:r w:rsidRPr="00ED1805">
        <w:rPr>
          <w:rFonts w:ascii="Calibri Light" w:hAnsi="Calibri Light" w:cs="Calibri Light"/>
          <w:sz w:val="24"/>
          <w:szCs w:val="22"/>
          <w:lang w:val="en-ID"/>
        </w:rPr>
        <w:t>The author would like to thank the editors and anonymous reviewers for their assistance</w:t>
      </w:r>
      <w:r w:rsidR="00A526EF">
        <w:rPr>
          <w:rFonts w:ascii="Calibri Light" w:hAnsi="Calibri Light" w:cs="Calibri Light"/>
          <w:sz w:val="24"/>
          <w:szCs w:val="22"/>
          <w:lang w:val="en-ID"/>
        </w:rPr>
        <w:t xml:space="preserve"> </w:t>
      </w:r>
      <w:r w:rsidRPr="00ED1805">
        <w:rPr>
          <w:rFonts w:ascii="Calibri Light" w:hAnsi="Calibri Light" w:cs="Calibri Light"/>
          <w:sz w:val="24"/>
          <w:szCs w:val="22"/>
          <w:lang w:val="en-ID"/>
        </w:rPr>
        <w:t>in</w:t>
      </w:r>
      <w:r w:rsidR="00ED1805">
        <w:rPr>
          <w:rFonts w:ascii="Calibri Light" w:hAnsi="Calibri Light" w:cs="Calibri Light"/>
          <w:sz w:val="24"/>
          <w:szCs w:val="22"/>
          <w:lang w:val="en-ID"/>
        </w:rPr>
        <w:t xml:space="preserve"> </w:t>
      </w:r>
      <w:r w:rsidRPr="00ED1805">
        <w:rPr>
          <w:rFonts w:ascii="Calibri Light" w:hAnsi="Calibri Light" w:cs="Calibri Light"/>
          <w:sz w:val="24"/>
          <w:szCs w:val="22"/>
          <w:lang w:val="en-ID"/>
        </w:rPr>
        <w:t>improving the quality of the research documents.</w:t>
      </w:r>
    </w:p>
    <w:p w14:paraId="717E6B46" w14:textId="77777777" w:rsidR="00741058" w:rsidRDefault="00741058" w:rsidP="001602A0">
      <w:pPr>
        <w:numPr>
          <w:ilvl w:val="0"/>
          <w:numId w:val="28"/>
        </w:numPr>
        <w:spacing w:line="240" w:lineRule="atLeast"/>
        <w:jc w:val="both"/>
        <w:rPr>
          <w:rFonts w:ascii="Calibri Light" w:hAnsi="Calibri Light" w:cs="Calibri Light"/>
          <w:b/>
          <w:color w:val="7030A0"/>
          <w:sz w:val="24"/>
          <w:szCs w:val="24"/>
        </w:rPr>
      </w:pPr>
      <w:commentRangeStart w:id="24"/>
      <w:r w:rsidRPr="00122F5F">
        <w:rPr>
          <w:rFonts w:ascii="Calibri Light" w:hAnsi="Calibri Light" w:cs="Calibri Light"/>
          <w:b/>
          <w:sz w:val="24"/>
          <w:szCs w:val="24"/>
        </w:rPr>
        <w:t>REFERENCES</w:t>
      </w:r>
      <w:r w:rsidRPr="00122F5F">
        <w:rPr>
          <w:rFonts w:ascii="Calibri Light" w:hAnsi="Calibri Light" w:cs="Calibri Light"/>
          <w:b/>
          <w:color w:val="7030A0"/>
          <w:sz w:val="24"/>
          <w:szCs w:val="24"/>
        </w:rPr>
        <w:t xml:space="preserve"> </w:t>
      </w:r>
      <w:commentRangeEnd w:id="24"/>
      <w:r w:rsidR="00774469">
        <w:rPr>
          <w:rStyle w:val="CommentReference"/>
        </w:rPr>
        <w:commentReference w:id="24"/>
      </w:r>
    </w:p>
    <w:p w14:paraId="3FCA2595" w14:textId="1655258F"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Pr>
          <w:rFonts w:ascii="Calibri Light" w:hAnsi="Calibri Light" w:cs="Calibri Light"/>
          <w:b/>
          <w:color w:val="7030A0"/>
          <w:sz w:val="24"/>
          <w:szCs w:val="24"/>
        </w:rPr>
        <w:fldChar w:fldCharType="begin" w:fldLock="1"/>
      </w:r>
      <w:r w:rsidRPr="000900AD">
        <w:rPr>
          <w:rFonts w:ascii="Calibri Light" w:hAnsi="Calibri Light" w:cs="Calibri Light"/>
          <w:b/>
          <w:color w:val="7030A0"/>
          <w:sz w:val="24"/>
          <w:szCs w:val="24"/>
        </w:rPr>
        <w:instrText xml:space="preserve">ADDIN Mendeley Bibliography CSL_BIBLIOGRAPHY </w:instrText>
      </w:r>
      <w:r>
        <w:rPr>
          <w:rFonts w:ascii="Calibri Light" w:hAnsi="Calibri Light" w:cs="Calibri Light"/>
          <w:b/>
          <w:color w:val="7030A0"/>
          <w:sz w:val="24"/>
          <w:szCs w:val="24"/>
        </w:rPr>
        <w:fldChar w:fldCharType="separate"/>
      </w:r>
      <w:r w:rsidRPr="000900AD">
        <w:rPr>
          <w:rFonts w:ascii="Calibri Light" w:hAnsi="Calibri Light" w:cs="Calibri Light"/>
          <w:sz w:val="24"/>
        </w:rPr>
        <w:t xml:space="preserve">Abrar, M., Abbas, S., Kousar, S., &amp; Mushtaq, M. (2023). Investigation on the Effects of Customer Knowledge, Political Support, and Innovation on the Growth of Islamic Banking System: a Case Study of Pakistan. </w:t>
      </w:r>
      <w:r w:rsidRPr="000900AD">
        <w:rPr>
          <w:rFonts w:ascii="Calibri Light" w:hAnsi="Calibri Light" w:cs="Calibri Light"/>
          <w:i/>
          <w:iCs/>
          <w:sz w:val="24"/>
        </w:rPr>
        <w:t>Journal of the Knowledge Economy</w:t>
      </w:r>
      <w:r w:rsidRPr="000900AD">
        <w:rPr>
          <w:rFonts w:ascii="Calibri Light" w:hAnsi="Calibri Light" w:cs="Calibri Light"/>
          <w:sz w:val="24"/>
        </w:rPr>
        <w:t xml:space="preserve">, </w:t>
      </w:r>
      <w:r w:rsidRPr="000900AD">
        <w:rPr>
          <w:rFonts w:ascii="Calibri Light" w:hAnsi="Calibri Light" w:cs="Calibri Light"/>
          <w:i/>
          <w:iCs/>
          <w:sz w:val="24"/>
        </w:rPr>
        <w:t>14</w:t>
      </w:r>
      <w:r w:rsidRPr="000900AD">
        <w:rPr>
          <w:rFonts w:ascii="Calibri Light" w:hAnsi="Calibri Light" w:cs="Calibri Light"/>
          <w:sz w:val="24"/>
        </w:rPr>
        <w:t>(2), 946–965. https://doi.org/10.1007/s13132-022-00933-y</w:t>
      </w:r>
    </w:p>
    <w:p w14:paraId="4910A98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Afrida, Y., Rivai, H. A., Syahrul, L., &amp; Lukito, H. (2024). Readiness to change in Islamic banking: the significance of adaptability and Islamic work ethics.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(12), 3445–3463. https://doi.org/10.1108/JIMA-11-2023-0357</w:t>
      </w:r>
    </w:p>
    <w:p w14:paraId="1F44AF8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Ahmad, M., Zafar, M. B., &amp; Perveen, A. (2024). Consumer shift behavior from conventional to Islamic banking: decision-making analysis through AHP.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(5), 1280–1302. https://doi.org/10.1108/JIMA-02-2023-0036</w:t>
      </w:r>
    </w:p>
    <w:p w14:paraId="290EC82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Al-Homaidi, E. A., Al-Matari, E. M., Anagreh, S., Tabash, M. I., &amp; Mareai Senan, N. A. (2021). The relationship between zakat disclosures and Islamic banking performance: Evidence from Yemen. </w:t>
      </w:r>
      <w:r w:rsidRPr="000900AD">
        <w:rPr>
          <w:rFonts w:ascii="Calibri Light" w:hAnsi="Calibri Light" w:cs="Calibri Light"/>
          <w:i/>
          <w:iCs/>
          <w:sz w:val="24"/>
        </w:rPr>
        <w:t>Banks and Bank Systems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52–61. https://doi.org/10.21511/bbs.16(1).2021.05</w:t>
      </w:r>
    </w:p>
    <w:p w14:paraId="37224309"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A., Zulkhibri, M., &amp; Kishwar, T. (2022). IFSB Standards Adoption and Its Impact </w:t>
      </w:r>
      <w:r w:rsidRPr="000900AD">
        <w:rPr>
          <w:rFonts w:ascii="Calibri Light" w:hAnsi="Calibri Light" w:cs="Calibri Light"/>
          <w:sz w:val="24"/>
        </w:rPr>
        <w:lastRenderedPageBreak/>
        <w:t xml:space="preserve">on Islamic Banking Practices: Evidence from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35</w:t>
      </w:r>
      <w:r w:rsidRPr="000900AD">
        <w:rPr>
          <w:rFonts w:ascii="Calibri Light" w:hAnsi="Calibri Light" w:cs="Calibri Light"/>
          <w:sz w:val="24"/>
        </w:rPr>
        <w:t>(2), 55–76. https://doi.org/10.4197/Islec.35-2.4</w:t>
      </w:r>
    </w:p>
    <w:p w14:paraId="38727E3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M., Tamami, F. Q. A., Rahmawati, S., Elbanna, M., &amp; AN, A. N. (2025). Tracking Education Transformation Towards Sustainable Development Goals: A Bibliometric Review on the Influence of Socioeconomic Factors in the Education Ecosystem. </w:t>
      </w:r>
      <w:r w:rsidRPr="000900AD">
        <w:rPr>
          <w:rFonts w:ascii="Calibri Light" w:hAnsi="Calibri Light" w:cs="Calibri Light"/>
          <w:i/>
          <w:iCs/>
          <w:sz w:val="24"/>
        </w:rPr>
        <w:t>Journal of Lifestyle and SDGs Review</w:t>
      </w:r>
      <w:r w:rsidRPr="000900AD">
        <w:rPr>
          <w:rFonts w:ascii="Calibri Light" w:hAnsi="Calibri Light" w:cs="Calibri Light"/>
          <w:sz w:val="24"/>
        </w:rPr>
        <w:t xml:space="preserve">, </w:t>
      </w:r>
      <w:r w:rsidRPr="000900AD">
        <w:rPr>
          <w:rFonts w:ascii="Calibri Light" w:hAnsi="Calibri Light" w:cs="Calibri Light"/>
          <w:i/>
          <w:iCs/>
          <w:sz w:val="24"/>
        </w:rPr>
        <w:t>5</w:t>
      </w:r>
      <w:r w:rsidRPr="000900AD">
        <w:rPr>
          <w:rFonts w:ascii="Calibri Light" w:hAnsi="Calibri Light" w:cs="Calibri Light"/>
          <w:sz w:val="24"/>
        </w:rPr>
        <w:t>(1), e03295–e03295.</w:t>
      </w:r>
    </w:p>
    <w:p w14:paraId="1B601A69"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S. A., Loussaief, A., &amp; Ahmed, M. (2022). A comparative analysis of employees’ and customers’ attitude towards Islamic banking. </w:t>
      </w:r>
      <w:r w:rsidRPr="000900AD">
        <w:rPr>
          <w:rFonts w:ascii="Calibri Light" w:hAnsi="Calibri Light" w:cs="Calibri Light"/>
          <w:i/>
          <w:iCs/>
          <w:sz w:val="24"/>
        </w:rPr>
        <w:t>International Journal of Ethics and Systems</w:t>
      </w:r>
      <w:r w:rsidRPr="000900AD">
        <w:rPr>
          <w:rFonts w:ascii="Calibri Light" w:hAnsi="Calibri Light" w:cs="Calibri Light"/>
          <w:sz w:val="24"/>
        </w:rPr>
        <w:t xml:space="preserve">, </w:t>
      </w:r>
      <w:r w:rsidRPr="000900AD">
        <w:rPr>
          <w:rFonts w:ascii="Calibri Light" w:hAnsi="Calibri Light" w:cs="Calibri Light"/>
          <w:i/>
          <w:iCs/>
          <w:sz w:val="24"/>
        </w:rPr>
        <w:t>38</w:t>
      </w:r>
      <w:r w:rsidRPr="000900AD">
        <w:rPr>
          <w:rFonts w:ascii="Calibri Light" w:hAnsi="Calibri Light" w:cs="Calibri Light"/>
          <w:sz w:val="24"/>
        </w:rPr>
        <w:t>(2), 209–234. https://doi.org/10.1108/IJOES-03-2021-0053</w:t>
      </w:r>
    </w:p>
    <w:p w14:paraId="50E1E43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Altwijry, O. I., Mohammed, M. O., Hassan, M. K., &amp; Selim, M. (2022). Developing a Shari’ah based FinTech Money Creation Free [SFMCF] model for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(4), 739–758. https://doi.org/10.1108/IMEFM-05-2021-0189</w:t>
      </w:r>
    </w:p>
    <w:p w14:paraId="04FDFDE9"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Amuda, Y. J., &amp; Al-Nasser, S. A. (2024). Exploring encounters and prodigies of Islamic banks in non-Muslim states: towards enhancing regulatory frameworks of Islamic banking system. </w:t>
      </w:r>
      <w:r w:rsidRPr="000900AD">
        <w:rPr>
          <w:rFonts w:ascii="Calibri Light" w:hAnsi="Calibri Light" w:cs="Calibri Light"/>
          <w:i/>
          <w:iCs/>
          <w:sz w:val="24"/>
        </w:rPr>
        <w:t>International Journal of Law and Management</w:t>
      </w:r>
      <w:r w:rsidRPr="000900AD">
        <w:rPr>
          <w:rFonts w:ascii="Calibri Light" w:hAnsi="Calibri Light" w:cs="Calibri Light"/>
          <w:sz w:val="24"/>
        </w:rPr>
        <w:t>. https://doi.org/10.1108/IJLMA-11-2023-0250</w:t>
      </w:r>
    </w:p>
    <w:p w14:paraId="1F028FE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Andri Nirwana, A. N., Elbanna, M., Ismail, F. H., Daud, Z., Mohd Salleh, N., Bin Kirin, A., Marisa, S. N., &amp; Husein, M. Z. (2024). PRISMA-Based Study on Integrating Islamic Principles into Legal Systems: Human Rights in Egypt and Indonesia. </w:t>
      </w:r>
      <w:r w:rsidRPr="000900AD">
        <w:rPr>
          <w:rFonts w:ascii="Calibri Light" w:hAnsi="Calibri Light" w:cs="Calibri Light"/>
          <w:i/>
          <w:iCs/>
          <w:sz w:val="24"/>
        </w:rPr>
        <w:t>International Journal of Law and Society</w:t>
      </w:r>
      <w:r w:rsidRPr="000900AD">
        <w:rPr>
          <w:rFonts w:ascii="Calibri Light" w:hAnsi="Calibri Light" w:cs="Calibri Light"/>
          <w:sz w:val="24"/>
        </w:rPr>
        <w:t xml:space="preserve">, </w:t>
      </w:r>
      <w:r w:rsidRPr="000900AD">
        <w:rPr>
          <w:rFonts w:ascii="Calibri Light" w:hAnsi="Calibri Light" w:cs="Calibri Light"/>
          <w:i/>
          <w:iCs/>
          <w:sz w:val="24"/>
        </w:rPr>
        <w:t>3</w:t>
      </w:r>
      <w:r w:rsidRPr="000900AD">
        <w:rPr>
          <w:rFonts w:ascii="Calibri Light" w:hAnsi="Calibri Light" w:cs="Calibri Light"/>
          <w:sz w:val="24"/>
        </w:rPr>
        <w:t>(3), 173–186. https://doi.org/10.59683/ijls.v3i3.90</w:t>
      </w:r>
    </w:p>
    <w:p w14:paraId="4056D2C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Barra, C., Papaccio, A., &amp; Ruggiero, N. (2023). Basel accords and banking inefficiency: Evidence from the Italian local market.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28</w:t>
      </w:r>
      <w:r w:rsidRPr="000900AD">
        <w:rPr>
          <w:rFonts w:ascii="Calibri Light" w:hAnsi="Calibri Light" w:cs="Calibri Light"/>
          <w:sz w:val="24"/>
        </w:rPr>
        <w:t>(4), 4079–4119. https://doi.org/10.1002/ijfe.2637</w:t>
      </w:r>
    </w:p>
    <w:p w14:paraId="5DE1EC6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Ben Jedidia, K., &amp; Hamza, H. (2024). Does PLS in Islamic banking limit excessive money creation?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422–442. https://doi.org/10.1108/JIABR-02-2022-0047</w:t>
      </w:r>
    </w:p>
    <w:p w14:paraId="3F37BEE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Budiman, T., Febrian, E., &amp; Azis, Y. (2022). THE EFFECT OF GEOGRAPHICAL FACTORS ON ISLAMIC BANKING SUSTAINABILITY PERFORMANCE: AN INSTRUMENTAL VARIABLE QUANTILE REGRESSION ANALYSIS. </w:t>
      </w:r>
      <w:r w:rsidRPr="000900AD">
        <w:rPr>
          <w:rFonts w:ascii="Calibri Light" w:hAnsi="Calibri Light" w:cs="Calibri Light"/>
          <w:i/>
          <w:iCs/>
          <w:sz w:val="24"/>
        </w:rPr>
        <w:t>Asian Economic and Financial Review</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(2), 70–88. https://doi.org/10.18488/5002.v12i2.4411</w:t>
      </w:r>
    </w:p>
    <w:p w14:paraId="58A4862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Elbanna, M., Wadi, M. F., Radiamoda, A. M., Matsuyama, Y., &amp; Ishak, M. H. Bin. (2025). A Bibliometric Analysis of Sustainable Development Goals (SDGs) Through the Lens of Maqasid Shariah Tafsir. </w:t>
      </w:r>
      <w:r w:rsidRPr="000900AD">
        <w:rPr>
          <w:rFonts w:ascii="Calibri Light" w:hAnsi="Calibri Light" w:cs="Calibri Light"/>
          <w:i/>
          <w:iCs/>
          <w:sz w:val="24"/>
        </w:rPr>
        <w:t>QiST: Journal of Quran and Tafseer Studies</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1–22. https://doi.org/https://doi.org/10.23917/qist.v4i1.7360</w:t>
      </w:r>
    </w:p>
    <w:p w14:paraId="3ABC64C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Faizi, F. (2024). How are Islamic banking products developed? Evidence from emerging country. </w:t>
      </w:r>
      <w:r w:rsidRPr="000900AD">
        <w:rPr>
          <w:rFonts w:ascii="Calibri Light" w:hAnsi="Calibri Light" w:cs="Calibri Light"/>
          <w:i/>
          <w:iCs/>
          <w:sz w:val="24"/>
        </w:rPr>
        <w:t>Cogent Economics and Finance</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https://doi.org/10.1080/23322039.2024.2378961</w:t>
      </w:r>
    </w:p>
    <w:p w14:paraId="68723C5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Fathoni, M. A., Rodoni, A., Al Arif, M. N. R., &amp; Hidayah, N. (2024). Intention to participate in Islamic banking in Indonesia: Does socio-political identity matter? </w:t>
      </w:r>
      <w:r w:rsidRPr="000900AD">
        <w:rPr>
          <w:rFonts w:ascii="Calibri Light" w:hAnsi="Calibri Light" w:cs="Calibri Light"/>
          <w:i/>
          <w:iCs/>
          <w:sz w:val="24"/>
        </w:rPr>
        <w:t>Journal of Islamic Marketing</w:t>
      </w:r>
      <w:r w:rsidRPr="000900AD">
        <w:rPr>
          <w:rFonts w:ascii="Calibri Light" w:hAnsi="Calibri Light" w:cs="Calibri Light"/>
          <w:sz w:val="24"/>
        </w:rPr>
        <w:t>. https://doi.org/10.1108/JIMA-12-2023-0397</w:t>
      </w:r>
    </w:p>
    <w:p w14:paraId="0181DBF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Faturohman, T., Purwono, M. Z., &amp; Ooi, S. K. (2024). User acceptance of Islamic banking in Indonesia: the implementation of technology acceptance models.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 xml:space="preserve">(2–3), 229–237. </w:t>
      </w:r>
      <w:r w:rsidRPr="000900AD">
        <w:rPr>
          <w:rFonts w:ascii="Calibri Light" w:hAnsi="Calibri Light" w:cs="Calibri Light"/>
          <w:sz w:val="24"/>
        </w:rPr>
        <w:lastRenderedPageBreak/>
        <w:t>https://doi.org/10.1504/IJMEF.2024.139028</w:t>
      </w:r>
    </w:p>
    <w:p w14:paraId="6DDFED4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Fitri, F. A., Syukur, M., Majid, M. S. A., Farhana, I., &amp; Hatta, F. (2022). Do intellectual capital and financing matter for the profitability of the Islamic banking industry in Indonesia?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293–308. https://doi.org/10.1504/ijmef.2022.126888</w:t>
      </w:r>
    </w:p>
    <w:p w14:paraId="429E2A7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Guizani, M., &amp; Ajmi, A. N. (2022). Islamic banking and corporate investment efficiency: empirical evidence from Malaysia. </w:t>
      </w:r>
      <w:r w:rsidRPr="000900AD">
        <w:rPr>
          <w:rFonts w:ascii="Calibri Light" w:hAnsi="Calibri Light" w:cs="Calibri Light"/>
          <w:i/>
          <w:iCs/>
          <w:sz w:val="24"/>
        </w:rPr>
        <w:t>International Journal of Productivity and Performance Management</w:t>
      </w:r>
      <w:r w:rsidRPr="000900AD">
        <w:rPr>
          <w:rFonts w:ascii="Calibri Light" w:hAnsi="Calibri Light" w:cs="Calibri Light"/>
          <w:sz w:val="24"/>
        </w:rPr>
        <w:t xml:space="preserve">, </w:t>
      </w:r>
      <w:r w:rsidRPr="000900AD">
        <w:rPr>
          <w:rFonts w:ascii="Calibri Light" w:hAnsi="Calibri Light" w:cs="Calibri Light"/>
          <w:i/>
          <w:iCs/>
          <w:sz w:val="24"/>
        </w:rPr>
        <w:t>71</w:t>
      </w:r>
      <w:r w:rsidRPr="000900AD">
        <w:rPr>
          <w:rFonts w:ascii="Calibri Light" w:hAnsi="Calibri Light" w:cs="Calibri Light"/>
          <w:sz w:val="24"/>
        </w:rPr>
        <w:t>(5), 1854–1871. https://doi.org/10.1108/IJPPM-06-2020-0331</w:t>
      </w:r>
    </w:p>
    <w:p w14:paraId="48CEDCE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Hakam Naja, A. (2023). IS ISLAMIC BANKING PERFORMANCE IN MALAYSIA TRULY BETTER THAN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9</w:t>
      </w:r>
      <w:r w:rsidRPr="000900AD">
        <w:rPr>
          <w:rFonts w:ascii="Calibri Light" w:hAnsi="Calibri Light" w:cs="Calibri Light"/>
          <w:sz w:val="24"/>
        </w:rPr>
        <w:t>(4), 611–636. https://doi.org/10.21098/jimf.v9i4.1784</w:t>
      </w:r>
    </w:p>
    <w:p w14:paraId="42FCADE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Hassan, M. K., Sohel, M. N. I., Choudhury, T., &amp; Rashid, M. (2024). A systematic literature review of risks in Islamic banking system: research agenda and future research directions. </w:t>
      </w:r>
      <w:r w:rsidRPr="000900AD">
        <w:rPr>
          <w:rFonts w:ascii="Calibri Light" w:hAnsi="Calibri Light" w:cs="Calibri Light"/>
          <w:i/>
          <w:iCs/>
          <w:sz w:val="24"/>
        </w:rPr>
        <w:t>Risk Management</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(1). https://doi.org/10.1057/s41283-023-00135-z</w:t>
      </w:r>
    </w:p>
    <w:p w14:paraId="72A8750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Hermawati, A., Ali, S., Fettry, S., Hendarto, T., &amp; Husin, H. (2021). Freelancers Intentions Towards Adoption Of Islamic Banking. </w:t>
      </w:r>
      <w:r w:rsidRPr="000900AD">
        <w:rPr>
          <w:rFonts w:ascii="Calibri Light" w:hAnsi="Calibri Light" w:cs="Calibri Light"/>
          <w:i/>
          <w:iCs/>
          <w:sz w:val="24"/>
        </w:rPr>
        <w:t>Academy of Strategic Management Journal</w:t>
      </w:r>
      <w:r w:rsidRPr="000900AD">
        <w:rPr>
          <w:rFonts w:ascii="Calibri Light" w:hAnsi="Calibri Light" w:cs="Calibri Light"/>
          <w:sz w:val="24"/>
        </w:rPr>
        <w:t xml:space="preserve">, </w:t>
      </w:r>
      <w:r w:rsidRPr="000900AD">
        <w:rPr>
          <w:rFonts w:ascii="Calibri Light" w:hAnsi="Calibri Light" w:cs="Calibri Light"/>
          <w:i/>
          <w:iCs/>
          <w:sz w:val="24"/>
        </w:rPr>
        <w:t>20</w:t>
      </w:r>
      <w:r w:rsidRPr="000900AD">
        <w:rPr>
          <w:rFonts w:ascii="Calibri Light" w:hAnsi="Calibri Light" w:cs="Calibri Light"/>
          <w:sz w:val="24"/>
        </w:rPr>
        <w:t>(2), 1–16. https://www.scopus.com/inward/record.uri?eid=2-s2.0-85104261973&amp;partnerID=40&amp;md5=3e018c371c1eaf93307b64b4d38b50a5</w:t>
      </w:r>
    </w:p>
    <w:p w14:paraId="439E358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Ho, K.-C., Lee, S.-C., &amp; Chen, J.-L. (2022). Book-to-market equity and asset correlations—An international study. </w:t>
      </w:r>
      <w:r w:rsidRPr="000900AD">
        <w:rPr>
          <w:rFonts w:ascii="Calibri Light" w:hAnsi="Calibri Light" w:cs="Calibri Light"/>
          <w:i/>
          <w:iCs/>
          <w:sz w:val="24"/>
        </w:rPr>
        <w:t>International Review of Economics and Finance</w:t>
      </w:r>
      <w:r w:rsidRPr="000900AD">
        <w:rPr>
          <w:rFonts w:ascii="Calibri Light" w:hAnsi="Calibri Light" w:cs="Calibri Light"/>
          <w:sz w:val="24"/>
        </w:rPr>
        <w:t xml:space="preserve">, </w:t>
      </w:r>
      <w:r w:rsidRPr="000900AD">
        <w:rPr>
          <w:rFonts w:ascii="Calibri Light" w:hAnsi="Calibri Light" w:cs="Calibri Light"/>
          <w:i/>
          <w:iCs/>
          <w:sz w:val="24"/>
        </w:rPr>
        <w:t>79</w:t>
      </w:r>
      <w:r w:rsidRPr="000900AD">
        <w:rPr>
          <w:rFonts w:ascii="Calibri Light" w:hAnsi="Calibri Light" w:cs="Calibri Light"/>
          <w:sz w:val="24"/>
        </w:rPr>
        <w:t>, 258–274. https://doi.org/10.1016/j.iref.2022.02.014</w:t>
      </w:r>
    </w:p>
    <w:p w14:paraId="2779626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Huang, C., Moreira, F., &amp; Archibald, T. W. (2024). Should Basel-style liquidity requirements be set countercyclically? Evidence from a numerical analysis. </w:t>
      </w:r>
      <w:r w:rsidRPr="000900AD">
        <w:rPr>
          <w:rFonts w:ascii="Calibri Light" w:hAnsi="Calibri Light" w:cs="Calibri Light"/>
          <w:i/>
          <w:iCs/>
          <w:sz w:val="24"/>
        </w:rPr>
        <w:t>International Review of Financial Analysis</w:t>
      </w:r>
      <w:r w:rsidRPr="000900AD">
        <w:rPr>
          <w:rFonts w:ascii="Calibri Light" w:hAnsi="Calibri Light" w:cs="Calibri Light"/>
          <w:sz w:val="24"/>
        </w:rPr>
        <w:t xml:space="preserve">, </w:t>
      </w:r>
      <w:r w:rsidRPr="000900AD">
        <w:rPr>
          <w:rFonts w:ascii="Calibri Light" w:hAnsi="Calibri Light" w:cs="Calibri Light"/>
          <w:i/>
          <w:iCs/>
          <w:sz w:val="24"/>
        </w:rPr>
        <w:t>95</w:t>
      </w:r>
      <w:r w:rsidRPr="000900AD">
        <w:rPr>
          <w:rFonts w:ascii="Calibri Light" w:hAnsi="Calibri Light" w:cs="Calibri Light"/>
          <w:sz w:val="24"/>
        </w:rPr>
        <w:t>. https://doi.org/10.1016/j.irfa.2024.103502</w:t>
      </w:r>
    </w:p>
    <w:p w14:paraId="76C1C14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Hudayati, A. (2023). Exploring the Nexus of Disclosure of Sharia Compliance and Governance in Islamic Banking: A Comprehensive Analysis of the Sharia Supervisory Board. </w:t>
      </w:r>
      <w:r w:rsidRPr="000900AD">
        <w:rPr>
          <w:rFonts w:ascii="Calibri Light" w:hAnsi="Calibri Light" w:cs="Calibri Light"/>
          <w:i/>
          <w:iCs/>
          <w:sz w:val="24"/>
        </w:rPr>
        <w:t>Management and Accounting Review</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(3), 407–428. https://www.scopus.com/inward/record.uri?eid=2-s2.0-85179718521&amp;partnerID=40&amp;md5=c1d4efeffba5a3e6e85b32d01d1e3a12</w:t>
      </w:r>
    </w:p>
    <w:p w14:paraId="02204D7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Isman, I. (2024). </w:t>
      </w:r>
      <w:r w:rsidRPr="000900AD">
        <w:rPr>
          <w:rFonts w:ascii="Calibri Light" w:hAnsi="Calibri Light" w:cs="Calibri Light"/>
          <w:i/>
          <w:iCs/>
          <w:sz w:val="24"/>
        </w:rPr>
        <w:t>International Conference on Actual Islamic Studies Islamic Capital Market Accessibility and Fintech Innovation : Transformation of POJK 77 / 2016 Islamic Capital Market Accessibility and Fintech Innovation : Transformation of POJK 77 / 2016</w:t>
      </w:r>
      <w:r w:rsidRPr="000900AD">
        <w:rPr>
          <w:rFonts w:ascii="Calibri Light" w:hAnsi="Calibri Light" w:cs="Calibri Light"/>
          <w:sz w:val="24"/>
        </w:rPr>
        <w:t xml:space="preserve">. </w:t>
      </w:r>
      <w:r w:rsidRPr="000900AD">
        <w:rPr>
          <w:rFonts w:ascii="Calibri Light" w:hAnsi="Calibri Light" w:cs="Calibri Light"/>
          <w:i/>
          <w:iCs/>
          <w:sz w:val="24"/>
        </w:rPr>
        <w:t>September</w:t>
      </w:r>
      <w:r w:rsidRPr="000900AD">
        <w:rPr>
          <w:rFonts w:ascii="Calibri Light" w:hAnsi="Calibri Light" w:cs="Calibri Light"/>
          <w:sz w:val="24"/>
        </w:rPr>
        <w:t>.</w:t>
      </w:r>
    </w:p>
    <w:p w14:paraId="2C484FC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Jatmiko, W., Ebrahim, M. S., Iqbal, A., &amp; Wojakowski, R. M. (2023). Can trade credit rejuvenate Islamic banking? </w:t>
      </w:r>
      <w:r w:rsidRPr="000900AD">
        <w:rPr>
          <w:rFonts w:ascii="Calibri Light" w:hAnsi="Calibri Light" w:cs="Calibri Light"/>
          <w:i/>
          <w:iCs/>
          <w:sz w:val="24"/>
        </w:rPr>
        <w:t>Review of Quantitative Finance and Accounting</w:t>
      </w:r>
      <w:r w:rsidRPr="000900AD">
        <w:rPr>
          <w:rFonts w:ascii="Calibri Light" w:hAnsi="Calibri Light" w:cs="Calibri Light"/>
          <w:sz w:val="24"/>
        </w:rPr>
        <w:t xml:space="preserve">, </w:t>
      </w:r>
      <w:r w:rsidRPr="000900AD">
        <w:rPr>
          <w:rFonts w:ascii="Calibri Light" w:hAnsi="Calibri Light" w:cs="Calibri Light"/>
          <w:i/>
          <w:iCs/>
          <w:sz w:val="24"/>
        </w:rPr>
        <w:t>60</w:t>
      </w:r>
      <w:r w:rsidRPr="000900AD">
        <w:rPr>
          <w:rFonts w:ascii="Calibri Light" w:hAnsi="Calibri Light" w:cs="Calibri Light"/>
          <w:sz w:val="24"/>
        </w:rPr>
        <w:t>(1), 111–146. https://doi.org/10.1007/s11156-022-01092-6</w:t>
      </w:r>
    </w:p>
    <w:p w14:paraId="6D2A648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Mitchell, C. (2022). The Power of Delay: Banking System Structure and Implementation of the Basel Accords. </w:t>
      </w:r>
      <w:r w:rsidRPr="000900AD">
        <w:rPr>
          <w:rFonts w:ascii="Calibri Light" w:hAnsi="Calibri Light" w:cs="Calibri Light"/>
          <w:i/>
          <w:iCs/>
          <w:sz w:val="24"/>
        </w:rPr>
        <w:t>Business and Politics</w:t>
      </w:r>
      <w:r w:rsidRPr="000900AD">
        <w:rPr>
          <w:rFonts w:ascii="Calibri Light" w:hAnsi="Calibri Light" w:cs="Calibri Light"/>
          <w:sz w:val="24"/>
        </w:rPr>
        <w:t xml:space="preserve">, </w:t>
      </w:r>
      <w:r w:rsidRPr="000900AD">
        <w:rPr>
          <w:rFonts w:ascii="Calibri Light" w:hAnsi="Calibri Light" w:cs="Calibri Light"/>
          <w:i/>
          <w:iCs/>
          <w:sz w:val="24"/>
        </w:rPr>
        <w:t>24</w:t>
      </w:r>
      <w:r w:rsidRPr="000900AD">
        <w:rPr>
          <w:rFonts w:ascii="Calibri Light" w:hAnsi="Calibri Light" w:cs="Calibri Light"/>
          <w:sz w:val="24"/>
        </w:rPr>
        <w:t>(1), 1–17. https://doi.org/10.1017/bap.2021.16</w:t>
      </w:r>
    </w:p>
    <w:p w14:paraId="0E60A0D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Mohd Thas Thaker, H., Lelchumanan, B., Ah Mand, A., &amp; Khaliq, A. (2024). Push – pull – mooring determinants of non-Muslims’ withdrawal from Islamic banking: </w:t>
      </w:r>
      <w:r w:rsidRPr="000900AD">
        <w:rPr>
          <w:rFonts w:ascii="Calibri Light" w:hAnsi="Calibri Light" w:cs="Calibri Light"/>
          <w:sz w:val="24"/>
        </w:rPr>
        <w:lastRenderedPageBreak/>
        <w:t xml:space="preserve">evidence from Malaysia.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(1), 195–212. https://doi.org/10.1108/IMEFM-04-2023-0144</w:t>
      </w:r>
    </w:p>
    <w:p w14:paraId="2C05FD8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Muflih, M. (2021). The link between corporate social responsibility and customer loyalty: Empirical evidence from the Islamic banking industry. </w:t>
      </w:r>
      <w:r w:rsidRPr="000900AD">
        <w:rPr>
          <w:rFonts w:ascii="Calibri Light" w:hAnsi="Calibri Light" w:cs="Calibri Light"/>
          <w:i/>
          <w:iCs/>
          <w:sz w:val="24"/>
        </w:rPr>
        <w:t>Journal of Retailing and Consumer Services</w:t>
      </w:r>
      <w:r w:rsidRPr="000900AD">
        <w:rPr>
          <w:rFonts w:ascii="Calibri Light" w:hAnsi="Calibri Light" w:cs="Calibri Light"/>
          <w:sz w:val="24"/>
        </w:rPr>
        <w:t xml:space="preserve">, </w:t>
      </w:r>
      <w:r w:rsidRPr="000900AD">
        <w:rPr>
          <w:rFonts w:ascii="Calibri Light" w:hAnsi="Calibri Light" w:cs="Calibri Light"/>
          <w:i/>
          <w:iCs/>
          <w:sz w:val="24"/>
        </w:rPr>
        <w:t>61</w:t>
      </w:r>
      <w:r w:rsidRPr="000900AD">
        <w:rPr>
          <w:rFonts w:ascii="Calibri Light" w:hAnsi="Calibri Light" w:cs="Calibri Light"/>
          <w:sz w:val="24"/>
        </w:rPr>
        <w:t>. https://doi.org/10.1016/j.jretconser.2021.102558</w:t>
      </w:r>
    </w:p>
    <w:p w14:paraId="7CDC76E3"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Muthoifin, M., Amelia, I., &amp; Eprahim Ali, A. B. (2024). Islamic accounting: Ethics and contextualization of recording in Muamalah transactions. </w:t>
      </w:r>
      <w:r w:rsidRPr="000900AD">
        <w:rPr>
          <w:rFonts w:ascii="Calibri Light" w:hAnsi="Calibri Light" w:cs="Calibri Light"/>
          <w:i/>
          <w:iCs/>
          <w:sz w:val="24"/>
        </w:rPr>
        <w:t>Multidisciplinary Reviews</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(8). https://doi.org/10.31893/multirev.2024132</w:t>
      </w:r>
    </w:p>
    <w:p w14:paraId="30C9E7EA"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Nawaz, T., Haniffa, R., &amp; Hudaib, M. (2021). On intellectual capital efficiency and shariah governance in Islamic banking business model.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(3), 3770–3787. https://doi.org/10.1002/ijfe.1986</w:t>
      </w:r>
    </w:p>
    <w:p w14:paraId="4CD2C2D1"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Nouman, M., Ullah, K., &amp; Jan, S. (2022). DOMAINS and MOTIVES of MUSHARAKAH SPUR in the ISLAMIC BANKING INDUSTRY of PAKISTAN. </w:t>
      </w:r>
      <w:r w:rsidRPr="000900AD">
        <w:rPr>
          <w:rFonts w:ascii="Calibri Light" w:hAnsi="Calibri Light" w:cs="Calibri Light"/>
          <w:i/>
          <w:iCs/>
          <w:sz w:val="24"/>
        </w:rPr>
        <w:t>Singapore Economic Review</w:t>
      </w:r>
      <w:r w:rsidRPr="000900AD">
        <w:rPr>
          <w:rFonts w:ascii="Calibri Light" w:hAnsi="Calibri Light" w:cs="Calibri Light"/>
          <w:sz w:val="24"/>
        </w:rPr>
        <w:t xml:space="preserve">, </w:t>
      </w:r>
      <w:r w:rsidRPr="000900AD">
        <w:rPr>
          <w:rFonts w:ascii="Calibri Light" w:hAnsi="Calibri Light" w:cs="Calibri Light"/>
          <w:i/>
          <w:iCs/>
          <w:sz w:val="24"/>
        </w:rPr>
        <w:t>67</w:t>
      </w:r>
      <w:r w:rsidRPr="000900AD">
        <w:rPr>
          <w:rFonts w:ascii="Calibri Light" w:hAnsi="Calibri Light" w:cs="Calibri Light"/>
          <w:sz w:val="24"/>
        </w:rPr>
        <w:t>(1), 381–409. https://doi.org/10.1142/S0217590819500620</w:t>
      </w:r>
    </w:p>
    <w:p w14:paraId="4C88985A"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Oladapo, I. A., Hamoudah, M. M., Alam, M. M., Olaopa, O. R., &amp; Muda, R. (2022). Customers’ perceptions of FinTech adaptability in the Islamic banking sector: comparative study on Malaysia and Saudi Arabia. </w:t>
      </w:r>
      <w:r w:rsidRPr="000900AD">
        <w:rPr>
          <w:rFonts w:ascii="Calibri Light" w:hAnsi="Calibri Light" w:cs="Calibri Light"/>
          <w:i/>
          <w:iCs/>
          <w:sz w:val="24"/>
        </w:rPr>
        <w:t>Journal of Modelling in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(4), 1241–1261. https://doi.org/10.1108/JM2-10-2020-0256</w:t>
      </w:r>
    </w:p>
    <w:p w14:paraId="2F499907"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Rahman, M. H., &amp; Chowdhury, N. M. S. I. (2024). The prospects of istijrar financing in Islamic banking: an exploratory study in Bangladesh.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135–158. https://doi.org/10.1108/QRFM-10-2022-0173</w:t>
      </w:r>
    </w:p>
    <w:p w14:paraId="35805D5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Riaz, U., Burton, B., &amp; Fearfull, A. (2023). Emotional propensities and the contemporary Islamic banking industry. </w:t>
      </w:r>
      <w:r w:rsidRPr="000900AD">
        <w:rPr>
          <w:rFonts w:ascii="Calibri Light" w:hAnsi="Calibri Light" w:cs="Calibri Light"/>
          <w:i/>
          <w:iCs/>
          <w:sz w:val="24"/>
        </w:rPr>
        <w:t>Critical Perspectives on Accounting</w:t>
      </w:r>
      <w:r w:rsidRPr="000900AD">
        <w:rPr>
          <w:rFonts w:ascii="Calibri Light" w:hAnsi="Calibri Light" w:cs="Calibri Light"/>
          <w:sz w:val="24"/>
        </w:rPr>
        <w:t xml:space="preserve">, </w:t>
      </w:r>
      <w:r w:rsidRPr="000900AD">
        <w:rPr>
          <w:rFonts w:ascii="Calibri Light" w:hAnsi="Calibri Light" w:cs="Calibri Light"/>
          <w:i/>
          <w:iCs/>
          <w:sz w:val="24"/>
        </w:rPr>
        <w:t>94</w:t>
      </w:r>
      <w:r w:rsidRPr="000900AD">
        <w:rPr>
          <w:rFonts w:ascii="Calibri Light" w:hAnsi="Calibri Light" w:cs="Calibri Light"/>
          <w:sz w:val="24"/>
        </w:rPr>
        <w:t>. https://doi.org/10.1016/j.cpa.2022.102449</w:t>
      </w:r>
    </w:p>
    <w:p w14:paraId="18898423"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Sarea, A. M., Khalid, A., Shamsuddin, A. B., Hawaldar, I., &amp; Hossen, Z. (2021). Online financial reporting disclosure in Islamic banking: Evidence from Bahrain. </w:t>
      </w:r>
      <w:r w:rsidRPr="000900AD">
        <w:rPr>
          <w:rFonts w:ascii="Calibri Light" w:hAnsi="Calibri Light" w:cs="Calibri Light"/>
          <w:i/>
          <w:iCs/>
          <w:sz w:val="24"/>
        </w:rPr>
        <w:t>International Journal of Economics and Business Research</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(4), 311–327. https://doi.org/10.1504/IJEBR.2021.118378</w:t>
      </w:r>
    </w:p>
    <w:p w14:paraId="6E9EE8A9"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Shaikh, S. A. (2023). Economic Evaluation of Islamic Banking in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36</w:t>
      </w:r>
      <w:r w:rsidRPr="000900AD">
        <w:rPr>
          <w:rFonts w:ascii="Calibri Light" w:hAnsi="Calibri Light" w:cs="Calibri Light"/>
          <w:sz w:val="24"/>
        </w:rPr>
        <w:t>(1), 91–111. https://doi.org/10.4197/Islec.36-1.5</w:t>
      </w:r>
    </w:p>
    <w:p w14:paraId="6150933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Sheikh, R., &amp; Hussain, K. (2024). Reimagining Islamic banking in the light of Maqasid Shariah.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https://doi.org/10.1108/QRFM-04-2024-0108</w:t>
      </w:r>
    </w:p>
    <w:p w14:paraId="6B2C1CD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Suliyono, J., &amp; Risfandy, T. (2021). ISLAMIC BANKING MARKET DISCIPLINE IN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(3), 457–472. https://doi.org/10.21098/jimf.v7i3.1376</w:t>
      </w:r>
    </w:p>
    <w:p w14:paraId="165A391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Syah, D., &amp; Rahmadani, G. (2024). The Profit-Sharing System in Financing Islamic Banking. </w:t>
      </w:r>
      <w:r w:rsidRPr="000900AD">
        <w:rPr>
          <w:rFonts w:ascii="Calibri Light" w:hAnsi="Calibri Light" w:cs="Calibri Light"/>
          <w:i/>
          <w:iCs/>
          <w:sz w:val="24"/>
        </w:rPr>
        <w:t xml:space="preserve">Qubahan Academic Journal </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300–309. https://doi.org/10.48161/qaj.v4n1a198</w:t>
      </w:r>
    </w:p>
    <w:p w14:paraId="1E4E20E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Triyanta, A., &amp; Hassan, R. (2024). THE CONNECTION BETWEEN ROBUST LEGAL INSTRUMENTS AND THE EXCEPTIONAL PERFORMANCE OF THE ISLAMIC BANKING INDUSTRY. </w:t>
      </w:r>
      <w:r w:rsidRPr="000900AD">
        <w:rPr>
          <w:rFonts w:ascii="Calibri Light" w:hAnsi="Calibri Light" w:cs="Calibri Light"/>
          <w:i/>
          <w:iCs/>
          <w:sz w:val="24"/>
        </w:rPr>
        <w:t>Journal of Governance and Regulation</w:t>
      </w:r>
      <w:r w:rsidRPr="000900AD">
        <w:rPr>
          <w:rFonts w:ascii="Calibri Light" w:hAnsi="Calibri Light" w:cs="Calibri Light"/>
          <w:sz w:val="24"/>
        </w:rPr>
        <w:t xml:space="preserve">, </w:t>
      </w:r>
      <w:r w:rsidRPr="000900AD">
        <w:rPr>
          <w:rFonts w:ascii="Calibri Light" w:hAnsi="Calibri Light" w:cs="Calibri Light"/>
          <w:i/>
          <w:iCs/>
          <w:sz w:val="24"/>
        </w:rPr>
        <w:t>13</w:t>
      </w:r>
      <w:r w:rsidRPr="000900AD">
        <w:rPr>
          <w:rFonts w:ascii="Calibri Light" w:hAnsi="Calibri Light" w:cs="Calibri Light"/>
          <w:sz w:val="24"/>
        </w:rPr>
        <w:t>(2 (special issue)), 267–274. https://doi.org/10.22495/jgrv13i2siart3</w:t>
      </w:r>
    </w:p>
    <w:p w14:paraId="3651BC3A"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lastRenderedPageBreak/>
        <w:t xml:space="preserve">Ul-Haq, S., Lone, R. A., &amp; Ashraf, N. (2022). A theory of capitalist co-optation of radical alternatives: The case of Islamic banking industry. </w:t>
      </w:r>
      <w:r w:rsidRPr="000900AD">
        <w:rPr>
          <w:rFonts w:ascii="Calibri Light" w:hAnsi="Calibri Light" w:cs="Calibri Light"/>
          <w:i/>
          <w:iCs/>
          <w:sz w:val="24"/>
        </w:rPr>
        <w:t>Organization</w:t>
      </w:r>
      <w:r w:rsidRPr="000900AD">
        <w:rPr>
          <w:rFonts w:ascii="Calibri Light" w:hAnsi="Calibri Light" w:cs="Calibri Light"/>
          <w:sz w:val="24"/>
        </w:rPr>
        <w:t xml:space="preserve">, </w:t>
      </w:r>
      <w:r w:rsidRPr="000900AD">
        <w:rPr>
          <w:rFonts w:ascii="Calibri Light" w:hAnsi="Calibri Light" w:cs="Calibri Light"/>
          <w:i/>
          <w:iCs/>
          <w:sz w:val="24"/>
        </w:rPr>
        <w:t>29</w:t>
      </w:r>
      <w:r w:rsidRPr="000900AD">
        <w:rPr>
          <w:rFonts w:ascii="Calibri Light" w:hAnsi="Calibri Light" w:cs="Calibri Light"/>
          <w:sz w:val="24"/>
        </w:rPr>
        <w:t>(1), 129–154. https://doi.org/10.1177/1350508420939245</w:t>
      </w:r>
    </w:p>
    <w:p w14:paraId="78AEC34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Ullah, A., Zhao, X., Kamal, M. A., Riaz, A., &amp; Zheng, B. (2021). Exploring asymmetric relationship between Islamic banking development and economic growth in Pakistan: Fresh evidence from a non-linear ARDL approach.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(4), 6168–6187. https://doi.org/10.1002/ijfe.2115</w:t>
      </w:r>
    </w:p>
    <w:p w14:paraId="63865C33"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Ullah, K., Ashfaque, M., Atiq, M., Khan, M., &amp; Hussain, A. (2023). Shariah capabilities and value propositions of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(4), 701–715. https://doi.org/10.1108/IMEFM-12-2019-0518</w:t>
      </w:r>
    </w:p>
    <w:p w14:paraId="348BEF7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Umar, U. H., AbuBakar, M., Baita, A. J., Kademi, T. T., &amp; Haron, M. H. (2021). Do academic and professional institutions promote the awareness and knowledge of Islamic banking and finance in Nigeria?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(3), 401–417. https://doi.org/10.1108/JIABR-05-2020-0171</w:t>
      </w:r>
    </w:p>
    <w:p w14:paraId="776E610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Yusuf, M., Dasawaty, E. S., Esra, M. A., Apriwenni, P., Meiden, C., &amp; Fahlevi, M. (2024). Integrated reporting, corporate governance, and financial sustainability in Islamic banking. </w:t>
      </w:r>
      <w:r w:rsidRPr="000900AD">
        <w:rPr>
          <w:rFonts w:ascii="Calibri Light" w:hAnsi="Calibri Light" w:cs="Calibri Light"/>
          <w:i/>
          <w:iCs/>
          <w:sz w:val="24"/>
        </w:rPr>
        <w:t>Uncertain Supply Chain Management</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273–290. https://doi.org/10.5267/j.uscm.2023.9.022</w:t>
      </w:r>
    </w:p>
    <w:p w14:paraId="63D590DE" w14:textId="5F568C67" w:rsidR="000900AD" w:rsidRDefault="000900AD" w:rsidP="008847ED">
      <w:pPr>
        <w:spacing w:line="240" w:lineRule="atLeast"/>
        <w:ind w:left="1276" w:hanging="502"/>
        <w:jc w:val="both"/>
        <w:rPr>
          <w:rFonts w:ascii="Calibri Light" w:hAnsi="Calibri Light" w:cs="Calibri Light"/>
          <w:b/>
          <w:color w:val="7030A0"/>
          <w:sz w:val="24"/>
          <w:szCs w:val="24"/>
        </w:rPr>
      </w:pPr>
      <w:r>
        <w:rPr>
          <w:rFonts w:ascii="Calibri Light" w:hAnsi="Calibri Light" w:cs="Calibri Light"/>
          <w:b/>
          <w:color w:val="7030A0"/>
          <w:sz w:val="24"/>
          <w:szCs w:val="24"/>
        </w:rPr>
        <w:fldChar w:fldCharType="end"/>
      </w:r>
    </w:p>
    <w:p w14:paraId="4800F6BB" w14:textId="2060A454" w:rsidR="000900AD" w:rsidRPr="000900AD" w:rsidRDefault="003C27F1"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Pr>
          <w:rFonts w:ascii="Calibri Light" w:hAnsi="Calibri Light" w:cs="Calibri Light"/>
          <w:b/>
          <w:color w:val="A6A6A6"/>
          <w:sz w:val="24"/>
          <w:szCs w:val="24"/>
        </w:rPr>
        <w:fldChar w:fldCharType="begin" w:fldLock="1"/>
      </w:r>
      <w:r w:rsidRPr="000900AD">
        <w:rPr>
          <w:rFonts w:ascii="Calibri Light" w:hAnsi="Calibri Light" w:cs="Calibri Light"/>
          <w:b/>
          <w:color w:val="A6A6A6"/>
          <w:sz w:val="24"/>
          <w:szCs w:val="24"/>
        </w:rPr>
        <w:instrText xml:space="preserve">ADDIN Mendeley Bibliography CSL_BIBLIOGRAPHY </w:instrText>
      </w:r>
      <w:r>
        <w:rPr>
          <w:rFonts w:ascii="Calibri Light" w:hAnsi="Calibri Light" w:cs="Calibri Light"/>
          <w:b/>
          <w:color w:val="A6A6A6"/>
          <w:sz w:val="24"/>
          <w:szCs w:val="24"/>
        </w:rPr>
        <w:fldChar w:fldCharType="separate"/>
      </w:r>
      <w:r w:rsidR="000900AD" w:rsidRPr="000900AD">
        <w:rPr>
          <w:rFonts w:ascii="Calibri Light" w:hAnsi="Calibri Light" w:cs="Calibri Light"/>
          <w:sz w:val="24"/>
        </w:rPr>
        <w:t xml:space="preserve">Abrar, M., Abbas, S., Kousar, S., &amp; Mushtaq, M. (2023). Investigation on the Effects of Customer Knowledge, Political Support, and Innovation on the Growth of Islamic Banking System: a Case Study of Pakistan. </w:t>
      </w:r>
      <w:r w:rsidR="000900AD" w:rsidRPr="000900AD">
        <w:rPr>
          <w:rFonts w:ascii="Calibri Light" w:hAnsi="Calibri Light" w:cs="Calibri Light"/>
          <w:i/>
          <w:iCs/>
          <w:sz w:val="24"/>
        </w:rPr>
        <w:t>Journal of the Knowledge Economy</w:t>
      </w:r>
      <w:r w:rsidR="000900AD" w:rsidRPr="000900AD">
        <w:rPr>
          <w:rFonts w:ascii="Calibri Light" w:hAnsi="Calibri Light" w:cs="Calibri Light"/>
          <w:sz w:val="24"/>
        </w:rPr>
        <w:t xml:space="preserve">, </w:t>
      </w:r>
      <w:r w:rsidR="000900AD" w:rsidRPr="000900AD">
        <w:rPr>
          <w:rFonts w:ascii="Calibri Light" w:hAnsi="Calibri Light" w:cs="Calibri Light"/>
          <w:i/>
          <w:iCs/>
          <w:sz w:val="24"/>
        </w:rPr>
        <w:t>14</w:t>
      </w:r>
      <w:r w:rsidR="000900AD" w:rsidRPr="000900AD">
        <w:rPr>
          <w:rFonts w:ascii="Calibri Light" w:hAnsi="Calibri Light" w:cs="Calibri Light"/>
          <w:sz w:val="24"/>
        </w:rPr>
        <w:t>(2), 946–965. https://doi.org/10.1007/s13132-022-00933-y</w:t>
      </w:r>
    </w:p>
    <w:p w14:paraId="68064C4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Afrida, Y., Rivai, H. A., Syahrul, L., &amp; Lukito, H. (2024). Readiness to change in Islamic banking: the significance of adaptability and Islamic work ethics.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(12), 3445–3463. https://doi.org/10.1108/JIMA-11-2023-0357</w:t>
      </w:r>
    </w:p>
    <w:p w14:paraId="54AA4D83"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Ahmad, M., Zafar, M. B., &amp; Perveen, A. (2024). Consumer shift behavior from conventional to Islamic banking: decision-making analysis through AHP.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(5), 1280–1302. https://doi.org/10.1108/JIMA-02-2023-0036</w:t>
      </w:r>
    </w:p>
    <w:p w14:paraId="246C7A2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Al-Homaidi, E. A., Al-Matari, E. M., Anagreh, S., Tabash, M. I., &amp; Mareai Senan, N. A. (2021). The relationship between zakat disclosures and Islamic banking performance: Evidence from Yemen. </w:t>
      </w:r>
      <w:r w:rsidRPr="000900AD">
        <w:rPr>
          <w:rFonts w:ascii="Calibri Light" w:hAnsi="Calibri Light" w:cs="Calibri Light"/>
          <w:i/>
          <w:iCs/>
          <w:sz w:val="24"/>
        </w:rPr>
        <w:t>Banks and Bank Systems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52–61. https://doi.org/10.21511/bbs.16(1).2021.05</w:t>
      </w:r>
    </w:p>
    <w:p w14:paraId="7095E7C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A., Zulkhibri, M., &amp; Kishwar, T. (2022). IFSB Standards Adoption and Its Impact on Islamic Banking Practices: Evidence from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35</w:t>
      </w:r>
      <w:r w:rsidRPr="000900AD">
        <w:rPr>
          <w:rFonts w:ascii="Calibri Light" w:hAnsi="Calibri Light" w:cs="Calibri Light"/>
          <w:sz w:val="24"/>
        </w:rPr>
        <w:t>(2), 55–76. https://doi.org/10.4197/Islec.35-2.4</w:t>
      </w:r>
    </w:p>
    <w:p w14:paraId="41EA9CE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M., Tamami, F. Q. A., Rahmawati, S., Elbanna, M., &amp; AN, A. N. (2025). Tracking Education Transformation Towards Sustainable Development Goals: A Bibliometric Review on the Influence of Socioeconomic Factors in the Education Ecosystem. </w:t>
      </w:r>
      <w:r w:rsidRPr="000900AD">
        <w:rPr>
          <w:rFonts w:ascii="Calibri Light" w:hAnsi="Calibri Light" w:cs="Calibri Light"/>
          <w:i/>
          <w:iCs/>
          <w:sz w:val="24"/>
        </w:rPr>
        <w:t>Journal of Lifestyle and SDGs Review</w:t>
      </w:r>
      <w:r w:rsidRPr="000900AD">
        <w:rPr>
          <w:rFonts w:ascii="Calibri Light" w:hAnsi="Calibri Light" w:cs="Calibri Light"/>
          <w:sz w:val="24"/>
        </w:rPr>
        <w:t xml:space="preserve">, </w:t>
      </w:r>
      <w:r w:rsidRPr="000900AD">
        <w:rPr>
          <w:rFonts w:ascii="Calibri Light" w:hAnsi="Calibri Light" w:cs="Calibri Light"/>
          <w:i/>
          <w:iCs/>
          <w:sz w:val="24"/>
        </w:rPr>
        <w:t>5</w:t>
      </w:r>
      <w:r w:rsidRPr="000900AD">
        <w:rPr>
          <w:rFonts w:ascii="Calibri Light" w:hAnsi="Calibri Light" w:cs="Calibri Light"/>
          <w:sz w:val="24"/>
        </w:rPr>
        <w:t>(1), e03295–e03295.</w:t>
      </w:r>
    </w:p>
    <w:p w14:paraId="6093413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Ali, S. A., Loussaief, A., &amp; Ahmed, M. (2022). A comparative analysis of employees’ </w:t>
      </w:r>
      <w:r w:rsidRPr="000900AD">
        <w:rPr>
          <w:rFonts w:ascii="Calibri Light" w:hAnsi="Calibri Light" w:cs="Calibri Light"/>
          <w:sz w:val="24"/>
        </w:rPr>
        <w:lastRenderedPageBreak/>
        <w:t xml:space="preserve">and customers’ attitude towards Islamic banking. </w:t>
      </w:r>
      <w:r w:rsidRPr="000900AD">
        <w:rPr>
          <w:rFonts w:ascii="Calibri Light" w:hAnsi="Calibri Light" w:cs="Calibri Light"/>
          <w:i/>
          <w:iCs/>
          <w:sz w:val="24"/>
        </w:rPr>
        <w:t>International Journal of Ethics and Systems</w:t>
      </w:r>
      <w:r w:rsidRPr="000900AD">
        <w:rPr>
          <w:rFonts w:ascii="Calibri Light" w:hAnsi="Calibri Light" w:cs="Calibri Light"/>
          <w:sz w:val="24"/>
        </w:rPr>
        <w:t xml:space="preserve">, </w:t>
      </w:r>
      <w:r w:rsidRPr="000900AD">
        <w:rPr>
          <w:rFonts w:ascii="Calibri Light" w:hAnsi="Calibri Light" w:cs="Calibri Light"/>
          <w:i/>
          <w:iCs/>
          <w:sz w:val="24"/>
        </w:rPr>
        <w:t>38</w:t>
      </w:r>
      <w:r w:rsidRPr="000900AD">
        <w:rPr>
          <w:rFonts w:ascii="Calibri Light" w:hAnsi="Calibri Light" w:cs="Calibri Light"/>
          <w:sz w:val="24"/>
        </w:rPr>
        <w:t>(2), 209–234. https://doi.org/10.1108/IJOES-03-2021-0053</w:t>
      </w:r>
    </w:p>
    <w:p w14:paraId="0C3A6E6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Altwijry, O. I., Mohammed, M. O., Hassan, M. K., &amp; Selim, M. (2022). Developing a Shari’ah based FinTech Money Creation Free [SFMCF] model for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(4), 739–758. https://doi.org/10.1108/IMEFM-05-2021-0189</w:t>
      </w:r>
    </w:p>
    <w:p w14:paraId="38AACD9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Amuda, Y. J., &amp; Al-Nasser, S. A. (2024). Exploring encounters and prodigies of Islamic banks in non-Muslim states: towards enhancing regulatory frameworks of Islamic banking system. </w:t>
      </w:r>
      <w:r w:rsidRPr="000900AD">
        <w:rPr>
          <w:rFonts w:ascii="Calibri Light" w:hAnsi="Calibri Light" w:cs="Calibri Light"/>
          <w:i/>
          <w:iCs/>
          <w:sz w:val="24"/>
        </w:rPr>
        <w:t>International Journal of Law and Management</w:t>
      </w:r>
      <w:r w:rsidRPr="000900AD">
        <w:rPr>
          <w:rFonts w:ascii="Calibri Light" w:hAnsi="Calibri Light" w:cs="Calibri Light"/>
          <w:sz w:val="24"/>
        </w:rPr>
        <w:t>. https://doi.org/10.1108/IJLMA-11-2023-0250</w:t>
      </w:r>
    </w:p>
    <w:p w14:paraId="0B9F22E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Andri Nirwana, A. N., Elbanna, M., Ismail, F. H., Daud, Z., Mohd Salleh, N., Bin Kirin, A., Marisa, S. N., &amp; Husein, M. Z. (2024). PRISMA-Based Study on Integrating Islamic Principles into Legal Systems: Human Rights in Egypt and Indonesia. </w:t>
      </w:r>
      <w:r w:rsidRPr="000900AD">
        <w:rPr>
          <w:rFonts w:ascii="Calibri Light" w:hAnsi="Calibri Light" w:cs="Calibri Light"/>
          <w:i/>
          <w:iCs/>
          <w:sz w:val="24"/>
        </w:rPr>
        <w:t>International Journal of Law and Society</w:t>
      </w:r>
      <w:r w:rsidRPr="000900AD">
        <w:rPr>
          <w:rFonts w:ascii="Calibri Light" w:hAnsi="Calibri Light" w:cs="Calibri Light"/>
          <w:sz w:val="24"/>
        </w:rPr>
        <w:t xml:space="preserve">, </w:t>
      </w:r>
      <w:r w:rsidRPr="000900AD">
        <w:rPr>
          <w:rFonts w:ascii="Calibri Light" w:hAnsi="Calibri Light" w:cs="Calibri Light"/>
          <w:i/>
          <w:iCs/>
          <w:sz w:val="24"/>
        </w:rPr>
        <w:t>3</w:t>
      </w:r>
      <w:r w:rsidRPr="000900AD">
        <w:rPr>
          <w:rFonts w:ascii="Calibri Light" w:hAnsi="Calibri Light" w:cs="Calibri Light"/>
          <w:sz w:val="24"/>
        </w:rPr>
        <w:t>(3), 173–186. https://doi.org/10.59683/ijls.v3i3.90</w:t>
      </w:r>
    </w:p>
    <w:p w14:paraId="730BD9F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Barra, C., Papaccio, A., &amp; Ruggiero, N. (2023). Basel accords and banking inefficiency: Evidence from the Italian local market.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28</w:t>
      </w:r>
      <w:r w:rsidRPr="000900AD">
        <w:rPr>
          <w:rFonts w:ascii="Calibri Light" w:hAnsi="Calibri Light" w:cs="Calibri Light"/>
          <w:sz w:val="24"/>
        </w:rPr>
        <w:t>(4), 4079–4119. https://doi.org/10.1002/ijfe.2637</w:t>
      </w:r>
    </w:p>
    <w:p w14:paraId="28B5492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Ben Jedidia, K., &amp; Hamza, H. (2024). Does PLS in Islamic banking limit excessive money creation?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422–442. https://doi.org/10.1108/JIABR-02-2022-0047</w:t>
      </w:r>
    </w:p>
    <w:p w14:paraId="4DC3F2A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Budiman, T., Febrian, E., &amp; Azis, Y. (2022). THE EFFECT OF GEOGRAPHICAL FACTORS ON ISLAMIC BANKING SUSTAINABILITY PERFORMANCE: AN INSTRUMENTAL VARIABLE QUANTILE REGRESSION ANALYSIS. </w:t>
      </w:r>
      <w:r w:rsidRPr="000900AD">
        <w:rPr>
          <w:rFonts w:ascii="Calibri Light" w:hAnsi="Calibri Light" w:cs="Calibri Light"/>
          <w:i/>
          <w:iCs/>
          <w:sz w:val="24"/>
        </w:rPr>
        <w:t>Asian Economic and Financial Review</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(2), 70–88. https://doi.org/10.18488/5002.v12i2.4411</w:t>
      </w:r>
    </w:p>
    <w:p w14:paraId="71418F57"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Elbanna, M., Wadi, M. F., Radiamoda, A. M., Matsuyama, Y., &amp; Ishak, M. H. Bin. (2025). A Bibliometric Analysis of Sustainable Development Goals (SDGs) Through the Lens of Maqasid Shariah Tafsir. </w:t>
      </w:r>
      <w:r w:rsidRPr="000900AD">
        <w:rPr>
          <w:rFonts w:ascii="Calibri Light" w:hAnsi="Calibri Light" w:cs="Calibri Light"/>
          <w:i/>
          <w:iCs/>
          <w:sz w:val="24"/>
        </w:rPr>
        <w:t>QiST: Journal of Quran and Tafseer Studies</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1–22. https://doi.org/https://doi.org/10.23917/qist.v4i1.7360</w:t>
      </w:r>
    </w:p>
    <w:p w14:paraId="7B24FB2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Faizi, F. (2024). How are Islamic banking products developed? Evidence from emerging country. </w:t>
      </w:r>
      <w:r w:rsidRPr="000900AD">
        <w:rPr>
          <w:rFonts w:ascii="Calibri Light" w:hAnsi="Calibri Light" w:cs="Calibri Light"/>
          <w:i/>
          <w:iCs/>
          <w:sz w:val="24"/>
        </w:rPr>
        <w:t>Cogent Economics and Finance</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https://doi.org/10.1080/23322039.2024.2378961</w:t>
      </w:r>
    </w:p>
    <w:p w14:paraId="54C425CA"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Fathoni, M. A., Rodoni, A., Al Arif, M. N. R., &amp; Hidayah, N. (2024). Intention to participate in Islamic banking in Indonesia: Does socio-political identity matter? </w:t>
      </w:r>
      <w:r w:rsidRPr="000900AD">
        <w:rPr>
          <w:rFonts w:ascii="Calibri Light" w:hAnsi="Calibri Light" w:cs="Calibri Light"/>
          <w:i/>
          <w:iCs/>
          <w:sz w:val="24"/>
        </w:rPr>
        <w:t>Journal of Islamic Marketing</w:t>
      </w:r>
      <w:r w:rsidRPr="000900AD">
        <w:rPr>
          <w:rFonts w:ascii="Calibri Light" w:hAnsi="Calibri Light" w:cs="Calibri Light"/>
          <w:sz w:val="24"/>
        </w:rPr>
        <w:t>. https://doi.org/10.1108/JIMA-12-2023-0397</w:t>
      </w:r>
    </w:p>
    <w:p w14:paraId="03EAA4C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Faturohman, T., Purwono, M. Z., &amp; Ooi, S. K. (2024). User acceptance of Islamic banking in Indonesia: the implementation of technology acceptance models.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(2–3), 229–237. https://doi.org/10.1504/IJMEF.2024.139028</w:t>
      </w:r>
    </w:p>
    <w:p w14:paraId="5BBF48F1"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Fitri, F. A., Syukur, M., Majid, M. S. A., Farhana, I., &amp; Hatta, F. (2022). Do intellectual capital and financing matter for the profitability of the Islamic banking industry in Indonesia?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293–308. https://doi.org/10.1504/ijmef.2022.126888</w:t>
      </w:r>
    </w:p>
    <w:p w14:paraId="545E34A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Guizani, M., &amp; Ajmi, A. N. (2022). Islamic banking and corporate investment efficiency: empirical evidence from Malaysia. </w:t>
      </w:r>
      <w:r w:rsidRPr="000900AD">
        <w:rPr>
          <w:rFonts w:ascii="Calibri Light" w:hAnsi="Calibri Light" w:cs="Calibri Light"/>
          <w:i/>
          <w:iCs/>
          <w:sz w:val="24"/>
        </w:rPr>
        <w:t xml:space="preserve">International Journal of Productivity </w:t>
      </w:r>
      <w:r w:rsidRPr="000900AD">
        <w:rPr>
          <w:rFonts w:ascii="Calibri Light" w:hAnsi="Calibri Light" w:cs="Calibri Light"/>
          <w:i/>
          <w:iCs/>
          <w:sz w:val="24"/>
        </w:rPr>
        <w:lastRenderedPageBreak/>
        <w:t>and Performance Management</w:t>
      </w:r>
      <w:r w:rsidRPr="000900AD">
        <w:rPr>
          <w:rFonts w:ascii="Calibri Light" w:hAnsi="Calibri Light" w:cs="Calibri Light"/>
          <w:sz w:val="24"/>
        </w:rPr>
        <w:t xml:space="preserve">, </w:t>
      </w:r>
      <w:r w:rsidRPr="000900AD">
        <w:rPr>
          <w:rFonts w:ascii="Calibri Light" w:hAnsi="Calibri Light" w:cs="Calibri Light"/>
          <w:i/>
          <w:iCs/>
          <w:sz w:val="24"/>
        </w:rPr>
        <w:t>71</w:t>
      </w:r>
      <w:r w:rsidRPr="000900AD">
        <w:rPr>
          <w:rFonts w:ascii="Calibri Light" w:hAnsi="Calibri Light" w:cs="Calibri Light"/>
          <w:sz w:val="24"/>
        </w:rPr>
        <w:t>(5), 1854–1871. https://doi.org/10.1108/IJPPM-06-2020-0331</w:t>
      </w:r>
    </w:p>
    <w:p w14:paraId="3D176C4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Hakam Naja, A. (2023). IS ISLAMIC BANKING PERFORMANCE IN MALAYSIA TRULY BETTER THAN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9</w:t>
      </w:r>
      <w:r w:rsidRPr="000900AD">
        <w:rPr>
          <w:rFonts w:ascii="Calibri Light" w:hAnsi="Calibri Light" w:cs="Calibri Light"/>
          <w:sz w:val="24"/>
        </w:rPr>
        <w:t>(4), 611–636. https://doi.org/10.21098/jimf.v9i4.1784</w:t>
      </w:r>
    </w:p>
    <w:p w14:paraId="46A17F5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Hassan, M. K., Sohel, M. N. I., Choudhury, T., &amp; Rashid, M. (2024). A systematic literature review of risks in Islamic banking system: research agenda and future research directions. </w:t>
      </w:r>
      <w:r w:rsidRPr="000900AD">
        <w:rPr>
          <w:rFonts w:ascii="Calibri Light" w:hAnsi="Calibri Light" w:cs="Calibri Light"/>
          <w:i/>
          <w:iCs/>
          <w:sz w:val="24"/>
        </w:rPr>
        <w:t>Risk Management</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(1). https://doi.org/10.1057/s41283-023-00135-z</w:t>
      </w:r>
    </w:p>
    <w:p w14:paraId="3C9EF22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Hermawati, A., Ali, S., Fettry, S., Hendarto, T., &amp; Husin, H. (2021). Freelancers Intentions Towards Adoption Of Islamic Banking. </w:t>
      </w:r>
      <w:r w:rsidRPr="000900AD">
        <w:rPr>
          <w:rFonts w:ascii="Calibri Light" w:hAnsi="Calibri Light" w:cs="Calibri Light"/>
          <w:i/>
          <w:iCs/>
          <w:sz w:val="24"/>
        </w:rPr>
        <w:t>Academy of Strategic Management Journal</w:t>
      </w:r>
      <w:r w:rsidRPr="000900AD">
        <w:rPr>
          <w:rFonts w:ascii="Calibri Light" w:hAnsi="Calibri Light" w:cs="Calibri Light"/>
          <w:sz w:val="24"/>
        </w:rPr>
        <w:t xml:space="preserve">, </w:t>
      </w:r>
      <w:r w:rsidRPr="000900AD">
        <w:rPr>
          <w:rFonts w:ascii="Calibri Light" w:hAnsi="Calibri Light" w:cs="Calibri Light"/>
          <w:i/>
          <w:iCs/>
          <w:sz w:val="24"/>
        </w:rPr>
        <w:t>20</w:t>
      </w:r>
      <w:r w:rsidRPr="000900AD">
        <w:rPr>
          <w:rFonts w:ascii="Calibri Light" w:hAnsi="Calibri Light" w:cs="Calibri Light"/>
          <w:sz w:val="24"/>
        </w:rPr>
        <w:t>(2), 1–16. https://www.scopus.com/inward/record.uri?eid=2-s2.0-85104261973&amp;partnerID=40&amp;md5=3e018c371c1eaf93307b64b4d38b50a5</w:t>
      </w:r>
    </w:p>
    <w:p w14:paraId="38BC182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Ho, K.-C., Lee, S.-C., &amp; Chen, J.-L. (2022). Book-to-market equity and asset correlations—An international study. </w:t>
      </w:r>
      <w:r w:rsidRPr="000900AD">
        <w:rPr>
          <w:rFonts w:ascii="Calibri Light" w:hAnsi="Calibri Light" w:cs="Calibri Light"/>
          <w:i/>
          <w:iCs/>
          <w:sz w:val="24"/>
        </w:rPr>
        <w:t>International Review of Economics and Finance</w:t>
      </w:r>
      <w:r w:rsidRPr="000900AD">
        <w:rPr>
          <w:rFonts w:ascii="Calibri Light" w:hAnsi="Calibri Light" w:cs="Calibri Light"/>
          <w:sz w:val="24"/>
        </w:rPr>
        <w:t xml:space="preserve">, </w:t>
      </w:r>
      <w:r w:rsidRPr="000900AD">
        <w:rPr>
          <w:rFonts w:ascii="Calibri Light" w:hAnsi="Calibri Light" w:cs="Calibri Light"/>
          <w:i/>
          <w:iCs/>
          <w:sz w:val="24"/>
        </w:rPr>
        <w:t>79</w:t>
      </w:r>
      <w:r w:rsidRPr="000900AD">
        <w:rPr>
          <w:rFonts w:ascii="Calibri Light" w:hAnsi="Calibri Light" w:cs="Calibri Light"/>
          <w:sz w:val="24"/>
        </w:rPr>
        <w:t>, 258–274. https://doi.org/10.1016/j.iref.2022.02.014</w:t>
      </w:r>
    </w:p>
    <w:p w14:paraId="22F6AE0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Huang, C., Moreira, F., &amp; Archibald, T. W. (2024). Should Basel-style liquidity requirements be set countercyclically? Evidence from a numerical analysis. </w:t>
      </w:r>
      <w:r w:rsidRPr="000900AD">
        <w:rPr>
          <w:rFonts w:ascii="Calibri Light" w:hAnsi="Calibri Light" w:cs="Calibri Light"/>
          <w:i/>
          <w:iCs/>
          <w:sz w:val="24"/>
        </w:rPr>
        <w:t>International Review of Financial Analysis</w:t>
      </w:r>
      <w:r w:rsidRPr="000900AD">
        <w:rPr>
          <w:rFonts w:ascii="Calibri Light" w:hAnsi="Calibri Light" w:cs="Calibri Light"/>
          <w:sz w:val="24"/>
        </w:rPr>
        <w:t xml:space="preserve">, </w:t>
      </w:r>
      <w:r w:rsidRPr="000900AD">
        <w:rPr>
          <w:rFonts w:ascii="Calibri Light" w:hAnsi="Calibri Light" w:cs="Calibri Light"/>
          <w:i/>
          <w:iCs/>
          <w:sz w:val="24"/>
        </w:rPr>
        <w:t>95</w:t>
      </w:r>
      <w:r w:rsidRPr="000900AD">
        <w:rPr>
          <w:rFonts w:ascii="Calibri Light" w:hAnsi="Calibri Light" w:cs="Calibri Light"/>
          <w:sz w:val="24"/>
        </w:rPr>
        <w:t>. https://doi.org/10.1016/j.irfa.2024.103502</w:t>
      </w:r>
    </w:p>
    <w:p w14:paraId="6C7E84E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Hudayati, A. (2023). Exploring the Nexus of Disclosure of Sharia Compliance and Governance in Islamic Banking: A Comprehensive Analysis of the Sharia Supervisory Board. </w:t>
      </w:r>
      <w:r w:rsidRPr="000900AD">
        <w:rPr>
          <w:rFonts w:ascii="Calibri Light" w:hAnsi="Calibri Light" w:cs="Calibri Light"/>
          <w:i/>
          <w:iCs/>
          <w:sz w:val="24"/>
        </w:rPr>
        <w:t>Management and Accounting Review</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(3), 407–428. https://www.scopus.com/inward/record.uri?eid=2-s2.0-85179718521&amp;partnerID=40&amp;md5=c1d4efeffba5a3e6e85b32d01d1e3a12</w:t>
      </w:r>
    </w:p>
    <w:p w14:paraId="4CBC72C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Isman, I. (2024). </w:t>
      </w:r>
      <w:r w:rsidRPr="000900AD">
        <w:rPr>
          <w:rFonts w:ascii="Calibri Light" w:hAnsi="Calibri Light" w:cs="Calibri Light"/>
          <w:i/>
          <w:iCs/>
          <w:sz w:val="24"/>
        </w:rPr>
        <w:t>International Conference on Actual Islamic Studies Islamic Capital Market Accessibility and Fintech Innovation : Transformation of POJK 77 / 2016 Islamic Capital Market Accessibility and Fintech Innovation : Transformation of POJK 77 / 2016</w:t>
      </w:r>
      <w:r w:rsidRPr="000900AD">
        <w:rPr>
          <w:rFonts w:ascii="Calibri Light" w:hAnsi="Calibri Light" w:cs="Calibri Light"/>
          <w:sz w:val="24"/>
        </w:rPr>
        <w:t xml:space="preserve">. </w:t>
      </w:r>
      <w:r w:rsidRPr="000900AD">
        <w:rPr>
          <w:rFonts w:ascii="Calibri Light" w:hAnsi="Calibri Light" w:cs="Calibri Light"/>
          <w:i/>
          <w:iCs/>
          <w:sz w:val="24"/>
        </w:rPr>
        <w:t>September</w:t>
      </w:r>
      <w:r w:rsidRPr="000900AD">
        <w:rPr>
          <w:rFonts w:ascii="Calibri Light" w:hAnsi="Calibri Light" w:cs="Calibri Light"/>
          <w:sz w:val="24"/>
        </w:rPr>
        <w:t>.</w:t>
      </w:r>
    </w:p>
    <w:p w14:paraId="748BD0E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Jatmiko, W., Ebrahim, M. S., Iqbal, A., &amp; Wojakowski, R. M. (2023). Can trade credit rejuvenate Islamic banking? </w:t>
      </w:r>
      <w:r w:rsidRPr="000900AD">
        <w:rPr>
          <w:rFonts w:ascii="Calibri Light" w:hAnsi="Calibri Light" w:cs="Calibri Light"/>
          <w:i/>
          <w:iCs/>
          <w:sz w:val="24"/>
        </w:rPr>
        <w:t>Review of Quantitative Finance and Accounting</w:t>
      </w:r>
      <w:r w:rsidRPr="000900AD">
        <w:rPr>
          <w:rFonts w:ascii="Calibri Light" w:hAnsi="Calibri Light" w:cs="Calibri Light"/>
          <w:sz w:val="24"/>
        </w:rPr>
        <w:t xml:space="preserve">, </w:t>
      </w:r>
      <w:r w:rsidRPr="000900AD">
        <w:rPr>
          <w:rFonts w:ascii="Calibri Light" w:hAnsi="Calibri Light" w:cs="Calibri Light"/>
          <w:i/>
          <w:iCs/>
          <w:sz w:val="24"/>
        </w:rPr>
        <w:t>60</w:t>
      </w:r>
      <w:r w:rsidRPr="000900AD">
        <w:rPr>
          <w:rFonts w:ascii="Calibri Light" w:hAnsi="Calibri Light" w:cs="Calibri Light"/>
          <w:sz w:val="24"/>
        </w:rPr>
        <w:t>(1), 111–146. https://doi.org/10.1007/s11156-022-01092-6</w:t>
      </w:r>
    </w:p>
    <w:p w14:paraId="32D9DF86"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Mitchell, C. (2022). The Power of Delay: Banking System Structure and Implementation of the Basel Accords. </w:t>
      </w:r>
      <w:r w:rsidRPr="000900AD">
        <w:rPr>
          <w:rFonts w:ascii="Calibri Light" w:hAnsi="Calibri Light" w:cs="Calibri Light"/>
          <w:i/>
          <w:iCs/>
          <w:sz w:val="24"/>
        </w:rPr>
        <w:t>Business and Politics</w:t>
      </w:r>
      <w:r w:rsidRPr="000900AD">
        <w:rPr>
          <w:rFonts w:ascii="Calibri Light" w:hAnsi="Calibri Light" w:cs="Calibri Light"/>
          <w:sz w:val="24"/>
        </w:rPr>
        <w:t xml:space="preserve">, </w:t>
      </w:r>
      <w:r w:rsidRPr="000900AD">
        <w:rPr>
          <w:rFonts w:ascii="Calibri Light" w:hAnsi="Calibri Light" w:cs="Calibri Light"/>
          <w:i/>
          <w:iCs/>
          <w:sz w:val="24"/>
        </w:rPr>
        <w:t>24</w:t>
      </w:r>
      <w:r w:rsidRPr="000900AD">
        <w:rPr>
          <w:rFonts w:ascii="Calibri Light" w:hAnsi="Calibri Light" w:cs="Calibri Light"/>
          <w:sz w:val="24"/>
        </w:rPr>
        <w:t>(1), 1–17. https://doi.org/10.1017/bap.2021.16</w:t>
      </w:r>
    </w:p>
    <w:p w14:paraId="6B60D4B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Mohd Thas Thaker, H., Lelchumanan, B., Ah Mand, A., &amp; Khaliq, A. (2024). Push – pull – mooring determinants of non-Muslims’ withdrawal from Islamic banking: evidence from Malaysia.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(1), 195–212. https://doi.org/10.1108/IMEFM-04-2023-0144</w:t>
      </w:r>
    </w:p>
    <w:p w14:paraId="7CCE7EA5"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Muflih, M. (2021). The link between corporate social responsibility and customer loyalty: Empirical evidence from the Islamic banking industry. </w:t>
      </w:r>
      <w:r w:rsidRPr="000900AD">
        <w:rPr>
          <w:rFonts w:ascii="Calibri Light" w:hAnsi="Calibri Light" w:cs="Calibri Light"/>
          <w:i/>
          <w:iCs/>
          <w:sz w:val="24"/>
        </w:rPr>
        <w:t>Journal of Retailing and Consumer Services</w:t>
      </w:r>
      <w:r w:rsidRPr="000900AD">
        <w:rPr>
          <w:rFonts w:ascii="Calibri Light" w:hAnsi="Calibri Light" w:cs="Calibri Light"/>
          <w:sz w:val="24"/>
        </w:rPr>
        <w:t xml:space="preserve">, </w:t>
      </w:r>
      <w:r w:rsidRPr="000900AD">
        <w:rPr>
          <w:rFonts w:ascii="Calibri Light" w:hAnsi="Calibri Light" w:cs="Calibri Light"/>
          <w:i/>
          <w:iCs/>
          <w:sz w:val="24"/>
        </w:rPr>
        <w:t>61</w:t>
      </w:r>
      <w:r w:rsidRPr="000900AD">
        <w:rPr>
          <w:rFonts w:ascii="Calibri Light" w:hAnsi="Calibri Light" w:cs="Calibri Light"/>
          <w:sz w:val="24"/>
        </w:rPr>
        <w:t>. https://doi.org/10.1016/j.jretconser.2021.102558</w:t>
      </w:r>
    </w:p>
    <w:p w14:paraId="18DD897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Muthoifin, M., Amelia, I., &amp; Eprahim Ali, A. B. (2024). Islamic accounting: Ethics </w:t>
      </w:r>
      <w:r w:rsidRPr="000900AD">
        <w:rPr>
          <w:rFonts w:ascii="Calibri Light" w:hAnsi="Calibri Light" w:cs="Calibri Light"/>
          <w:sz w:val="24"/>
        </w:rPr>
        <w:lastRenderedPageBreak/>
        <w:t xml:space="preserve">and contextualization of recording in Muamalah transactions. </w:t>
      </w:r>
      <w:r w:rsidRPr="000900AD">
        <w:rPr>
          <w:rFonts w:ascii="Calibri Light" w:hAnsi="Calibri Light" w:cs="Calibri Light"/>
          <w:i/>
          <w:iCs/>
          <w:sz w:val="24"/>
        </w:rPr>
        <w:t>Multidisciplinary Reviews</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(8). https://doi.org/10.31893/multirev.2024132</w:t>
      </w:r>
    </w:p>
    <w:p w14:paraId="05EE4D28"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Nawaz, T., Haniffa, R., &amp; Hudaib, M. (2021). On intellectual capital efficiency and shariah governance in Islamic banking business model.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(3), 3770–3787. https://doi.org/10.1002/ijfe.1986</w:t>
      </w:r>
    </w:p>
    <w:p w14:paraId="2212A53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Nouman, M., Ullah, K., &amp; Jan, S. (2022). DOMAINS and MOTIVES of MUSHARAKAH SPUR in the ISLAMIC BANKING INDUSTRY of PAKISTAN. </w:t>
      </w:r>
      <w:r w:rsidRPr="000900AD">
        <w:rPr>
          <w:rFonts w:ascii="Calibri Light" w:hAnsi="Calibri Light" w:cs="Calibri Light"/>
          <w:i/>
          <w:iCs/>
          <w:sz w:val="24"/>
        </w:rPr>
        <w:t>Singapore Economic Review</w:t>
      </w:r>
      <w:r w:rsidRPr="000900AD">
        <w:rPr>
          <w:rFonts w:ascii="Calibri Light" w:hAnsi="Calibri Light" w:cs="Calibri Light"/>
          <w:sz w:val="24"/>
        </w:rPr>
        <w:t xml:space="preserve">, </w:t>
      </w:r>
      <w:r w:rsidRPr="000900AD">
        <w:rPr>
          <w:rFonts w:ascii="Calibri Light" w:hAnsi="Calibri Light" w:cs="Calibri Light"/>
          <w:i/>
          <w:iCs/>
          <w:sz w:val="24"/>
        </w:rPr>
        <w:t>67</w:t>
      </w:r>
      <w:r w:rsidRPr="000900AD">
        <w:rPr>
          <w:rFonts w:ascii="Calibri Light" w:hAnsi="Calibri Light" w:cs="Calibri Light"/>
          <w:sz w:val="24"/>
        </w:rPr>
        <w:t>(1), 381–409. https://doi.org/10.1142/S0217590819500620</w:t>
      </w:r>
    </w:p>
    <w:p w14:paraId="4059E75B"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Oladapo, I. A., Hamoudah, M. M., Alam, M. M., Olaopa, O. R., &amp; Muda, R. (2022). Customers’ perceptions of FinTech adaptability in the Islamic banking sector: comparative study on Malaysia and Saudi Arabia. </w:t>
      </w:r>
      <w:r w:rsidRPr="000900AD">
        <w:rPr>
          <w:rFonts w:ascii="Calibri Light" w:hAnsi="Calibri Light" w:cs="Calibri Light"/>
          <w:i/>
          <w:iCs/>
          <w:sz w:val="24"/>
        </w:rPr>
        <w:t>Journal of Modelling in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(4), 1241–1261. https://doi.org/10.1108/JM2-10-2020-0256</w:t>
      </w:r>
    </w:p>
    <w:p w14:paraId="540D71D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Rahman, M. H., &amp; Chowdhury, N. M. S. I. (2024). The prospects of istijrar financing in Islamic banking: an exploratory study in Bangladesh.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135–158. https://doi.org/10.1108/QRFM-10-2022-0173</w:t>
      </w:r>
    </w:p>
    <w:p w14:paraId="22D60307"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Riaz, U., Burton, B., &amp; Fearfull, A. (2023). Emotional propensities and the contemporary Islamic banking industry. </w:t>
      </w:r>
      <w:r w:rsidRPr="000900AD">
        <w:rPr>
          <w:rFonts w:ascii="Calibri Light" w:hAnsi="Calibri Light" w:cs="Calibri Light"/>
          <w:i/>
          <w:iCs/>
          <w:sz w:val="24"/>
        </w:rPr>
        <w:t>Critical Perspectives on Accounting</w:t>
      </w:r>
      <w:r w:rsidRPr="000900AD">
        <w:rPr>
          <w:rFonts w:ascii="Calibri Light" w:hAnsi="Calibri Light" w:cs="Calibri Light"/>
          <w:sz w:val="24"/>
        </w:rPr>
        <w:t xml:space="preserve">, </w:t>
      </w:r>
      <w:r w:rsidRPr="000900AD">
        <w:rPr>
          <w:rFonts w:ascii="Calibri Light" w:hAnsi="Calibri Light" w:cs="Calibri Light"/>
          <w:i/>
          <w:iCs/>
          <w:sz w:val="24"/>
        </w:rPr>
        <w:t>94</w:t>
      </w:r>
      <w:r w:rsidRPr="000900AD">
        <w:rPr>
          <w:rFonts w:ascii="Calibri Light" w:hAnsi="Calibri Light" w:cs="Calibri Light"/>
          <w:sz w:val="24"/>
        </w:rPr>
        <w:t>. https://doi.org/10.1016/j.cpa.2022.102449</w:t>
      </w:r>
    </w:p>
    <w:p w14:paraId="073EF1E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Sarea, A. M., Khalid, A., Shamsuddin, A. B., Hawaldar, I., &amp; Hossen, Z. (2021). Online financial reporting disclosure in Islamic banking: Evidence from Bahrain. </w:t>
      </w:r>
      <w:r w:rsidRPr="000900AD">
        <w:rPr>
          <w:rFonts w:ascii="Calibri Light" w:hAnsi="Calibri Light" w:cs="Calibri Light"/>
          <w:i/>
          <w:iCs/>
          <w:sz w:val="24"/>
        </w:rPr>
        <w:t>International Journal of Economics and Business Research</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(4), 311–327. https://doi.org/10.1504/IJEBR.2021.118378</w:t>
      </w:r>
    </w:p>
    <w:p w14:paraId="14D39E10"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Shaikh, S. A. (2023). Economic Evaluation of Islamic Banking in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36</w:t>
      </w:r>
      <w:r w:rsidRPr="000900AD">
        <w:rPr>
          <w:rFonts w:ascii="Calibri Light" w:hAnsi="Calibri Light" w:cs="Calibri Light"/>
          <w:sz w:val="24"/>
        </w:rPr>
        <w:t>(1), 91–111. https://doi.org/10.4197/Islec.36-1.5</w:t>
      </w:r>
    </w:p>
    <w:p w14:paraId="15638F8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Sheikh, R., &amp; Hussain, K. (2024). Reimagining Islamic banking in the light of Maqasid Shariah.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https://doi.org/10.1108/QRFM-04-2024-0108</w:t>
      </w:r>
    </w:p>
    <w:p w14:paraId="2786CF7E"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Suliyono, J., &amp; Risfandy, T. (2021). ISLAMIC BANKING MARKET DISCIPLINE IN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(3), 457–472. https://doi.org/10.21098/jimf.v7i3.1376</w:t>
      </w:r>
    </w:p>
    <w:p w14:paraId="79D2E23F"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Syah, D., &amp; Rahmadani, G. (2024). The Profit-Sharing System in Financing Islamic Banking. </w:t>
      </w:r>
      <w:r w:rsidRPr="000900AD">
        <w:rPr>
          <w:rFonts w:ascii="Calibri Light" w:hAnsi="Calibri Light" w:cs="Calibri Light"/>
          <w:i/>
          <w:iCs/>
          <w:sz w:val="24"/>
        </w:rPr>
        <w:t xml:space="preserve">Qubahan Academic Journal </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300–309. https://doi.org/10.48161/qaj.v4n1a198</w:t>
      </w:r>
    </w:p>
    <w:p w14:paraId="2A3E840C"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Triyanta, A., &amp; Hassan, R. (2024). THE CONNECTION BETWEEN ROBUST LEGAL INSTRUMENTS AND THE EXCEPTIONAL PERFORMANCE OF THE ISLAMIC BANKING INDUSTRY. </w:t>
      </w:r>
      <w:r w:rsidRPr="000900AD">
        <w:rPr>
          <w:rFonts w:ascii="Calibri Light" w:hAnsi="Calibri Light" w:cs="Calibri Light"/>
          <w:i/>
          <w:iCs/>
          <w:sz w:val="24"/>
        </w:rPr>
        <w:t>Journal of Governance and Regulation</w:t>
      </w:r>
      <w:r w:rsidRPr="000900AD">
        <w:rPr>
          <w:rFonts w:ascii="Calibri Light" w:hAnsi="Calibri Light" w:cs="Calibri Light"/>
          <w:sz w:val="24"/>
        </w:rPr>
        <w:t xml:space="preserve">, </w:t>
      </w:r>
      <w:r w:rsidRPr="000900AD">
        <w:rPr>
          <w:rFonts w:ascii="Calibri Light" w:hAnsi="Calibri Light" w:cs="Calibri Light"/>
          <w:i/>
          <w:iCs/>
          <w:sz w:val="24"/>
        </w:rPr>
        <w:t>13</w:t>
      </w:r>
      <w:r w:rsidRPr="000900AD">
        <w:rPr>
          <w:rFonts w:ascii="Calibri Light" w:hAnsi="Calibri Light" w:cs="Calibri Light"/>
          <w:sz w:val="24"/>
        </w:rPr>
        <w:t>(2 (special issue)), 267–274. https://doi.org/10.22495/jgrv13i2siart3</w:t>
      </w:r>
    </w:p>
    <w:p w14:paraId="3B5C8F42"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Ul-Haq, S., Lone, R. A., &amp; Ashraf, N. (2022). A theory of capitalist co-optation of radical alternatives: The case of Islamic banking industry. </w:t>
      </w:r>
      <w:r w:rsidRPr="000900AD">
        <w:rPr>
          <w:rFonts w:ascii="Calibri Light" w:hAnsi="Calibri Light" w:cs="Calibri Light"/>
          <w:i/>
          <w:iCs/>
          <w:sz w:val="24"/>
        </w:rPr>
        <w:t>Organization</w:t>
      </w:r>
      <w:r w:rsidRPr="000900AD">
        <w:rPr>
          <w:rFonts w:ascii="Calibri Light" w:hAnsi="Calibri Light" w:cs="Calibri Light"/>
          <w:sz w:val="24"/>
        </w:rPr>
        <w:t xml:space="preserve">, </w:t>
      </w:r>
      <w:r w:rsidRPr="000900AD">
        <w:rPr>
          <w:rFonts w:ascii="Calibri Light" w:hAnsi="Calibri Light" w:cs="Calibri Light"/>
          <w:i/>
          <w:iCs/>
          <w:sz w:val="24"/>
        </w:rPr>
        <w:t>29</w:t>
      </w:r>
      <w:r w:rsidRPr="000900AD">
        <w:rPr>
          <w:rFonts w:ascii="Calibri Light" w:hAnsi="Calibri Light" w:cs="Calibri Light"/>
          <w:sz w:val="24"/>
        </w:rPr>
        <w:t>(1), 129–154. https://doi.org/10.1177/1350508420939245</w:t>
      </w:r>
    </w:p>
    <w:p w14:paraId="68F0BB14"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Ullah, A., Zhao, X., Kamal, M. A., Riaz, A., &amp; Zheng, B. (2021). Exploring asymmetric relationship between Islamic banking development and economic growth in Pakistan: Fresh evidence from a non-linear ARDL approach.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(4), 6168–6187. https://doi.org/10.1002/ijfe.2115</w:t>
      </w:r>
    </w:p>
    <w:p w14:paraId="7645E1E1"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lastRenderedPageBreak/>
        <w:t xml:space="preserve">Ullah, K., Ashfaque, M., Atiq, M., Khan, M., &amp; Hussain, A. (2023). Shariah capabilities and value propositions of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(4), 701–715. https://doi.org/10.1108/IMEFM-12-2019-0518</w:t>
      </w:r>
    </w:p>
    <w:p w14:paraId="71F758F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Umar, U. H., AbuBakar, M., Baita, A. J., Kademi, T. T., &amp; Haron, M. H. (2021). Do academic and professional institutions promote the awareness and knowledge of Islamic banking and finance in Nigeria?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(3), 401–417. https://doi.org/10.1108/JIABR-05-2020-0171</w:t>
      </w:r>
    </w:p>
    <w:p w14:paraId="391DE39D" w14:textId="77777777" w:rsidR="000900AD" w:rsidRPr="000900AD" w:rsidRDefault="000900AD" w:rsidP="008847ED">
      <w:pPr>
        <w:pStyle w:val="ListParagraph"/>
        <w:widowControl w:val="0"/>
        <w:numPr>
          <w:ilvl w:val="0"/>
          <w:numId w:val="33"/>
        </w:numPr>
        <w:adjustRightInd w:val="0"/>
        <w:spacing w:line="240" w:lineRule="atLeast"/>
        <w:ind w:left="1276" w:hanging="502"/>
        <w:jc w:val="both"/>
        <w:rPr>
          <w:rFonts w:ascii="Calibri Light" w:hAnsi="Calibri Light" w:cs="Calibri Light"/>
          <w:sz w:val="24"/>
        </w:rPr>
      </w:pPr>
      <w:r w:rsidRPr="000900AD">
        <w:rPr>
          <w:rFonts w:ascii="Calibri Light" w:hAnsi="Calibri Light" w:cs="Calibri Light"/>
          <w:sz w:val="24"/>
        </w:rPr>
        <w:t xml:space="preserve">Yusuf, M., Dasawaty, E. S., Esra, M. A., Apriwenni, P., Meiden, C., &amp; Fahlevi, M. (2024). Integrated reporting, corporate governance, and financial sustainability in Islamic banking. </w:t>
      </w:r>
      <w:r w:rsidRPr="000900AD">
        <w:rPr>
          <w:rFonts w:ascii="Calibri Light" w:hAnsi="Calibri Light" w:cs="Calibri Light"/>
          <w:i/>
          <w:iCs/>
          <w:sz w:val="24"/>
        </w:rPr>
        <w:t>Uncertain Supply Chain Management</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273–290. https://doi.org/10.5267/j.uscm.2023.9.022</w:t>
      </w:r>
    </w:p>
    <w:p w14:paraId="3D107B4C" w14:textId="08D051EE" w:rsidR="001602A0" w:rsidRPr="00540F02" w:rsidRDefault="003C27F1" w:rsidP="008847ED">
      <w:pPr>
        <w:spacing w:line="240" w:lineRule="atLeast"/>
        <w:ind w:left="1276" w:hanging="502"/>
        <w:jc w:val="both"/>
        <w:rPr>
          <w:rFonts w:ascii="Calibri Light" w:hAnsi="Calibri Light" w:cs="Calibri Light"/>
          <w:b/>
          <w:color w:val="A6A6A6"/>
          <w:sz w:val="24"/>
          <w:szCs w:val="24"/>
          <w:lang w:val="id-ID"/>
        </w:rPr>
      </w:pPr>
      <w:r>
        <w:rPr>
          <w:rFonts w:ascii="Calibri Light" w:hAnsi="Calibri Light" w:cs="Calibri Light"/>
          <w:b/>
          <w:color w:val="A6A6A6"/>
          <w:sz w:val="24"/>
          <w:szCs w:val="24"/>
          <w:lang w:val="id-ID"/>
        </w:rPr>
        <w:fldChar w:fldCharType="end"/>
      </w:r>
    </w:p>
    <w:p w14:paraId="4DF8EF8D" w14:textId="6E047032" w:rsidR="000900AD" w:rsidRPr="000900AD" w:rsidRDefault="00A33DAA"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Pr>
          <w:rFonts w:ascii="Calibri Light" w:hAnsi="Calibri Light" w:cs="Calibri Light"/>
          <w:color w:val="A6A6A6"/>
          <w:sz w:val="24"/>
          <w:szCs w:val="24"/>
        </w:rPr>
        <w:fldChar w:fldCharType="begin" w:fldLock="1"/>
      </w:r>
      <w:r w:rsidRPr="000900AD">
        <w:rPr>
          <w:rFonts w:ascii="Calibri Light" w:hAnsi="Calibri Light" w:cs="Calibri Light"/>
          <w:color w:val="A6A6A6"/>
          <w:sz w:val="24"/>
          <w:szCs w:val="24"/>
        </w:rPr>
        <w:instrText xml:space="preserve">ADDIN Mendeley Bibliography CSL_BIBLIOGRAPHY </w:instrText>
      </w:r>
      <w:r>
        <w:rPr>
          <w:rFonts w:ascii="Calibri Light" w:hAnsi="Calibri Light" w:cs="Calibri Light"/>
          <w:color w:val="A6A6A6"/>
          <w:sz w:val="24"/>
          <w:szCs w:val="24"/>
        </w:rPr>
        <w:fldChar w:fldCharType="separate"/>
      </w:r>
      <w:r w:rsidR="000900AD" w:rsidRPr="000900AD">
        <w:rPr>
          <w:rFonts w:ascii="Calibri Light" w:hAnsi="Calibri Light" w:cs="Calibri Light"/>
          <w:sz w:val="24"/>
        </w:rPr>
        <w:t xml:space="preserve">Abrar, M., Abbas, S., Kousar, S., &amp; Mushtaq, M. (2023). Investigation on the Effects of Customer Knowledge, Political Support, and Innovation on the Growth of Islamic Banking System: a Case Study of Pakistan. </w:t>
      </w:r>
      <w:r w:rsidR="000900AD" w:rsidRPr="000900AD">
        <w:rPr>
          <w:rFonts w:ascii="Calibri Light" w:hAnsi="Calibri Light" w:cs="Calibri Light"/>
          <w:i/>
          <w:iCs/>
          <w:sz w:val="24"/>
        </w:rPr>
        <w:t>Journal of the Knowledge Economy</w:t>
      </w:r>
      <w:r w:rsidR="000900AD" w:rsidRPr="000900AD">
        <w:rPr>
          <w:rFonts w:ascii="Calibri Light" w:hAnsi="Calibri Light" w:cs="Calibri Light"/>
          <w:sz w:val="24"/>
        </w:rPr>
        <w:t xml:space="preserve">, </w:t>
      </w:r>
      <w:r w:rsidR="000900AD" w:rsidRPr="000900AD">
        <w:rPr>
          <w:rFonts w:ascii="Calibri Light" w:hAnsi="Calibri Light" w:cs="Calibri Light"/>
          <w:i/>
          <w:iCs/>
          <w:sz w:val="24"/>
        </w:rPr>
        <w:t>14</w:t>
      </w:r>
      <w:r w:rsidR="000900AD" w:rsidRPr="000900AD">
        <w:rPr>
          <w:rFonts w:ascii="Calibri Light" w:hAnsi="Calibri Light" w:cs="Calibri Light"/>
          <w:sz w:val="24"/>
        </w:rPr>
        <w:t>(2), 946–965. https://doi.org/10.1007/s13132-022-00933-y</w:t>
      </w:r>
    </w:p>
    <w:p w14:paraId="620AD149"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Afrida, Y., Rivai, H. A., Syahrul, L., &amp; Lukito, H. (2024). Readiness to change in Islamic banking: the significance of adaptability and Islamic work ethics.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(12), 3445–3463. https://doi.org/10.1108/JIMA-11-2023-0357</w:t>
      </w:r>
    </w:p>
    <w:p w14:paraId="540BBEE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Ahmad, M., Zafar, M. B., &amp; Perveen, A. (2024). Consumer shift behavior from conventional to Islamic banking: decision-making analysis through AHP. </w:t>
      </w:r>
      <w:r w:rsidRPr="000900AD">
        <w:rPr>
          <w:rFonts w:ascii="Calibri Light" w:hAnsi="Calibri Light" w:cs="Calibri Light"/>
          <w:i/>
          <w:iCs/>
          <w:sz w:val="24"/>
        </w:rPr>
        <w:t>Journal of Islamic Marketing</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(5), 1280–1302. https://doi.org/10.1108/JIMA-02-2023-0036</w:t>
      </w:r>
    </w:p>
    <w:p w14:paraId="61A86908"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Al-Homaidi, E. A., Al-Matari, E. M., Anagreh, S., Tabash, M. I., &amp; Mareai Senan, N. A. (2021). The relationship between zakat disclosures and Islamic banking performance: Evidence from Yemen. </w:t>
      </w:r>
      <w:r w:rsidRPr="000900AD">
        <w:rPr>
          <w:rFonts w:ascii="Calibri Light" w:hAnsi="Calibri Light" w:cs="Calibri Light"/>
          <w:i/>
          <w:iCs/>
          <w:sz w:val="24"/>
        </w:rPr>
        <w:t>Banks and Bank Systems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52–61. https://doi.org/10.21511/bbs.16(1).2021.05</w:t>
      </w:r>
    </w:p>
    <w:p w14:paraId="14D23711"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Ali, A., Zulkhibri, M., &amp; Kishwar, T. (2022). IFSB Standards Adoption and Its Impact on Islamic Banking Practices: Evidence from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35</w:t>
      </w:r>
      <w:r w:rsidRPr="000900AD">
        <w:rPr>
          <w:rFonts w:ascii="Calibri Light" w:hAnsi="Calibri Light" w:cs="Calibri Light"/>
          <w:sz w:val="24"/>
        </w:rPr>
        <w:t>(2), 55–76. https://doi.org/10.4197/Islec.35-2.4</w:t>
      </w:r>
    </w:p>
    <w:p w14:paraId="5F9754E0"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Ali, M., Tamami, F. Q. A., Rahmawati, S., Elbanna, M., &amp; AN, A. N. (2025). Tracking Education Transformation Towards Sustainable Development Goals: A Bibliometric Review on the Influence of Socioeconomic Factors in the Education Ecosystem. </w:t>
      </w:r>
      <w:r w:rsidRPr="000900AD">
        <w:rPr>
          <w:rFonts w:ascii="Calibri Light" w:hAnsi="Calibri Light" w:cs="Calibri Light"/>
          <w:i/>
          <w:iCs/>
          <w:sz w:val="24"/>
        </w:rPr>
        <w:t>Journal of Lifestyle and SDGs Review</w:t>
      </w:r>
      <w:r w:rsidRPr="000900AD">
        <w:rPr>
          <w:rFonts w:ascii="Calibri Light" w:hAnsi="Calibri Light" w:cs="Calibri Light"/>
          <w:sz w:val="24"/>
        </w:rPr>
        <w:t xml:space="preserve">, </w:t>
      </w:r>
      <w:r w:rsidRPr="000900AD">
        <w:rPr>
          <w:rFonts w:ascii="Calibri Light" w:hAnsi="Calibri Light" w:cs="Calibri Light"/>
          <w:i/>
          <w:iCs/>
          <w:sz w:val="24"/>
        </w:rPr>
        <w:t>5</w:t>
      </w:r>
      <w:r w:rsidRPr="000900AD">
        <w:rPr>
          <w:rFonts w:ascii="Calibri Light" w:hAnsi="Calibri Light" w:cs="Calibri Light"/>
          <w:sz w:val="24"/>
        </w:rPr>
        <w:t>(1), e03295–e03295.</w:t>
      </w:r>
    </w:p>
    <w:p w14:paraId="4B9FFD1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Ali, S. A., Loussaief, A., &amp; Ahmed, M. (2022). A comparative analysis of employees’ and customers’ attitude towards Islamic banking. </w:t>
      </w:r>
      <w:r w:rsidRPr="000900AD">
        <w:rPr>
          <w:rFonts w:ascii="Calibri Light" w:hAnsi="Calibri Light" w:cs="Calibri Light"/>
          <w:i/>
          <w:iCs/>
          <w:sz w:val="24"/>
        </w:rPr>
        <w:t>International Journal of Ethics and Systems</w:t>
      </w:r>
      <w:r w:rsidRPr="000900AD">
        <w:rPr>
          <w:rFonts w:ascii="Calibri Light" w:hAnsi="Calibri Light" w:cs="Calibri Light"/>
          <w:sz w:val="24"/>
        </w:rPr>
        <w:t xml:space="preserve">, </w:t>
      </w:r>
      <w:r w:rsidRPr="000900AD">
        <w:rPr>
          <w:rFonts w:ascii="Calibri Light" w:hAnsi="Calibri Light" w:cs="Calibri Light"/>
          <w:i/>
          <w:iCs/>
          <w:sz w:val="24"/>
        </w:rPr>
        <w:t>38</w:t>
      </w:r>
      <w:r w:rsidRPr="000900AD">
        <w:rPr>
          <w:rFonts w:ascii="Calibri Light" w:hAnsi="Calibri Light" w:cs="Calibri Light"/>
          <w:sz w:val="24"/>
        </w:rPr>
        <w:t>(2), 209–234. https://doi.org/10.1108/IJOES-03-2021-0053</w:t>
      </w:r>
    </w:p>
    <w:p w14:paraId="53BCAABA"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lastRenderedPageBreak/>
        <w:t xml:space="preserve">Altwijry, O. I., Mohammed, M. O., Hassan, M. K., &amp; Selim, M. (2022). Developing a Shari’ah based FinTech Money Creation Free [SFMCF] model for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(4), 739–758. https://doi.org/10.1108/IMEFM-05-2021-0189</w:t>
      </w:r>
    </w:p>
    <w:p w14:paraId="07EE7FD5"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Amuda, Y. J., &amp; Al-Nasser, S. A. (2024). Exploring encounters and prodigies of Islamic banks in non-Muslim states: towards enhancing regulatory frameworks of Islamic banking system. </w:t>
      </w:r>
      <w:r w:rsidRPr="000900AD">
        <w:rPr>
          <w:rFonts w:ascii="Calibri Light" w:hAnsi="Calibri Light" w:cs="Calibri Light"/>
          <w:i/>
          <w:iCs/>
          <w:sz w:val="24"/>
        </w:rPr>
        <w:t>International Journal of Law and Management</w:t>
      </w:r>
      <w:r w:rsidRPr="000900AD">
        <w:rPr>
          <w:rFonts w:ascii="Calibri Light" w:hAnsi="Calibri Light" w:cs="Calibri Light"/>
          <w:sz w:val="24"/>
        </w:rPr>
        <w:t>. https://doi.org/10.1108/IJLMA-11-2023-0250</w:t>
      </w:r>
    </w:p>
    <w:p w14:paraId="63AAD52F"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Andri Nirwana, A. N., Elbanna, M., Ismail, F. H., Daud, Z., Mohd Salleh, N., Bin Kirin, A., Marisa, S. N., &amp; Husein, M. Z. (2024). PRISMA-Based Study on Integrating Islamic Principles into Legal Systems: Human Rights in Egypt and Indonesia. </w:t>
      </w:r>
      <w:r w:rsidRPr="000900AD">
        <w:rPr>
          <w:rFonts w:ascii="Calibri Light" w:hAnsi="Calibri Light" w:cs="Calibri Light"/>
          <w:i/>
          <w:iCs/>
          <w:sz w:val="24"/>
        </w:rPr>
        <w:t>International Journal of Law and Society</w:t>
      </w:r>
      <w:r w:rsidRPr="000900AD">
        <w:rPr>
          <w:rFonts w:ascii="Calibri Light" w:hAnsi="Calibri Light" w:cs="Calibri Light"/>
          <w:sz w:val="24"/>
        </w:rPr>
        <w:t xml:space="preserve">, </w:t>
      </w:r>
      <w:r w:rsidRPr="000900AD">
        <w:rPr>
          <w:rFonts w:ascii="Calibri Light" w:hAnsi="Calibri Light" w:cs="Calibri Light"/>
          <w:i/>
          <w:iCs/>
          <w:sz w:val="24"/>
        </w:rPr>
        <w:t>3</w:t>
      </w:r>
      <w:r w:rsidRPr="000900AD">
        <w:rPr>
          <w:rFonts w:ascii="Calibri Light" w:hAnsi="Calibri Light" w:cs="Calibri Light"/>
          <w:sz w:val="24"/>
        </w:rPr>
        <w:t>(3), 173–186. https://doi.org/10.59683/ijls.v3i3.90</w:t>
      </w:r>
    </w:p>
    <w:p w14:paraId="2BC15EDE"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Barra, C., Papaccio, A., &amp; Ruggiero, N. (2023). Basel accords and banking inefficiency: Evidence from the Italian local market.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28</w:t>
      </w:r>
      <w:r w:rsidRPr="000900AD">
        <w:rPr>
          <w:rFonts w:ascii="Calibri Light" w:hAnsi="Calibri Light" w:cs="Calibri Light"/>
          <w:sz w:val="24"/>
        </w:rPr>
        <w:t>(4), 4079–4119. https://doi.org/10.1002/ijfe.2637</w:t>
      </w:r>
    </w:p>
    <w:p w14:paraId="3461289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Ben Jedidia, K., &amp; Hamza, H. (2024). Does PLS in Islamic banking limit excessive money creation?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422–442. https://doi.org/10.1108/JIABR-02-2022-0047</w:t>
      </w:r>
    </w:p>
    <w:p w14:paraId="0E5FF132"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Budiman, T., Febrian, E., &amp; Azis, Y. (2022). THE EFFECT OF GEOGRAPHICAL FACTORS ON ISLAMIC BANKING SUSTAINABILITY PERFORMANCE: AN INSTRUMENTAL VARIABLE QUANTILE REGRESSION ANALYSIS. </w:t>
      </w:r>
      <w:r w:rsidRPr="000900AD">
        <w:rPr>
          <w:rFonts w:ascii="Calibri Light" w:hAnsi="Calibri Light" w:cs="Calibri Light"/>
          <w:i/>
          <w:iCs/>
          <w:sz w:val="24"/>
        </w:rPr>
        <w:t>Asian Economic and Financial Review</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(2), 70–88. https://doi.org/10.18488/5002.v12i2.4411</w:t>
      </w:r>
    </w:p>
    <w:p w14:paraId="11B4BCB2"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Elbanna, M., Wadi, M. F., Radiamoda, A. M., Matsuyama, Y., &amp; Ishak, M. H. Bin. (2025). A Bibliometric Analysis of Sustainable Development Goals (SDGs) Through the Lens of Maqasid Shariah Tafsir. </w:t>
      </w:r>
      <w:r w:rsidRPr="000900AD">
        <w:rPr>
          <w:rFonts w:ascii="Calibri Light" w:hAnsi="Calibri Light" w:cs="Calibri Light"/>
          <w:i/>
          <w:iCs/>
          <w:sz w:val="24"/>
        </w:rPr>
        <w:t>QiST: Journal of Quran and Tafseer Studies</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1–22. https://doi.org/https://doi.org/10.23917/qist.v4i1.7360</w:t>
      </w:r>
    </w:p>
    <w:p w14:paraId="5DB7AE9C"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Faizi, F. (2024). How are Islamic banking products developed? Evidence from emerging country. </w:t>
      </w:r>
      <w:r w:rsidRPr="000900AD">
        <w:rPr>
          <w:rFonts w:ascii="Calibri Light" w:hAnsi="Calibri Light" w:cs="Calibri Light"/>
          <w:i/>
          <w:iCs/>
          <w:sz w:val="24"/>
        </w:rPr>
        <w:t>Cogent Economics and Finance</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https://doi.org/10.1080/23322039.2024.2378961</w:t>
      </w:r>
    </w:p>
    <w:p w14:paraId="6AB28E7B"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Fathoni, M. A., Rodoni, A., Al Arif, M. N. R., &amp; Hidayah, N. (2024). Intention to participate in Islamic banking in Indonesia: Does socio-political identity matter? </w:t>
      </w:r>
      <w:r w:rsidRPr="000900AD">
        <w:rPr>
          <w:rFonts w:ascii="Calibri Light" w:hAnsi="Calibri Light" w:cs="Calibri Light"/>
          <w:i/>
          <w:iCs/>
          <w:sz w:val="24"/>
        </w:rPr>
        <w:t>Journal of Islamic Marketing</w:t>
      </w:r>
      <w:r w:rsidRPr="000900AD">
        <w:rPr>
          <w:rFonts w:ascii="Calibri Light" w:hAnsi="Calibri Light" w:cs="Calibri Light"/>
          <w:sz w:val="24"/>
        </w:rPr>
        <w:t>. https://doi.org/10.1108/JIMA-12-2023-0397</w:t>
      </w:r>
    </w:p>
    <w:p w14:paraId="5F10EF88"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Faturohman, T., Purwono, M. Z., &amp; Ooi, S. K. (2024). User acceptance of Islamic banking in Indonesia: the implementation of technology acceptance models.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(2–3), 229–237. https://doi.org/10.1504/IJMEF.2024.139028</w:t>
      </w:r>
    </w:p>
    <w:p w14:paraId="27C20EFF"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Fitri, F. A., Syukur, M., Majid, M. S. A., Farhana, I., &amp; Hatta, F. (2022). Do intellectual capital and financing matter for the profitability of the Islamic banking </w:t>
      </w:r>
      <w:r w:rsidRPr="000900AD">
        <w:rPr>
          <w:rFonts w:ascii="Calibri Light" w:hAnsi="Calibri Light" w:cs="Calibri Light"/>
          <w:sz w:val="24"/>
        </w:rPr>
        <w:lastRenderedPageBreak/>
        <w:t xml:space="preserve">industry in Indonesia? </w:t>
      </w:r>
      <w:r w:rsidRPr="000900AD">
        <w:rPr>
          <w:rFonts w:ascii="Calibri Light" w:hAnsi="Calibri Light" w:cs="Calibri Light"/>
          <w:i/>
          <w:iCs/>
          <w:sz w:val="24"/>
        </w:rPr>
        <w:t>International Journal of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15</w:t>
      </w:r>
      <w:r w:rsidRPr="000900AD">
        <w:rPr>
          <w:rFonts w:ascii="Calibri Light" w:hAnsi="Calibri Light" w:cs="Calibri Light"/>
          <w:sz w:val="24"/>
        </w:rPr>
        <w:t>(3), 293–308. https://doi.org/10.1504/ijmef.2022.126888</w:t>
      </w:r>
    </w:p>
    <w:p w14:paraId="5AC61744"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Guizani, M., &amp; Ajmi, A. N. (2022). Islamic banking and corporate investment efficiency: empirical evidence from Malaysia. </w:t>
      </w:r>
      <w:r w:rsidRPr="000900AD">
        <w:rPr>
          <w:rFonts w:ascii="Calibri Light" w:hAnsi="Calibri Light" w:cs="Calibri Light"/>
          <w:i/>
          <w:iCs/>
          <w:sz w:val="24"/>
        </w:rPr>
        <w:t>International Journal of Productivity and Performance Management</w:t>
      </w:r>
      <w:r w:rsidRPr="000900AD">
        <w:rPr>
          <w:rFonts w:ascii="Calibri Light" w:hAnsi="Calibri Light" w:cs="Calibri Light"/>
          <w:sz w:val="24"/>
        </w:rPr>
        <w:t xml:space="preserve">, </w:t>
      </w:r>
      <w:r w:rsidRPr="000900AD">
        <w:rPr>
          <w:rFonts w:ascii="Calibri Light" w:hAnsi="Calibri Light" w:cs="Calibri Light"/>
          <w:i/>
          <w:iCs/>
          <w:sz w:val="24"/>
        </w:rPr>
        <w:t>71</w:t>
      </w:r>
      <w:r w:rsidRPr="000900AD">
        <w:rPr>
          <w:rFonts w:ascii="Calibri Light" w:hAnsi="Calibri Light" w:cs="Calibri Light"/>
          <w:sz w:val="24"/>
        </w:rPr>
        <w:t>(5), 1854–1871. https://doi.org/10.1108/IJPPM-06-2020-0331</w:t>
      </w:r>
    </w:p>
    <w:p w14:paraId="7C77623E"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Hakam Naja, A. (2023). IS ISLAMIC BANKING PERFORMANCE IN MALAYSIA TRULY BETTER THAN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9</w:t>
      </w:r>
      <w:r w:rsidRPr="000900AD">
        <w:rPr>
          <w:rFonts w:ascii="Calibri Light" w:hAnsi="Calibri Light" w:cs="Calibri Light"/>
          <w:sz w:val="24"/>
        </w:rPr>
        <w:t>(4), 611–636. https://doi.org/10.21098/jimf.v9i4.1784</w:t>
      </w:r>
    </w:p>
    <w:p w14:paraId="0B00DCD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Hassan, M. K., Sohel, M. N. I., Choudhury, T., &amp; Rashid, M. (2024). A systematic literature review of risks in Islamic banking system: research agenda and future research directions. </w:t>
      </w:r>
      <w:r w:rsidRPr="000900AD">
        <w:rPr>
          <w:rFonts w:ascii="Calibri Light" w:hAnsi="Calibri Light" w:cs="Calibri Light"/>
          <w:i/>
          <w:iCs/>
          <w:sz w:val="24"/>
        </w:rPr>
        <w:t>Risk Management</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(1). https://doi.org/10.1057/s41283-023-00135-z</w:t>
      </w:r>
    </w:p>
    <w:p w14:paraId="3B25B2F9"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Hermawati, A., Ali, S., Fettry, S., Hendarto, T., &amp; Husin, H. (2021). Freelancers Intentions Towards Adoption Of Islamic Banking. </w:t>
      </w:r>
      <w:r w:rsidRPr="000900AD">
        <w:rPr>
          <w:rFonts w:ascii="Calibri Light" w:hAnsi="Calibri Light" w:cs="Calibri Light"/>
          <w:i/>
          <w:iCs/>
          <w:sz w:val="24"/>
        </w:rPr>
        <w:t>Academy of Strategic Management Journal</w:t>
      </w:r>
      <w:r w:rsidRPr="000900AD">
        <w:rPr>
          <w:rFonts w:ascii="Calibri Light" w:hAnsi="Calibri Light" w:cs="Calibri Light"/>
          <w:sz w:val="24"/>
        </w:rPr>
        <w:t xml:space="preserve">, </w:t>
      </w:r>
      <w:r w:rsidRPr="000900AD">
        <w:rPr>
          <w:rFonts w:ascii="Calibri Light" w:hAnsi="Calibri Light" w:cs="Calibri Light"/>
          <w:i/>
          <w:iCs/>
          <w:sz w:val="24"/>
        </w:rPr>
        <w:t>20</w:t>
      </w:r>
      <w:r w:rsidRPr="000900AD">
        <w:rPr>
          <w:rFonts w:ascii="Calibri Light" w:hAnsi="Calibri Light" w:cs="Calibri Light"/>
          <w:sz w:val="24"/>
        </w:rPr>
        <w:t>(2), 1–16. https://www.scopus.com/inward/record.uri?eid=2-s2.0-85104261973&amp;partnerID=40&amp;md5=3e018c371c1eaf93307b64b4d38b50a5</w:t>
      </w:r>
    </w:p>
    <w:p w14:paraId="304FC62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Ho, K.-C., Lee, S.-C., &amp; Chen, J.-L. (2022). Book-to-market equity and asset correlations—An international study. </w:t>
      </w:r>
      <w:r w:rsidRPr="000900AD">
        <w:rPr>
          <w:rFonts w:ascii="Calibri Light" w:hAnsi="Calibri Light" w:cs="Calibri Light"/>
          <w:i/>
          <w:iCs/>
          <w:sz w:val="24"/>
        </w:rPr>
        <w:t>International Review of Economics and Finance</w:t>
      </w:r>
      <w:r w:rsidRPr="000900AD">
        <w:rPr>
          <w:rFonts w:ascii="Calibri Light" w:hAnsi="Calibri Light" w:cs="Calibri Light"/>
          <w:sz w:val="24"/>
        </w:rPr>
        <w:t xml:space="preserve">, </w:t>
      </w:r>
      <w:r w:rsidRPr="000900AD">
        <w:rPr>
          <w:rFonts w:ascii="Calibri Light" w:hAnsi="Calibri Light" w:cs="Calibri Light"/>
          <w:i/>
          <w:iCs/>
          <w:sz w:val="24"/>
        </w:rPr>
        <w:t>79</w:t>
      </w:r>
      <w:r w:rsidRPr="000900AD">
        <w:rPr>
          <w:rFonts w:ascii="Calibri Light" w:hAnsi="Calibri Light" w:cs="Calibri Light"/>
          <w:sz w:val="24"/>
        </w:rPr>
        <w:t>, 258–274. https://doi.org/10.1016/j.iref.2022.02.014</w:t>
      </w:r>
    </w:p>
    <w:p w14:paraId="7F70F1B8"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Huang, C., Moreira, F., &amp; Archibald, T. W. (2024). Should Basel-style liquidity requirements be set countercyclically? Evidence from a numerical analysis. </w:t>
      </w:r>
      <w:r w:rsidRPr="000900AD">
        <w:rPr>
          <w:rFonts w:ascii="Calibri Light" w:hAnsi="Calibri Light" w:cs="Calibri Light"/>
          <w:i/>
          <w:iCs/>
          <w:sz w:val="24"/>
        </w:rPr>
        <w:t>International Review of Financial Analysis</w:t>
      </w:r>
      <w:r w:rsidRPr="000900AD">
        <w:rPr>
          <w:rFonts w:ascii="Calibri Light" w:hAnsi="Calibri Light" w:cs="Calibri Light"/>
          <w:sz w:val="24"/>
        </w:rPr>
        <w:t xml:space="preserve">, </w:t>
      </w:r>
      <w:r w:rsidRPr="000900AD">
        <w:rPr>
          <w:rFonts w:ascii="Calibri Light" w:hAnsi="Calibri Light" w:cs="Calibri Light"/>
          <w:i/>
          <w:iCs/>
          <w:sz w:val="24"/>
        </w:rPr>
        <w:t>95</w:t>
      </w:r>
      <w:r w:rsidRPr="000900AD">
        <w:rPr>
          <w:rFonts w:ascii="Calibri Light" w:hAnsi="Calibri Light" w:cs="Calibri Light"/>
          <w:sz w:val="24"/>
        </w:rPr>
        <w:t>. https://doi.org/10.1016/j.irfa.2024.103502</w:t>
      </w:r>
    </w:p>
    <w:p w14:paraId="2AF62B36"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Hudayati, A. (2023). Exploring the Nexus of Disclosure of Sharia Compliance and Governance in Islamic Banking: A Comprehensive Analysis of the Sharia Supervisory Board. </w:t>
      </w:r>
      <w:r w:rsidRPr="000900AD">
        <w:rPr>
          <w:rFonts w:ascii="Calibri Light" w:hAnsi="Calibri Light" w:cs="Calibri Light"/>
          <w:i/>
          <w:iCs/>
          <w:sz w:val="24"/>
        </w:rPr>
        <w:t>Management and Accounting Review</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(3), 407–428. https://www.scopus.com/inward/record.uri?eid=2-s2.0-85179718521&amp;partnerID=40&amp;md5=c1d4efeffba5a3e6e85b32d01d1e3a12</w:t>
      </w:r>
    </w:p>
    <w:p w14:paraId="40E48AC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Isman, I. (2024). </w:t>
      </w:r>
      <w:r w:rsidRPr="000900AD">
        <w:rPr>
          <w:rFonts w:ascii="Calibri Light" w:hAnsi="Calibri Light" w:cs="Calibri Light"/>
          <w:i/>
          <w:iCs/>
          <w:sz w:val="24"/>
        </w:rPr>
        <w:t>International Conference on Actual Islamic Studies Islamic Capital Market Accessibility and Fintech Innovation : Transformation of POJK 77 / 2016 Islamic Capital Market Accessibility and Fintech Innovation : Transformation of POJK 77 / 2016</w:t>
      </w:r>
      <w:r w:rsidRPr="000900AD">
        <w:rPr>
          <w:rFonts w:ascii="Calibri Light" w:hAnsi="Calibri Light" w:cs="Calibri Light"/>
          <w:sz w:val="24"/>
        </w:rPr>
        <w:t xml:space="preserve">. </w:t>
      </w:r>
      <w:r w:rsidRPr="000900AD">
        <w:rPr>
          <w:rFonts w:ascii="Calibri Light" w:hAnsi="Calibri Light" w:cs="Calibri Light"/>
          <w:i/>
          <w:iCs/>
          <w:sz w:val="24"/>
        </w:rPr>
        <w:t>September</w:t>
      </w:r>
      <w:r w:rsidRPr="000900AD">
        <w:rPr>
          <w:rFonts w:ascii="Calibri Light" w:hAnsi="Calibri Light" w:cs="Calibri Light"/>
          <w:sz w:val="24"/>
        </w:rPr>
        <w:t>.</w:t>
      </w:r>
    </w:p>
    <w:p w14:paraId="1AAC3402"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Jatmiko, W., Ebrahim, M. S., Iqbal, A., &amp; Wojakowski, R. M. (2023). Can trade credit rejuvenate Islamic banking? </w:t>
      </w:r>
      <w:r w:rsidRPr="000900AD">
        <w:rPr>
          <w:rFonts w:ascii="Calibri Light" w:hAnsi="Calibri Light" w:cs="Calibri Light"/>
          <w:i/>
          <w:iCs/>
          <w:sz w:val="24"/>
        </w:rPr>
        <w:t>Review of Quantitative Finance and Accounting</w:t>
      </w:r>
      <w:r w:rsidRPr="000900AD">
        <w:rPr>
          <w:rFonts w:ascii="Calibri Light" w:hAnsi="Calibri Light" w:cs="Calibri Light"/>
          <w:sz w:val="24"/>
        </w:rPr>
        <w:t xml:space="preserve">, </w:t>
      </w:r>
      <w:r w:rsidRPr="000900AD">
        <w:rPr>
          <w:rFonts w:ascii="Calibri Light" w:hAnsi="Calibri Light" w:cs="Calibri Light"/>
          <w:i/>
          <w:iCs/>
          <w:sz w:val="24"/>
        </w:rPr>
        <w:t>60</w:t>
      </w:r>
      <w:r w:rsidRPr="000900AD">
        <w:rPr>
          <w:rFonts w:ascii="Calibri Light" w:hAnsi="Calibri Light" w:cs="Calibri Light"/>
          <w:sz w:val="24"/>
        </w:rPr>
        <w:t>(1), 111–146. https://doi.org/10.1007/s11156-022-01092-6</w:t>
      </w:r>
    </w:p>
    <w:p w14:paraId="5B53EA0C"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Mitchell, C. (2022). The Power of Delay: Banking System Structure and Implementation of the Basel Accords. </w:t>
      </w:r>
      <w:r w:rsidRPr="000900AD">
        <w:rPr>
          <w:rFonts w:ascii="Calibri Light" w:hAnsi="Calibri Light" w:cs="Calibri Light"/>
          <w:i/>
          <w:iCs/>
          <w:sz w:val="24"/>
        </w:rPr>
        <w:t>Business and Politics</w:t>
      </w:r>
      <w:r w:rsidRPr="000900AD">
        <w:rPr>
          <w:rFonts w:ascii="Calibri Light" w:hAnsi="Calibri Light" w:cs="Calibri Light"/>
          <w:sz w:val="24"/>
        </w:rPr>
        <w:t xml:space="preserve">, </w:t>
      </w:r>
      <w:r w:rsidRPr="000900AD">
        <w:rPr>
          <w:rFonts w:ascii="Calibri Light" w:hAnsi="Calibri Light" w:cs="Calibri Light"/>
          <w:i/>
          <w:iCs/>
          <w:sz w:val="24"/>
        </w:rPr>
        <w:t>24</w:t>
      </w:r>
      <w:r w:rsidRPr="000900AD">
        <w:rPr>
          <w:rFonts w:ascii="Calibri Light" w:hAnsi="Calibri Light" w:cs="Calibri Light"/>
          <w:sz w:val="24"/>
        </w:rPr>
        <w:t xml:space="preserve">(1), 1–17. </w:t>
      </w:r>
      <w:r w:rsidRPr="000900AD">
        <w:rPr>
          <w:rFonts w:ascii="Calibri Light" w:hAnsi="Calibri Light" w:cs="Calibri Light"/>
          <w:sz w:val="24"/>
        </w:rPr>
        <w:lastRenderedPageBreak/>
        <w:t>https://doi.org/10.1017/bap.2021.16</w:t>
      </w:r>
    </w:p>
    <w:p w14:paraId="3D46A67A"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Mohd Thas Thaker, H., Lelchumanan, B., Ah Mand, A., &amp; Khaliq, A. (2024). Push – pull – mooring determinants of non-Muslims’ withdrawal from Islamic banking: evidence from Malaysia.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(1), 195–212. https://doi.org/10.1108/IMEFM-04-2023-0144</w:t>
      </w:r>
    </w:p>
    <w:p w14:paraId="5A6D612C"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Muflih, M. (2021). The link between corporate social responsibility and customer loyalty: Empirical evidence from the Islamic banking industry. </w:t>
      </w:r>
      <w:r w:rsidRPr="000900AD">
        <w:rPr>
          <w:rFonts w:ascii="Calibri Light" w:hAnsi="Calibri Light" w:cs="Calibri Light"/>
          <w:i/>
          <w:iCs/>
          <w:sz w:val="24"/>
        </w:rPr>
        <w:t>Journal of Retailing and Consumer Services</w:t>
      </w:r>
      <w:r w:rsidRPr="000900AD">
        <w:rPr>
          <w:rFonts w:ascii="Calibri Light" w:hAnsi="Calibri Light" w:cs="Calibri Light"/>
          <w:sz w:val="24"/>
        </w:rPr>
        <w:t xml:space="preserve">, </w:t>
      </w:r>
      <w:r w:rsidRPr="000900AD">
        <w:rPr>
          <w:rFonts w:ascii="Calibri Light" w:hAnsi="Calibri Light" w:cs="Calibri Light"/>
          <w:i/>
          <w:iCs/>
          <w:sz w:val="24"/>
        </w:rPr>
        <w:t>61</w:t>
      </w:r>
      <w:r w:rsidRPr="000900AD">
        <w:rPr>
          <w:rFonts w:ascii="Calibri Light" w:hAnsi="Calibri Light" w:cs="Calibri Light"/>
          <w:sz w:val="24"/>
        </w:rPr>
        <w:t>. https://doi.org/10.1016/j.jretconser.2021.102558</w:t>
      </w:r>
    </w:p>
    <w:p w14:paraId="3135C06F"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Muthoifin, M., Amelia, I., &amp; Eprahim Ali, A. B. (2024). Islamic accounting: Ethics and contextualization of recording in Muamalah transactions. </w:t>
      </w:r>
      <w:r w:rsidRPr="000900AD">
        <w:rPr>
          <w:rFonts w:ascii="Calibri Light" w:hAnsi="Calibri Light" w:cs="Calibri Light"/>
          <w:i/>
          <w:iCs/>
          <w:sz w:val="24"/>
        </w:rPr>
        <w:t>Multidisciplinary Reviews</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(8). https://doi.org/10.31893/multirev.2024132</w:t>
      </w:r>
    </w:p>
    <w:p w14:paraId="762427EE"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Nawaz, T., Haniffa, R., &amp; Hudaib, M. (2021). On intellectual capital efficiency and shariah governance in Islamic banking business model.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(3), 3770–3787. https://doi.org/10.1002/ijfe.1986</w:t>
      </w:r>
    </w:p>
    <w:p w14:paraId="641CCBD9"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Nouman, M., Ullah, K., &amp; Jan, S. (2022). DOMAINS and MOTIVES of MUSHARAKAH SPUR in the ISLAMIC BANKING INDUSTRY of PAKISTAN. </w:t>
      </w:r>
      <w:r w:rsidRPr="000900AD">
        <w:rPr>
          <w:rFonts w:ascii="Calibri Light" w:hAnsi="Calibri Light" w:cs="Calibri Light"/>
          <w:i/>
          <w:iCs/>
          <w:sz w:val="24"/>
        </w:rPr>
        <w:t>Singapore Economic Review</w:t>
      </w:r>
      <w:r w:rsidRPr="000900AD">
        <w:rPr>
          <w:rFonts w:ascii="Calibri Light" w:hAnsi="Calibri Light" w:cs="Calibri Light"/>
          <w:sz w:val="24"/>
        </w:rPr>
        <w:t xml:space="preserve">, </w:t>
      </w:r>
      <w:r w:rsidRPr="000900AD">
        <w:rPr>
          <w:rFonts w:ascii="Calibri Light" w:hAnsi="Calibri Light" w:cs="Calibri Light"/>
          <w:i/>
          <w:iCs/>
          <w:sz w:val="24"/>
        </w:rPr>
        <w:t>67</w:t>
      </w:r>
      <w:r w:rsidRPr="000900AD">
        <w:rPr>
          <w:rFonts w:ascii="Calibri Light" w:hAnsi="Calibri Light" w:cs="Calibri Light"/>
          <w:sz w:val="24"/>
        </w:rPr>
        <w:t>(1), 381–409. https://doi.org/10.1142/S0217590819500620</w:t>
      </w:r>
    </w:p>
    <w:p w14:paraId="3FC51D5F"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Oladapo, I. A., Hamoudah, M. M., Alam, M. M., Olaopa, O. R., &amp; Muda, R. (2022). Customers’ perceptions of FinTech adaptability in the Islamic banking sector: comparative study on Malaysia and Saudi Arabia. </w:t>
      </w:r>
      <w:r w:rsidRPr="000900AD">
        <w:rPr>
          <w:rFonts w:ascii="Calibri Light" w:hAnsi="Calibri Light" w:cs="Calibri Light"/>
          <w:i/>
          <w:iCs/>
          <w:sz w:val="24"/>
        </w:rPr>
        <w:t>Journal of Modelling in Management</w:t>
      </w:r>
      <w:r w:rsidRPr="000900AD">
        <w:rPr>
          <w:rFonts w:ascii="Calibri Light" w:hAnsi="Calibri Light" w:cs="Calibri Light"/>
          <w:sz w:val="24"/>
        </w:rPr>
        <w:t xml:space="preserve">, </w:t>
      </w:r>
      <w:r w:rsidRPr="000900AD">
        <w:rPr>
          <w:rFonts w:ascii="Calibri Light" w:hAnsi="Calibri Light" w:cs="Calibri Light"/>
          <w:i/>
          <w:iCs/>
          <w:sz w:val="24"/>
        </w:rPr>
        <w:t>17</w:t>
      </w:r>
      <w:r w:rsidRPr="000900AD">
        <w:rPr>
          <w:rFonts w:ascii="Calibri Light" w:hAnsi="Calibri Light" w:cs="Calibri Light"/>
          <w:sz w:val="24"/>
        </w:rPr>
        <w:t>(4), 1241–1261. https://doi.org/10.1108/JM2-10-2020-0256</w:t>
      </w:r>
    </w:p>
    <w:p w14:paraId="0804A1A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Rahman, M. H., &amp; Chowdhury, N. M. S. I. (2024). The prospects of istijrar financing in Islamic banking: an exploratory study in Bangladesh.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(1), 135–158. https://doi.org/10.1108/QRFM-10-2022-0173</w:t>
      </w:r>
    </w:p>
    <w:p w14:paraId="34BB2D5C"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Riaz, U., Burton, B., &amp; Fearfull, A. (2023). Emotional propensities and the contemporary Islamic banking industry. </w:t>
      </w:r>
      <w:r w:rsidRPr="000900AD">
        <w:rPr>
          <w:rFonts w:ascii="Calibri Light" w:hAnsi="Calibri Light" w:cs="Calibri Light"/>
          <w:i/>
          <w:iCs/>
          <w:sz w:val="24"/>
        </w:rPr>
        <w:t>Critical Perspectives on Accounting</w:t>
      </w:r>
      <w:r w:rsidRPr="000900AD">
        <w:rPr>
          <w:rFonts w:ascii="Calibri Light" w:hAnsi="Calibri Light" w:cs="Calibri Light"/>
          <w:sz w:val="24"/>
        </w:rPr>
        <w:t xml:space="preserve">, </w:t>
      </w:r>
      <w:r w:rsidRPr="000900AD">
        <w:rPr>
          <w:rFonts w:ascii="Calibri Light" w:hAnsi="Calibri Light" w:cs="Calibri Light"/>
          <w:i/>
          <w:iCs/>
          <w:sz w:val="24"/>
        </w:rPr>
        <w:t>94</w:t>
      </w:r>
      <w:r w:rsidRPr="000900AD">
        <w:rPr>
          <w:rFonts w:ascii="Calibri Light" w:hAnsi="Calibri Light" w:cs="Calibri Light"/>
          <w:sz w:val="24"/>
        </w:rPr>
        <w:t>. https://doi.org/10.1016/j.cpa.2022.102449</w:t>
      </w:r>
    </w:p>
    <w:p w14:paraId="0BC7EF27"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Sarea, A. M., Khalid, A., Shamsuddin, A. B., Hawaldar, I., &amp; Hossen, Z. (2021). Online financial reporting disclosure in Islamic banking: Evidence from Bahrain. </w:t>
      </w:r>
      <w:r w:rsidRPr="000900AD">
        <w:rPr>
          <w:rFonts w:ascii="Calibri Light" w:hAnsi="Calibri Light" w:cs="Calibri Light"/>
          <w:i/>
          <w:iCs/>
          <w:sz w:val="24"/>
        </w:rPr>
        <w:t>International Journal of Economics and Business Research</w:t>
      </w:r>
      <w:r w:rsidRPr="000900AD">
        <w:rPr>
          <w:rFonts w:ascii="Calibri Light" w:hAnsi="Calibri Light" w:cs="Calibri Light"/>
          <w:sz w:val="24"/>
        </w:rPr>
        <w:t xml:space="preserve">, </w:t>
      </w:r>
      <w:r w:rsidRPr="000900AD">
        <w:rPr>
          <w:rFonts w:ascii="Calibri Light" w:hAnsi="Calibri Light" w:cs="Calibri Light"/>
          <w:i/>
          <w:iCs/>
          <w:sz w:val="24"/>
        </w:rPr>
        <w:t>22</w:t>
      </w:r>
      <w:r w:rsidRPr="000900AD">
        <w:rPr>
          <w:rFonts w:ascii="Calibri Light" w:hAnsi="Calibri Light" w:cs="Calibri Light"/>
          <w:sz w:val="24"/>
        </w:rPr>
        <w:t>(4), 311–327. https://doi.org/10.1504/IJEBR.2021.118378</w:t>
      </w:r>
    </w:p>
    <w:p w14:paraId="102E5EA6"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Shaikh, S. A. (2023). Economic Evaluation of Islamic Banking in Pakistan. </w:t>
      </w:r>
      <w:r w:rsidRPr="000900AD">
        <w:rPr>
          <w:rFonts w:ascii="Calibri Light" w:hAnsi="Calibri Light" w:cs="Calibri Light"/>
          <w:i/>
          <w:iCs/>
          <w:sz w:val="24"/>
        </w:rPr>
        <w:t>Journal of King Abdulaziz University, Islamic Economics</w:t>
      </w:r>
      <w:r w:rsidRPr="000900AD">
        <w:rPr>
          <w:rFonts w:ascii="Calibri Light" w:hAnsi="Calibri Light" w:cs="Calibri Light"/>
          <w:sz w:val="24"/>
        </w:rPr>
        <w:t xml:space="preserve">, </w:t>
      </w:r>
      <w:r w:rsidRPr="000900AD">
        <w:rPr>
          <w:rFonts w:ascii="Calibri Light" w:hAnsi="Calibri Light" w:cs="Calibri Light"/>
          <w:i/>
          <w:iCs/>
          <w:sz w:val="24"/>
        </w:rPr>
        <w:t>36</w:t>
      </w:r>
      <w:r w:rsidRPr="000900AD">
        <w:rPr>
          <w:rFonts w:ascii="Calibri Light" w:hAnsi="Calibri Light" w:cs="Calibri Light"/>
          <w:sz w:val="24"/>
        </w:rPr>
        <w:t>(1), 91–111. https://doi.org/10.4197/Islec.36-1.5</w:t>
      </w:r>
    </w:p>
    <w:p w14:paraId="5DF1B19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Sheikh, R., &amp; Hussain, K. (2024). Reimagining Islamic banking in the light of Maqasid Shariah. </w:t>
      </w:r>
      <w:r w:rsidRPr="000900AD">
        <w:rPr>
          <w:rFonts w:ascii="Calibri Light" w:hAnsi="Calibri Light" w:cs="Calibri Light"/>
          <w:i/>
          <w:iCs/>
          <w:sz w:val="24"/>
        </w:rPr>
        <w:t>Qualitative Research in Financial Markets</w:t>
      </w:r>
      <w:r w:rsidRPr="000900AD">
        <w:rPr>
          <w:rFonts w:ascii="Calibri Light" w:hAnsi="Calibri Light" w:cs="Calibri Light"/>
          <w:sz w:val="24"/>
        </w:rPr>
        <w:t xml:space="preserve">. </w:t>
      </w:r>
      <w:r w:rsidRPr="000900AD">
        <w:rPr>
          <w:rFonts w:ascii="Calibri Light" w:hAnsi="Calibri Light" w:cs="Calibri Light"/>
          <w:sz w:val="24"/>
        </w:rPr>
        <w:lastRenderedPageBreak/>
        <w:t>https://doi.org/10.1108/QRFM-04-2024-0108</w:t>
      </w:r>
    </w:p>
    <w:p w14:paraId="1C37AD6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Suliyono, J., &amp; Risfandy, T. (2021). ISLAMIC BANKING MARKET DISCIPLINE IN INDONESIA. </w:t>
      </w:r>
      <w:r w:rsidRPr="000900AD">
        <w:rPr>
          <w:rFonts w:ascii="Calibri Light" w:hAnsi="Calibri Light" w:cs="Calibri Light"/>
          <w:i/>
          <w:iCs/>
          <w:sz w:val="24"/>
        </w:rPr>
        <w:t>Journal of Islamic Monetary Economics and Finance</w:t>
      </w:r>
      <w:r w:rsidRPr="000900AD">
        <w:rPr>
          <w:rFonts w:ascii="Calibri Light" w:hAnsi="Calibri Light" w:cs="Calibri Light"/>
          <w:sz w:val="24"/>
        </w:rPr>
        <w:t xml:space="preserve">, </w:t>
      </w:r>
      <w:r w:rsidRPr="000900AD">
        <w:rPr>
          <w:rFonts w:ascii="Calibri Light" w:hAnsi="Calibri Light" w:cs="Calibri Light"/>
          <w:i/>
          <w:iCs/>
          <w:sz w:val="24"/>
        </w:rPr>
        <w:t>7</w:t>
      </w:r>
      <w:r w:rsidRPr="000900AD">
        <w:rPr>
          <w:rFonts w:ascii="Calibri Light" w:hAnsi="Calibri Light" w:cs="Calibri Light"/>
          <w:sz w:val="24"/>
        </w:rPr>
        <w:t>(3), 457–472. https://doi.org/10.21098/jimf.v7i3.1376</w:t>
      </w:r>
    </w:p>
    <w:p w14:paraId="1F04FCD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Syah, D., &amp; Rahmadani, G. (2024). The Profit-Sharing System in Financing Islamic Banking. </w:t>
      </w:r>
      <w:r w:rsidRPr="000900AD">
        <w:rPr>
          <w:rFonts w:ascii="Calibri Light" w:hAnsi="Calibri Light" w:cs="Calibri Light"/>
          <w:i/>
          <w:iCs/>
          <w:sz w:val="24"/>
        </w:rPr>
        <w:t xml:space="preserve">Qubahan Academic Journal </w:t>
      </w:r>
      <w:r w:rsidRPr="000900AD">
        <w:rPr>
          <w:rFonts w:ascii="Calibri Light" w:hAnsi="Calibri Light" w:cs="Calibri Light"/>
          <w:sz w:val="24"/>
        </w:rPr>
        <w:t xml:space="preserve">, </w:t>
      </w:r>
      <w:r w:rsidRPr="000900AD">
        <w:rPr>
          <w:rFonts w:ascii="Calibri Light" w:hAnsi="Calibri Light" w:cs="Calibri Light"/>
          <w:i/>
          <w:iCs/>
          <w:sz w:val="24"/>
        </w:rPr>
        <w:t>4</w:t>
      </w:r>
      <w:r w:rsidRPr="000900AD">
        <w:rPr>
          <w:rFonts w:ascii="Calibri Light" w:hAnsi="Calibri Light" w:cs="Calibri Light"/>
          <w:sz w:val="24"/>
        </w:rPr>
        <w:t>(1), 300–309. https://doi.org/10.48161/qaj.v4n1a198</w:t>
      </w:r>
    </w:p>
    <w:p w14:paraId="1D63F668"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Triyanta, A., &amp; Hassan, R. (2024). THE CONNECTION BETWEEN ROBUST LEGAL INSTRUMENTS AND THE EXCEPTIONAL PERFORMANCE OF THE ISLAMIC BANKING INDUSTRY. </w:t>
      </w:r>
      <w:r w:rsidRPr="000900AD">
        <w:rPr>
          <w:rFonts w:ascii="Calibri Light" w:hAnsi="Calibri Light" w:cs="Calibri Light"/>
          <w:i/>
          <w:iCs/>
          <w:sz w:val="24"/>
        </w:rPr>
        <w:t>Journal of Governance and Regulation</w:t>
      </w:r>
      <w:r w:rsidRPr="000900AD">
        <w:rPr>
          <w:rFonts w:ascii="Calibri Light" w:hAnsi="Calibri Light" w:cs="Calibri Light"/>
          <w:sz w:val="24"/>
        </w:rPr>
        <w:t xml:space="preserve">, </w:t>
      </w:r>
      <w:r w:rsidRPr="000900AD">
        <w:rPr>
          <w:rFonts w:ascii="Calibri Light" w:hAnsi="Calibri Light" w:cs="Calibri Light"/>
          <w:i/>
          <w:iCs/>
          <w:sz w:val="24"/>
        </w:rPr>
        <w:t>13</w:t>
      </w:r>
      <w:r w:rsidRPr="000900AD">
        <w:rPr>
          <w:rFonts w:ascii="Calibri Light" w:hAnsi="Calibri Light" w:cs="Calibri Light"/>
          <w:sz w:val="24"/>
        </w:rPr>
        <w:t>(2 (special issue)), 267–274. https://doi.org/10.22495/jgrv13i2siart3</w:t>
      </w:r>
    </w:p>
    <w:p w14:paraId="1EF0BFC3"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Ul-Haq, S., Lone, R. A., &amp; Ashraf, N. (2022). A theory of capitalist co-optation of radical alternatives: The case of Islamic banking industry. </w:t>
      </w:r>
      <w:r w:rsidRPr="000900AD">
        <w:rPr>
          <w:rFonts w:ascii="Calibri Light" w:hAnsi="Calibri Light" w:cs="Calibri Light"/>
          <w:i/>
          <w:iCs/>
          <w:sz w:val="24"/>
        </w:rPr>
        <w:t>Organization</w:t>
      </w:r>
      <w:r w:rsidRPr="000900AD">
        <w:rPr>
          <w:rFonts w:ascii="Calibri Light" w:hAnsi="Calibri Light" w:cs="Calibri Light"/>
          <w:sz w:val="24"/>
        </w:rPr>
        <w:t xml:space="preserve">, </w:t>
      </w:r>
      <w:r w:rsidRPr="000900AD">
        <w:rPr>
          <w:rFonts w:ascii="Calibri Light" w:hAnsi="Calibri Light" w:cs="Calibri Light"/>
          <w:i/>
          <w:iCs/>
          <w:sz w:val="24"/>
        </w:rPr>
        <w:t>29</w:t>
      </w:r>
      <w:r w:rsidRPr="000900AD">
        <w:rPr>
          <w:rFonts w:ascii="Calibri Light" w:hAnsi="Calibri Light" w:cs="Calibri Light"/>
          <w:sz w:val="24"/>
        </w:rPr>
        <w:t>(1), 129–154. https://doi.org/10.1177/1350508420939245</w:t>
      </w:r>
    </w:p>
    <w:p w14:paraId="14F9565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Ullah, A., Zhao, X., Kamal, M. A., Riaz, A., &amp; Zheng, B. (2021). Exploring asymmetric relationship between Islamic banking development and economic growth in Pakistan: Fresh evidence from a non-linear ARDL approach. </w:t>
      </w:r>
      <w:r w:rsidRPr="000900AD">
        <w:rPr>
          <w:rFonts w:ascii="Calibri Light" w:hAnsi="Calibri Light" w:cs="Calibri Light"/>
          <w:i/>
          <w:iCs/>
          <w:sz w:val="24"/>
        </w:rPr>
        <w:t>International Journal of Finance and Economics</w:t>
      </w:r>
      <w:r w:rsidRPr="000900AD">
        <w:rPr>
          <w:rFonts w:ascii="Calibri Light" w:hAnsi="Calibri Light" w:cs="Calibri Light"/>
          <w:sz w:val="24"/>
        </w:rPr>
        <w:t xml:space="preserve">, </w:t>
      </w:r>
      <w:r w:rsidRPr="000900AD">
        <w:rPr>
          <w:rFonts w:ascii="Calibri Light" w:hAnsi="Calibri Light" w:cs="Calibri Light"/>
          <w:i/>
          <w:iCs/>
          <w:sz w:val="24"/>
        </w:rPr>
        <w:t>26</w:t>
      </w:r>
      <w:r w:rsidRPr="000900AD">
        <w:rPr>
          <w:rFonts w:ascii="Calibri Light" w:hAnsi="Calibri Light" w:cs="Calibri Light"/>
          <w:sz w:val="24"/>
        </w:rPr>
        <w:t>(4), 6168–6187. https://doi.org/10.1002/ijfe.2115</w:t>
      </w:r>
    </w:p>
    <w:p w14:paraId="3C72DBF1"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Ullah, K., Ashfaque, M., Atiq, M., Khan, M., &amp; Hussain, A. (2023). Shariah capabilities and value propositions of Islamic banking. </w:t>
      </w:r>
      <w:r w:rsidRPr="000900AD">
        <w:rPr>
          <w:rFonts w:ascii="Calibri Light" w:hAnsi="Calibri Light" w:cs="Calibri Light"/>
          <w:i/>
          <w:iCs/>
          <w:sz w:val="24"/>
        </w:rPr>
        <w:t>International Journal of Islamic and Middle Eastern Finance and Management</w:t>
      </w:r>
      <w:r w:rsidRPr="000900AD">
        <w:rPr>
          <w:rFonts w:ascii="Calibri Light" w:hAnsi="Calibri Light" w:cs="Calibri Light"/>
          <w:sz w:val="24"/>
        </w:rPr>
        <w:t xml:space="preserve">, </w:t>
      </w:r>
      <w:r w:rsidRPr="000900AD">
        <w:rPr>
          <w:rFonts w:ascii="Calibri Light" w:hAnsi="Calibri Light" w:cs="Calibri Light"/>
          <w:i/>
          <w:iCs/>
          <w:sz w:val="24"/>
        </w:rPr>
        <w:t>16</w:t>
      </w:r>
      <w:r w:rsidRPr="000900AD">
        <w:rPr>
          <w:rFonts w:ascii="Calibri Light" w:hAnsi="Calibri Light" w:cs="Calibri Light"/>
          <w:sz w:val="24"/>
        </w:rPr>
        <w:t>(4), 701–715. https://doi.org/10.1108/IMEFM-12-2019-0518</w:t>
      </w:r>
    </w:p>
    <w:p w14:paraId="1D6C8232"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Umar, U. H., AbuBakar, M., Baita, A. J., Kademi, T. T., &amp; Haron, M. H. (2021). Do academic and professional institutions promote the awareness and knowledge of Islamic banking and finance in Nigeria? </w:t>
      </w:r>
      <w:r w:rsidRPr="000900AD">
        <w:rPr>
          <w:rFonts w:ascii="Calibri Light" w:hAnsi="Calibri Light" w:cs="Calibri Light"/>
          <w:i/>
          <w:iCs/>
          <w:sz w:val="24"/>
        </w:rPr>
        <w:t>Journal of Islamic Accounting and Business Research</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(3), 401–417. https://doi.org/10.1108/JIABR-05-2020-0171</w:t>
      </w:r>
    </w:p>
    <w:p w14:paraId="66CB833D" w14:textId="77777777" w:rsidR="000900AD" w:rsidRPr="000900AD" w:rsidRDefault="000900AD" w:rsidP="008847ED">
      <w:pPr>
        <w:pStyle w:val="ListParagraph"/>
        <w:widowControl w:val="0"/>
        <w:numPr>
          <w:ilvl w:val="0"/>
          <w:numId w:val="33"/>
        </w:numPr>
        <w:adjustRightInd w:val="0"/>
        <w:spacing w:before="120" w:after="120"/>
        <w:ind w:left="1276" w:hanging="502"/>
        <w:jc w:val="both"/>
        <w:rPr>
          <w:rFonts w:ascii="Calibri Light" w:hAnsi="Calibri Light" w:cs="Calibri Light"/>
          <w:sz w:val="24"/>
        </w:rPr>
      </w:pPr>
      <w:r w:rsidRPr="000900AD">
        <w:rPr>
          <w:rFonts w:ascii="Calibri Light" w:hAnsi="Calibri Light" w:cs="Calibri Light"/>
          <w:sz w:val="24"/>
        </w:rPr>
        <w:t xml:space="preserve">Yusuf, M., Dasawaty, E. S., Esra, M. A., Apriwenni, P., Meiden, C., &amp; Fahlevi, M. (2024). Integrated reporting, corporate governance, and financial sustainability in Islamic banking. </w:t>
      </w:r>
      <w:r w:rsidRPr="000900AD">
        <w:rPr>
          <w:rFonts w:ascii="Calibri Light" w:hAnsi="Calibri Light" w:cs="Calibri Light"/>
          <w:i/>
          <w:iCs/>
          <w:sz w:val="24"/>
        </w:rPr>
        <w:t>Uncertain Supply Chain Management</w:t>
      </w:r>
      <w:r w:rsidRPr="000900AD">
        <w:rPr>
          <w:rFonts w:ascii="Calibri Light" w:hAnsi="Calibri Light" w:cs="Calibri Light"/>
          <w:sz w:val="24"/>
        </w:rPr>
        <w:t xml:space="preserve">, </w:t>
      </w:r>
      <w:r w:rsidRPr="000900AD">
        <w:rPr>
          <w:rFonts w:ascii="Calibri Light" w:hAnsi="Calibri Light" w:cs="Calibri Light"/>
          <w:i/>
          <w:iCs/>
          <w:sz w:val="24"/>
        </w:rPr>
        <w:t>12</w:t>
      </w:r>
      <w:r w:rsidRPr="000900AD">
        <w:rPr>
          <w:rFonts w:ascii="Calibri Light" w:hAnsi="Calibri Light" w:cs="Calibri Light"/>
          <w:sz w:val="24"/>
        </w:rPr>
        <w:t>(1), 273–290. https://doi.org/10.5267/j.uscm.2023.9.022</w:t>
      </w:r>
    </w:p>
    <w:p w14:paraId="046DB4D8" w14:textId="06F6C2B0" w:rsidR="000900AD" w:rsidRPr="000900AD" w:rsidRDefault="00A33DAA" w:rsidP="008847ED">
      <w:pPr>
        <w:pStyle w:val="ListParagraph"/>
        <w:numPr>
          <w:ilvl w:val="0"/>
          <w:numId w:val="33"/>
        </w:numPr>
        <w:ind w:left="1276" w:hanging="502"/>
        <w:jc w:val="both"/>
      </w:pPr>
      <w:r>
        <w:rPr>
          <w:color w:val="A6A6A6"/>
          <w:szCs w:val="24"/>
        </w:rPr>
        <w:fldChar w:fldCharType="end"/>
      </w:r>
      <w:r w:rsidR="00804B31">
        <w:rPr>
          <w:color w:val="A6A6A6"/>
          <w:szCs w:val="24"/>
        </w:rPr>
        <w:fldChar w:fldCharType="begin" w:fldLock="1"/>
      </w:r>
      <w:r w:rsidR="00804B31">
        <w:rPr>
          <w:color w:val="A6A6A6"/>
          <w:szCs w:val="24"/>
        </w:rPr>
        <w:instrText xml:space="preserve">ADDIN Mendeley Bibliography CSL_BIBLIOGRAPHY </w:instrText>
      </w:r>
      <w:r w:rsidR="00804B31">
        <w:rPr>
          <w:color w:val="A6A6A6"/>
          <w:szCs w:val="24"/>
        </w:rPr>
        <w:fldChar w:fldCharType="separate"/>
      </w:r>
      <w:r w:rsidR="000900AD" w:rsidRPr="000900AD">
        <w:t xml:space="preserve">Abrar, M., Abbas, S., Kousar, S., &amp; Mushtaq, M. (2023). Investigation on the Effects of Customer Knowledge, Political Support, and Innovation on the Growth of Islamic Banking System: a Case Study of Pakistan. </w:t>
      </w:r>
      <w:r w:rsidR="000900AD" w:rsidRPr="000900AD">
        <w:rPr>
          <w:i/>
          <w:iCs/>
        </w:rPr>
        <w:t>Journal of the Knowledge Economy</w:t>
      </w:r>
      <w:r w:rsidR="000900AD" w:rsidRPr="000900AD">
        <w:t xml:space="preserve">, </w:t>
      </w:r>
      <w:r w:rsidR="000900AD" w:rsidRPr="000900AD">
        <w:rPr>
          <w:i/>
          <w:iCs/>
        </w:rPr>
        <w:t>14</w:t>
      </w:r>
      <w:r w:rsidR="000900AD" w:rsidRPr="000900AD">
        <w:t>(2), 946–965. https://doi.org/10.1007/s13132-022-00933-y</w:t>
      </w:r>
    </w:p>
    <w:p w14:paraId="7FBF703F"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Afrida, Y., Rivai, H. A., Syahrul, L., &amp; Lukito, H. (2024). Readiness to change in Islamic banking: the significance of adaptability and Islamic work ethics. </w:t>
      </w:r>
      <w:r w:rsidRPr="000900AD">
        <w:rPr>
          <w:rFonts w:cs="Calibri"/>
          <w:i/>
          <w:iCs/>
        </w:rPr>
        <w:t>Journal of Islamic Marketing</w:t>
      </w:r>
      <w:r w:rsidRPr="000900AD">
        <w:rPr>
          <w:rFonts w:cs="Calibri"/>
        </w:rPr>
        <w:t xml:space="preserve">, </w:t>
      </w:r>
      <w:r w:rsidRPr="000900AD">
        <w:rPr>
          <w:rFonts w:cs="Calibri"/>
          <w:i/>
          <w:iCs/>
        </w:rPr>
        <w:t>15</w:t>
      </w:r>
      <w:r w:rsidRPr="000900AD">
        <w:rPr>
          <w:rFonts w:cs="Calibri"/>
        </w:rPr>
        <w:t>(12), 3445–3463. https://doi.org/10.1108/JIMA-11-2023-0357</w:t>
      </w:r>
    </w:p>
    <w:p w14:paraId="6E42206A"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Ahmad, M., Zafar, M. B., &amp; Perveen, A. (2024). Consumer shift behavior from conventional to Islamic banking: decision-making analysis through AHP. </w:t>
      </w:r>
      <w:r w:rsidRPr="000900AD">
        <w:rPr>
          <w:rFonts w:cs="Calibri"/>
          <w:i/>
          <w:iCs/>
        </w:rPr>
        <w:t xml:space="preserve">Journal of </w:t>
      </w:r>
      <w:r w:rsidRPr="000900AD">
        <w:rPr>
          <w:rFonts w:cs="Calibri"/>
          <w:i/>
          <w:iCs/>
        </w:rPr>
        <w:lastRenderedPageBreak/>
        <w:t>Islamic Marketing</w:t>
      </w:r>
      <w:r w:rsidRPr="000900AD">
        <w:rPr>
          <w:rFonts w:cs="Calibri"/>
        </w:rPr>
        <w:t xml:space="preserve">, </w:t>
      </w:r>
      <w:r w:rsidRPr="000900AD">
        <w:rPr>
          <w:rFonts w:cs="Calibri"/>
          <w:i/>
          <w:iCs/>
        </w:rPr>
        <w:t>15</w:t>
      </w:r>
      <w:r w:rsidRPr="000900AD">
        <w:rPr>
          <w:rFonts w:cs="Calibri"/>
        </w:rPr>
        <w:t>(5), 1280–1302. https://doi.org/10.1108/JIMA-02-2023-0036</w:t>
      </w:r>
    </w:p>
    <w:p w14:paraId="79E2625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Al-Homaidi, E. A., Al-Matari, E. M., Anagreh, S., Tabash, M. I., &amp; Mareai Senan, N. A. (2021). The relationship between zakat disclosures and Islamic banking performance: Evidence from Yemen. </w:t>
      </w:r>
      <w:r w:rsidRPr="000900AD">
        <w:rPr>
          <w:rFonts w:cs="Calibri"/>
          <w:i/>
          <w:iCs/>
        </w:rPr>
        <w:t>Banks and Bank Systems</w:t>
      </w:r>
      <w:r w:rsidRPr="000900AD">
        <w:rPr>
          <w:rFonts w:cs="Calibri"/>
        </w:rPr>
        <w:t xml:space="preserve">, </w:t>
      </w:r>
      <w:r w:rsidRPr="000900AD">
        <w:rPr>
          <w:rFonts w:cs="Calibri"/>
          <w:i/>
          <w:iCs/>
        </w:rPr>
        <w:t>16</w:t>
      </w:r>
      <w:r w:rsidRPr="000900AD">
        <w:rPr>
          <w:rFonts w:cs="Calibri"/>
        </w:rPr>
        <w:t>(1), 52–61. https://doi.org/10.21511/bbs.16(1).2021.05</w:t>
      </w:r>
    </w:p>
    <w:p w14:paraId="7CE389B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Ali, A., Zulkhibri, M., &amp; Kishwar, T. (2022). IFSB Standards Adoption and Its Impact on Islamic Banking Practices: Evidence from Pakistan. </w:t>
      </w:r>
      <w:r w:rsidRPr="000900AD">
        <w:rPr>
          <w:rFonts w:cs="Calibri"/>
          <w:i/>
          <w:iCs/>
        </w:rPr>
        <w:t>Journal of King Abdulaziz University, Islamic Economics</w:t>
      </w:r>
      <w:r w:rsidRPr="000900AD">
        <w:rPr>
          <w:rFonts w:cs="Calibri"/>
        </w:rPr>
        <w:t xml:space="preserve">, </w:t>
      </w:r>
      <w:r w:rsidRPr="000900AD">
        <w:rPr>
          <w:rFonts w:cs="Calibri"/>
          <w:i/>
          <w:iCs/>
        </w:rPr>
        <w:t>35</w:t>
      </w:r>
      <w:r w:rsidRPr="000900AD">
        <w:rPr>
          <w:rFonts w:cs="Calibri"/>
        </w:rPr>
        <w:t>(2), 55–76. https://doi.org/10.4197/Islec.35-2.4</w:t>
      </w:r>
    </w:p>
    <w:p w14:paraId="4027BAF4"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Ali, M., Tamami, F. Q. A., Rahmawati, S., Elbanna, M., &amp; AN, A. N. (2025). Tracking Education Transformation Towards Sustainable Development Goals: A Bibliometric Review on the Influence of Socioeconomic Factors in the Education Ecosystem. </w:t>
      </w:r>
      <w:r w:rsidRPr="000900AD">
        <w:rPr>
          <w:rFonts w:cs="Calibri"/>
          <w:i/>
          <w:iCs/>
        </w:rPr>
        <w:t>Journal of Lifestyle and SDGs Review</w:t>
      </w:r>
      <w:r w:rsidRPr="000900AD">
        <w:rPr>
          <w:rFonts w:cs="Calibri"/>
        </w:rPr>
        <w:t xml:space="preserve">, </w:t>
      </w:r>
      <w:r w:rsidRPr="000900AD">
        <w:rPr>
          <w:rFonts w:cs="Calibri"/>
          <w:i/>
          <w:iCs/>
        </w:rPr>
        <w:t>5</w:t>
      </w:r>
      <w:r w:rsidRPr="000900AD">
        <w:rPr>
          <w:rFonts w:cs="Calibri"/>
        </w:rPr>
        <w:t>(1), e03295–e03295.</w:t>
      </w:r>
    </w:p>
    <w:p w14:paraId="4F3BEB65"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Ali, S. A., Loussaief, A., &amp; Ahmed, M. (2022). A comparative analysis of employees’ and customers’ attitude towards Islamic banking. </w:t>
      </w:r>
      <w:r w:rsidRPr="000900AD">
        <w:rPr>
          <w:rFonts w:cs="Calibri"/>
          <w:i/>
          <w:iCs/>
        </w:rPr>
        <w:t>International Journal of Ethics and Systems</w:t>
      </w:r>
      <w:r w:rsidRPr="000900AD">
        <w:rPr>
          <w:rFonts w:cs="Calibri"/>
        </w:rPr>
        <w:t xml:space="preserve">, </w:t>
      </w:r>
      <w:r w:rsidRPr="000900AD">
        <w:rPr>
          <w:rFonts w:cs="Calibri"/>
          <w:i/>
          <w:iCs/>
        </w:rPr>
        <w:t>38</w:t>
      </w:r>
      <w:r w:rsidRPr="000900AD">
        <w:rPr>
          <w:rFonts w:cs="Calibri"/>
        </w:rPr>
        <w:t>(2), 209–234. https://doi.org/10.1108/IJOES-03-2021-0053</w:t>
      </w:r>
    </w:p>
    <w:p w14:paraId="48C269D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Altwijry, O. I., Mohammed, M. O., Hassan, M. K., &amp; Selim, M. (2022). Developing a Shari’ah based FinTech Money Creation Free [SFMCF] model for Islamic banking. </w:t>
      </w:r>
      <w:r w:rsidRPr="000900AD">
        <w:rPr>
          <w:rFonts w:cs="Calibri"/>
          <w:i/>
          <w:iCs/>
        </w:rPr>
        <w:t>International Journal of Islamic and Middle Eastern Finance and Management</w:t>
      </w:r>
      <w:r w:rsidRPr="000900AD">
        <w:rPr>
          <w:rFonts w:cs="Calibri"/>
        </w:rPr>
        <w:t xml:space="preserve">, </w:t>
      </w:r>
      <w:r w:rsidRPr="000900AD">
        <w:rPr>
          <w:rFonts w:cs="Calibri"/>
          <w:i/>
          <w:iCs/>
        </w:rPr>
        <w:t>15</w:t>
      </w:r>
      <w:r w:rsidRPr="000900AD">
        <w:rPr>
          <w:rFonts w:cs="Calibri"/>
        </w:rPr>
        <w:t>(4), 739–758. https://doi.org/10.1108/IMEFM-05-2021-0189</w:t>
      </w:r>
    </w:p>
    <w:p w14:paraId="65634960"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Amuda, Y. J., &amp; Al-Nasser, S. A. (2024). Exploring encounters and prodigies of Islamic banks in non-Muslim states: towards enhancing regulatory frameworks of Islamic banking system. </w:t>
      </w:r>
      <w:r w:rsidRPr="000900AD">
        <w:rPr>
          <w:rFonts w:cs="Calibri"/>
          <w:i/>
          <w:iCs/>
        </w:rPr>
        <w:t>International Journal of Law and Management</w:t>
      </w:r>
      <w:r w:rsidRPr="000900AD">
        <w:rPr>
          <w:rFonts w:cs="Calibri"/>
        </w:rPr>
        <w:t>. https://doi.org/10.1108/IJLMA-11-2023-0250</w:t>
      </w:r>
    </w:p>
    <w:p w14:paraId="2D02D3C6"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Andri Nirwana, A. N., Elbanna, M., Ismail, F. H., Daud, Z., Mohd Salleh, N., Bin Kirin, A., Marisa, S. N., &amp; Husein, M. Z. (2024). PRISMA-Based Study on Integrating Islamic Principles into Legal Systems: Human Rights in Egypt and Indonesia. </w:t>
      </w:r>
      <w:r w:rsidRPr="000900AD">
        <w:rPr>
          <w:rFonts w:cs="Calibri"/>
          <w:i/>
          <w:iCs/>
        </w:rPr>
        <w:t>International Journal of Law and Society</w:t>
      </w:r>
      <w:r w:rsidRPr="000900AD">
        <w:rPr>
          <w:rFonts w:cs="Calibri"/>
        </w:rPr>
        <w:t xml:space="preserve">, </w:t>
      </w:r>
      <w:r w:rsidRPr="000900AD">
        <w:rPr>
          <w:rFonts w:cs="Calibri"/>
          <w:i/>
          <w:iCs/>
        </w:rPr>
        <w:t>3</w:t>
      </w:r>
      <w:r w:rsidRPr="000900AD">
        <w:rPr>
          <w:rFonts w:cs="Calibri"/>
        </w:rPr>
        <w:t>(3), 173–186. https://doi.org/10.59683/ijls.v3i3.90</w:t>
      </w:r>
    </w:p>
    <w:p w14:paraId="60831BFC"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Barra, C., Papaccio, A., &amp; Ruggiero, N. (2023). Basel accords and banking inefficiency: Evidence from the Italian local market. </w:t>
      </w:r>
      <w:r w:rsidRPr="000900AD">
        <w:rPr>
          <w:rFonts w:cs="Calibri"/>
          <w:i/>
          <w:iCs/>
        </w:rPr>
        <w:t>International Journal of Finance and Economics</w:t>
      </w:r>
      <w:r w:rsidRPr="000900AD">
        <w:rPr>
          <w:rFonts w:cs="Calibri"/>
        </w:rPr>
        <w:t xml:space="preserve">, </w:t>
      </w:r>
      <w:r w:rsidRPr="000900AD">
        <w:rPr>
          <w:rFonts w:cs="Calibri"/>
          <w:i/>
          <w:iCs/>
        </w:rPr>
        <w:t>28</w:t>
      </w:r>
      <w:r w:rsidRPr="000900AD">
        <w:rPr>
          <w:rFonts w:cs="Calibri"/>
        </w:rPr>
        <w:t>(4), 4079–4119. https://doi.org/10.1002/ijfe.2637</w:t>
      </w:r>
    </w:p>
    <w:p w14:paraId="20D57036"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Ben Jedidia, K., &amp; Hamza, H. (2024). Does PLS in Islamic banking limit excessive money creation? </w:t>
      </w:r>
      <w:r w:rsidRPr="000900AD">
        <w:rPr>
          <w:rFonts w:cs="Calibri"/>
          <w:i/>
          <w:iCs/>
        </w:rPr>
        <w:t>Journal of Islamic Accounting and Business Research</w:t>
      </w:r>
      <w:r w:rsidRPr="000900AD">
        <w:rPr>
          <w:rFonts w:cs="Calibri"/>
        </w:rPr>
        <w:t xml:space="preserve">, </w:t>
      </w:r>
      <w:r w:rsidRPr="000900AD">
        <w:rPr>
          <w:rFonts w:cs="Calibri"/>
          <w:i/>
          <w:iCs/>
        </w:rPr>
        <w:t>15</w:t>
      </w:r>
      <w:r w:rsidRPr="000900AD">
        <w:rPr>
          <w:rFonts w:cs="Calibri"/>
        </w:rPr>
        <w:t>(3), 422–442. https://doi.org/10.1108/JIABR-02-2022-0047</w:t>
      </w:r>
    </w:p>
    <w:p w14:paraId="373E7D0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Budiman, T., Febrian, E., &amp; Azis, Y. (2022). THE EFFECT OF GEOGRAPHICAL FACTORS ON ISLAMIC BANKING SUSTAINABILITY PERFORMANCE: AN INSTRUMENTAL VARIABLE QUANTILE REGRESSION ANALYSIS. </w:t>
      </w:r>
      <w:r w:rsidRPr="000900AD">
        <w:rPr>
          <w:rFonts w:cs="Calibri"/>
          <w:i/>
          <w:iCs/>
        </w:rPr>
        <w:t>Asian Economic and Financial Review</w:t>
      </w:r>
      <w:r w:rsidRPr="000900AD">
        <w:rPr>
          <w:rFonts w:cs="Calibri"/>
        </w:rPr>
        <w:t xml:space="preserve">, </w:t>
      </w:r>
      <w:r w:rsidRPr="000900AD">
        <w:rPr>
          <w:rFonts w:cs="Calibri"/>
          <w:i/>
          <w:iCs/>
        </w:rPr>
        <w:t>12</w:t>
      </w:r>
      <w:r w:rsidRPr="000900AD">
        <w:rPr>
          <w:rFonts w:cs="Calibri"/>
        </w:rPr>
        <w:t>(2), 70–88. https://doi.org/10.18488/5002.v12i2.4411</w:t>
      </w:r>
    </w:p>
    <w:p w14:paraId="734FD606"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Elbanna, M., Wadi, M. F., Radiamoda, A. M., Matsuyama, Y., &amp; Ishak, M. H. Bin. (2025). A Bibliometric Analysis of Sustainable Development Goals (SDGs) Through the Lens of Maqasid Shariah Tafsir. </w:t>
      </w:r>
      <w:r w:rsidRPr="000900AD">
        <w:rPr>
          <w:rFonts w:cs="Calibri"/>
          <w:i/>
          <w:iCs/>
        </w:rPr>
        <w:t>QiST: Journal of Quran and Tafseer Studies</w:t>
      </w:r>
      <w:r w:rsidRPr="000900AD">
        <w:rPr>
          <w:rFonts w:cs="Calibri"/>
        </w:rPr>
        <w:t xml:space="preserve">, </w:t>
      </w:r>
      <w:r w:rsidRPr="000900AD">
        <w:rPr>
          <w:rFonts w:cs="Calibri"/>
          <w:i/>
          <w:iCs/>
        </w:rPr>
        <w:t>4</w:t>
      </w:r>
      <w:r w:rsidRPr="000900AD">
        <w:rPr>
          <w:rFonts w:cs="Calibri"/>
        </w:rPr>
        <w:t>(1), 1–22. https://doi.org/https://doi.org/10.23917/qist.v4i1.7360</w:t>
      </w:r>
    </w:p>
    <w:p w14:paraId="58D2ABE0"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Faizi, F. (2024). How are Islamic banking products developed? Evidence from emerging country. </w:t>
      </w:r>
      <w:r w:rsidRPr="000900AD">
        <w:rPr>
          <w:rFonts w:cs="Calibri"/>
          <w:i/>
          <w:iCs/>
        </w:rPr>
        <w:t>Cogent Economics and Finance</w:t>
      </w:r>
      <w:r w:rsidRPr="000900AD">
        <w:rPr>
          <w:rFonts w:cs="Calibri"/>
        </w:rPr>
        <w:t xml:space="preserve">, </w:t>
      </w:r>
      <w:r w:rsidRPr="000900AD">
        <w:rPr>
          <w:rFonts w:cs="Calibri"/>
          <w:i/>
          <w:iCs/>
        </w:rPr>
        <w:t>12</w:t>
      </w:r>
      <w:r w:rsidRPr="000900AD">
        <w:rPr>
          <w:rFonts w:cs="Calibri"/>
        </w:rPr>
        <w:t xml:space="preserve">(1). </w:t>
      </w:r>
      <w:r w:rsidRPr="000900AD">
        <w:rPr>
          <w:rFonts w:cs="Calibri"/>
        </w:rPr>
        <w:lastRenderedPageBreak/>
        <w:t>https://doi.org/10.1080/23322039.2024.2378961</w:t>
      </w:r>
    </w:p>
    <w:p w14:paraId="2518886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Fathoni, M. A., Rodoni, A., Al Arif, M. N. R., &amp; Hidayah, N. (2024). Intention to participate in Islamic banking in Indonesia: Does socio-political identity matter? </w:t>
      </w:r>
      <w:r w:rsidRPr="000900AD">
        <w:rPr>
          <w:rFonts w:cs="Calibri"/>
          <w:i/>
          <w:iCs/>
        </w:rPr>
        <w:t>Journal of Islamic Marketing</w:t>
      </w:r>
      <w:r w:rsidRPr="000900AD">
        <w:rPr>
          <w:rFonts w:cs="Calibri"/>
        </w:rPr>
        <w:t>. https://doi.org/10.1108/JIMA-12-2023-0397</w:t>
      </w:r>
    </w:p>
    <w:p w14:paraId="393634C2"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Faturohman, T., Purwono, M. Z., &amp; Ooi, S. K. (2024). User acceptance of Islamic banking in Indonesia: the implementation of technology acceptance models. </w:t>
      </w:r>
      <w:r w:rsidRPr="000900AD">
        <w:rPr>
          <w:rFonts w:cs="Calibri"/>
          <w:i/>
          <w:iCs/>
        </w:rPr>
        <w:t>International Journal of Monetary Economics and Finance</w:t>
      </w:r>
      <w:r w:rsidRPr="000900AD">
        <w:rPr>
          <w:rFonts w:cs="Calibri"/>
        </w:rPr>
        <w:t xml:space="preserve">, </w:t>
      </w:r>
      <w:r w:rsidRPr="000900AD">
        <w:rPr>
          <w:rFonts w:cs="Calibri"/>
          <w:i/>
          <w:iCs/>
        </w:rPr>
        <w:t>17</w:t>
      </w:r>
      <w:r w:rsidRPr="000900AD">
        <w:rPr>
          <w:rFonts w:cs="Calibri"/>
        </w:rPr>
        <w:t>(2–3), 229–237. https://doi.org/10.1504/IJMEF.2024.139028</w:t>
      </w:r>
    </w:p>
    <w:p w14:paraId="6F92BFA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Fitri, F. A., Syukur, M., Majid, M. S. A., Farhana, I., &amp; Hatta, F. (2022). Do intellectual capital and financing matter for the profitability of the Islamic banking industry in Indonesia? </w:t>
      </w:r>
      <w:r w:rsidRPr="000900AD">
        <w:rPr>
          <w:rFonts w:cs="Calibri"/>
          <w:i/>
          <w:iCs/>
        </w:rPr>
        <w:t>International Journal of Monetary Economics and Finance</w:t>
      </w:r>
      <w:r w:rsidRPr="000900AD">
        <w:rPr>
          <w:rFonts w:cs="Calibri"/>
        </w:rPr>
        <w:t xml:space="preserve">, </w:t>
      </w:r>
      <w:r w:rsidRPr="000900AD">
        <w:rPr>
          <w:rFonts w:cs="Calibri"/>
          <w:i/>
          <w:iCs/>
        </w:rPr>
        <w:t>15</w:t>
      </w:r>
      <w:r w:rsidRPr="000900AD">
        <w:rPr>
          <w:rFonts w:cs="Calibri"/>
        </w:rPr>
        <w:t>(3), 293–308. https://doi.org/10.1504/ijmef.2022.126888</w:t>
      </w:r>
    </w:p>
    <w:p w14:paraId="6BD061C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Guizani, M., &amp; Ajmi, A. N. (2022). Islamic banking and corporate investment efficiency: empirical evidence from Malaysia. </w:t>
      </w:r>
      <w:r w:rsidRPr="000900AD">
        <w:rPr>
          <w:rFonts w:cs="Calibri"/>
          <w:i/>
          <w:iCs/>
        </w:rPr>
        <w:t>International Journal of Productivity and Performance Management</w:t>
      </w:r>
      <w:r w:rsidRPr="000900AD">
        <w:rPr>
          <w:rFonts w:cs="Calibri"/>
        </w:rPr>
        <w:t xml:space="preserve">, </w:t>
      </w:r>
      <w:r w:rsidRPr="000900AD">
        <w:rPr>
          <w:rFonts w:cs="Calibri"/>
          <w:i/>
          <w:iCs/>
        </w:rPr>
        <w:t>71</w:t>
      </w:r>
      <w:r w:rsidRPr="000900AD">
        <w:rPr>
          <w:rFonts w:cs="Calibri"/>
        </w:rPr>
        <w:t>(5), 1854–1871. https://doi.org/10.1108/IJPPM-06-2020-0331</w:t>
      </w:r>
    </w:p>
    <w:p w14:paraId="344515BF"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Hakam Naja, A. (2023). IS ISLAMIC BANKING PERFORMANCE IN MALAYSIA TRULY BETTER THAN INDONESIA? </w:t>
      </w:r>
      <w:r w:rsidRPr="000900AD">
        <w:rPr>
          <w:rFonts w:cs="Calibri"/>
          <w:i/>
          <w:iCs/>
        </w:rPr>
        <w:t>Journal of Islamic Monetary Economics and Finance</w:t>
      </w:r>
      <w:r w:rsidRPr="000900AD">
        <w:rPr>
          <w:rFonts w:cs="Calibri"/>
        </w:rPr>
        <w:t xml:space="preserve">, </w:t>
      </w:r>
      <w:r w:rsidRPr="000900AD">
        <w:rPr>
          <w:rFonts w:cs="Calibri"/>
          <w:i/>
          <w:iCs/>
        </w:rPr>
        <w:t>9</w:t>
      </w:r>
      <w:r w:rsidRPr="000900AD">
        <w:rPr>
          <w:rFonts w:cs="Calibri"/>
        </w:rPr>
        <w:t>(4), 611–636. https://doi.org/10.21098/jimf.v9i4.1784</w:t>
      </w:r>
    </w:p>
    <w:p w14:paraId="5960083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Hassan, M. K., Sohel, M. N. I., Choudhury, T., &amp; Rashid, M. (2024). A systematic literature review of risks in Islamic banking system: research agenda and future research directions. </w:t>
      </w:r>
      <w:r w:rsidRPr="000900AD">
        <w:rPr>
          <w:rFonts w:cs="Calibri"/>
          <w:i/>
          <w:iCs/>
        </w:rPr>
        <w:t>Risk Management</w:t>
      </w:r>
      <w:r w:rsidRPr="000900AD">
        <w:rPr>
          <w:rFonts w:cs="Calibri"/>
        </w:rPr>
        <w:t xml:space="preserve">, </w:t>
      </w:r>
      <w:r w:rsidRPr="000900AD">
        <w:rPr>
          <w:rFonts w:cs="Calibri"/>
          <w:i/>
          <w:iCs/>
        </w:rPr>
        <w:t>26</w:t>
      </w:r>
      <w:r w:rsidRPr="000900AD">
        <w:rPr>
          <w:rFonts w:cs="Calibri"/>
        </w:rPr>
        <w:t>(1). https://doi.org/10.1057/s41283-023-00135-z</w:t>
      </w:r>
    </w:p>
    <w:p w14:paraId="542913C8"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Hermawati, A., Ali, S., Fettry, S., Hendarto, T., &amp; Husin, H. (2021). Freelancers Intentions Towards Adoption Of Islamic Banking. </w:t>
      </w:r>
      <w:r w:rsidRPr="000900AD">
        <w:rPr>
          <w:rFonts w:cs="Calibri"/>
          <w:i/>
          <w:iCs/>
        </w:rPr>
        <w:t>Academy of Strategic Management Journal</w:t>
      </w:r>
      <w:r w:rsidRPr="000900AD">
        <w:rPr>
          <w:rFonts w:cs="Calibri"/>
        </w:rPr>
        <w:t xml:space="preserve">, </w:t>
      </w:r>
      <w:r w:rsidRPr="000900AD">
        <w:rPr>
          <w:rFonts w:cs="Calibri"/>
          <w:i/>
          <w:iCs/>
        </w:rPr>
        <w:t>20</w:t>
      </w:r>
      <w:r w:rsidRPr="000900AD">
        <w:rPr>
          <w:rFonts w:cs="Calibri"/>
        </w:rPr>
        <w:t>(2), 1–16. https://www.scopus.com/inward/record.uri?eid=2-s2.0-85104261973&amp;partnerID=40&amp;md5=3e018c371c1eaf93307b64b4d38b50a5</w:t>
      </w:r>
    </w:p>
    <w:p w14:paraId="46E8B0A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Ho, K.-C., Lee, S.-C., &amp; Chen, J.-L. (2022). Book-to-market equity and asset correlations—An international study. </w:t>
      </w:r>
      <w:r w:rsidRPr="000900AD">
        <w:rPr>
          <w:rFonts w:cs="Calibri"/>
          <w:i/>
          <w:iCs/>
        </w:rPr>
        <w:t>International Review of Economics and Finance</w:t>
      </w:r>
      <w:r w:rsidRPr="000900AD">
        <w:rPr>
          <w:rFonts w:cs="Calibri"/>
        </w:rPr>
        <w:t xml:space="preserve">, </w:t>
      </w:r>
      <w:r w:rsidRPr="000900AD">
        <w:rPr>
          <w:rFonts w:cs="Calibri"/>
          <w:i/>
          <w:iCs/>
        </w:rPr>
        <w:t>79</w:t>
      </w:r>
      <w:r w:rsidRPr="000900AD">
        <w:rPr>
          <w:rFonts w:cs="Calibri"/>
        </w:rPr>
        <w:t>, 258–274. https://doi.org/10.1016/j.iref.2022.02.014</w:t>
      </w:r>
    </w:p>
    <w:p w14:paraId="67CDDE11"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Huang, C., Moreira, F., &amp; Archibald, T. W. (2024). Should Basel-style liquidity requirements be set countercyclically? Evidence from a numerical analysis. </w:t>
      </w:r>
      <w:r w:rsidRPr="000900AD">
        <w:rPr>
          <w:rFonts w:cs="Calibri"/>
          <w:i/>
          <w:iCs/>
        </w:rPr>
        <w:t>International Review of Financial Analysis</w:t>
      </w:r>
      <w:r w:rsidRPr="000900AD">
        <w:rPr>
          <w:rFonts w:cs="Calibri"/>
        </w:rPr>
        <w:t xml:space="preserve">, </w:t>
      </w:r>
      <w:r w:rsidRPr="000900AD">
        <w:rPr>
          <w:rFonts w:cs="Calibri"/>
          <w:i/>
          <w:iCs/>
        </w:rPr>
        <w:t>95</w:t>
      </w:r>
      <w:r w:rsidRPr="000900AD">
        <w:rPr>
          <w:rFonts w:cs="Calibri"/>
        </w:rPr>
        <w:t>. https://doi.org/10.1016/j.irfa.2024.103502</w:t>
      </w:r>
    </w:p>
    <w:p w14:paraId="5FCD257D"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Hudayati, A. (2023). Exploring the Nexus of Disclosure of Sharia Compliance and Governance in Islamic Banking: A Comprehensive Analysis of the Sharia Supervisory Board. </w:t>
      </w:r>
      <w:r w:rsidRPr="000900AD">
        <w:rPr>
          <w:rFonts w:cs="Calibri"/>
          <w:i/>
          <w:iCs/>
        </w:rPr>
        <w:t>Management and Accounting Review</w:t>
      </w:r>
      <w:r w:rsidRPr="000900AD">
        <w:rPr>
          <w:rFonts w:cs="Calibri"/>
        </w:rPr>
        <w:t xml:space="preserve">, </w:t>
      </w:r>
      <w:r w:rsidRPr="000900AD">
        <w:rPr>
          <w:rFonts w:cs="Calibri"/>
          <w:i/>
          <w:iCs/>
        </w:rPr>
        <w:t>22</w:t>
      </w:r>
      <w:r w:rsidRPr="000900AD">
        <w:rPr>
          <w:rFonts w:cs="Calibri"/>
        </w:rPr>
        <w:t>(3), 407–428. https://www.scopus.com/inward/record.uri?eid=2-s2.0-85179718521&amp;partnerID=40&amp;md5=c1d4efeffba5a3e6e85b32d01d1e3a12</w:t>
      </w:r>
    </w:p>
    <w:p w14:paraId="5C241B2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Isman, I. (2024). </w:t>
      </w:r>
      <w:r w:rsidRPr="000900AD">
        <w:rPr>
          <w:rFonts w:cs="Calibri"/>
          <w:i/>
          <w:iCs/>
        </w:rPr>
        <w:t>International Conference on Actual Islamic Studies Islamic Capital Market Accessibility and Fintech Innovation : Transformation of POJK 77 / 2016 Islamic Capital Market Accessibility and Fintech Innovation : Transformation of POJK 77 / 2016</w:t>
      </w:r>
      <w:r w:rsidRPr="000900AD">
        <w:rPr>
          <w:rFonts w:cs="Calibri"/>
        </w:rPr>
        <w:t xml:space="preserve">. </w:t>
      </w:r>
      <w:r w:rsidRPr="000900AD">
        <w:rPr>
          <w:rFonts w:cs="Calibri"/>
          <w:i/>
          <w:iCs/>
        </w:rPr>
        <w:t>September</w:t>
      </w:r>
      <w:r w:rsidRPr="000900AD">
        <w:rPr>
          <w:rFonts w:cs="Calibri"/>
        </w:rPr>
        <w:t>.</w:t>
      </w:r>
    </w:p>
    <w:p w14:paraId="703292D6"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Jatmiko, W., Ebrahim, M. S., Iqbal, A., &amp; Wojakowski, R. M. (2023). Can trade credit rejuvenate Islamic banking? </w:t>
      </w:r>
      <w:r w:rsidRPr="000900AD">
        <w:rPr>
          <w:rFonts w:cs="Calibri"/>
          <w:i/>
          <w:iCs/>
        </w:rPr>
        <w:t>Review of Quantitative Finance and Accounting</w:t>
      </w:r>
      <w:r w:rsidRPr="000900AD">
        <w:rPr>
          <w:rFonts w:cs="Calibri"/>
        </w:rPr>
        <w:t xml:space="preserve">, </w:t>
      </w:r>
      <w:r w:rsidRPr="000900AD">
        <w:rPr>
          <w:rFonts w:cs="Calibri"/>
          <w:i/>
          <w:iCs/>
        </w:rPr>
        <w:t>60</w:t>
      </w:r>
      <w:r w:rsidRPr="000900AD">
        <w:rPr>
          <w:rFonts w:cs="Calibri"/>
        </w:rPr>
        <w:t>(1), 111–146. https://doi.org/10.1007/s11156-022-01092-6</w:t>
      </w:r>
    </w:p>
    <w:p w14:paraId="5F381C9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lastRenderedPageBreak/>
        <w:t xml:space="preserve">Mitchell, C. (2022). The Power of Delay: Banking System Structure and Implementation of the Basel Accords. </w:t>
      </w:r>
      <w:r w:rsidRPr="000900AD">
        <w:rPr>
          <w:rFonts w:cs="Calibri"/>
          <w:i/>
          <w:iCs/>
        </w:rPr>
        <w:t>Business and Politics</w:t>
      </w:r>
      <w:r w:rsidRPr="000900AD">
        <w:rPr>
          <w:rFonts w:cs="Calibri"/>
        </w:rPr>
        <w:t xml:space="preserve">, </w:t>
      </w:r>
      <w:r w:rsidRPr="000900AD">
        <w:rPr>
          <w:rFonts w:cs="Calibri"/>
          <w:i/>
          <w:iCs/>
        </w:rPr>
        <w:t>24</w:t>
      </w:r>
      <w:r w:rsidRPr="000900AD">
        <w:rPr>
          <w:rFonts w:cs="Calibri"/>
        </w:rPr>
        <w:t>(1), 1–17. https://doi.org/10.1017/bap.2021.16</w:t>
      </w:r>
    </w:p>
    <w:p w14:paraId="06AEC36D"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Mohd Thas Thaker, H., Lelchumanan, B., Ah Mand, A., &amp; Khaliq, A. (2024). Push – pull – mooring determinants of non-Muslims’ withdrawal from Islamic banking: evidence from Malaysia. </w:t>
      </w:r>
      <w:r w:rsidRPr="000900AD">
        <w:rPr>
          <w:rFonts w:cs="Calibri"/>
          <w:i/>
          <w:iCs/>
        </w:rPr>
        <w:t>International Journal of Islamic and Middle Eastern Finance and Management</w:t>
      </w:r>
      <w:r w:rsidRPr="000900AD">
        <w:rPr>
          <w:rFonts w:cs="Calibri"/>
        </w:rPr>
        <w:t xml:space="preserve">, </w:t>
      </w:r>
      <w:r w:rsidRPr="000900AD">
        <w:rPr>
          <w:rFonts w:cs="Calibri"/>
          <w:i/>
          <w:iCs/>
        </w:rPr>
        <w:t>17</w:t>
      </w:r>
      <w:r w:rsidRPr="000900AD">
        <w:rPr>
          <w:rFonts w:cs="Calibri"/>
        </w:rPr>
        <w:t>(1), 195–212. https://doi.org/10.1108/IMEFM-04-2023-0144</w:t>
      </w:r>
    </w:p>
    <w:p w14:paraId="798BE0E5"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Muflih, M. (2021). The link between corporate social responsibility and customer loyalty: Empirical evidence from the Islamic banking industry. </w:t>
      </w:r>
      <w:r w:rsidRPr="000900AD">
        <w:rPr>
          <w:rFonts w:cs="Calibri"/>
          <w:i/>
          <w:iCs/>
        </w:rPr>
        <w:t>Journal of Retailing and Consumer Services</w:t>
      </w:r>
      <w:r w:rsidRPr="000900AD">
        <w:rPr>
          <w:rFonts w:cs="Calibri"/>
        </w:rPr>
        <w:t xml:space="preserve">, </w:t>
      </w:r>
      <w:r w:rsidRPr="000900AD">
        <w:rPr>
          <w:rFonts w:cs="Calibri"/>
          <w:i/>
          <w:iCs/>
        </w:rPr>
        <w:t>61</w:t>
      </w:r>
      <w:r w:rsidRPr="000900AD">
        <w:rPr>
          <w:rFonts w:cs="Calibri"/>
        </w:rPr>
        <w:t>. https://doi.org/10.1016/j.jretconser.2021.102558</w:t>
      </w:r>
    </w:p>
    <w:p w14:paraId="063FA928"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Muthoifin, M., Amelia, I., &amp; Eprahim Ali, A. B. (2024). Islamic accounting: Ethics and contextualization of recording in Muamalah transactions. </w:t>
      </w:r>
      <w:r w:rsidRPr="000900AD">
        <w:rPr>
          <w:rFonts w:cs="Calibri"/>
          <w:i/>
          <w:iCs/>
        </w:rPr>
        <w:t>Multidisciplinary Reviews</w:t>
      </w:r>
      <w:r w:rsidRPr="000900AD">
        <w:rPr>
          <w:rFonts w:cs="Calibri"/>
        </w:rPr>
        <w:t xml:space="preserve">, </w:t>
      </w:r>
      <w:r w:rsidRPr="000900AD">
        <w:rPr>
          <w:rFonts w:cs="Calibri"/>
          <w:i/>
          <w:iCs/>
        </w:rPr>
        <w:t>7</w:t>
      </w:r>
      <w:r w:rsidRPr="000900AD">
        <w:rPr>
          <w:rFonts w:cs="Calibri"/>
        </w:rPr>
        <w:t>(8). https://doi.org/10.31893/multirev.2024132</w:t>
      </w:r>
    </w:p>
    <w:p w14:paraId="53490FAA"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Nawaz, T., Haniffa, R., &amp; Hudaib, M. (2021). On intellectual capital efficiency and shariah governance in Islamic banking business model. </w:t>
      </w:r>
      <w:r w:rsidRPr="000900AD">
        <w:rPr>
          <w:rFonts w:cs="Calibri"/>
          <w:i/>
          <w:iCs/>
        </w:rPr>
        <w:t>International Journal of Finance and Economics</w:t>
      </w:r>
      <w:r w:rsidRPr="000900AD">
        <w:rPr>
          <w:rFonts w:cs="Calibri"/>
        </w:rPr>
        <w:t xml:space="preserve">, </w:t>
      </w:r>
      <w:r w:rsidRPr="000900AD">
        <w:rPr>
          <w:rFonts w:cs="Calibri"/>
          <w:i/>
          <w:iCs/>
        </w:rPr>
        <w:t>26</w:t>
      </w:r>
      <w:r w:rsidRPr="000900AD">
        <w:rPr>
          <w:rFonts w:cs="Calibri"/>
        </w:rPr>
        <w:t>(3), 3770–3787. https://doi.org/10.1002/ijfe.1986</w:t>
      </w:r>
    </w:p>
    <w:p w14:paraId="34EAC613"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Nouman, M., Ullah, K., &amp; Jan, S. (2022). DOMAINS and MOTIVES of MUSHARAKAH SPUR in the ISLAMIC BANKING INDUSTRY of PAKISTAN. </w:t>
      </w:r>
      <w:r w:rsidRPr="000900AD">
        <w:rPr>
          <w:rFonts w:cs="Calibri"/>
          <w:i/>
          <w:iCs/>
        </w:rPr>
        <w:t>Singapore Economic Review</w:t>
      </w:r>
      <w:r w:rsidRPr="000900AD">
        <w:rPr>
          <w:rFonts w:cs="Calibri"/>
        </w:rPr>
        <w:t xml:space="preserve">, </w:t>
      </w:r>
      <w:r w:rsidRPr="000900AD">
        <w:rPr>
          <w:rFonts w:cs="Calibri"/>
          <w:i/>
          <w:iCs/>
        </w:rPr>
        <w:t>67</w:t>
      </w:r>
      <w:r w:rsidRPr="000900AD">
        <w:rPr>
          <w:rFonts w:cs="Calibri"/>
        </w:rPr>
        <w:t>(1), 381–409. https://doi.org/10.1142/S0217590819500620</w:t>
      </w:r>
    </w:p>
    <w:p w14:paraId="2DBD8E29"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Oladapo, I. A., Hamoudah, M. M., Alam, M. M., Olaopa, O. R., &amp; Muda, R. (2022). Customers’ perceptions of FinTech adaptability in the Islamic banking sector: comparative study on Malaysia and Saudi Arabia. </w:t>
      </w:r>
      <w:r w:rsidRPr="000900AD">
        <w:rPr>
          <w:rFonts w:cs="Calibri"/>
          <w:i/>
          <w:iCs/>
        </w:rPr>
        <w:t>Journal of Modelling in Management</w:t>
      </w:r>
      <w:r w:rsidRPr="000900AD">
        <w:rPr>
          <w:rFonts w:cs="Calibri"/>
        </w:rPr>
        <w:t xml:space="preserve">, </w:t>
      </w:r>
      <w:r w:rsidRPr="000900AD">
        <w:rPr>
          <w:rFonts w:cs="Calibri"/>
          <w:i/>
          <w:iCs/>
        </w:rPr>
        <w:t>17</w:t>
      </w:r>
      <w:r w:rsidRPr="000900AD">
        <w:rPr>
          <w:rFonts w:cs="Calibri"/>
        </w:rPr>
        <w:t>(4), 1241–1261. https://doi.org/10.1108/JM2-10-2020-0256</w:t>
      </w:r>
    </w:p>
    <w:p w14:paraId="5C038AC4"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Rahman, M. H., &amp; Chowdhury, N. M. S. I. (2024). The prospects of istijrar financing in Islamic banking: an exploratory study in Bangladesh. </w:t>
      </w:r>
      <w:r w:rsidRPr="000900AD">
        <w:rPr>
          <w:rFonts w:cs="Calibri"/>
          <w:i/>
          <w:iCs/>
        </w:rPr>
        <w:t>Qualitative Research in Financial Markets</w:t>
      </w:r>
      <w:r w:rsidRPr="000900AD">
        <w:rPr>
          <w:rFonts w:cs="Calibri"/>
        </w:rPr>
        <w:t xml:space="preserve">, </w:t>
      </w:r>
      <w:r w:rsidRPr="000900AD">
        <w:rPr>
          <w:rFonts w:cs="Calibri"/>
          <w:i/>
          <w:iCs/>
        </w:rPr>
        <w:t>16</w:t>
      </w:r>
      <w:r w:rsidRPr="000900AD">
        <w:rPr>
          <w:rFonts w:cs="Calibri"/>
        </w:rPr>
        <w:t>(1), 135–158. https://doi.org/10.1108/QRFM-10-2022-0173</w:t>
      </w:r>
    </w:p>
    <w:p w14:paraId="0EEF732C"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Riaz, U., Burton, B., &amp; Fearfull, A. (2023). Emotional propensities and the contemporary Islamic banking industry. </w:t>
      </w:r>
      <w:r w:rsidRPr="000900AD">
        <w:rPr>
          <w:rFonts w:cs="Calibri"/>
          <w:i/>
          <w:iCs/>
        </w:rPr>
        <w:t>Critical Perspectives on Accounting</w:t>
      </w:r>
      <w:r w:rsidRPr="000900AD">
        <w:rPr>
          <w:rFonts w:cs="Calibri"/>
        </w:rPr>
        <w:t xml:space="preserve">, </w:t>
      </w:r>
      <w:r w:rsidRPr="000900AD">
        <w:rPr>
          <w:rFonts w:cs="Calibri"/>
          <w:i/>
          <w:iCs/>
        </w:rPr>
        <w:t>94</w:t>
      </w:r>
      <w:r w:rsidRPr="000900AD">
        <w:rPr>
          <w:rFonts w:cs="Calibri"/>
        </w:rPr>
        <w:t>. https://doi.org/10.1016/j.cpa.2022.102449</w:t>
      </w:r>
    </w:p>
    <w:p w14:paraId="13221D07"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Sarea, A. M., Khalid, A., Shamsuddin, A. B., Hawaldar, I., &amp; Hossen, Z. (2021). Online financial reporting disclosure in Islamic banking: Evidence from Bahrain. </w:t>
      </w:r>
      <w:r w:rsidRPr="000900AD">
        <w:rPr>
          <w:rFonts w:cs="Calibri"/>
          <w:i/>
          <w:iCs/>
        </w:rPr>
        <w:t>International Journal of Economics and Business Research</w:t>
      </w:r>
      <w:r w:rsidRPr="000900AD">
        <w:rPr>
          <w:rFonts w:cs="Calibri"/>
        </w:rPr>
        <w:t xml:space="preserve">, </w:t>
      </w:r>
      <w:r w:rsidRPr="000900AD">
        <w:rPr>
          <w:rFonts w:cs="Calibri"/>
          <w:i/>
          <w:iCs/>
        </w:rPr>
        <w:t>22</w:t>
      </w:r>
      <w:r w:rsidRPr="000900AD">
        <w:rPr>
          <w:rFonts w:cs="Calibri"/>
        </w:rPr>
        <w:t>(4), 311–327. https://doi.org/10.1504/IJEBR.2021.118378</w:t>
      </w:r>
    </w:p>
    <w:p w14:paraId="1EC0584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Shaikh, S. A. (2023). Economic Evaluation of Islamic Banking in Pakistan. </w:t>
      </w:r>
      <w:r w:rsidRPr="000900AD">
        <w:rPr>
          <w:rFonts w:cs="Calibri"/>
          <w:i/>
          <w:iCs/>
        </w:rPr>
        <w:t>Journal of King Abdulaziz University, Islamic Economics</w:t>
      </w:r>
      <w:r w:rsidRPr="000900AD">
        <w:rPr>
          <w:rFonts w:cs="Calibri"/>
        </w:rPr>
        <w:t xml:space="preserve">, </w:t>
      </w:r>
      <w:r w:rsidRPr="000900AD">
        <w:rPr>
          <w:rFonts w:cs="Calibri"/>
          <w:i/>
          <w:iCs/>
        </w:rPr>
        <w:t>36</w:t>
      </w:r>
      <w:r w:rsidRPr="000900AD">
        <w:rPr>
          <w:rFonts w:cs="Calibri"/>
        </w:rPr>
        <w:t>(1), 91–111. https://doi.org/10.4197/Islec.36-1.5</w:t>
      </w:r>
    </w:p>
    <w:p w14:paraId="54087C1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Sheikh, R., &amp; Hussain, K. (2024). Reimagining Islamic banking in the light of Maqasid Shariah. </w:t>
      </w:r>
      <w:r w:rsidRPr="000900AD">
        <w:rPr>
          <w:rFonts w:cs="Calibri"/>
          <w:i/>
          <w:iCs/>
        </w:rPr>
        <w:t>Qualitative Research in Financial Markets</w:t>
      </w:r>
      <w:r w:rsidRPr="000900AD">
        <w:rPr>
          <w:rFonts w:cs="Calibri"/>
        </w:rPr>
        <w:t>. https://doi.org/10.1108/QRFM-04-2024-0108</w:t>
      </w:r>
    </w:p>
    <w:p w14:paraId="648DF47E"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Suliyono, J., &amp; Risfandy, T. (2021). ISLAMIC BANKING MARKET DISCIPLINE IN INDONESIA. </w:t>
      </w:r>
      <w:r w:rsidRPr="000900AD">
        <w:rPr>
          <w:rFonts w:cs="Calibri"/>
          <w:i/>
          <w:iCs/>
        </w:rPr>
        <w:t>Journal of Islamic Monetary Economics and Finance</w:t>
      </w:r>
      <w:r w:rsidRPr="000900AD">
        <w:rPr>
          <w:rFonts w:cs="Calibri"/>
        </w:rPr>
        <w:t xml:space="preserve">, </w:t>
      </w:r>
      <w:r w:rsidRPr="000900AD">
        <w:rPr>
          <w:rFonts w:cs="Calibri"/>
          <w:i/>
          <w:iCs/>
        </w:rPr>
        <w:t>7</w:t>
      </w:r>
      <w:r w:rsidRPr="000900AD">
        <w:rPr>
          <w:rFonts w:cs="Calibri"/>
        </w:rPr>
        <w:t>(3), 457–472. https://doi.org/10.21098/jimf.v7i3.1376</w:t>
      </w:r>
    </w:p>
    <w:p w14:paraId="34E97A10"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Syah, D., &amp; Rahmadani, G. (2024). The Profit-Sharing System in Financing Islamic </w:t>
      </w:r>
      <w:r w:rsidRPr="000900AD">
        <w:rPr>
          <w:rFonts w:cs="Calibri"/>
        </w:rPr>
        <w:lastRenderedPageBreak/>
        <w:t xml:space="preserve">Banking. </w:t>
      </w:r>
      <w:r w:rsidRPr="000900AD">
        <w:rPr>
          <w:rFonts w:cs="Calibri"/>
          <w:i/>
          <w:iCs/>
        </w:rPr>
        <w:t xml:space="preserve">Qubahan Academic Journal </w:t>
      </w:r>
      <w:r w:rsidRPr="000900AD">
        <w:rPr>
          <w:rFonts w:cs="Calibri"/>
        </w:rPr>
        <w:t xml:space="preserve">, </w:t>
      </w:r>
      <w:r w:rsidRPr="000900AD">
        <w:rPr>
          <w:rFonts w:cs="Calibri"/>
          <w:i/>
          <w:iCs/>
        </w:rPr>
        <w:t>4</w:t>
      </w:r>
      <w:r w:rsidRPr="000900AD">
        <w:rPr>
          <w:rFonts w:cs="Calibri"/>
        </w:rPr>
        <w:t>(1), 300–309. https://doi.org/10.48161/qaj.v4n1a198</w:t>
      </w:r>
    </w:p>
    <w:p w14:paraId="7BFC8E0D"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Triyanta, A., &amp; Hassan, R. (2024). THE CONNECTION BETWEEN ROBUST LEGAL INSTRUMENTS AND THE EXCEPTIONAL PERFORMANCE OF THE ISLAMIC BANKING INDUSTRY. </w:t>
      </w:r>
      <w:r w:rsidRPr="000900AD">
        <w:rPr>
          <w:rFonts w:cs="Calibri"/>
          <w:i/>
          <w:iCs/>
        </w:rPr>
        <w:t>Journal of Governance and Regulation</w:t>
      </w:r>
      <w:r w:rsidRPr="000900AD">
        <w:rPr>
          <w:rFonts w:cs="Calibri"/>
        </w:rPr>
        <w:t xml:space="preserve">, </w:t>
      </w:r>
      <w:r w:rsidRPr="000900AD">
        <w:rPr>
          <w:rFonts w:cs="Calibri"/>
          <w:i/>
          <w:iCs/>
        </w:rPr>
        <w:t>13</w:t>
      </w:r>
      <w:r w:rsidRPr="000900AD">
        <w:rPr>
          <w:rFonts w:cs="Calibri"/>
        </w:rPr>
        <w:t>(2 (special issue)), 267–274. https://doi.org/10.22495/jgrv13i2siart3</w:t>
      </w:r>
    </w:p>
    <w:p w14:paraId="22E28B8D"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Ul-Haq, S., Lone, R. A., &amp; Ashraf, N. (2022). A theory of capitalist co-optation of radical alternatives: The case of Islamic banking industry. </w:t>
      </w:r>
      <w:r w:rsidRPr="000900AD">
        <w:rPr>
          <w:rFonts w:cs="Calibri"/>
          <w:i/>
          <w:iCs/>
        </w:rPr>
        <w:t>Organization</w:t>
      </w:r>
      <w:r w:rsidRPr="000900AD">
        <w:rPr>
          <w:rFonts w:cs="Calibri"/>
        </w:rPr>
        <w:t xml:space="preserve">, </w:t>
      </w:r>
      <w:r w:rsidRPr="000900AD">
        <w:rPr>
          <w:rFonts w:cs="Calibri"/>
          <w:i/>
          <w:iCs/>
        </w:rPr>
        <w:t>29</w:t>
      </w:r>
      <w:r w:rsidRPr="000900AD">
        <w:rPr>
          <w:rFonts w:cs="Calibri"/>
        </w:rPr>
        <w:t>(1), 129–154. https://doi.org/10.1177/1350508420939245</w:t>
      </w:r>
    </w:p>
    <w:p w14:paraId="68105964"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Ullah, A., Zhao, X., Kamal, M. A., Riaz, A., &amp; Zheng, B. (2021). Exploring asymmetric relationship between Islamic banking development and economic growth in Pakistan: Fresh evidence from a non-linear ARDL approach. </w:t>
      </w:r>
      <w:r w:rsidRPr="000900AD">
        <w:rPr>
          <w:rFonts w:cs="Calibri"/>
          <w:i/>
          <w:iCs/>
        </w:rPr>
        <w:t>International Journal of Finance and Economics</w:t>
      </w:r>
      <w:r w:rsidRPr="000900AD">
        <w:rPr>
          <w:rFonts w:cs="Calibri"/>
        </w:rPr>
        <w:t xml:space="preserve">, </w:t>
      </w:r>
      <w:r w:rsidRPr="000900AD">
        <w:rPr>
          <w:rFonts w:cs="Calibri"/>
          <w:i/>
          <w:iCs/>
        </w:rPr>
        <w:t>26</w:t>
      </w:r>
      <w:r w:rsidRPr="000900AD">
        <w:rPr>
          <w:rFonts w:cs="Calibri"/>
        </w:rPr>
        <w:t>(4), 6168–6187. https://doi.org/10.1002/ijfe.2115</w:t>
      </w:r>
    </w:p>
    <w:p w14:paraId="564241DF"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Ullah, K., Ashfaque, M., Atiq, M., Khan, M., &amp; Hussain, A. (2023). Shariah capabilities and value propositions of Islamic banking. </w:t>
      </w:r>
      <w:r w:rsidRPr="000900AD">
        <w:rPr>
          <w:rFonts w:cs="Calibri"/>
          <w:i/>
          <w:iCs/>
        </w:rPr>
        <w:t>International Journal of Islamic and Middle Eastern Finance and Management</w:t>
      </w:r>
      <w:r w:rsidRPr="000900AD">
        <w:rPr>
          <w:rFonts w:cs="Calibri"/>
        </w:rPr>
        <w:t xml:space="preserve">, </w:t>
      </w:r>
      <w:r w:rsidRPr="000900AD">
        <w:rPr>
          <w:rFonts w:cs="Calibri"/>
          <w:i/>
          <w:iCs/>
        </w:rPr>
        <w:t>16</w:t>
      </w:r>
      <w:r w:rsidRPr="000900AD">
        <w:rPr>
          <w:rFonts w:cs="Calibri"/>
        </w:rPr>
        <w:t>(4), 701–715. https://doi.org/10.1108/IMEFM-12-2019-0518</w:t>
      </w:r>
    </w:p>
    <w:p w14:paraId="46E5DB1B"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Umar, U. H., AbuBakar, M., Baita, A. J., Kademi, T. T., &amp; Haron, M. H. (2021). Do academic and professional institutions promote the awareness and knowledge of Islamic banking and finance in Nigeria? </w:t>
      </w:r>
      <w:r w:rsidRPr="000900AD">
        <w:rPr>
          <w:rFonts w:cs="Calibri"/>
          <w:i/>
          <w:iCs/>
        </w:rPr>
        <w:t>Journal of Islamic Accounting and Business Research</w:t>
      </w:r>
      <w:r w:rsidRPr="000900AD">
        <w:rPr>
          <w:rFonts w:cs="Calibri"/>
        </w:rPr>
        <w:t xml:space="preserve">, </w:t>
      </w:r>
      <w:r w:rsidRPr="000900AD">
        <w:rPr>
          <w:rFonts w:cs="Calibri"/>
          <w:i/>
          <w:iCs/>
        </w:rPr>
        <w:t>12</w:t>
      </w:r>
      <w:r w:rsidRPr="000900AD">
        <w:rPr>
          <w:rFonts w:cs="Calibri"/>
        </w:rPr>
        <w:t>(3), 401–417. https://doi.org/10.1108/JIABR-05-2020-0171</w:t>
      </w:r>
    </w:p>
    <w:p w14:paraId="7B138581" w14:textId="77777777" w:rsidR="000900AD" w:rsidRPr="000900AD" w:rsidRDefault="000900AD" w:rsidP="008847ED">
      <w:pPr>
        <w:pStyle w:val="ListParagraph"/>
        <w:widowControl w:val="0"/>
        <w:numPr>
          <w:ilvl w:val="0"/>
          <w:numId w:val="33"/>
        </w:numPr>
        <w:adjustRightInd w:val="0"/>
        <w:ind w:left="1276" w:hanging="502"/>
        <w:jc w:val="both"/>
        <w:rPr>
          <w:rFonts w:cs="Calibri"/>
        </w:rPr>
      </w:pPr>
      <w:r w:rsidRPr="000900AD">
        <w:rPr>
          <w:rFonts w:cs="Calibri"/>
        </w:rPr>
        <w:t xml:space="preserve">Yusuf, M., Dasawaty, E. S., Esra, M. A., Apriwenni, P., Meiden, C., &amp; Fahlevi, M. (2024). Integrated reporting, corporate governance, and financial sustainability in Islamic banking. </w:t>
      </w:r>
      <w:r w:rsidRPr="000900AD">
        <w:rPr>
          <w:rFonts w:cs="Calibri"/>
          <w:i/>
          <w:iCs/>
        </w:rPr>
        <w:t>Uncertain Supply Chain Management</w:t>
      </w:r>
      <w:r w:rsidRPr="000900AD">
        <w:rPr>
          <w:rFonts w:cs="Calibri"/>
        </w:rPr>
        <w:t xml:space="preserve">, </w:t>
      </w:r>
      <w:r w:rsidRPr="000900AD">
        <w:rPr>
          <w:rFonts w:cs="Calibri"/>
          <w:i/>
          <w:iCs/>
        </w:rPr>
        <w:t>12</w:t>
      </w:r>
      <w:r w:rsidRPr="000900AD">
        <w:rPr>
          <w:rFonts w:cs="Calibri"/>
        </w:rPr>
        <w:t>(1), 273–290. https://doi.org/10.5267/j.uscm.2023.9.022</w:t>
      </w:r>
    </w:p>
    <w:p w14:paraId="3C56DC31" w14:textId="7DB7DC7B" w:rsidR="006538D6" w:rsidRPr="00E810D4" w:rsidRDefault="00804B31" w:rsidP="008847ED">
      <w:pPr>
        <w:pStyle w:val="ListParagraph"/>
        <w:spacing w:before="120" w:after="120" w:line="240" w:lineRule="auto"/>
        <w:ind w:left="1276" w:right="-1" w:hanging="502"/>
        <w:contextualSpacing w:val="0"/>
        <w:jc w:val="both"/>
        <w:rPr>
          <w:rFonts w:ascii="Calibri Light" w:hAnsi="Calibri Light" w:cs="Calibri Light"/>
          <w:color w:val="A6A6A6"/>
          <w:sz w:val="24"/>
          <w:szCs w:val="24"/>
        </w:rPr>
      </w:pPr>
      <w:r>
        <w:rPr>
          <w:rFonts w:ascii="Calibri Light" w:hAnsi="Calibri Light" w:cs="Calibri Light"/>
          <w:color w:val="A6A6A6"/>
          <w:sz w:val="24"/>
          <w:szCs w:val="24"/>
        </w:rPr>
        <w:fldChar w:fldCharType="end"/>
      </w:r>
    </w:p>
    <w:sectPr w:rsidR="006538D6" w:rsidRPr="00E810D4" w:rsidSect="007816FC">
      <w:headerReference w:type="even" r:id="rId26"/>
      <w:headerReference w:type="default" r:id="rId27"/>
      <w:footerReference w:type="even" r:id="rId28"/>
      <w:footerReference w:type="default" r:id="rId29"/>
      <w:headerReference w:type="first" r:id="rId30"/>
      <w:footerReference w:type="first" r:id="rId31"/>
      <w:pgSz w:w="11907" w:h="16840" w:code="9"/>
      <w:pgMar w:top="1418" w:right="1418" w:bottom="1418" w:left="1418" w:header="720" w:footer="720" w:gutter="0"/>
      <w:pgNumType w:start="1"/>
      <w:cols w:space="720"/>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comment w:id="0" w:author="RA" w:date="2025-06-05T11:40:00Z" w:initials="RA">
    <w:p w14:paraId="24CCB9AD" w14:textId="0140BAA8" w:rsidR="00954B9B" w:rsidRDefault="00954B9B">
      <w:pPr>
        <w:pStyle w:val="CommentText"/>
      </w:pPr>
      <w:r>
        <w:rPr>
          <w:rStyle w:val="CommentReference"/>
        </w:rPr>
        <w:annotationRef/>
      </w:r>
      <w:r w:rsidRPr="00954B9B">
        <w:t>Specific the phase/focus (e.g., "Basel III to IV" or "Risk-Based Capital Requirements").</w:t>
      </w:r>
    </w:p>
  </w:comment>
  <w:comment w:id="1" w:author="RA" w:date="2025-06-05T11:49:00Z" w:initials="RA">
    <w:p w14:paraId="5CFE5D63" w14:textId="00A1A812" w:rsidR="00F4322E" w:rsidRDefault="00F4322E">
      <w:pPr>
        <w:pStyle w:val="CommentText"/>
      </w:pPr>
      <w:r>
        <w:rPr>
          <w:rStyle w:val="CommentReference"/>
        </w:rPr>
        <w:annotationRef/>
      </w:r>
      <w:r w:rsidRPr="00F4322E">
        <w:t>Bibliometrics must answer: Who (most influential authors/countries)? What (dominant themes)? Where (geographic gaps)? How (methods of analysis used in the literature)?</w:t>
      </w:r>
    </w:p>
  </w:comment>
  <w:comment w:id="2" w:author="RA" w:date="2025-06-05T11:47:00Z" w:initials="RA">
    <w:p w14:paraId="2F7F0691" w14:textId="151D50A0" w:rsidR="00F4322E" w:rsidRDefault="00F4322E">
      <w:pPr>
        <w:pStyle w:val="CommentText"/>
      </w:pPr>
      <w:r>
        <w:rPr>
          <w:rStyle w:val="CommentReference"/>
        </w:rPr>
        <w:annotationRef/>
      </w:r>
      <w:r w:rsidRPr="00F4322E">
        <w:t>Less specific on the thematic clusters found. Give examples, for example the analysis reveals 3 main clusters: (1) the impact of Basel III on Islamic bank capital adequacy, (2) challenges of Islamic compliance, and (3) integration of liquidity risk.</w:t>
      </w:r>
    </w:p>
  </w:comment>
  <w:comment w:id="3" w:author="RA" w:date="2025-06-05T11:41:00Z" w:initials="RA">
    <w:p w14:paraId="3E1FB530" w14:textId="057E7D28" w:rsidR="00954B9B" w:rsidRDefault="00954B9B">
      <w:pPr>
        <w:pStyle w:val="CommentText"/>
      </w:pPr>
      <w:r>
        <w:rPr>
          <w:rStyle w:val="CommentReference"/>
        </w:rPr>
        <w:annotationRef/>
      </w:r>
      <w:r w:rsidRPr="00954B9B">
        <w:t>Do not provide theoretical definitions in the abstract but directly relate them to your research theme.</w:t>
      </w:r>
    </w:p>
  </w:comment>
  <w:comment w:id="4" w:author="RA" w:date="2025-06-05T12:10:00Z" w:initials="RA">
    <w:p w14:paraId="52E75746" w14:textId="10BA7861" w:rsidR="00DA1969" w:rsidRDefault="00DA1969">
      <w:pPr>
        <w:pStyle w:val="CommentText"/>
      </w:pPr>
      <w:r>
        <w:rPr>
          <w:rStyle w:val="CommentReference"/>
        </w:rPr>
        <w:annotationRef/>
      </w:r>
      <w:r w:rsidRPr="00DA1969">
        <w:t>Make sure the introduction contains the background of the problem, theoretical studies and at least 5 previous studies that have a similar theme.</w:t>
      </w:r>
    </w:p>
  </w:comment>
  <w:comment w:id="5" w:author="RA" w:date="2025-06-05T11:57:00Z" w:initials="RA">
    <w:p w14:paraId="41B88041" w14:textId="6AF77CA0" w:rsidR="00CA4275" w:rsidRDefault="00CA4275">
      <w:pPr>
        <w:pStyle w:val="CommentText"/>
      </w:pPr>
      <w:r>
        <w:rPr>
          <w:rStyle w:val="CommentReference"/>
        </w:rPr>
        <w:annotationRef/>
      </w:r>
      <w:r w:rsidRPr="00CA4275">
        <w:t>Connect directly to the Basel regulatory challenges</w:t>
      </w:r>
    </w:p>
  </w:comment>
  <w:comment w:id="6" w:author="RA" w:date="2025-06-05T12:03:00Z" w:initials="RA">
    <w:p w14:paraId="68676922" w14:textId="5EC05EFB" w:rsidR="003E6CBB" w:rsidRDefault="003E6CBB">
      <w:pPr>
        <w:pStyle w:val="CommentText"/>
      </w:pPr>
      <w:r>
        <w:rPr>
          <w:rStyle w:val="CommentReference"/>
        </w:rPr>
        <w:annotationRef/>
      </w:r>
      <w:r w:rsidRPr="003E6CBB">
        <w:t xml:space="preserve">Can you clarify how this interest-based model creates a discrepancy with sharia principles? Is there a discrepancy in calculating default risk on </w:t>
      </w:r>
      <w:proofErr w:type="spellStart"/>
      <w:r w:rsidRPr="003E6CBB">
        <w:t>mudharabah</w:t>
      </w:r>
      <w:proofErr w:type="spellEnd"/>
      <w:r w:rsidRPr="003E6CBB">
        <w:t xml:space="preserve"> instruments or other reasons?</w:t>
      </w:r>
    </w:p>
  </w:comment>
  <w:comment w:id="7" w:author="RA" w:date="2025-06-05T12:06:00Z" w:initials="RA">
    <w:p w14:paraId="745E72EC" w14:textId="1B9EE7D6" w:rsidR="00DA1969" w:rsidRDefault="00DA1969">
      <w:pPr>
        <w:pStyle w:val="CommentText"/>
      </w:pPr>
      <w:r>
        <w:rPr>
          <w:rStyle w:val="CommentReference"/>
        </w:rPr>
        <w:annotationRef/>
      </w:r>
      <w:r w:rsidRPr="00DA1969">
        <w:t>Consider clarifying the original contribution of this study compared to previous studies, what makes it different?</w:t>
      </w:r>
    </w:p>
  </w:comment>
  <w:comment w:id="8" w:author="RA" w:date="2025-06-05T12:21:00Z" w:initials="RA">
    <w:p w14:paraId="6DF713D0" w14:textId="52D87F98" w:rsidR="006527D4" w:rsidRDefault="006527D4">
      <w:pPr>
        <w:pStyle w:val="CommentText"/>
      </w:pPr>
      <w:r>
        <w:rPr>
          <w:rStyle w:val="CommentReference"/>
        </w:rPr>
        <w:annotationRef/>
      </w:r>
      <w:r w:rsidRPr="006527D4">
        <w:t>Are only peer-reviewed journals enough? What about regulator reports (e.g., IFSB or Bank Indonesia)?</w:t>
      </w:r>
    </w:p>
  </w:comment>
  <w:comment w:id="9" w:author="RA" w:date="2025-06-05T12:23:00Z" w:initials="RA">
    <w:p w14:paraId="2527E780" w14:textId="3503776F" w:rsidR="005C6309" w:rsidRDefault="005C6309">
      <w:pPr>
        <w:pStyle w:val="CommentText"/>
      </w:pPr>
      <w:r>
        <w:rPr>
          <w:rStyle w:val="CommentReference"/>
        </w:rPr>
        <w:annotationRef/>
      </w:r>
      <w:r w:rsidRPr="005C6309">
        <w:t>Put the complete code in an attachment, not in the main text, to avoid complications.</w:t>
      </w:r>
    </w:p>
  </w:comment>
  <w:comment w:id="10" w:author="RA" w:date="2025-06-05T12:24:00Z" w:initials="RA">
    <w:p w14:paraId="70D5F9A4" w14:textId="641961FC" w:rsidR="005C6309" w:rsidRDefault="005C6309">
      <w:pPr>
        <w:pStyle w:val="CommentText"/>
      </w:pPr>
      <w:r>
        <w:rPr>
          <w:rStyle w:val="CommentReference"/>
        </w:rPr>
        <w:annotationRef/>
      </w:r>
      <w:r w:rsidRPr="005C6309">
        <w:t>The code in the chart should be removed, and the findings presented directly. From that code, if inputted, it will produce publications of any year, and it also applies to Language and subject area. So instead of writing the code, but directly the results</w:t>
      </w:r>
    </w:p>
  </w:comment>
  <w:comment w:id="15" w:author="RA" w:date="2025-06-05T17:18:00Z" w:initials="RA">
    <w:p w14:paraId="2BACDE32" w14:textId="6C7FE47E" w:rsidR="00ED5DCF" w:rsidRDefault="00ED5DCF">
      <w:pPr>
        <w:pStyle w:val="CommentText"/>
      </w:pPr>
      <w:r>
        <w:rPr>
          <w:rStyle w:val="CommentReference"/>
        </w:rPr>
        <w:annotationRef/>
      </w:r>
      <w:r w:rsidRPr="00ED5DCF">
        <w:t>Correlation does not necessarily imply causation. Add evidence (e.g., cite regulators or researchers) linking the 2020 spike to Basel III.</w:t>
      </w:r>
    </w:p>
  </w:comment>
  <w:comment w:id="16" w:author="RA" w:date="2025-06-05T17:27:00Z" w:initials="RA">
    <w:p w14:paraId="111D9901" w14:textId="48CF911D" w:rsidR="00564E9B" w:rsidRDefault="00564E9B">
      <w:pPr>
        <w:pStyle w:val="CommentText"/>
      </w:pPr>
      <w:r>
        <w:rPr>
          <w:rStyle w:val="CommentReference"/>
        </w:rPr>
        <w:annotationRef/>
      </w:r>
      <w:r>
        <w:rPr>
          <w:rStyle w:val="rynqvb"/>
          <w:lang w:val="en"/>
        </w:rPr>
        <w:t>Is "influence" measured by the number of publications (productivity) or the number of citations (impact)?</w:t>
      </w:r>
      <w:r>
        <w:rPr>
          <w:rStyle w:val="hwtze"/>
          <w:lang w:val="en"/>
        </w:rPr>
        <w:t xml:space="preserve"> </w:t>
      </w:r>
      <w:r>
        <w:rPr>
          <w:rStyle w:val="rynqvb"/>
          <w:lang w:val="en"/>
        </w:rPr>
        <w:t>Both have different implications.</w:t>
      </w:r>
    </w:p>
  </w:comment>
  <w:comment w:id="17" w:author="RA" w:date="2025-06-05T17:28:00Z" w:initials="RA">
    <w:p w14:paraId="55A685EF" w14:textId="369D1F42" w:rsidR="00564E9B" w:rsidRDefault="00564E9B">
      <w:pPr>
        <w:pStyle w:val="CommentText"/>
      </w:pPr>
      <w:r>
        <w:rPr>
          <w:rStyle w:val="CommentReference"/>
        </w:rPr>
        <w:annotationRef/>
      </w:r>
      <w:r w:rsidRPr="00564E9B">
        <w:t xml:space="preserve">Author-Journal Aggregate Analysis, </w:t>
      </w:r>
      <w:proofErr w:type="gramStart"/>
      <w:r w:rsidRPr="00564E9B">
        <w:t>Includes</w:t>
      </w:r>
      <w:proofErr w:type="gramEnd"/>
      <w:r w:rsidRPr="00564E9B">
        <w:t xml:space="preserve"> a table mapping the most productive authors to the journals in which they publish.</w:t>
      </w:r>
    </w:p>
  </w:comment>
  <w:comment w:id="18" w:author="RA" w:date="2025-06-05T12:37:00Z" w:initials="RA">
    <w:p w14:paraId="5E6A9933" w14:textId="45AEE4DF" w:rsidR="00817086" w:rsidRDefault="00817086">
      <w:pPr>
        <w:pStyle w:val="CommentText"/>
      </w:pPr>
      <w:r>
        <w:rPr>
          <w:rStyle w:val="CommentReference"/>
        </w:rPr>
        <w:annotationRef/>
      </w:r>
      <w:r>
        <w:rPr>
          <w:rStyle w:val="rynqvb"/>
          <w:lang w:val="en"/>
        </w:rPr>
        <w:t>Mention examples of policies of each country, such as in Indonesia Bank Indonesia Regulation that encourage research.</w:t>
      </w:r>
    </w:p>
  </w:comment>
  <w:comment w:id="20" w:author="RA" w:date="2025-06-05T12:40:00Z" w:initials="RA">
    <w:p w14:paraId="1911910D" w14:textId="42776CA4" w:rsidR="00117FCE" w:rsidRDefault="00117FCE">
      <w:pPr>
        <w:pStyle w:val="CommentText"/>
      </w:pPr>
      <w:r>
        <w:rPr>
          <w:rStyle w:val="CommentReference"/>
        </w:rPr>
        <w:annotationRef/>
      </w:r>
      <w:r w:rsidRPr="00117FCE">
        <w:t>Your discussion is too short, elaborate the discussion in 5 pages or more. Add a historical overview of the evolution of academic responses to Basel (1990s: rejection, 2000s: adaptation, 2020s: integration). Also discuss why bibliometrics may not be sufficient to capture the complexity of the policy issue, and the need for qualitative studies (regulator interviews) or quantitative simulations. Create one or two sub-chapters on this discussion.</w:t>
      </w:r>
    </w:p>
  </w:comment>
  <w:comment w:id="21" w:author="RA" w:date="2025-06-06T04:55:00Z" w:initials="RA">
    <w:p w14:paraId="0EED58DA" w14:textId="6E13B28D" w:rsidR="00EE6C25" w:rsidRDefault="00EE6C25">
      <w:pPr>
        <w:pStyle w:val="CommentText"/>
      </w:pPr>
      <w:r>
        <w:rPr>
          <w:rStyle w:val="CommentReference"/>
        </w:rPr>
        <w:annotationRef/>
      </w:r>
      <w:r w:rsidRPr="00EE6C25">
        <w:t>The discussion is too short, the discussion should provide a correlation analysis between the findings and the theory, so each finding is discussed again. In terms of format, the findings are written in 13 pages, so the discussion should also be discussed in 13 pages or more.</w:t>
      </w:r>
    </w:p>
  </w:comment>
  <w:comment w:id="22" w:author="RA" w:date="2025-06-05T12:38:00Z" w:initials="RA">
    <w:p w14:paraId="51B838DF" w14:textId="287B30F3" w:rsidR="00117FCE" w:rsidRDefault="00117FCE">
      <w:pPr>
        <w:pStyle w:val="CommentText"/>
      </w:pPr>
      <w:r>
        <w:rPr>
          <w:rStyle w:val="CommentReference"/>
        </w:rPr>
        <w:annotationRef/>
      </w:r>
      <w:r w:rsidRPr="00117FCE">
        <w:t>Why are non-Muslim countries interested? Is it for market expansion or purely academic? How are the findings of this comparative study adopted by regulators?</w:t>
      </w:r>
    </w:p>
  </w:comment>
  <w:comment w:id="23" w:author="RA" w:date="2025-06-05T17:34:00Z" w:initials="RA">
    <w:p w14:paraId="36A1F46E" w14:textId="2A4EC9F3" w:rsidR="00FA4B17" w:rsidRDefault="00FA4B17">
      <w:pPr>
        <w:pStyle w:val="CommentText"/>
      </w:pPr>
      <w:r>
        <w:rPr>
          <w:rStyle w:val="CommentReference"/>
        </w:rPr>
        <w:annotationRef/>
      </w:r>
      <w:r w:rsidRPr="00FA4B17">
        <w:t>Explain why Western countries have contributed less, whether due to a lack of regulatory incentives or small Islamic financial markets.</w:t>
      </w:r>
    </w:p>
  </w:comment>
  <w:comment w:id="24" w:author="RA" w:date="2025-06-05T17:36:00Z" w:initials="RA">
    <w:p w14:paraId="1FEC1F6B" w14:textId="1CF40E34" w:rsidR="00774469" w:rsidRDefault="00774469">
      <w:pPr>
        <w:pStyle w:val="CommentText"/>
      </w:pPr>
      <w:r>
        <w:rPr>
          <w:rStyle w:val="CommentReference"/>
        </w:rPr>
        <w:annotationRef/>
      </w:r>
      <w:r w:rsidRPr="00774469">
        <w:t>Good reference</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commentEx w15:paraId="24CCB9AD" w15:done="0"/>
  <w15:commentEx w15:paraId="5CFE5D63" w15:done="0"/>
  <w15:commentEx w15:paraId="2F7F0691" w15:done="0"/>
  <w15:commentEx w15:paraId="3E1FB530" w15:done="0"/>
  <w15:commentEx w15:paraId="52E75746" w15:done="0"/>
  <w15:commentEx w15:paraId="41B88041" w15:done="0"/>
  <w15:commentEx w15:paraId="68676922" w15:done="0"/>
  <w15:commentEx w15:paraId="745E72EC" w15:done="0"/>
  <w15:commentEx w15:paraId="6DF713D0" w15:done="0"/>
  <w15:commentEx w15:paraId="2527E780" w15:done="0"/>
  <w15:commentEx w15:paraId="70D5F9A4" w15:done="0"/>
  <w15:commentEx w15:paraId="2BACDE32" w15:done="0"/>
  <w15:commentEx w15:paraId="111D9901" w15:done="0"/>
  <w15:commentEx w15:paraId="55A685EF" w15:done="0"/>
  <w15:commentEx w15:paraId="5E6A9933" w15:done="0"/>
  <w15:commentEx w15:paraId="1911910D" w15:done="0"/>
  <w15:commentEx w15:paraId="0EED58DA" w15:done="0"/>
  <w15:commentEx w15:paraId="51B838DF" w15:done="0"/>
  <w15:commentEx w15:paraId="36A1F46E" w15:done="0"/>
  <w15:commentEx w15:paraId="1FEC1F6B"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cr w16du wp14">
  <w16cex:commentExtensible w16cex:durableId="7D1A59BF" w16cex:dateUtc="2025-06-05T04:40:00Z"/>
  <w16cex:commentExtensible w16cex:durableId="69C4DAAD" w16cex:dateUtc="2025-06-05T04:49:00Z"/>
  <w16cex:commentExtensible w16cex:durableId="2FB31557" w16cex:dateUtc="2025-06-05T04:47:00Z"/>
  <w16cex:commentExtensible w16cex:durableId="586E948F" w16cex:dateUtc="2025-06-05T04:41:00Z"/>
  <w16cex:commentExtensible w16cex:durableId="798B9BA1" w16cex:dateUtc="2025-06-05T05:10:00Z"/>
  <w16cex:commentExtensible w16cex:durableId="635DC567" w16cex:dateUtc="2025-06-05T04:57:00Z"/>
  <w16cex:commentExtensible w16cex:durableId="116B8CF8" w16cex:dateUtc="2025-06-05T05:03:00Z"/>
  <w16cex:commentExtensible w16cex:durableId="4691CB7B" w16cex:dateUtc="2025-06-05T05:06:00Z"/>
  <w16cex:commentExtensible w16cex:durableId="62764AF7" w16cex:dateUtc="2025-06-05T05:21:00Z"/>
  <w16cex:commentExtensible w16cex:durableId="714D63C0" w16cex:dateUtc="2025-06-05T05:23:00Z"/>
  <w16cex:commentExtensible w16cex:durableId="2F0FDC8A" w16cex:dateUtc="2025-06-05T05:24:00Z"/>
  <w16cex:commentExtensible w16cex:durableId="4406C466" w16cex:dateUtc="2025-06-05T10:18:00Z"/>
  <w16cex:commentExtensible w16cex:durableId="521B738F" w16cex:dateUtc="2025-06-05T10:27:00Z"/>
  <w16cex:commentExtensible w16cex:durableId="2E00D12F" w16cex:dateUtc="2025-06-05T10:28:00Z"/>
  <w16cex:commentExtensible w16cex:durableId="0B3C74AC" w16cex:dateUtc="2025-06-05T05:37:00Z"/>
  <w16cex:commentExtensible w16cex:durableId="4E810A22" w16cex:dateUtc="2025-06-05T05:40:00Z"/>
  <w16cex:commentExtensible w16cex:durableId="10C707A6" w16cex:dateUtc="2025-06-05T21:55:00Z"/>
  <w16cex:commentExtensible w16cex:durableId="2D7B9AA8" w16cex:dateUtc="2025-06-05T05:38:00Z"/>
  <w16cex:commentExtensible w16cex:durableId="57A39198" w16cex:dateUtc="2025-06-05T10:34:00Z"/>
  <w16cex:commentExtensible w16cex:durableId="2D31D0DD" w16cex:dateUtc="2025-06-05T10:36: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6cid:commentId w16cid:paraId="24CCB9AD" w16cid:durableId="7D1A59BF"/>
  <w16cid:commentId w16cid:paraId="5CFE5D63" w16cid:durableId="69C4DAAD"/>
  <w16cid:commentId w16cid:paraId="2F7F0691" w16cid:durableId="2FB31557"/>
  <w16cid:commentId w16cid:paraId="3E1FB530" w16cid:durableId="586E948F"/>
  <w16cid:commentId w16cid:paraId="52E75746" w16cid:durableId="798B9BA1"/>
  <w16cid:commentId w16cid:paraId="41B88041" w16cid:durableId="635DC567"/>
  <w16cid:commentId w16cid:paraId="68676922" w16cid:durableId="116B8CF8"/>
  <w16cid:commentId w16cid:paraId="745E72EC" w16cid:durableId="4691CB7B"/>
  <w16cid:commentId w16cid:paraId="6DF713D0" w16cid:durableId="62764AF7"/>
  <w16cid:commentId w16cid:paraId="2527E780" w16cid:durableId="714D63C0"/>
  <w16cid:commentId w16cid:paraId="70D5F9A4" w16cid:durableId="2F0FDC8A"/>
  <w16cid:commentId w16cid:paraId="2BACDE32" w16cid:durableId="4406C466"/>
  <w16cid:commentId w16cid:paraId="111D9901" w16cid:durableId="521B738F"/>
  <w16cid:commentId w16cid:paraId="55A685EF" w16cid:durableId="2E00D12F"/>
  <w16cid:commentId w16cid:paraId="5E6A9933" w16cid:durableId="0B3C74AC"/>
  <w16cid:commentId w16cid:paraId="1911910D" w16cid:durableId="4E810A22"/>
  <w16cid:commentId w16cid:paraId="0EED58DA" w16cid:durableId="10C707A6"/>
  <w16cid:commentId w16cid:paraId="51B838DF" w16cid:durableId="2D7B9AA8"/>
  <w16cid:commentId w16cid:paraId="36A1F46E" w16cid:durableId="57A39198"/>
  <w16cid:commentId w16cid:paraId="1FEC1F6B" w16cid:durableId="2D31D0DD"/>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104941E" w14:textId="77777777" w:rsidR="00873865" w:rsidRDefault="00873865">
      <w:r>
        <w:separator/>
      </w:r>
    </w:p>
  </w:endnote>
  <w:endnote w:type="continuationSeparator" w:id="0">
    <w:p w14:paraId="3857AA66" w14:textId="77777777" w:rsidR="00873865" w:rsidRDefault="0087386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aramond">
    <w:altName w:val="Garamond"/>
    <w:panose1 w:val="02020404030301010803"/>
    <w:charset w:val="00"/>
    <w:family w:val="roman"/>
    <w:pitch w:val="variable"/>
    <w:sig w:usb0="00000287" w:usb1="00000000" w:usb2="00000000" w:usb3="00000000" w:csb0="0000009F" w:csb1="00000000"/>
  </w:font>
  <w:font w:name="Tahoma">
    <w:altName w:val="Tahoma"/>
    <w:panose1 w:val="020B0604030504040204"/>
    <w:charset w:val="00"/>
    <w:family w:val="swiss"/>
    <w:pitch w:val="variable"/>
    <w:sig w:usb0="E1002EFF" w:usb1="C000605B" w:usb2="00000029" w:usb3="00000000" w:csb0="000101FF" w:csb1="00000000"/>
  </w:font>
  <w:font w:name="Courier New">
    <w:panose1 w:val="02070309020205020404"/>
    <w:charset w:val="00"/>
    <w:family w:val="modern"/>
    <w:pitch w:val="fixed"/>
    <w:sig w:usb0="E0002EFF" w:usb1="C0007843" w:usb2="00000009" w:usb3="00000000" w:csb0="000001FF" w:csb1="00000000"/>
  </w:font>
  <w:font w:name="Traditional Arabic">
    <w:panose1 w:val="02020603050405020304"/>
    <w:charset w:val="00"/>
    <w:family w:val="roman"/>
    <w:pitch w:val="variable"/>
    <w:sig w:usb0="00002003" w:usb1="80000000" w:usb2="00000008" w:usb3="00000000" w:csb0="00000041" w:csb1="00000000"/>
  </w:font>
  <w:font w:name="Calibri Light">
    <w:panose1 w:val="020F03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739E8C" w14:textId="0DB08A09" w:rsidR="00122F5F" w:rsidRPr="00540F02" w:rsidRDefault="005742A6" w:rsidP="00122F5F">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5168" behindDoc="0" locked="0" layoutInCell="1" allowOverlap="1" wp14:anchorId="5A8E2A0A" wp14:editId="019008DC">
              <wp:simplePos x="0" y="0"/>
              <wp:positionH relativeFrom="column">
                <wp:posOffset>5151755</wp:posOffset>
              </wp:positionH>
              <wp:positionV relativeFrom="paragraph">
                <wp:posOffset>-64770</wp:posOffset>
              </wp:positionV>
              <wp:extent cx="619760" cy="278130"/>
              <wp:effectExtent l="13335" t="7620" r="5080" b="9525"/>
              <wp:wrapNone/>
              <wp:docPr id="744241138"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1F8B5CE7"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E2A0A" id="Rectangle 7" o:spid="_x0000_s1045" style="position:absolute;margin-left:405.65pt;margin-top:-5.1pt;width:48.8pt;height:21.9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SvqEwIAACc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STxbtzZQXUiXREGt9LvokUL+IOznpxacv99L1BxZj5Y6s0yn06jtVMwnd1MKMDrzO46I6wkqJIH&#10;zoblJgzfYe9QNy29lCc1LNxRP2udtH5hdaZPbkwtOP+caPfrOJ16+d/r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yyEr6hMCAAAnBAAADgAAAAAAAAAAAAAAAAAuAgAAZHJzL2Uyb0RvYy54bWxQSwECLQAUAAYACAAA&#10;ACEAGzK6398AAAAKAQAADwAAAAAAAAAAAAAAAABtBAAAZHJzL2Rvd25yZXYueG1sUEsFBgAAAAAE&#10;AAQA8wAAAHkFAAAAAA==&#10;" strokecolor="white">
              <v:textbox>
                <w:txbxContent>
                  <w:p w14:paraId="1F8B5CE7" w14:textId="77777777" w:rsidR="00122F5F" w:rsidRPr="00122F5F" w:rsidRDefault="00122F5F" w:rsidP="00122F5F">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122F5F" w:rsidRPr="00540F02">
      <w:rPr>
        <w:rFonts w:ascii="Calibri Light" w:hAnsi="Calibri Light" w:cs="Calibri Light"/>
        <w:sz w:val="16"/>
        <w:szCs w:val="16"/>
      </w:rPr>
      <w:t>International Journal Law and Society</w:t>
    </w:r>
  </w:p>
  <w:p w14:paraId="5996402B" w14:textId="77777777" w:rsidR="00965E3F" w:rsidRPr="00540F02" w:rsidRDefault="00122F5F" w:rsidP="00122F5F">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proofErr w:type="gramStart"/>
    <w:r w:rsidRPr="00540F02">
      <w:rPr>
        <w:rFonts w:ascii="Calibri Light" w:hAnsi="Calibri Light" w:cs="Calibri Light"/>
        <w:sz w:val="16"/>
        <w:szCs w:val="16"/>
      </w:rPr>
      <w:t>….-</w:t>
    </w:r>
    <w:proofErr w:type="gramEnd"/>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2BFFC6F" w14:textId="48FD8C49" w:rsidR="0008220C" w:rsidRPr="00540F02" w:rsidRDefault="005742A6" w:rsidP="0008220C">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63360" behindDoc="0" locked="0" layoutInCell="1" allowOverlap="1" wp14:anchorId="1AEFABBC" wp14:editId="741AF388">
              <wp:simplePos x="0" y="0"/>
              <wp:positionH relativeFrom="column">
                <wp:posOffset>5151755</wp:posOffset>
              </wp:positionH>
              <wp:positionV relativeFrom="paragraph">
                <wp:posOffset>-64770</wp:posOffset>
              </wp:positionV>
              <wp:extent cx="619760" cy="278130"/>
              <wp:effectExtent l="13335" t="7620" r="5080" b="9525"/>
              <wp:wrapNone/>
              <wp:docPr id="774966785"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4E0E0D54"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EFABBC" id="_x0000_s1046" style="position:absolute;margin-left:405.65pt;margin-top:-5.1pt;width:48.8pt;height:21.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a2/eBhMCAAAnBAAADgAAAAAAAAAAAAAAAAAuAgAAZHJzL2Uyb0RvYy54bWxQSwECLQAUAAYACAAA&#10;ACEAGzK6398AAAAKAQAADwAAAAAAAAAAAAAAAABtBAAAZHJzL2Rvd25yZXYueG1sUEsFBgAAAAAE&#10;AAQA8wAAAHkFAAAAAA==&#10;" strokecolor="white">
              <v:textbox>
                <w:txbxContent>
                  <w:p w14:paraId="4E0E0D54" w14:textId="77777777" w:rsidR="0008220C" w:rsidRPr="00122F5F" w:rsidRDefault="0008220C" w:rsidP="0008220C">
                    <w:pPr>
                      <w:jc w:val="center"/>
                      <w:rPr>
                        <w:rFonts w:ascii="Calibri" w:hAnsi="Calibri" w:cs="Calibri"/>
                        <w:sz w:val="16"/>
                        <w:szCs w:val="16"/>
                      </w:rPr>
                    </w:pPr>
                    <w:r w:rsidRPr="00122F5F">
                      <w:rPr>
                        <w:rFonts w:ascii="Calibri" w:hAnsi="Calibri" w:cs="Calibri"/>
                        <w:sz w:val="16"/>
                        <w:szCs w:val="16"/>
                      </w:rPr>
                      <w:t>2022</w:t>
                    </w:r>
                  </w:p>
                </w:txbxContent>
              </v:textbox>
            </v:rect>
          </w:pict>
        </mc:Fallback>
      </mc:AlternateContent>
    </w:r>
    <w:r w:rsidR="0008220C" w:rsidRPr="00540F02">
      <w:rPr>
        <w:rFonts w:ascii="Calibri Light" w:hAnsi="Calibri Light" w:cs="Calibri Light"/>
        <w:sz w:val="16"/>
        <w:szCs w:val="16"/>
      </w:rPr>
      <w:t>International Journal Law and Society</w:t>
    </w:r>
  </w:p>
  <w:p w14:paraId="2A44180D" w14:textId="77777777" w:rsidR="00AA4AE4" w:rsidRPr="0008220C" w:rsidRDefault="0008220C" w:rsidP="0008220C">
    <w:pPr>
      <w:pStyle w:val="Footer"/>
      <w:ind w:right="357"/>
      <w:rPr>
        <w:rFonts w:ascii="Calibri Light" w:hAnsi="Calibri Light" w:cs="Calibri Light"/>
        <w:sz w:val="16"/>
        <w:szCs w:val="16"/>
      </w:rPr>
    </w:pPr>
    <w:r w:rsidRPr="00540F02">
      <w:rPr>
        <w:rFonts w:ascii="Calibri Light" w:hAnsi="Calibri Light" w:cs="Calibri Light"/>
        <w:sz w:val="16"/>
        <w:szCs w:val="16"/>
      </w:rPr>
      <w:t xml:space="preserve">E-ISSN: </w:t>
    </w:r>
    <w:proofErr w:type="gramStart"/>
    <w:r w:rsidRPr="00540F02">
      <w:rPr>
        <w:rFonts w:ascii="Calibri Light" w:hAnsi="Calibri Light" w:cs="Calibri Light"/>
        <w:sz w:val="16"/>
        <w:szCs w:val="16"/>
      </w:rPr>
      <w:t>….-</w:t>
    </w:r>
    <w:proofErr w:type="gramEnd"/>
    <w:r w:rsidRPr="00540F02">
      <w:rPr>
        <w:rFonts w:ascii="Calibri Light" w:hAnsi="Calibri Light" w:cs="Calibri Light"/>
        <w:sz w:val="16"/>
        <w:szCs w:val="16"/>
      </w:rPr>
      <w:t xml:space="preserve">….   </w:t>
    </w:r>
    <w:hyperlink r:id="rId1" w:history="1">
      <w:r w:rsidRPr="00540F02">
        <w:rPr>
          <w:rStyle w:val="Hyperlink"/>
          <w:rFonts w:ascii="Calibri Light" w:hAnsi="Calibri Light" w:cs="Calibri Light"/>
          <w:sz w:val="16"/>
          <w:szCs w:val="16"/>
        </w:rPr>
        <w:t>https://najahaofficial.id/najahajournal/index.php/IJLS/</w:t>
      </w:r>
    </w:hyperlink>
    <w:r w:rsidRPr="00540F02">
      <w:rPr>
        <w:rFonts w:ascii="Calibri Light" w:hAnsi="Calibri Light" w:cs="Calibri Light"/>
        <w:sz w:val="16"/>
        <w:szCs w:val="16"/>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05028D" w14:textId="11B9FBCA" w:rsidR="00965E3F" w:rsidRPr="0008220C" w:rsidRDefault="005742A6" w:rsidP="00FF1D30">
    <w:pPr>
      <w:pStyle w:val="Footer"/>
      <w:ind w:right="357"/>
      <w:rPr>
        <w:rFonts w:ascii="Calibri Light" w:hAnsi="Calibri Light" w:cs="Calibri Light"/>
        <w:sz w:val="16"/>
        <w:szCs w:val="16"/>
      </w:rPr>
    </w:pPr>
    <w:r>
      <w:rPr>
        <w:noProof/>
      </w:rPr>
      <mc:AlternateContent>
        <mc:Choice Requires="wps">
          <w:drawing>
            <wp:anchor distT="0" distB="0" distL="114300" distR="114300" simplePos="0" relativeHeight="251654144" behindDoc="0" locked="0" layoutInCell="1" allowOverlap="1" wp14:anchorId="63D54A80" wp14:editId="18DA8200">
              <wp:simplePos x="0" y="0"/>
              <wp:positionH relativeFrom="column">
                <wp:posOffset>5151755</wp:posOffset>
              </wp:positionH>
              <wp:positionV relativeFrom="paragraph">
                <wp:posOffset>-64770</wp:posOffset>
              </wp:positionV>
              <wp:extent cx="619760" cy="278130"/>
              <wp:effectExtent l="13335" t="7620" r="5080" b="9525"/>
              <wp:wrapNone/>
              <wp:docPr id="548301629"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9760" cy="278130"/>
                      </a:xfrm>
                      <a:prstGeom prst="rect">
                        <a:avLst/>
                      </a:prstGeom>
                      <a:solidFill>
                        <a:srgbClr val="FFFFFF"/>
                      </a:solidFill>
                      <a:ln w="9525">
                        <a:solidFill>
                          <a:srgbClr val="FFFFFF"/>
                        </a:solidFill>
                        <a:miter lim="800000"/>
                        <a:headEnd/>
                        <a:tailEnd/>
                      </a:ln>
                    </wps:spPr>
                    <wps:txbx>
                      <w:txbxContent>
                        <w:p w14:paraId="2AEBF3F7"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D54A80" id="Rectangle 12" o:spid="_x0000_s1050" style="position:absolute;margin-left:405.65pt;margin-top:-5.1pt;width:48.8pt;height:21.9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" strokecolor="white">
              <v:textbox>
                <w:txbxContent>
                  <w:p w14:paraId="2AEBF3F7" w14:textId="77777777" w:rsidR="00122F5F" w:rsidRPr="00540F02" w:rsidRDefault="00122F5F" w:rsidP="00122F5F">
                    <w:pPr>
                      <w:jc w:val="center"/>
                      <w:rPr>
                        <w:rFonts w:ascii="Calibri" w:hAnsi="Calibri" w:cs="Calibri"/>
                        <w:sz w:val="16"/>
                        <w:szCs w:val="16"/>
                      </w:rPr>
                    </w:pPr>
                    <w:r w:rsidRPr="00540F02">
                      <w:rPr>
                        <w:rFonts w:ascii="Calibri" w:hAnsi="Calibri" w:cs="Calibri"/>
                        <w:sz w:val="16"/>
                        <w:szCs w:val="16"/>
                      </w:rPr>
                      <w:t>2022</w:t>
                    </w:r>
                  </w:p>
                </w:txbxContent>
              </v:textbox>
            </v:rect>
          </w:pict>
        </mc:Fallback>
      </mc:AlternateContent>
    </w:r>
    <w:r w:rsidR="00FF1D30" w:rsidRPr="0008220C">
      <w:rPr>
        <w:rFonts w:ascii="Calibri Light" w:hAnsi="Calibri Light" w:cs="Calibri Light"/>
        <w:sz w:val="16"/>
        <w:szCs w:val="16"/>
      </w:rPr>
      <w:t>International Journal Law and Society</w:t>
    </w:r>
  </w:p>
  <w:p w14:paraId="033FA3FB" w14:textId="77777777" w:rsidR="00FF1D30" w:rsidRPr="0008220C" w:rsidRDefault="00FF1D30" w:rsidP="00FF1D30">
    <w:pPr>
      <w:pStyle w:val="Footer"/>
      <w:ind w:right="357"/>
      <w:rPr>
        <w:rFonts w:ascii="Calibri Light" w:hAnsi="Calibri Light" w:cs="Calibri Light"/>
        <w:sz w:val="16"/>
        <w:szCs w:val="16"/>
      </w:rPr>
    </w:pPr>
    <w:r w:rsidRPr="0008220C">
      <w:rPr>
        <w:rFonts w:ascii="Calibri Light" w:hAnsi="Calibri Light" w:cs="Calibri Light"/>
        <w:sz w:val="16"/>
        <w:szCs w:val="16"/>
      </w:rPr>
      <w:t xml:space="preserve">E-ISSN: </w:t>
    </w:r>
    <w:proofErr w:type="gramStart"/>
    <w:r w:rsidRPr="0008220C">
      <w:rPr>
        <w:rFonts w:ascii="Calibri Light" w:hAnsi="Calibri Light" w:cs="Calibri Light"/>
        <w:sz w:val="16"/>
        <w:szCs w:val="16"/>
      </w:rPr>
      <w:t>….-</w:t>
    </w:r>
    <w:proofErr w:type="gramEnd"/>
    <w:r w:rsidRPr="0008220C">
      <w:rPr>
        <w:rFonts w:ascii="Calibri Light" w:hAnsi="Calibri Light" w:cs="Calibri Light"/>
        <w:sz w:val="16"/>
        <w:szCs w:val="16"/>
      </w:rPr>
      <w:t xml:space="preserve">….   </w:t>
    </w:r>
    <w:hyperlink r:id="rId1" w:history="1">
      <w:r w:rsidR="00122F5F" w:rsidRPr="0008220C">
        <w:rPr>
          <w:rStyle w:val="Hyperlink"/>
          <w:rFonts w:ascii="Calibri Light" w:hAnsi="Calibri Light" w:cs="Calibri Light"/>
          <w:sz w:val="16"/>
          <w:szCs w:val="16"/>
        </w:rPr>
        <w:t>https://najahaofficial.id/najahajournal/index.php/IJLS/</w:t>
      </w:r>
    </w:hyperlink>
    <w:r w:rsidR="00122F5F" w:rsidRPr="0008220C">
      <w:rPr>
        <w:rFonts w:ascii="Calibri Light" w:hAnsi="Calibri Light" w:cs="Calibri Light"/>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2932CD9" w14:textId="77777777" w:rsidR="00873865" w:rsidRDefault="00873865">
      <w:r>
        <w:separator/>
      </w:r>
    </w:p>
  </w:footnote>
  <w:footnote w:type="continuationSeparator" w:id="0">
    <w:p w14:paraId="76043CA6" w14:textId="77777777" w:rsidR="00873865" w:rsidRDefault="0087386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1F532E3" w14:textId="5BD93A2C" w:rsidR="00122F5F" w:rsidRDefault="005742A6" w:rsidP="00122F5F">
    <w:pPr>
      <w:pStyle w:val="Header"/>
    </w:pPr>
    <w:r>
      <w:rPr>
        <w:noProof/>
      </w:rPr>
      <mc:AlternateContent>
        <mc:Choice Requires="wps">
          <w:drawing>
            <wp:anchor distT="0" distB="0" distL="114300" distR="114300" simplePos="0" relativeHeight="251656192" behindDoc="1" locked="0" layoutInCell="1" allowOverlap="1" wp14:anchorId="3818EDB0" wp14:editId="73DF62AB">
              <wp:simplePos x="0" y="0"/>
              <wp:positionH relativeFrom="page">
                <wp:posOffset>962025</wp:posOffset>
              </wp:positionH>
              <wp:positionV relativeFrom="page">
                <wp:posOffset>947420</wp:posOffset>
              </wp:positionV>
              <wp:extent cx="1998980" cy="229870"/>
              <wp:effectExtent l="0" t="4445" r="1270" b="3810"/>
              <wp:wrapNone/>
              <wp:docPr id="116642325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83EB3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5E4228E"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818EDB0" id="_x0000_t202" coordsize="21600,21600" o:spt="202" path="m,l,21600r21600,l21600,xe">
              <v:stroke joinstyle="miter"/>
              <v:path gradientshapeok="t" o:connecttype="rect"/>
            </v:shapetype>
            <v:shape id="Text Box 1" o:spid="_x0000_s1039" type="#_x0000_t202" style="position:absolute;margin-left:75.75pt;margin-top:74.6pt;width:157.4pt;height:18.1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" filled="f" stroked="f">
              <v:textbox inset="0,0,0,0">
                <w:txbxContent>
                  <w:p w14:paraId="4E83EB3B" w14:textId="77777777" w:rsidR="00122F5F" w:rsidRPr="00FF1D30" w:rsidRDefault="00122F5F" w:rsidP="00122F5F">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35E4228E" w14:textId="77777777" w:rsidR="00122F5F" w:rsidRPr="00FF1D30" w:rsidRDefault="00122F5F" w:rsidP="00122F5F">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1312" behindDoc="1" locked="0" layoutInCell="1" allowOverlap="1" wp14:anchorId="2F6338ED" wp14:editId="358829CC">
              <wp:simplePos x="0" y="0"/>
              <wp:positionH relativeFrom="page">
                <wp:posOffset>6497955</wp:posOffset>
              </wp:positionH>
              <wp:positionV relativeFrom="page">
                <wp:posOffset>445135</wp:posOffset>
              </wp:positionV>
              <wp:extent cx="231775" cy="177800"/>
              <wp:effectExtent l="1905" t="0" r="4445" b="0"/>
              <wp:wrapNone/>
              <wp:docPr id="199514931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3FEF2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6338ED" id="Text Box 2" o:spid="_x0000_s1040" type="#_x0000_t202" style="position:absolute;margin-left:511.65pt;margin-top:35.05pt;width:18.25pt;height:14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" filled="f" stroked="f">
              <v:textbox inset="0,0,0,0">
                <w:txbxContent>
                  <w:p w14:paraId="233FEF2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7216" behindDoc="1" locked="0" layoutInCell="1" allowOverlap="1" wp14:anchorId="0C8BBA96" wp14:editId="5EA7D5CA">
              <wp:simplePos x="0" y="0"/>
              <wp:positionH relativeFrom="page">
                <wp:posOffset>3143250</wp:posOffset>
              </wp:positionH>
              <wp:positionV relativeFrom="page">
                <wp:posOffset>784860</wp:posOffset>
              </wp:positionV>
              <wp:extent cx="3523615" cy="416560"/>
              <wp:effectExtent l="0" t="3810" r="635" b="0"/>
              <wp:wrapNone/>
              <wp:docPr id="21704940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1F07E1" w14:textId="77777777" w:rsidR="00122F5F" w:rsidRPr="00FF1D30" w:rsidRDefault="00122F5F" w:rsidP="00122F5F">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proofErr w:type="spellStart"/>
                          <w:r>
                            <w:rPr>
                              <w:rFonts w:ascii="Calibri Light" w:hAnsi="Calibri Light" w:cs="Calibri Light"/>
                              <w:sz w:val="18"/>
                            </w:rPr>
                            <w:t>Aljambaky</w:t>
                          </w:r>
                          <w:proofErr w:type="spellEnd"/>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C8BBA96" id="Text Box 3" o:spid="_x0000_s1041" type="#_x0000_t202" style="position:absolute;margin-left:247.5pt;margin-top:61.8pt;width:277.45pt;height:32.8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8S0r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K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ovEtK9sBAACYAwAADgAAAAAAAAAAAAAAAAAuAgAAZHJzL2Uyb0RvYy54bWxQSwECLQAUAAYA&#10;CAAAACEASwSz++EAAAAMAQAADwAAAAAAAAAAAAAAAAA1BAAAZHJzL2Rvd25yZXYueG1sUEsFBgAA&#10;AAAEAAQA8wAAAEMFAAAAAA==&#10;" filled="f" stroked="f">
              <v:textbox inset="0,0,0,0">
                <w:txbxContent>
                  <w:p w14:paraId="6F1F07E1" w14:textId="77777777" w:rsidR="00122F5F" w:rsidRPr="00FF1D30" w:rsidRDefault="00122F5F" w:rsidP="00122F5F">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proofErr w:type="spellStart"/>
                    <w:r>
                      <w:rPr>
                        <w:rFonts w:ascii="Calibri Light" w:hAnsi="Calibri Light" w:cs="Calibri Light"/>
                        <w:sz w:val="18"/>
                      </w:rPr>
                      <w:t>Aljambaky</w:t>
                    </w:r>
                    <w:proofErr w:type="spellEnd"/>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6781C1D7" wp14:editId="11AE7C6B">
          <wp:extent cx="1099185" cy="501015"/>
          <wp:effectExtent l="0" t="0" r="0" b="0"/>
          <wp:docPr id="17082772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1015"/>
                  </a:xfrm>
                  <a:prstGeom prst="rect">
                    <a:avLst/>
                  </a:prstGeom>
                  <a:noFill/>
                  <a:ln>
                    <a:noFill/>
                  </a:ln>
                </pic:spPr>
              </pic:pic>
            </a:graphicData>
          </a:graphic>
        </wp:inline>
      </w:drawing>
    </w:r>
  </w:p>
  <w:p w14:paraId="36ADD042" w14:textId="77777777" w:rsidR="00122F5F" w:rsidRDefault="00122F5F" w:rsidP="00122F5F">
    <w:pPr>
      <w:pStyle w:val="Header"/>
      <w:rPr>
        <w:sz w:val="16"/>
        <w:szCs w:val="16"/>
      </w:rPr>
    </w:pPr>
  </w:p>
  <w:p w14:paraId="451B4ABF" w14:textId="77777777" w:rsidR="00AA4AE4" w:rsidRDefault="00AA4AE4" w:rsidP="00122F5F">
    <w:pPr>
      <w:pStyle w:val="Header"/>
      <w:rPr>
        <w:sz w:val="16"/>
        <w:szCs w:val="16"/>
      </w:rPr>
    </w:pPr>
  </w:p>
  <w:p w14:paraId="430F58E7" w14:textId="77777777" w:rsidR="00122F5F" w:rsidRPr="00122F5F" w:rsidRDefault="00122F5F" w:rsidP="00122F5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AFC2CCE" w14:textId="0F2CD7FB" w:rsidR="00540F02" w:rsidRDefault="005742A6" w:rsidP="00540F02">
    <w:pPr>
      <w:pStyle w:val="Header"/>
    </w:pPr>
    <w:r>
      <w:rPr>
        <w:noProof/>
      </w:rPr>
      <mc:AlternateContent>
        <mc:Choice Requires="wps">
          <w:drawing>
            <wp:anchor distT="0" distB="0" distL="114300" distR="114300" simplePos="0" relativeHeight="251658240" behindDoc="1" locked="0" layoutInCell="1" allowOverlap="1" wp14:anchorId="77F63B88" wp14:editId="71135EE8">
              <wp:simplePos x="0" y="0"/>
              <wp:positionH relativeFrom="page">
                <wp:posOffset>962025</wp:posOffset>
              </wp:positionH>
              <wp:positionV relativeFrom="page">
                <wp:posOffset>947420</wp:posOffset>
              </wp:positionV>
              <wp:extent cx="1998980" cy="229870"/>
              <wp:effectExtent l="0" t="4445" r="1270" b="3810"/>
              <wp:wrapNone/>
              <wp:docPr id="30638155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76A4EB"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0AA1AE21"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F63B88" id="_x0000_t202" coordsize="21600,21600" o:spt="202" path="m,l,21600r21600,l21600,xe">
              <v:stroke joinstyle="miter"/>
              <v:path gradientshapeok="t" o:connecttype="rect"/>
            </v:shapetype>
            <v:shape id="Text Box 4" o:spid="_x0000_s1042" type="#_x0000_t202" style="position:absolute;margin-left:75.75pt;margin-top:74.6pt;width:157.4pt;height:18.1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" filled="f" stroked="f">
              <v:textbox inset="0,0,0,0">
                <w:txbxContent>
                  <w:p w14:paraId="4876A4EB" w14:textId="77777777" w:rsidR="00540F02" w:rsidRPr="00FF1D30" w:rsidRDefault="00540F02" w:rsidP="00540F02">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0AA1AE21" w14:textId="77777777" w:rsidR="00540F02" w:rsidRPr="00FF1D30" w:rsidRDefault="00540F02" w:rsidP="00540F02">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2336" behindDoc="1" locked="0" layoutInCell="1" allowOverlap="1" wp14:anchorId="3C56B5DC" wp14:editId="3D0F1F6F">
              <wp:simplePos x="0" y="0"/>
              <wp:positionH relativeFrom="page">
                <wp:posOffset>6464300</wp:posOffset>
              </wp:positionH>
              <wp:positionV relativeFrom="page">
                <wp:posOffset>467360</wp:posOffset>
              </wp:positionV>
              <wp:extent cx="231775" cy="177800"/>
              <wp:effectExtent l="0" t="635" r="0" b="2540"/>
              <wp:wrapNone/>
              <wp:docPr id="223094246"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BD5B44"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C56B5DC" id="Text Box 5" o:spid="_x0000_s1043" type="#_x0000_t202" style="position:absolute;margin-left:509pt;margin-top:36.8pt;width:18.25pt;height:14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" filled="f" stroked="f">
              <v:textbox inset="0,0,0,0">
                <w:txbxContent>
                  <w:p w14:paraId="19BD5B44" w14:textId="77777777" w:rsidR="0008220C" w:rsidRPr="00540F02" w:rsidRDefault="0008220C" w:rsidP="0008220C">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9264" behindDoc="1" locked="0" layoutInCell="1" allowOverlap="1" wp14:anchorId="658B90A9" wp14:editId="6B389420">
              <wp:simplePos x="0" y="0"/>
              <wp:positionH relativeFrom="page">
                <wp:posOffset>3143250</wp:posOffset>
              </wp:positionH>
              <wp:positionV relativeFrom="page">
                <wp:posOffset>784860</wp:posOffset>
              </wp:positionV>
              <wp:extent cx="3523615" cy="416560"/>
              <wp:effectExtent l="0" t="3810" r="635" b="0"/>
              <wp:wrapNone/>
              <wp:docPr id="1439978175"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23615"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4906B2" w14:textId="77777777" w:rsidR="00540F02" w:rsidRPr="00FF1D30" w:rsidRDefault="00540F02" w:rsidP="00540F02">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proofErr w:type="spellStart"/>
                          <w:r>
                            <w:rPr>
                              <w:rFonts w:ascii="Calibri Light" w:hAnsi="Calibri Light" w:cs="Calibri Light"/>
                              <w:sz w:val="18"/>
                            </w:rPr>
                            <w:t>Aljambaky</w:t>
                          </w:r>
                          <w:proofErr w:type="spellEnd"/>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8B90A9" id="Text Box 6" o:spid="_x0000_s1044" type="#_x0000_t202" style="position:absolute;margin-left:247.5pt;margin-top:61.8pt;width:277.45pt;height:32.8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" filled="f" stroked="f">
              <v:textbox inset="0,0,0,0">
                <w:txbxContent>
                  <w:p w14:paraId="3E4906B2" w14:textId="77777777" w:rsidR="00540F02" w:rsidRPr="00FF1D30" w:rsidRDefault="00540F02" w:rsidP="00540F02">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proofErr w:type="spellStart"/>
                    <w:r>
                      <w:rPr>
                        <w:rFonts w:ascii="Calibri Light" w:hAnsi="Calibri Light" w:cs="Calibri Light"/>
                        <w:sz w:val="18"/>
                      </w:rPr>
                      <w:t>Aljambaky</w:t>
                    </w:r>
                    <w:proofErr w:type="spellEnd"/>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36399822" wp14:editId="31D6F47E">
          <wp:extent cx="1099185" cy="501015"/>
          <wp:effectExtent l="0" t="0" r="0" b="0"/>
          <wp:docPr id="72899347"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1015"/>
                  </a:xfrm>
                  <a:prstGeom prst="rect">
                    <a:avLst/>
                  </a:prstGeom>
                  <a:noFill/>
                  <a:ln>
                    <a:noFill/>
                  </a:ln>
                </pic:spPr>
              </pic:pic>
            </a:graphicData>
          </a:graphic>
        </wp:inline>
      </w:drawing>
    </w:r>
  </w:p>
  <w:p w14:paraId="274F9D73" w14:textId="77777777" w:rsidR="00540F02" w:rsidRDefault="00540F02" w:rsidP="00540F02">
    <w:pPr>
      <w:pStyle w:val="Header"/>
      <w:rPr>
        <w:sz w:val="16"/>
        <w:szCs w:val="16"/>
      </w:rPr>
    </w:pPr>
  </w:p>
  <w:p w14:paraId="34580A9D" w14:textId="77777777" w:rsidR="00540F02" w:rsidRDefault="00540F02" w:rsidP="00540F02">
    <w:pPr>
      <w:pStyle w:val="Header"/>
      <w:rPr>
        <w:sz w:val="16"/>
        <w:szCs w:val="16"/>
      </w:rPr>
    </w:pPr>
  </w:p>
  <w:p w14:paraId="309BE79A" w14:textId="77777777" w:rsidR="00AA4AE4" w:rsidRPr="00540F02" w:rsidRDefault="00AA4AE4" w:rsidP="00540F0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EBA8AB" w14:textId="7C161386" w:rsidR="00FF1D30" w:rsidRDefault="005742A6">
    <w:pPr>
      <w:pStyle w:val="Header"/>
    </w:pPr>
    <w:r>
      <w:rPr>
        <w:noProof/>
      </w:rPr>
      <mc:AlternateContent>
        <mc:Choice Requires="wps">
          <w:drawing>
            <wp:anchor distT="0" distB="0" distL="114300" distR="114300" simplePos="0" relativeHeight="251652096" behindDoc="1" locked="0" layoutInCell="1" allowOverlap="1" wp14:anchorId="779C0690" wp14:editId="0E8E1707">
              <wp:simplePos x="0" y="0"/>
              <wp:positionH relativeFrom="page">
                <wp:posOffset>942975</wp:posOffset>
              </wp:positionH>
              <wp:positionV relativeFrom="page">
                <wp:posOffset>947420</wp:posOffset>
              </wp:positionV>
              <wp:extent cx="1998980" cy="229870"/>
              <wp:effectExtent l="0" t="4445" r="1270" b="3810"/>
              <wp:wrapNone/>
              <wp:docPr id="1625099428"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98980" cy="229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0AFB8"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C51E2E8"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79C0690" id="_x0000_t202" coordsize="21600,21600" o:spt="202" path="m,l,21600r21600,l21600,xe">
              <v:stroke joinstyle="miter"/>
              <v:path gradientshapeok="t" o:connecttype="rect"/>
            </v:shapetype>
            <v:shape id="Text Box 9" o:spid="_x0000_s1047" type="#_x0000_t202" style="position:absolute;margin-left:74.25pt;margin-top:74.6pt;width:157.4pt;height:18.1pt;z-index:-2516643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" filled="f" stroked="f">
              <v:textbox inset="0,0,0,0">
                <w:txbxContent>
                  <w:p w14:paraId="13B0AFB8" w14:textId="77777777" w:rsidR="00FF1D30" w:rsidRPr="00FF1D30" w:rsidRDefault="00FF1D30" w:rsidP="00FF1D30">
                    <w:pPr>
                      <w:pStyle w:val="Header"/>
                      <w:rPr>
                        <w:rFonts w:ascii="Calibri Light" w:hAnsi="Calibri Light" w:cs="Calibri Light"/>
                        <w:sz w:val="12"/>
                        <w:szCs w:val="12"/>
                      </w:rPr>
                    </w:pPr>
                    <w:r w:rsidRPr="00FF1D30">
                      <w:rPr>
                        <w:rFonts w:ascii="Calibri Light" w:hAnsi="Calibri Light" w:cs="Calibri Light"/>
                        <w:sz w:val="12"/>
                        <w:szCs w:val="12"/>
                      </w:rPr>
                      <w:t>https://najahaofficial.id/najahajournal/index.php/IJLS/</w:t>
                    </w:r>
                  </w:p>
                  <w:p w14:paraId="7C51E2E8" w14:textId="77777777" w:rsidR="00FF1D30" w:rsidRPr="00FF1D30" w:rsidRDefault="00FF1D30" w:rsidP="00FF1D30">
                    <w:pPr>
                      <w:rPr>
                        <w:rFonts w:ascii="Calibri Light" w:hAnsi="Calibri Light" w:cs="Calibri Light"/>
                        <w:sz w:val="12"/>
                        <w:szCs w:val="12"/>
                      </w:rPr>
                    </w:pPr>
                    <w:r w:rsidRPr="00FF1D30">
                      <w:rPr>
                        <w:rFonts w:ascii="Calibri Light" w:hAnsi="Calibri Light" w:cs="Calibri Light"/>
                        <w:sz w:val="12"/>
                        <w:szCs w:val="12"/>
                      </w:rPr>
                      <w:t>Volume 1, Issue 1, 2022</w:t>
                    </w:r>
                  </w:p>
                </w:txbxContent>
              </v:textbox>
              <w10:wrap anchorx="page" anchory="page"/>
            </v:shape>
          </w:pict>
        </mc:Fallback>
      </mc:AlternateContent>
    </w:r>
    <w:r>
      <w:rPr>
        <w:noProof/>
      </w:rPr>
      <mc:AlternateContent>
        <mc:Choice Requires="wps">
          <w:drawing>
            <wp:anchor distT="0" distB="0" distL="114300" distR="114300" simplePos="0" relativeHeight="251660288" behindDoc="1" locked="0" layoutInCell="1" allowOverlap="1" wp14:anchorId="37B4B627" wp14:editId="75A34832">
              <wp:simplePos x="0" y="0"/>
              <wp:positionH relativeFrom="page">
                <wp:posOffset>6464300</wp:posOffset>
              </wp:positionH>
              <wp:positionV relativeFrom="page">
                <wp:posOffset>439420</wp:posOffset>
              </wp:positionV>
              <wp:extent cx="231775" cy="177800"/>
              <wp:effectExtent l="0" t="1270" r="0" b="1905"/>
              <wp:wrapNone/>
              <wp:docPr id="822031467"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1775" cy="177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ECAA6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7B4B627" id="Text Box 10" o:spid="_x0000_s1048" type="#_x0000_t202" style="position:absolute;margin-left:509pt;margin-top:34.6pt;width:18.25pt;height:14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" filled="f" stroked="f">
              <v:textbox inset="0,0,0,0">
                <w:txbxContent>
                  <w:p w14:paraId="40ECAA69" w14:textId="77777777" w:rsidR="00540F02" w:rsidRPr="00540F02" w:rsidRDefault="00540F02" w:rsidP="00540F02">
                    <w:pPr>
                      <w:pStyle w:val="BodyText"/>
                      <w:spacing w:line="264" w:lineRule="exact"/>
                      <w:ind w:left="60"/>
                      <w:jc w:val="center"/>
                      <w:rPr>
                        <w:rFonts w:ascii="Calibri Light" w:hAnsi="Calibri Light" w:cs="Calibri Light"/>
                      </w:rPr>
                    </w:pPr>
                    <w:r w:rsidRPr="00540F02">
                      <w:rPr>
                        <w:rFonts w:ascii="Calibri Light" w:hAnsi="Calibri Light" w:cs="Calibri Light"/>
                      </w:rPr>
                      <w:fldChar w:fldCharType="begin"/>
                    </w:r>
                    <w:r w:rsidRPr="00540F02">
                      <w:rPr>
                        <w:rFonts w:ascii="Calibri Light" w:hAnsi="Calibri Light" w:cs="Calibri Light"/>
                      </w:rPr>
                      <w:instrText xml:space="preserve"> PAGE </w:instrText>
                    </w:r>
                    <w:r w:rsidRPr="00540F02">
                      <w:rPr>
                        <w:rFonts w:ascii="Calibri Light" w:hAnsi="Calibri Light" w:cs="Calibri Light"/>
                      </w:rPr>
                      <w:fldChar w:fldCharType="separate"/>
                    </w:r>
                    <w:r w:rsidRPr="00540F02">
                      <w:rPr>
                        <w:rFonts w:ascii="Calibri Light" w:hAnsi="Calibri Light" w:cs="Calibri Light"/>
                      </w:rPr>
                      <w:t>14</w:t>
                    </w:r>
                    <w:r w:rsidRPr="00540F02">
                      <w:rPr>
                        <w:rFonts w:ascii="Calibri Light" w:hAnsi="Calibri Light" w:cs="Calibri Light"/>
                      </w:rPr>
                      <w:fldChar w:fldCharType="end"/>
                    </w:r>
                  </w:p>
                </w:txbxContent>
              </v:textbox>
              <w10:wrap anchorx="page" anchory="page"/>
            </v:shape>
          </w:pict>
        </mc:Fallback>
      </mc:AlternateContent>
    </w:r>
    <w:r>
      <w:rPr>
        <w:noProof/>
      </w:rPr>
      <mc:AlternateContent>
        <mc:Choice Requires="wps">
          <w:drawing>
            <wp:anchor distT="0" distB="0" distL="114300" distR="114300" simplePos="0" relativeHeight="251653120" behindDoc="1" locked="0" layoutInCell="1" allowOverlap="1" wp14:anchorId="2ABCC91D" wp14:editId="35EBF4C7">
              <wp:simplePos x="0" y="0"/>
              <wp:positionH relativeFrom="page">
                <wp:posOffset>3143250</wp:posOffset>
              </wp:positionH>
              <wp:positionV relativeFrom="page">
                <wp:posOffset>784860</wp:posOffset>
              </wp:positionV>
              <wp:extent cx="3516630" cy="416560"/>
              <wp:effectExtent l="0" t="3810" r="0" b="0"/>
              <wp:wrapNone/>
              <wp:docPr id="2126804724"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6630" cy="4165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D21B87" w14:textId="77777777" w:rsidR="00FF1D30" w:rsidRPr="00FF1D30" w:rsidRDefault="00FF1D30" w:rsidP="00FF1D30">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proofErr w:type="spellStart"/>
                          <w:r>
                            <w:rPr>
                              <w:rFonts w:ascii="Calibri Light" w:hAnsi="Calibri Light" w:cs="Calibri Light"/>
                              <w:sz w:val="18"/>
                            </w:rPr>
                            <w:t>Aljambaky</w:t>
                          </w:r>
                          <w:proofErr w:type="spellEnd"/>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ABCC91D" id="Text Box 11" o:spid="_x0000_s1049" type="#_x0000_t202" style="position:absolute;margin-left:247.5pt;margin-top:61.8pt;width:276.9pt;height:32.8pt;z-index:-25166336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" filled="f" stroked="f">
              <v:textbox inset="0,0,0,0">
                <w:txbxContent>
                  <w:p w14:paraId="3DD21B87" w14:textId="77777777" w:rsidR="00FF1D30" w:rsidRPr="00FF1D30" w:rsidRDefault="00FF1D30" w:rsidP="00FF1D30">
                    <w:pPr>
                      <w:ind w:left="23"/>
                      <w:jc w:val="both"/>
                      <w:rPr>
                        <w:rFonts w:ascii="Calibri Light" w:hAnsi="Calibri Light" w:cs="Calibri Light"/>
                        <w:i/>
                        <w:sz w:val="18"/>
                      </w:rPr>
                    </w:pPr>
                    <w:r>
                      <w:rPr>
                        <w:rFonts w:ascii="Calibri Light" w:hAnsi="Calibri Light" w:cs="Calibri Light"/>
                        <w:sz w:val="18"/>
                      </w:rPr>
                      <w:t>Anwar, S</w:t>
                    </w:r>
                    <w:r w:rsidRPr="00FF1D30">
                      <w:rPr>
                        <w:rFonts w:ascii="Calibri Light" w:hAnsi="Calibri Light" w:cs="Calibri Light"/>
                        <w:sz w:val="18"/>
                      </w:rPr>
                      <w:t>.</w:t>
                    </w:r>
                    <w:r w:rsidRPr="00FF1D30">
                      <w:rPr>
                        <w:rFonts w:ascii="Calibri Light" w:hAnsi="Calibri Light" w:cs="Calibri Light"/>
                        <w:spacing w:val="-3"/>
                        <w:sz w:val="18"/>
                      </w:rPr>
                      <w:t xml:space="preserve"> </w:t>
                    </w:r>
                    <w:r w:rsidRPr="00FF1D30">
                      <w:rPr>
                        <w:rFonts w:ascii="Calibri Light" w:hAnsi="Calibri Light" w:cs="Calibri Light"/>
                        <w:sz w:val="18"/>
                      </w:rPr>
                      <w:t>&amp;</w:t>
                    </w:r>
                    <w:r w:rsidRPr="00FF1D30">
                      <w:rPr>
                        <w:rFonts w:ascii="Calibri Light" w:hAnsi="Calibri Light" w:cs="Calibri Light"/>
                        <w:spacing w:val="-3"/>
                        <w:sz w:val="18"/>
                      </w:rPr>
                      <w:t xml:space="preserve"> </w:t>
                    </w:r>
                    <w:proofErr w:type="spellStart"/>
                    <w:r>
                      <w:rPr>
                        <w:rFonts w:ascii="Calibri Light" w:hAnsi="Calibri Light" w:cs="Calibri Light"/>
                        <w:sz w:val="18"/>
                      </w:rPr>
                      <w:t>Aljambaky</w:t>
                    </w:r>
                    <w:proofErr w:type="spellEnd"/>
                    <w:r w:rsidRPr="00FF1D30">
                      <w:rPr>
                        <w:rFonts w:ascii="Calibri Light" w:hAnsi="Calibri Light" w:cs="Calibri Light"/>
                        <w:sz w:val="18"/>
                      </w:rPr>
                      <w:t>.</w:t>
                    </w:r>
                    <w:r w:rsidRPr="00FF1D30">
                      <w:rPr>
                        <w:rFonts w:ascii="Calibri Light" w:hAnsi="Calibri Light" w:cs="Calibri Light"/>
                        <w:spacing w:val="-1"/>
                        <w:sz w:val="18"/>
                      </w:rPr>
                      <w:t xml:space="preserve"> </w:t>
                    </w:r>
                    <w:r w:rsidRPr="00FF1D30">
                      <w:rPr>
                        <w:rFonts w:ascii="Calibri Light" w:hAnsi="Calibri Light" w:cs="Calibri Light"/>
                        <w:sz w:val="18"/>
                      </w:rPr>
                      <w:t>H.A.M.,</w:t>
                    </w:r>
                    <w:r w:rsidRPr="00FF1D30">
                      <w:rPr>
                        <w:rFonts w:ascii="Calibri Light" w:hAnsi="Calibri Light" w:cs="Calibri Light"/>
                        <w:spacing w:val="-3"/>
                        <w:sz w:val="18"/>
                      </w:rPr>
                      <w:t xml:space="preserve"> </w:t>
                    </w:r>
                    <w:r w:rsidRPr="00FF1D30">
                      <w:rPr>
                        <w:rFonts w:ascii="Calibri Light" w:hAnsi="Calibri Light" w:cs="Calibri Light"/>
                        <w:i/>
                        <w:sz w:val="18"/>
                      </w:rPr>
                      <w:t>Systematic</w:t>
                    </w:r>
                    <w:r w:rsidRPr="00FF1D30">
                      <w:rPr>
                        <w:rFonts w:ascii="Calibri Light" w:hAnsi="Calibri Light" w:cs="Calibri Light"/>
                        <w:i/>
                        <w:spacing w:val="-6"/>
                        <w:sz w:val="18"/>
                      </w:rPr>
                      <w:t xml:space="preserve"> </w:t>
                    </w:r>
                    <w:r w:rsidRPr="00FF1D30">
                      <w:rPr>
                        <w:rFonts w:ascii="Calibri Light" w:hAnsi="Calibri Light" w:cs="Calibri Light"/>
                        <w:i/>
                        <w:sz w:val="18"/>
                      </w:rPr>
                      <w:t>Versus</w:t>
                    </w:r>
                    <w:r w:rsidRPr="00FF1D30">
                      <w:rPr>
                        <w:rFonts w:ascii="Calibri Light" w:hAnsi="Calibri Light" w:cs="Calibri Light"/>
                        <w:i/>
                        <w:spacing w:val="-2"/>
                        <w:sz w:val="18"/>
                      </w:rPr>
                      <w:t xml:space="preserve"> </w:t>
                    </w:r>
                    <w:r w:rsidRPr="00FF1D30">
                      <w:rPr>
                        <w:rFonts w:ascii="Calibri Light" w:hAnsi="Calibri Light" w:cs="Calibri Light"/>
                        <w:i/>
                        <w:sz w:val="18"/>
                      </w:rPr>
                      <w:t>Informal</w:t>
                    </w:r>
                    <w:r w:rsidRPr="00FF1D30">
                      <w:rPr>
                        <w:rFonts w:ascii="Calibri Light" w:hAnsi="Calibri Light" w:cs="Calibri Light"/>
                        <w:i/>
                        <w:spacing w:val="-3"/>
                        <w:sz w:val="18"/>
                      </w:rPr>
                      <w:t xml:space="preserve"> </w:t>
                    </w:r>
                    <w:r>
                      <w:rPr>
                        <w:rFonts w:ascii="Calibri Light" w:hAnsi="Calibri Light" w:cs="Calibri Light"/>
                        <w:i/>
                        <w:sz w:val="18"/>
                      </w:rPr>
                      <w:t>Law</w:t>
                    </w:r>
                    <w:r w:rsidRPr="00FF1D30">
                      <w:rPr>
                        <w:rFonts w:ascii="Calibri Light" w:hAnsi="Calibri Light" w:cs="Calibri Light"/>
                        <w:i/>
                        <w:spacing w:val="-3"/>
                        <w:sz w:val="18"/>
                      </w:rPr>
                      <w:t xml:space="preserve"> </w:t>
                    </w:r>
                    <w:r w:rsidRPr="00FF1D30">
                      <w:rPr>
                        <w:rFonts w:ascii="Calibri Light" w:hAnsi="Calibri Light" w:cs="Calibri Light"/>
                        <w:i/>
                        <w:sz w:val="18"/>
                      </w:rPr>
                      <w:t>of</w:t>
                    </w:r>
                    <w:r w:rsidRPr="00FF1D30">
                      <w:rPr>
                        <w:rFonts w:ascii="Calibri Light" w:hAnsi="Calibri Light" w:cs="Calibri Light"/>
                        <w:i/>
                        <w:spacing w:val="-3"/>
                        <w:sz w:val="18"/>
                      </w:rPr>
                      <w:t xml:space="preserve"> </w:t>
                    </w:r>
                    <w:r w:rsidRPr="00FF1D30">
                      <w:rPr>
                        <w:rFonts w:ascii="Calibri Light" w:hAnsi="Calibri Light" w:cs="Calibri Light"/>
                        <w:i/>
                        <w:sz w:val="18"/>
                      </w:rPr>
                      <w:t>Culturally</w:t>
                    </w:r>
                    <w:r>
                      <w:rPr>
                        <w:rFonts w:ascii="Calibri Light" w:hAnsi="Calibri Light" w:cs="Calibri Light"/>
                        <w:i/>
                        <w:sz w:val="18"/>
                      </w:rPr>
                      <w:t xml:space="preserve"> </w:t>
                    </w:r>
                    <w:r w:rsidRPr="00FF1D30">
                      <w:rPr>
                        <w:rFonts w:ascii="Calibri Light" w:hAnsi="Calibri Light" w:cs="Calibri Light"/>
                        <w:i/>
                        <w:sz w:val="18"/>
                      </w:rPr>
                      <w:t>Relevant</w:t>
                    </w:r>
                    <w:r w:rsidRPr="00FF1D30">
                      <w:rPr>
                        <w:rFonts w:ascii="Calibri Light" w:hAnsi="Calibri Light" w:cs="Calibri Light"/>
                        <w:i/>
                        <w:spacing w:val="-4"/>
                        <w:sz w:val="18"/>
                      </w:rPr>
                      <w:t xml:space="preserve"> </w:t>
                    </w:r>
                    <w:r w:rsidRPr="00FF1D30">
                      <w:rPr>
                        <w:rFonts w:ascii="Calibri Light" w:hAnsi="Calibri Light" w:cs="Calibri Light"/>
                        <w:i/>
                        <w:sz w:val="18"/>
                      </w:rPr>
                      <w:t>Pedagogy:</w:t>
                    </w:r>
                    <w:r w:rsidRPr="00FF1D30">
                      <w:rPr>
                        <w:rFonts w:ascii="Calibri Light" w:hAnsi="Calibri Light" w:cs="Calibri Light"/>
                        <w:i/>
                        <w:spacing w:val="-4"/>
                        <w:sz w:val="18"/>
                      </w:rPr>
                      <w:t xml:space="preserve"> </w:t>
                    </w:r>
                    <w:r w:rsidRPr="00FF1D30">
                      <w:rPr>
                        <w:rFonts w:ascii="Calibri Light" w:hAnsi="Calibri Light" w:cs="Calibri Light"/>
                        <w:i/>
                        <w:sz w:val="18"/>
                      </w:rPr>
                      <w:t>Are</w:t>
                    </w:r>
                    <w:r w:rsidRPr="00FF1D30">
                      <w:rPr>
                        <w:rFonts w:ascii="Calibri Light" w:hAnsi="Calibri Light" w:cs="Calibri Light"/>
                        <w:i/>
                        <w:spacing w:val="-3"/>
                        <w:sz w:val="18"/>
                      </w:rPr>
                      <w:t xml:space="preserve"> </w:t>
                    </w:r>
                    <w:r w:rsidRPr="00FF1D30">
                      <w:rPr>
                        <w:rFonts w:ascii="Calibri Light" w:hAnsi="Calibri Light" w:cs="Calibri Light"/>
                        <w:i/>
                        <w:sz w:val="18"/>
                      </w:rPr>
                      <w:t>Performance</w:t>
                    </w:r>
                    <w:r w:rsidRPr="00FF1D30">
                      <w:rPr>
                        <w:rFonts w:ascii="Calibri Light" w:hAnsi="Calibri Light" w:cs="Calibri Light"/>
                        <w:i/>
                        <w:spacing w:val="-4"/>
                        <w:sz w:val="18"/>
                      </w:rPr>
                      <w:t xml:space="preserve"> </w:t>
                    </w:r>
                    <w:r w:rsidRPr="00FF1D30">
                      <w:rPr>
                        <w:rFonts w:ascii="Calibri Light" w:hAnsi="Calibri Light" w:cs="Calibri Light"/>
                        <w:i/>
                        <w:sz w:val="18"/>
                      </w:rPr>
                      <w:t>Outcomes</w:t>
                    </w:r>
                    <w:r w:rsidRPr="00FF1D30">
                      <w:rPr>
                        <w:rFonts w:ascii="Calibri Light" w:hAnsi="Calibri Light" w:cs="Calibri Light"/>
                        <w:i/>
                        <w:spacing w:val="-2"/>
                        <w:sz w:val="18"/>
                      </w:rPr>
                      <w:t xml:space="preserve"> </w:t>
                    </w:r>
                    <w:r w:rsidRPr="00FF1D30">
                      <w:rPr>
                        <w:rFonts w:ascii="Calibri Light" w:hAnsi="Calibri Light" w:cs="Calibri Light"/>
                        <w:i/>
                        <w:sz w:val="18"/>
                      </w:rPr>
                      <w:t>Different?</w:t>
                    </w:r>
                  </w:p>
                </w:txbxContent>
              </v:textbox>
              <w10:wrap anchorx="page" anchory="page"/>
            </v:shape>
          </w:pict>
        </mc:Fallback>
      </mc:AlternateContent>
    </w:r>
    <w:r>
      <w:rPr>
        <w:noProof/>
      </w:rPr>
      <w:drawing>
        <wp:inline distT="0" distB="0" distL="0" distR="0" wp14:anchorId="277C3A4C" wp14:editId="1929EA41">
          <wp:extent cx="1099185" cy="501015"/>
          <wp:effectExtent l="0" t="0" r="0" b="0"/>
          <wp:docPr id="121095789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99185" cy="501015"/>
                  </a:xfrm>
                  <a:prstGeom prst="rect">
                    <a:avLst/>
                  </a:prstGeom>
                  <a:noFill/>
                  <a:ln>
                    <a:noFill/>
                  </a:ln>
                </pic:spPr>
              </pic:pic>
            </a:graphicData>
          </a:graphic>
        </wp:inline>
      </w:drawing>
    </w:r>
  </w:p>
  <w:p w14:paraId="3DB29F68" w14:textId="77777777" w:rsidR="00FF1D30" w:rsidRDefault="00FF1D30">
    <w:pPr>
      <w:pStyle w:val="Header"/>
      <w:rPr>
        <w:sz w:val="16"/>
        <w:szCs w:val="16"/>
      </w:rPr>
    </w:pPr>
  </w:p>
  <w:p w14:paraId="089A3938" w14:textId="77777777" w:rsidR="00FF1D30" w:rsidRDefault="00FF1D30">
    <w:pPr>
      <w:pStyle w:val="Header"/>
      <w:rPr>
        <w:sz w:val="16"/>
        <w:szCs w:val="16"/>
      </w:rPr>
    </w:pPr>
  </w:p>
  <w:p w14:paraId="1F91C40E" w14:textId="77777777" w:rsidR="00FF1D30" w:rsidRPr="00FF1D30" w:rsidRDefault="00FF1D30">
    <w:pPr>
      <w:pStyle w:val="Header"/>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02"/>
    <w:multiLevelType w:val="hybridMultilevel"/>
    <w:tmpl w:val="FFFFFFFF"/>
    <w:lvl w:ilvl="0" w:tplc="E91C7520">
      <w:start w:val="35"/>
      <w:numFmt w:val="upperLetter"/>
      <w:lvlText w:val="%1."/>
      <w:lvlJc w:val="left"/>
      <w:rPr>
        <w:rFonts w:ascii="Arial" w:hAnsi="Arial" w:cs="Arial" w:hint="default"/>
        <w:b/>
        <w:bCs/>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FFFFFFFF"/>
    <w:lvl w:ilvl="0" w:tplc="FFFFFFFF">
      <w:start w:val="61"/>
      <w:numFmt w:val="upperLetter"/>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FFFFFFFF"/>
    <w:lvl w:ilvl="0" w:tplc="0E787246">
      <w:start w:val="22"/>
      <w:numFmt w:val="upperLetter"/>
      <w:lvlText w:val="%1."/>
      <w:lvlJc w:val="left"/>
      <w:rPr>
        <w:rFonts w:cs="Times New Roman"/>
        <w:color w:val="auto"/>
        <w:sz w:val="24"/>
        <w:szCs w:val="24"/>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FFFFFFFF"/>
    <w:lvl w:ilvl="0" w:tplc="FFFFFFFF">
      <w:start w:val="1"/>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FFFFFFFF"/>
    <w:lvl w:ilvl="0" w:tplc="FFFFFFFF">
      <w:start w:val="3"/>
      <w:numFmt w:val="decimal"/>
      <w:lvlText w:val="[%1]"/>
      <w:lvlJc w:val="left"/>
      <w:rPr>
        <w:rFonts w:cs="Times New Roman"/>
      </w:rPr>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27F7048"/>
    <w:multiLevelType w:val="hybridMultilevel"/>
    <w:tmpl w:val="FFFFFFFF"/>
    <w:lvl w:ilvl="0" w:tplc="04210011">
      <w:start w:val="1"/>
      <w:numFmt w:val="decimal"/>
      <w:lvlText w:val="%1)"/>
      <w:lvlJc w:val="left"/>
      <w:pPr>
        <w:ind w:left="1080" w:hanging="360"/>
      </w:pPr>
      <w:rPr>
        <w:rFonts w:cs="Times New Roman"/>
      </w:rPr>
    </w:lvl>
    <w:lvl w:ilvl="1" w:tplc="04210019" w:tentative="1">
      <w:start w:val="1"/>
      <w:numFmt w:val="lowerLetter"/>
      <w:lvlText w:val="%2."/>
      <w:lvlJc w:val="left"/>
      <w:pPr>
        <w:ind w:left="1800" w:hanging="360"/>
      </w:pPr>
      <w:rPr>
        <w:rFonts w:cs="Times New Roman"/>
      </w:rPr>
    </w:lvl>
    <w:lvl w:ilvl="2" w:tplc="0421001B" w:tentative="1">
      <w:start w:val="1"/>
      <w:numFmt w:val="lowerRoman"/>
      <w:lvlText w:val="%3."/>
      <w:lvlJc w:val="right"/>
      <w:pPr>
        <w:ind w:left="2520" w:hanging="180"/>
      </w:pPr>
      <w:rPr>
        <w:rFonts w:cs="Times New Roman"/>
      </w:rPr>
    </w:lvl>
    <w:lvl w:ilvl="3" w:tplc="0421000F" w:tentative="1">
      <w:start w:val="1"/>
      <w:numFmt w:val="decimal"/>
      <w:lvlText w:val="%4."/>
      <w:lvlJc w:val="left"/>
      <w:pPr>
        <w:ind w:left="3240" w:hanging="360"/>
      </w:pPr>
      <w:rPr>
        <w:rFonts w:cs="Times New Roman"/>
      </w:rPr>
    </w:lvl>
    <w:lvl w:ilvl="4" w:tplc="04210019" w:tentative="1">
      <w:start w:val="1"/>
      <w:numFmt w:val="lowerLetter"/>
      <w:lvlText w:val="%5."/>
      <w:lvlJc w:val="left"/>
      <w:pPr>
        <w:ind w:left="3960" w:hanging="360"/>
      </w:pPr>
      <w:rPr>
        <w:rFonts w:cs="Times New Roman"/>
      </w:rPr>
    </w:lvl>
    <w:lvl w:ilvl="5" w:tplc="0421001B" w:tentative="1">
      <w:start w:val="1"/>
      <w:numFmt w:val="lowerRoman"/>
      <w:lvlText w:val="%6."/>
      <w:lvlJc w:val="right"/>
      <w:pPr>
        <w:ind w:left="4680" w:hanging="180"/>
      </w:pPr>
      <w:rPr>
        <w:rFonts w:cs="Times New Roman"/>
      </w:rPr>
    </w:lvl>
    <w:lvl w:ilvl="6" w:tplc="0421000F" w:tentative="1">
      <w:start w:val="1"/>
      <w:numFmt w:val="decimal"/>
      <w:lvlText w:val="%7."/>
      <w:lvlJc w:val="left"/>
      <w:pPr>
        <w:ind w:left="5400" w:hanging="360"/>
      </w:pPr>
      <w:rPr>
        <w:rFonts w:cs="Times New Roman"/>
      </w:rPr>
    </w:lvl>
    <w:lvl w:ilvl="7" w:tplc="04210019" w:tentative="1">
      <w:start w:val="1"/>
      <w:numFmt w:val="lowerLetter"/>
      <w:lvlText w:val="%8."/>
      <w:lvlJc w:val="left"/>
      <w:pPr>
        <w:ind w:left="6120" w:hanging="360"/>
      </w:pPr>
      <w:rPr>
        <w:rFonts w:cs="Times New Roman"/>
      </w:rPr>
    </w:lvl>
    <w:lvl w:ilvl="8" w:tplc="0421001B" w:tentative="1">
      <w:start w:val="1"/>
      <w:numFmt w:val="lowerRoman"/>
      <w:lvlText w:val="%9."/>
      <w:lvlJc w:val="right"/>
      <w:pPr>
        <w:ind w:left="6840" w:hanging="180"/>
      </w:pPr>
      <w:rPr>
        <w:rFonts w:cs="Times New Roman"/>
      </w:rPr>
    </w:lvl>
  </w:abstractNum>
  <w:abstractNum w:abstractNumId="6" w15:restartNumberingAfterBreak="0">
    <w:nsid w:val="028430C3"/>
    <w:multiLevelType w:val="hybridMultilevel"/>
    <w:tmpl w:val="FFFFFFFF"/>
    <w:lvl w:ilvl="0" w:tplc="1AE62BCC">
      <w:start w:val="4"/>
      <w:numFmt w:val="upperRoman"/>
      <w:lvlText w:val="%1."/>
      <w:lvlJc w:val="left"/>
      <w:pPr>
        <w:ind w:left="1146" w:hanging="720"/>
      </w:pPr>
      <w:rPr>
        <w:rFonts w:cs="Times New Roman" w:hint="default"/>
        <w:color w:val="auto"/>
      </w:rPr>
    </w:lvl>
    <w:lvl w:ilvl="1" w:tplc="38090019" w:tentative="1">
      <w:start w:val="1"/>
      <w:numFmt w:val="lowerLetter"/>
      <w:lvlText w:val="%2."/>
      <w:lvlJc w:val="left"/>
      <w:pPr>
        <w:ind w:left="1506" w:hanging="360"/>
      </w:pPr>
      <w:rPr>
        <w:rFonts w:cs="Times New Roman"/>
      </w:rPr>
    </w:lvl>
    <w:lvl w:ilvl="2" w:tplc="3809001B" w:tentative="1">
      <w:start w:val="1"/>
      <w:numFmt w:val="lowerRoman"/>
      <w:lvlText w:val="%3."/>
      <w:lvlJc w:val="right"/>
      <w:pPr>
        <w:ind w:left="2226" w:hanging="180"/>
      </w:pPr>
      <w:rPr>
        <w:rFonts w:cs="Times New Roman"/>
      </w:rPr>
    </w:lvl>
    <w:lvl w:ilvl="3" w:tplc="3809000F" w:tentative="1">
      <w:start w:val="1"/>
      <w:numFmt w:val="decimal"/>
      <w:lvlText w:val="%4."/>
      <w:lvlJc w:val="left"/>
      <w:pPr>
        <w:ind w:left="2946" w:hanging="360"/>
      </w:pPr>
      <w:rPr>
        <w:rFonts w:cs="Times New Roman"/>
      </w:rPr>
    </w:lvl>
    <w:lvl w:ilvl="4" w:tplc="38090019" w:tentative="1">
      <w:start w:val="1"/>
      <w:numFmt w:val="lowerLetter"/>
      <w:lvlText w:val="%5."/>
      <w:lvlJc w:val="left"/>
      <w:pPr>
        <w:ind w:left="3666" w:hanging="360"/>
      </w:pPr>
      <w:rPr>
        <w:rFonts w:cs="Times New Roman"/>
      </w:rPr>
    </w:lvl>
    <w:lvl w:ilvl="5" w:tplc="3809001B" w:tentative="1">
      <w:start w:val="1"/>
      <w:numFmt w:val="lowerRoman"/>
      <w:lvlText w:val="%6."/>
      <w:lvlJc w:val="right"/>
      <w:pPr>
        <w:ind w:left="4386" w:hanging="180"/>
      </w:pPr>
      <w:rPr>
        <w:rFonts w:cs="Times New Roman"/>
      </w:rPr>
    </w:lvl>
    <w:lvl w:ilvl="6" w:tplc="3809000F" w:tentative="1">
      <w:start w:val="1"/>
      <w:numFmt w:val="decimal"/>
      <w:lvlText w:val="%7."/>
      <w:lvlJc w:val="left"/>
      <w:pPr>
        <w:ind w:left="5106" w:hanging="360"/>
      </w:pPr>
      <w:rPr>
        <w:rFonts w:cs="Times New Roman"/>
      </w:rPr>
    </w:lvl>
    <w:lvl w:ilvl="7" w:tplc="38090019" w:tentative="1">
      <w:start w:val="1"/>
      <w:numFmt w:val="lowerLetter"/>
      <w:lvlText w:val="%8."/>
      <w:lvlJc w:val="left"/>
      <w:pPr>
        <w:ind w:left="5826" w:hanging="360"/>
      </w:pPr>
      <w:rPr>
        <w:rFonts w:cs="Times New Roman"/>
      </w:rPr>
    </w:lvl>
    <w:lvl w:ilvl="8" w:tplc="3809001B" w:tentative="1">
      <w:start w:val="1"/>
      <w:numFmt w:val="lowerRoman"/>
      <w:lvlText w:val="%9."/>
      <w:lvlJc w:val="right"/>
      <w:pPr>
        <w:ind w:left="6546" w:hanging="180"/>
      </w:pPr>
      <w:rPr>
        <w:rFonts w:cs="Times New Roman"/>
      </w:rPr>
    </w:lvl>
  </w:abstractNum>
  <w:abstractNum w:abstractNumId="7" w15:restartNumberingAfterBreak="0">
    <w:nsid w:val="06D70B74"/>
    <w:multiLevelType w:val="hybridMultilevel"/>
    <w:tmpl w:val="FFFFFFFF"/>
    <w:lvl w:ilvl="0" w:tplc="A1D017CA">
      <w:start w:val="1"/>
      <w:numFmt w:val="decimal"/>
      <w:lvlText w:val="%1)"/>
      <w:lvlJc w:val="left"/>
      <w:pPr>
        <w:ind w:left="-150" w:hanging="600"/>
      </w:pPr>
      <w:rPr>
        <w:rFonts w:cs="Times New Roman" w:hint="default"/>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8" w15:restartNumberingAfterBreak="0">
    <w:nsid w:val="096F0B11"/>
    <w:multiLevelType w:val="hybridMultilevel"/>
    <w:tmpl w:val="7E4CAE7E"/>
    <w:lvl w:ilvl="0" w:tplc="ED406B02">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9" w15:restartNumberingAfterBreak="0">
    <w:nsid w:val="0EC372A3"/>
    <w:multiLevelType w:val="multilevel"/>
    <w:tmpl w:val="FFFFFFFF"/>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0" w15:restartNumberingAfterBreak="0">
    <w:nsid w:val="145E0DFB"/>
    <w:multiLevelType w:val="hybridMultilevel"/>
    <w:tmpl w:val="FFFFFFFF"/>
    <w:lvl w:ilvl="0" w:tplc="0421000F">
      <w:start w:val="1"/>
      <w:numFmt w:val="decimal"/>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11" w15:restartNumberingAfterBreak="0">
    <w:nsid w:val="1D1E3992"/>
    <w:multiLevelType w:val="hybridMultilevel"/>
    <w:tmpl w:val="FFFFFFFF"/>
    <w:lvl w:ilvl="0" w:tplc="40486B24">
      <w:start w:val="1"/>
      <w:numFmt w:val="decimal"/>
      <w:lvlText w:val="[%1]"/>
      <w:lvlJc w:val="left"/>
      <w:pPr>
        <w:ind w:left="1146" w:hanging="360"/>
      </w:pPr>
      <w:rPr>
        <w:rFonts w:cs="Times New Roman" w:hint="default"/>
        <w:color w:val="auto"/>
      </w:rPr>
    </w:lvl>
    <w:lvl w:ilvl="1" w:tplc="04210019" w:tentative="1">
      <w:start w:val="1"/>
      <w:numFmt w:val="lowerLetter"/>
      <w:lvlText w:val="%2."/>
      <w:lvlJc w:val="left"/>
      <w:pPr>
        <w:ind w:left="1866" w:hanging="360"/>
      </w:pPr>
      <w:rPr>
        <w:rFonts w:cs="Times New Roman"/>
      </w:rPr>
    </w:lvl>
    <w:lvl w:ilvl="2" w:tplc="0421001B" w:tentative="1">
      <w:start w:val="1"/>
      <w:numFmt w:val="lowerRoman"/>
      <w:lvlText w:val="%3."/>
      <w:lvlJc w:val="right"/>
      <w:pPr>
        <w:ind w:left="2586" w:hanging="180"/>
      </w:pPr>
      <w:rPr>
        <w:rFonts w:cs="Times New Roman"/>
      </w:rPr>
    </w:lvl>
    <w:lvl w:ilvl="3" w:tplc="0421000F" w:tentative="1">
      <w:start w:val="1"/>
      <w:numFmt w:val="decimal"/>
      <w:lvlText w:val="%4."/>
      <w:lvlJc w:val="left"/>
      <w:pPr>
        <w:ind w:left="3306" w:hanging="360"/>
      </w:pPr>
      <w:rPr>
        <w:rFonts w:cs="Times New Roman"/>
      </w:rPr>
    </w:lvl>
    <w:lvl w:ilvl="4" w:tplc="04210019" w:tentative="1">
      <w:start w:val="1"/>
      <w:numFmt w:val="lowerLetter"/>
      <w:lvlText w:val="%5."/>
      <w:lvlJc w:val="left"/>
      <w:pPr>
        <w:ind w:left="4026" w:hanging="360"/>
      </w:pPr>
      <w:rPr>
        <w:rFonts w:cs="Times New Roman"/>
      </w:rPr>
    </w:lvl>
    <w:lvl w:ilvl="5" w:tplc="0421001B" w:tentative="1">
      <w:start w:val="1"/>
      <w:numFmt w:val="lowerRoman"/>
      <w:lvlText w:val="%6."/>
      <w:lvlJc w:val="right"/>
      <w:pPr>
        <w:ind w:left="4746" w:hanging="180"/>
      </w:pPr>
      <w:rPr>
        <w:rFonts w:cs="Times New Roman"/>
      </w:rPr>
    </w:lvl>
    <w:lvl w:ilvl="6" w:tplc="0421000F" w:tentative="1">
      <w:start w:val="1"/>
      <w:numFmt w:val="decimal"/>
      <w:lvlText w:val="%7."/>
      <w:lvlJc w:val="left"/>
      <w:pPr>
        <w:ind w:left="5466" w:hanging="360"/>
      </w:pPr>
      <w:rPr>
        <w:rFonts w:cs="Times New Roman"/>
      </w:rPr>
    </w:lvl>
    <w:lvl w:ilvl="7" w:tplc="04210019" w:tentative="1">
      <w:start w:val="1"/>
      <w:numFmt w:val="lowerLetter"/>
      <w:lvlText w:val="%8."/>
      <w:lvlJc w:val="left"/>
      <w:pPr>
        <w:ind w:left="6186" w:hanging="360"/>
      </w:pPr>
      <w:rPr>
        <w:rFonts w:cs="Times New Roman"/>
      </w:rPr>
    </w:lvl>
    <w:lvl w:ilvl="8" w:tplc="0421001B" w:tentative="1">
      <w:start w:val="1"/>
      <w:numFmt w:val="lowerRoman"/>
      <w:lvlText w:val="%9."/>
      <w:lvlJc w:val="right"/>
      <w:pPr>
        <w:ind w:left="6906" w:hanging="180"/>
      </w:pPr>
      <w:rPr>
        <w:rFonts w:cs="Times New Roman"/>
      </w:rPr>
    </w:lvl>
  </w:abstractNum>
  <w:abstractNum w:abstractNumId="12" w15:restartNumberingAfterBreak="0">
    <w:nsid w:val="1F0401F9"/>
    <w:multiLevelType w:val="hybridMultilevel"/>
    <w:tmpl w:val="DBBC6596"/>
    <w:lvl w:ilvl="0" w:tplc="ED406B02">
      <w:start w:val="1"/>
      <w:numFmt w:val="decimal"/>
      <w:lvlText w:val="[%1]"/>
      <w:lvlJc w:val="left"/>
      <w:pPr>
        <w:ind w:left="1070" w:hanging="360"/>
      </w:pPr>
      <w:rPr>
        <w:rFonts w:hint="default"/>
      </w:rPr>
    </w:lvl>
    <w:lvl w:ilvl="1" w:tplc="38090019" w:tentative="1">
      <w:start w:val="1"/>
      <w:numFmt w:val="lowerLetter"/>
      <w:lvlText w:val="%2."/>
      <w:lvlJc w:val="left"/>
      <w:pPr>
        <w:ind w:left="1790" w:hanging="360"/>
      </w:pPr>
    </w:lvl>
    <w:lvl w:ilvl="2" w:tplc="3809001B" w:tentative="1">
      <w:start w:val="1"/>
      <w:numFmt w:val="lowerRoman"/>
      <w:lvlText w:val="%3."/>
      <w:lvlJc w:val="right"/>
      <w:pPr>
        <w:ind w:left="2510" w:hanging="180"/>
      </w:pPr>
    </w:lvl>
    <w:lvl w:ilvl="3" w:tplc="3809000F" w:tentative="1">
      <w:start w:val="1"/>
      <w:numFmt w:val="decimal"/>
      <w:lvlText w:val="%4."/>
      <w:lvlJc w:val="left"/>
      <w:pPr>
        <w:ind w:left="3230" w:hanging="360"/>
      </w:pPr>
    </w:lvl>
    <w:lvl w:ilvl="4" w:tplc="38090019" w:tentative="1">
      <w:start w:val="1"/>
      <w:numFmt w:val="lowerLetter"/>
      <w:lvlText w:val="%5."/>
      <w:lvlJc w:val="left"/>
      <w:pPr>
        <w:ind w:left="3950" w:hanging="360"/>
      </w:pPr>
    </w:lvl>
    <w:lvl w:ilvl="5" w:tplc="3809001B" w:tentative="1">
      <w:start w:val="1"/>
      <w:numFmt w:val="lowerRoman"/>
      <w:lvlText w:val="%6."/>
      <w:lvlJc w:val="right"/>
      <w:pPr>
        <w:ind w:left="4670" w:hanging="180"/>
      </w:pPr>
    </w:lvl>
    <w:lvl w:ilvl="6" w:tplc="3809000F" w:tentative="1">
      <w:start w:val="1"/>
      <w:numFmt w:val="decimal"/>
      <w:lvlText w:val="%7."/>
      <w:lvlJc w:val="left"/>
      <w:pPr>
        <w:ind w:left="5390" w:hanging="360"/>
      </w:pPr>
    </w:lvl>
    <w:lvl w:ilvl="7" w:tplc="38090019" w:tentative="1">
      <w:start w:val="1"/>
      <w:numFmt w:val="lowerLetter"/>
      <w:lvlText w:val="%8."/>
      <w:lvlJc w:val="left"/>
      <w:pPr>
        <w:ind w:left="6110" w:hanging="360"/>
      </w:pPr>
    </w:lvl>
    <w:lvl w:ilvl="8" w:tplc="3809001B" w:tentative="1">
      <w:start w:val="1"/>
      <w:numFmt w:val="lowerRoman"/>
      <w:lvlText w:val="%9."/>
      <w:lvlJc w:val="right"/>
      <w:pPr>
        <w:ind w:left="6830" w:hanging="180"/>
      </w:pPr>
    </w:lvl>
  </w:abstractNum>
  <w:abstractNum w:abstractNumId="13" w15:restartNumberingAfterBreak="0">
    <w:nsid w:val="1FE30FAA"/>
    <w:multiLevelType w:val="hybridMultilevel"/>
    <w:tmpl w:val="FFFFFFFF"/>
    <w:lvl w:ilvl="0" w:tplc="3CBEAC8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14" w15:restartNumberingAfterBreak="0">
    <w:nsid w:val="20C15439"/>
    <w:multiLevelType w:val="hybridMultilevel"/>
    <w:tmpl w:val="FFFFFFFF"/>
    <w:lvl w:ilvl="0" w:tplc="04210011">
      <w:start w:val="1"/>
      <w:numFmt w:val="decimal"/>
      <w:lvlText w:val="%1)"/>
      <w:lvlJc w:val="left"/>
      <w:pPr>
        <w:ind w:left="833" w:hanging="360"/>
      </w:pPr>
      <w:rPr>
        <w:rFonts w:cs="Times New Roman"/>
      </w:rPr>
    </w:lvl>
    <w:lvl w:ilvl="1" w:tplc="04210019" w:tentative="1">
      <w:start w:val="1"/>
      <w:numFmt w:val="lowerLetter"/>
      <w:lvlText w:val="%2."/>
      <w:lvlJc w:val="left"/>
      <w:pPr>
        <w:ind w:left="1553" w:hanging="360"/>
      </w:pPr>
      <w:rPr>
        <w:rFonts w:cs="Times New Roman"/>
      </w:rPr>
    </w:lvl>
    <w:lvl w:ilvl="2" w:tplc="0421001B" w:tentative="1">
      <w:start w:val="1"/>
      <w:numFmt w:val="lowerRoman"/>
      <w:lvlText w:val="%3."/>
      <w:lvlJc w:val="right"/>
      <w:pPr>
        <w:ind w:left="2273" w:hanging="180"/>
      </w:pPr>
      <w:rPr>
        <w:rFonts w:cs="Times New Roman"/>
      </w:rPr>
    </w:lvl>
    <w:lvl w:ilvl="3" w:tplc="0421000F" w:tentative="1">
      <w:start w:val="1"/>
      <w:numFmt w:val="decimal"/>
      <w:lvlText w:val="%4."/>
      <w:lvlJc w:val="left"/>
      <w:pPr>
        <w:ind w:left="2993" w:hanging="360"/>
      </w:pPr>
      <w:rPr>
        <w:rFonts w:cs="Times New Roman"/>
      </w:rPr>
    </w:lvl>
    <w:lvl w:ilvl="4" w:tplc="04210019" w:tentative="1">
      <w:start w:val="1"/>
      <w:numFmt w:val="lowerLetter"/>
      <w:lvlText w:val="%5."/>
      <w:lvlJc w:val="left"/>
      <w:pPr>
        <w:ind w:left="3713" w:hanging="360"/>
      </w:pPr>
      <w:rPr>
        <w:rFonts w:cs="Times New Roman"/>
      </w:rPr>
    </w:lvl>
    <w:lvl w:ilvl="5" w:tplc="0421001B" w:tentative="1">
      <w:start w:val="1"/>
      <w:numFmt w:val="lowerRoman"/>
      <w:lvlText w:val="%6."/>
      <w:lvlJc w:val="right"/>
      <w:pPr>
        <w:ind w:left="4433" w:hanging="180"/>
      </w:pPr>
      <w:rPr>
        <w:rFonts w:cs="Times New Roman"/>
      </w:rPr>
    </w:lvl>
    <w:lvl w:ilvl="6" w:tplc="0421000F" w:tentative="1">
      <w:start w:val="1"/>
      <w:numFmt w:val="decimal"/>
      <w:lvlText w:val="%7."/>
      <w:lvlJc w:val="left"/>
      <w:pPr>
        <w:ind w:left="5153" w:hanging="360"/>
      </w:pPr>
      <w:rPr>
        <w:rFonts w:cs="Times New Roman"/>
      </w:rPr>
    </w:lvl>
    <w:lvl w:ilvl="7" w:tplc="04210019" w:tentative="1">
      <w:start w:val="1"/>
      <w:numFmt w:val="lowerLetter"/>
      <w:lvlText w:val="%8."/>
      <w:lvlJc w:val="left"/>
      <w:pPr>
        <w:ind w:left="5873" w:hanging="360"/>
      </w:pPr>
      <w:rPr>
        <w:rFonts w:cs="Times New Roman"/>
      </w:rPr>
    </w:lvl>
    <w:lvl w:ilvl="8" w:tplc="0421001B" w:tentative="1">
      <w:start w:val="1"/>
      <w:numFmt w:val="lowerRoman"/>
      <w:lvlText w:val="%9."/>
      <w:lvlJc w:val="right"/>
      <w:pPr>
        <w:ind w:left="6593" w:hanging="180"/>
      </w:pPr>
      <w:rPr>
        <w:rFonts w:cs="Times New Roman"/>
      </w:rPr>
    </w:lvl>
  </w:abstractNum>
  <w:abstractNum w:abstractNumId="15" w15:restartNumberingAfterBreak="0">
    <w:nsid w:val="24C25F98"/>
    <w:multiLevelType w:val="hybridMultilevel"/>
    <w:tmpl w:val="FFFFFFFF"/>
    <w:lvl w:ilvl="0" w:tplc="00000000">
      <w:numFmt w:val="bullet"/>
      <w:lvlText w:val="-"/>
      <w:lvlJc w:val="left"/>
      <w:pPr>
        <w:ind w:left="77" w:hanging="78"/>
      </w:pPr>
      <w:rPr>
        <w:rFonts w:ascii="Calibri" w:hAnsi="Calibri"/>
        <w:color w:val="231F20"/>
        <w:w w:val="100"/>
        <w:sz w:val="12"/>
      </w:rPr>
    </w:lvl>
    <w:lvl w:ilvl="1" w:tplc="00000001">
      <w:numFmt w:val="bullet"/>
      <w:lvlText w:val="•"/>
      <w:lvlJc w:val="left"/>
      <w:pPr>
        <w:ind w:left="157" w:hanging="78"/>
      </w:pPr>
    </w:lvl>
    <w:lvl w:ilvl="2" w:tplc="00000002">
      <w:numFmt w:val="bullet"/>
      <w:lvlText w:val="•"/>
      <w:lvlJc w:val="left"/>
      <w:pPr>
        <w:ind w:left="234" w:hanging="78"/>
      </w:pPr>
    </w:lvl>
    <w:lvl w:ilvl="3" w:tplc="00000003">
      <w:numFmt w:val="bullet"/>
      <w:lvlText w:val="•"/>
      <w:lvlJc w:val="left"/>
      <w:pPr>
        <w:ind w:left="312" w:hanging="78"/>
      </w:pPr>
    </w:lvl>
    <w:lvl w:ilvl="4" w:tplc="00000004">
      <w:numFmt w:val="bullet"/>
      <w:lvlText w:val="•"/>
      <w:lvlJc w:val="left"/>
      <w:pPr>
        <w:ind w:left="389" w:hanging="78"/>
      </w:pPr>
    </w:lvl>
    <w:lvl w:ilvl="5" w:tplc="00000005">
      <w:numFmt w:val="bullet"/>
      <w:lvlText w:val="•"/>
      <w:lvlJc w:val="left"/>
      <w:pPr>
        <w:ind w:left="466" w:hanging="78"/>
      </w:pPr>
    </w:lvl>
    <w:lvl w:ilvl="6" w:tplc="00000006">
      <w:numFmt w:val="bullet"/>
      <w:lvlText w:val="•"/>
      <w:lvlJc w:val="left"/>
      <w:pPr>
        <w:ind w:left="544" w:hanging="78"/>
      </w:pPr>
    </w:lvl>
    <w:lvl w:ilvl="7" w:tplc="00000007">
      <w:numFmt w:val="bullet"/>
      <w:lvlText w:val="•"/>
      <w:lvlJc w:val="left"/>
      <w:pPr>
        <w:ind w:left="621" w:hanging="78"/>
      </w:pPr>
    </w:lvl>
    <w:lvl w:ilvl="8" w:tplc="00000008">
      <w:numFmt w:val="bullet"/>
      <w:lvlText w:val="•"/>
      <w:lvlJc w:val="left"/>
      <w:pPr>
        <w:ind w:left="698" w:hanging="78"/>
      </w:pPr>
    </w:lvl>
  </w:abstractNum>
  <w:abstractNum w:abstractNumId="16" w15:restartNumberingAfterBreak="0">
    <w:nsid w:val="2DC068FF"/>
    <w:multiLevelType w:val="hybridMultilevel"/>
    <w:tmpl w:val="FFFFFFFF"/>
    <w:lvl w:ilvl="0" w:tplc="C776B4F4">
      <w:start w:val="1"/>
      <w:numFmt w:val="upperLetter"/>
      <w:lvlText w:val="%1."/>
      <w:lvlJc w:val="left"/>
      <w:pPr>
        <w:ind w:left="720" w:hanging="360"/>
      </w:pPr>
      <w:rPr>
        <w:rFonts w:cs="Times New Roman" w:hint="default"/>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17" w15:restartNumberingAfterBreak="0">
    <w:nsid w:val="2DED1B21"/>
    <w:multiLevelType w:val="hybridMultilevel"/>
    <w:tmpl w:val="FFFFFFFF"/>
    <w:lvl w:ilvl="0" w:tplc="6144F2F2">
      <w:start w:val="1"/>
      <w:numFmt w:val="decimal"/>
      <w:lvlText w:val="%1."/>
      <w:lvlJc w:val="left"/>
      <w:pPr>
        <w:ind w:left="1413" w:hanging="360"/>
      </w:pPr>
      <w:rPr>
        <w:rFonts w:cs="Times New Roman" w:hint="default"/>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18" w15:restartNumberingAfterBreak="0">
    <w:nsid w:val="3A910A7D"/>
    <w:multiLevelType w:val="hybridMultilevel"/>
    <w:tmpl w:val="FFFFFFFF"/>
    <w:lvl w:ilvl="0" w:tplc="FFFFFFF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19" w15:restartNumberingAfterBreak="0">
    <w:nsid w:val="41C278DF"/>
    <w:multiLevelType w:val="hybridMultilevel"/>
    <w:tmpl w:val="FFFFFFFF"/>
    <w:lvl w:ilvl="0" w:tplc="3809000F">
      <w:start w:val="1"/>
      <w:numFmt w:val="decimal"/>
      <w:lvlText w:val="%1."/>
      <w:lvlJc w:val="left"/>
      <w:pPr>
        <w:ind w:left="720" w:hanging="360"/>
      </w:pPr>
      <w:rPr>
        <w:rFonts w:cs="Times New Roman"/>
      </w:rPr>
    </w:lvl>
    <w:lvl w:ilvl="1" w:tplc="38090019" w:tentative="1">
      <w:start w:val="1"/>
      <w:numFmt w:val="lowerLetter"/>
      <w:lvlText w:val="%2."/>
      <w:lvlJc w:val="left"/>
      <w:pPr>
        <w:ind w:left="1440" w:hanging="360"/>
      </w:pPr>
      <w:rPr>
        <w:rFonts w:cs="Times New Roman"/>
      </w:rPr>
    </w:lvl>
    <w:lvl w:ilvl="2" w:tplc="3809001B" w:tentative="1">
      <w:start w:val="1"/>
      <w:numFmt w:val="lowerRoman"/>
      <w:lvlText w:val="%3."/>
      <w:lvlJc w:val="right"/>
      <w:pPr>
        <w:ind w:left="2160" w:hanging="180"/>
      </w:pPr>
      <w:rPr>
        <w:rFonts w:cs="Times New Roman"/>
      </w:rPr>
    </w:lvl>
    <w:lvl w:ilvl="3" w:tplc="3809000F" w:tentative="1">
      <w:start w:val="1"/>
      <w:numFmt w:val="decimal"/>
      <w:lvlText w:val="%4."/>
      <w:lvlJc w:val="left"/>
      <w:pPr>
        <w:ind w:left="2880" w:hanging="360"/>
      </w:pPr>
      <w:rPr>
        <w:rFonts w:cs="Times New Roman"/>
      </w:rPr>
    </w:lvl>
    <w:lvl w:ilvl="4" w:tplc="38090019" w:tentative="1">
      <w:start w:val="1"/>
      <w:numFmt w:val="lowerLetter"/>
      <w:lvlText w:val="%5."/>
      <w:lvlJc w:val="left"/>
      <w:pPr>
        <w:ind w:left="3600" w:hanging="360"/>
      </w:pPr>
      <w:rPr>
        <w:rFonts w:cs="Times New Roman"/>
      </w:rPr>
    </w:lvl>
    <w:lvl w:ilvl="5" w:tplc="3809001B" w:tentative="1">
      <w:start w:val="1"/>
      <w:numFmt w:val="lowerRoman"/>
      <w:lvlText w:val="%6."/>
      <w:lvlJc w:val="right"/>
      <w:pPr>
        <w:ind w:left="4320" w:hanging="180"/>
      </w:pPr>
      <w:rPr>
        <w:rFonts w:cs="Times New Roman"/>
      </w:rPr>
    </w:lvl>
    <w:lvl w:ilvl="6" w:tplc="3809000F" w:tentative="1">
      <w:start w:val="1"/>
      <w:numFmt w:val="decimal"/>
      <w:lvlText w:val="%7."/>
      <w:lvlJc w:val="left"/>
      <w:pPr>
        <w:ind w:left="5040" w:hanging="360"/>
      </w:pPr>
      <w:rPr>
        <w:rFonts w:cs="Times New Roman"/>
      </w:rPr>
    </w:lvl>
    <w:lvl w:ilvl="7" w:tplc="38090019" w:tentative="1">
      <w:start w:val="1"/>
      <w:numFmt w:val="lowerLetter"/>
      <w:lvlText w:val="%8."/>
      <w:lvlJc w:val="left"/>
      <w:pPr>
        <w:ind w:left="5760" w:hanging="360"/>
      </w:pPr>
      <w:rPr>
        <w:rFonts w:cs="Times New Roman"/>
      </w:rPr>
    </w:lvl>
    <w:lvl w:ilvl="8" w:tplc="3809001B" w:tentative="1">
      <w:start w:val="1"/>
      <w:numFmt w:val="lowerRoman"/>
      <w:lvlText w:val="%9."/>
      <w:lvlJc w:val="right"/>
      <w:pPr>
        <w:ind w:left="6480" w:hanging="180"/>
      </w:pPr>
      <w:rPr>
        <w:rFonts w:cs="Times New Roman"/>
      </w:rPr>
    </w:lvl>
  </w:abstractNum>
  <w:abstractNum w:abstractNumId="20" w15:restartNumberingAfterBreak="0">
    <w:nsid w:val="4C843614"/>
    <w:multiLevelType w:val="hybridMultilevel"/>
    <w:tmpl w:val="FFFFFFFF"/>
    <w:lvl w:ilvl="0" w:tplc="2F960FF0">
      <w:start w:val="1"/>
      <w:numFmt w:val="lowerLetter"/>
      <w:lvlText w:val="%1)"/>
      <w:lvlJc w:val="left"/>
      <w:pPr>
        <w:ind w:left="1712" w:hanging="360"/>
      </w:pPr>
      <w:rPr>
        <w:rFonts w:cs="Times New Roman"/>
        <w:b/>
        <w:bCs/>
      </w:rPr>
    </w:lvl>
    <w:lvl w:ilvl="1" w:tplc="04210019" w:tentative="1">
      <w:start w:val="1"/>
      <w:numFmt w:val="lowerLetter"/>
      <w:lvlText w:val="%2."/>
      <w:lvlJc w:val="left"/>
      <w:pPr>
        <w:ind w:left="2432" w:hanging="360"/>
      </w:pPr>
      <w:rPr>
        <w:rFonts w:cs="Times New Roman"/>
      </w:rPr>
    </w:lvl>
    <w:lvl w:ilvl="2" w:tplc="0421001B" w:tentative="1">
      <w:start w:val="1"/>
      <w:numFmt w:val="lowerRoman"/>
      <w:lvlText w:val="%3."/>
      <w:lvlJc w:val="right"/>
      <w:pPr>
        <w:ind w:left="3152" w:hanging="180"/>
      </w:pPr>
      <w:rPr>
        <w:rFonts w:cs="Times New Roman"/>
      </w:rPr>
    </w:lvl>
    <w:lvl w:ilvl="3" w:tplc="0421000F" w:tentative="1">
      <w:start w:val="1"/>
      <w:numFmt w:val="decimal"/>
      <w:lvlText w:val="%4."/>
      <w:lvlJc w:val="left"/>
      <w:pPr>
        <w:ind w:left="3872" w:hanging="360"/>
      </w:pPr>
      <w:rPr>
        <w:rFonts w:cs="Times New Roman"/>
      </w:rPr>
    </w:lvl>
    <w:lvl w:ilvl="4" w:tplc="04210019" w:tentative="1">
      <w:start w:val="1"/>
      <w:numFmt w:val="lowerLetter"/>
      <w:lvlText w:val="%5."/>
      <w:lvlJc w:val="left"/>
      <w:pPr>
        <w:ind w:left="4592" w:hanging="360"/>
      </w:pPr>
      <w:rPr>
        <w:rFonts w:cs="Times New Roman"/>
      </w:rPr>
    </w:lvl>
    <w:lvl w:ilvl="5" w:tplc="0421001B" w:tentative="1">
      <w:start w:val="1"/>
      <w:numFmt w:val="lowerRoman"/>
      <w:lvlText w:val="%6."/>
      <w:lvlJc w:val="right"/>
      <w:pPr>
        <w:ind w:left="5312" w:hanging="180"/>
      </w:pPr>
      <w:rPr>
        <w:rFonts w:cs="Times New Roman"/>
      </w:rPr>
    </w:lvl>
    <w:lvl w:ilvl="6" w:tplc="0421000F" w:tentative="1">
      <w:start w:val="1"/>
      <w:numFmt w:val="decimal"/>
      <w:lvlText w:val="%7."/>
      <w:lvlJc w:val="left"/>
      <w:pPr>
        <w:ind w:left="6032" w:hanging="360"/>
      </w:pPr>
      <w:rPr>
        <w:rFonts w:cs="Times New Roman"/>
      </w:rPr>
    </w:lvl>
    <w:lvl w:ilvl="7" w:tplc="04210019" w:tentative="1">
      <w:start w:val="1"/>
      <w:numFmt w:val="lowerLetter"/>
      <w:lvlText w:val="%8."/>
      <w:lvlJc w:val="left"/>
      <w:pPr>
        <w:ind w:left="6752" w:hanging="360"/>
      </w:pPr>
      <w:rPr>
        <w:rFonts w:cs="Times New Roman"/>
      </w:rPr>
    </w:lvl>
    <w:lvl w:ilvl="8" w:tplc="0421001B" w:tentative="1">
      <w:start w:val="1"/>
      <w:numFmt w:val="lowerRoman"/>
      <w:lvlText w:val="%9."/>
      <w:lvlJc w:val="right"/>
      <w:pPr>
        <w:ind w:left="7472" w:hanging="180"/>
      </w:pPr>
      <w:rPr>
        <w:rFonts w:cs="Times New Roman"/>
      </w:rPr>
    </w:lvl>
  </w:abstractNum>
  <w:abstractNum w:abstractNumId="21" w15:restartNumberingAfterBreak="0">
    <w:nsid w:val="51451C3A"/>
    <w:multiLevelType w:val="hybridMultilevel"/>
    <w:tmpl w:val="FFFFFFFF"/>
    <w:lvl w:ilvl="0" w:tplc="04210011">
      <w:start w:val="1"/>
      <w:numFmt w:val="decimal"/>
      <w:lvlText w:val="%1)"/>
      <w:lvlJc w:val="left"/>
      <w:pPr>
        <w:ind w:left="-150" w:hanging="600"/>
      </w:pPr>
      <w:rPr>
        <w:rFonts w:cs="Times New Roman" w:hint="default"/>
      </w:rPr>
    </w:lvl>
    <w:lvl w:ilvl="1" w:tplc="04210019" w:tentative="1">
      <w:start w:val="1"/>
      <w:numFmt w:val="lowerLetter"/>
      <w:lvlText w:val="%2."/>
      <w:lvlJc w:val="left"/>
      <w:pPr>
        <w:ind w:left="1065" w:hanging="360"/>
      </w:pPr>
      <w:rPr>
        <w:rFonts w:cs="Times New Roman"/>
      </w:rPr>
    </w:lvl>
    <w:lvl w:ilvl="2" w:tplc="0421001B" w:tentative="1">
      <w:start w:val="1"/>
      <w:numFmt w:val="lowerRoman"/>
      <w:lvlText w:val="%3."/>
      <w:lvlJc w:val="right"/>
      <w:pPr>
        <w:ind w:left="1785" w:hanging="180"/>
      </w:pPr>
      <w:rPr>
        <w:rFonts w:cs="Times New Roman"/>
      </w:rPr>
    </w:lvl>
    <w:lvl w:ilvl="3" w:tplc="0421000F" w:tentative="1">
      <w:start w:val="1"/>
      <w:numFmt w:val="decimal"/>
      <w:lvlText w:val="%4."/>
      <w:lvlJc w:val="left"/>
      <w:pPr>
        <w:ind w:left="2505" w:hanging="360"/>
      </w:pPr>
      <w:rPr>
        <w:rFonts w:cs="Times New Roman"/>
      </w:rPr>
    </w:lvl>
    <w:lvl w:ilvl="4" w:tplc="04210019" w:tentative="1">
      <w:start w:val="1"/>
      <w:numFmt w:val="lowerLetter"/>
      <w:lvlText w:val="%5."/>
      <w:lvlJc w:val="left"/>
      <w:pPr>
        <w:ind w:left="3225" w:hanging="360"/>
      </w:pPr>
      <w:rPr>
        <w:rFonts w:cs="Times New Roman"/>
      </w:rPr>
    </w:lvl>
    <w:lvl w:ilvl="5" w:tplc="0421001B" w:tentative="1">
      <w:start w:val="1"/>
      <w:numFmt w:val="lowerRoman"/>
      <w:lvlText w:val="%6."/>
      <w:lvlJc w:val="right"/>
      <w:pPr>
        <w:ind w:left="3945" w:hanging="180"/>
      </w:pPr>
      <w:rPr>
        <w:rFonts w:cs="Times New Roman"/>
      </w:rPr>
    </w:lvl>
    <w:lvl w:ilvl="6" w:tplc="0421000F" w:tentative="1">
      <w:start w:val="1"/>
      <w:numFmt w:val="decimal"/>
      <w:lvlText w:val="%7."/>
      <w:lvlJc w:val="left"/>
      <w:pPr>
        <w:ind w:left="4665" w:hanging="360"/>
      </w:pPr>
      <w:rPr>
        <w:rFonts w:cs="Times New Roman"/>
      </w:rPr>
    </w:lvl>
    <w:lvl w:ilvl="7" w:tplc="04210019" w:tentative="1">
      <w:start w:val="1"/>
      <w:numFmt w:val="lowerLetter"/>
      <w:lvlText w:val="%8."/>
      <w:lvlJc w:val="left"/>
      <w:pPr>
        <w:ind w:left="5385" w:hanging="360"/>
      </w:pPr>
      <w:rPr>
        <w:rFonts w:cs="Times New Roman"/>
      </w:rPr>
    </w:lvl>
    <w:lvl w:ilvl="8" w:tplc="0421001B" w:tentative="1">
      <w:start w:val="1"/>
      <w:numFmt w:val="lowerRoman"/>
      <w:lvlText w:val="%9."/>
      <w:lvlJc w:val="right"/>
      <w:pPr>
        <w:ind w:left="6105" w:hanging="180"/>
      </w:pPr>
      <w:rPr>
        <w:rFonts w:cs="Times New Roman"/>
      </w:rPr>
    </w:lvl>
  </w:abstractNum>
  <w:abstractNum w:abstractNumId="22" w15:restartNumberingAfterBreak="0">
    <w:nsid w:val="52EC5E81"/>
    <w:multiLevelType w:val="hybridMultilevel"/>
    <w:tmpl w:val="834EBF32"/>
    <w:lvl w:ilvl="0" w:tplc="ED406B02">
      <w:start w:val="1"/>
      <w:numFmt w:val="decimal"/>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3" w15:restartNumberingAfterBreak="0">
    <w:nsid w:val="53506898"/>
    <w:multiLevelType w:val="hybridMultilevel"/>
    <w:tmpl w:val="FFFFFFFF"/>
    <w:lvl w:ilvl="0" w:tplc="70E6AE24">
      <w:start w:val="1"/>
      <w:numFmt w:val="decimal"/>
      <w:lvlText w:val="%1."/>
      <w:lvlJc w:val="left"/>
      <w:pPr>
        <w:ind w:left="720" w:hanging="360"/>
      </w:pPr>
      <w:rPr>
        <w:rFonts w:cs="Times New Roman" w:hint="default"/>
        <w:i w:val="0"/>
        <w:iCs w:val="0"/>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15:restartNumberingAfterBreak="0">
    <w:nsid w:val="5541547D"/>
    <w:multiLevelType w:val="hybridMultilevel"/>
    <w:tmpl w:val="FFFFFFFF"/>
    <w:lvl w:ilvl="0" w:tplc="75BC4C32">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5" w15:restartNumberingAfterBreak="0">
    <w:nsid w:val="57B44D9E"/>
    <w:multiLevelType w:val="hybridMultilevel"/>
    <w:tmpl w:val="FFFFFFFF"/>
    <w:lvl w:ilvl="0" w:tplc="4D122A02">
      <w:start w:val="1"/>
      <w:numFmt w:val="decimal"/>
      <w:lvlText w:val="%1."/>
      <w:lvlJc w:val="left"/>
      <w:pPr>
        <w:ind w:left="1353" w:hanging="360"/>
      </w:pPr>
      <w:rPr>
        <w:rFonts w:cs="Times New Roman" w:hint="default"/>
      </w:rPr>
    </w:lvl>
    <w:lvl w:ilvl="1" w:tplc="04210019" w:tentative="1">
      <w:start w:val="1"/>
      <w:numFmt w:val="lowerLetter"/>
      <w:lvlText w:val="%2."/>
      <w:lvlJc w:val="left"/>
      <w:pPr>
        <w:ind w:left="2073" w:hanging="360"/>
      </w:pPr>
      <w:rPr>
        <w:rFonts w:cs="Times New Roman"/>
      </w:rPr>
    </w:lvl>
    <w:lvl w:ilvl="2" w:tplc="0421001B" w:tentative="1">
      <w:start w:val="1"/>
      <w:numFmt w:val="lowerRoman"/>
      <w:lvlText w:val="%3."/>
      <w:lvlJc w:val="right"/>
      <w:pPr>
        <w:ind w:left="2793" w:hanging="180"/>
      </w:pPr>
      <w:rPr>
        <w:rFonts w:cs="Times New Roman"/>
      </w:rPr>
    </w:lvl>
    <w:lvl w:ilvl="3" w:tplc="0421000F" w:tentative="1">
      <w:start w:val="1"/>
      <w:numFmt w:val="decimal"/>
      <w:lvlText w:val="%4."/>
      <w:lvlJc w:val="left"/>
      <w:pPr>
        <w:ind w:left="3513" w:hanging="360"/>
      </w:pPr>
      <w:rPr>
        <w:rFonts w:cs="Times New Roman"/>
      </w:rPr>
    </w:lvl>
    <w:lvl w:ilvl="4" w:tplc="04210019" w:tentative="1">
      <w:start w:val="1"/>
      <w:numFmt w:val="lowerLetter"/>
      <w:lvlText w:val="%5."/>
      <w:lvlJc w:val="left"/>
      <w:pPr>
        <w:ind w:left="4233" w:hanging="360"/>
      </w:pPr>
      <w:rPr>
        <w:rFonts w:cs="Times New Roman"/>
      </w:rPr>
    </w:lvl>
    <w:lvl w:ilvl="5" w:tplc="0421001B" w:tentative="1">
      <w:start w:val="1"/>
      <w:numFmt w:val="lowerRoman"/>
      <w:lvlText w:val="%6."/>
      <w:lvlJc w:val="right"/>
      <w:pPr>
        <w:ind w:left="4953" w:hanging="180"/>
      </w:pPr>
      <w:rPr>
        <w:rFonts w:cs="Times New Roman"/>
      </w:rPr>
    </w:lvl>
    <w:lvl w:ilvl="6" w:tplc="0421000F" w:tentative="1">
      <w:start w:val="1"/>
      <w:numFmt w:val="decimal"/>
      <w:lvlText w:val="%7."/>
      <w:lvlJc w:val="left"/>
      <w:pPr>
        <w:ind w:left="5673" w:hanging="360"/>
      </w:pPr>
      <w:rPr>
        <w:rFonts w:cs="Times New Roman"/>
      </w:rPr>
    </w:lvl>
    <w:lvl w:ilvl="7" w:tplc="04210019" w:tentative="1">
      <w:start w:val="1"/>
      <w:numFmt w:val="lowerLetter"/>
      <w:lvlText w:val="%8."/>
      <w:lvlJc w:val="left"/>
      <w:pPr>
        <w:ind w:left="6393" w:hanging="360"/>
      </w:pPr>
      <w:rPr>
        <w:rFonts w:cs="Times New Roman"/>
      </w:rPr>
    </w:lvl>
    <w:lvl w:ilvl="8" w:tplc="0421001B" w:tentative="1">
      <w:start w:val="1"/>
      <w:numFmt w:val="lowerRoman"/>
      <w:lvlText w:val="%9."/>
      <w:lvlJc w:val="right"/>
      <w:pPr>
        <w:ind w:left="7113" w:hanging="180"/>
      </w:pPr>
      <w:rPr>
        <w:rFonts w:cs="Times New Roman"/>
      </w:rPr>
    </w:lvl>
  </w:abstractNum>
  <w:abstractNum w:abstractNumId="26" w15:restartNumberingAfterBreak="0">
    <w:nsid w:val="5F7554F0"/>
    <w:multiLevelType w:val="hybridMultilevel"/>
    <w:tmpl w:val="FFFFFFFF"/>
    <w:lvl w:ilvl="0" w:tplc="04210017">
      <w:start w:val="1"/>
      <w:numFmt w:val="lowerLetter"/>
      <w:lvlText w:val="%1)"/>
      <w:lvlJc w:val="left"/>
      <w:pPr>
        <w:ind w:left="360" w:hanging="360"/>
      </w:pPr>
      <w:rPr>
        <w:rFonts w:cs="Times New Roman"/>
      </w:rPr>
    </w:lvl>
    <w:lvl w:ilvl="1" w:tplc="04210019" w:tentative="1">
      <w:start w:val="1"/>
      <w:numFmt w:val="lowerLetter"/>
      <w:lvlText w:val="%2."/>
      <w:lvlJc w:val="left"/>
      <w:pPr>
        <w:ind w:left="1080" w:hanging="360"/>
      </w:pPr>
      <w:rPr>
        <w:rFonts w:cs="Times New Roman"/>
      </w:rPr>
    </w:lvl>
    <w:lvl w:ilvl="2" w:tplc="0421001B" w:tentative="1">
      <w:start w:val="1"/>
      <w:numFmt w:val="lowerRoman"/>
      <w:lvlText w:val="%3."/>
      <w:lvlJc w:val="right"/>
      <w:pPr>
        <w:ind w:left="1800" w:hanging="180"/>
      </w:pPr>
      <w:rPr>
        <w:rFonts w:cs="Times New Roman"/>
      </w:rPr>
    </w:lvl>
    <w:lvl w:ilvl="3" w:tplc="0421000F" w:tentative="1">
      <w:start w:val="1"/>
      <w:numFmt w:val="decimal"/>
      <w:lvlText w:val="%4."/>
      <w:lvlJc w:val="left"/>
      <w:pPr>
        <w:ind w:left="2520" w:hanging="360"/>
      </w:pPr>
      <w:rPr>
        <w:rFonts w:cs="Times New Roman"/>
      </w:rPr>
    </w:lvl>
    <w:lvl w:ilvl="4" w:tplc="04210019" w:tentative="1">
      <w:start w:val="1"/>
      <w:numFmt w:val="lowerLetter"/>
      <w:lvlText w:val="%5."/>
      <w:lvlJc w:val="left"/>
      <w:pPr>
        <w:ind w:left="3240" w:hanging="360"/>
      </w:pPr>
      <w:rPr>
        <w:rFonts w:cs="Times New Roman"/>
      </w:rPr>
    </w:lvl>
    <w:lvl w:ilvl="5" w:tplc="0421001B" w:tentative="1">
      <w:start w:val="1"/>
      <w:numFmt w:val="lowerRoman"/>
      <w:lvlText w:val="%6."/>
      <w:lvlJc w:val="right"/>
      <w:pPr>
        <w:ind w:left="3960" w:hanging="180"/>
      </w:pPr>
      <w:rPr>
        <w:rFonts w:cs="Times New Roman"/>
      </w:rPr>
    </w:lvl>
    <w:lvl w:ilvl="6" w:tplc="0421000F" w:tentative="1">
      <w:start w:val="1"/>
      <w:numFmt w:val="decimal"/>
      <w:lvlText w:val="%7."/>
      <w:lvlJc w:val="left"/>
      <w:pPr>
        <w:ind w:left="4680" w:hanging="360"/>
      </w:pPr>
      <w:rPr>
        <w:rFonts w:cs="Times New Roman"/>
      </w:rPr>
    </w:lvl>
    <w:lvl w:ilvl="7" w:tplc="04210019" w:tentative="1">
      <w:start w:val="1"/>
      <w:numFmt w:val="lowerLetter"/>
      <w:lvlText w:val="%8."/>
      <w:lvlJc w:val="left"/>
      <w:pPr>
        <w:ind w:left="5400" w:hanging="360"/>
      </w:pPr>
      <w:rPr>
        <w:rFonts w:cs="Times New Roman"/>
      </w:rPr>
    </w:lvl>
    <w:lvl w:ilvl="8" w:tplc="0421001B" w:tentative="1">
      <w:start w:val="1"/>
      <w:numFmt w:val="lowerRoman"/>
      <w:lvlText w:val="%9."/>
      <w:lvlJc w:val="right"/>
      <w:pPr>
        <w:ind w:left="6120" w:hanging="180"/>
      </w:pPr>
      <w:rPr>
        <w:rFonts w:cs="Times New Roman"/>
      </w:rPr>
    </w:lvl>
  </w:abstractNum>
  <w:abstractNum w:abstractNumId="27" w15:restartNumberingAfterBreak="0">
    <w:nsid w:val="613F0B7A"/>
    <w:multiLevelType w:val="hybridMultilevel"/>
    <w:tmpl w:val="FFFFFFFF"/>
    <w:lvl w:ilvl="0" w:tplc="0DE6B0AA">
      <w:start w:val="1"/>
      <w:numFmt w:val="lowerLetter"/>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28" w15:restartNumberingAfterBreak="0">
    <w:nsid w:val="74633A4F"/>
    <w:multiLevelType w:val="hybridMultilevel"/>
    <w:tmpl w:val="FFFFFFFF"/>
    <w:lvl w:ilvl="0" w:tplc="066E1B70">
      <w:start w:val="1"/>
      <w:numFmt w:val="decimal"/>
      <w:lvlText w:val="%1."/>
      <w:lvlJc w:val="left"/>
      <w:pPr>
        <w:ind w:left="1413" w:hanging="360"/>
      </w:pPr>
      <w:rPr>
        <w:rFonts w:cs="Times New Roman" w:hint="default"/>
        <w:sz w:val="24"/>
      </w:rPr>
    </w:lvl>
    <w:lvl w:ilvl="1" w:tplc="04090019" w:tentative="1">
      <w:start w:val="1"/>
      <w:numFmt w:val="lowerLetter"/>
      <w:lvlText w:val="%2."/>
      <w:lvlJc w:val="left"/>
      <w:pPr>
        <w:ind w:left="2133" w:hanging="360"/>
      </w:pPr>
      <w:rPr>
        <w:rFonts w:cs="Times New Roman"/>
      </w:rPr>
    </w:lvl>
    <w:lvl w:ilvl="2" w:tplc="0409001B" w:tentative="1">
      <w:start w:val="1"/>
      <w:numFmt w:val="lowerRoman"/>
      <w:lvlText w:val="%3."/>
      <w:lvlJc w:val="right"/>
      <w:pPr>
        <w:ind w:left="2853" w:hanging="180"/>
      </w:pPr>
      <w:rPr>
        <w:rFonts w:cs="Times New Roman"/>
      </w:rPr>
    </w:lvl>
    <w:lvl w:ilvl="3" w:tplc="0409000F" w:tentative="1">
      <w:start w:val="1"/>
      <w:numFmt w:val="decimal"/>
      <w:lvlText w:val="%4."/>
      <w:lvlJc w:val="left"/>
      <w:pPr>
        <w:ind w:left="3573" w:hanging="360"/>
      </w:pPr>
      <w:rPr>
        <w:rFonts w:cs="Times New Roman"/>
      </w:rPr>
    </w:lvl>
    <w:lvl w:ilvl="4" w:tplc="04090019" w:tentative="1">
      <w:start w:val="1"/>
      <w:numFmt w:val="lowerLetter"/>
      <w:lvlText w:val="%5."/>
      <w:lvlJc w:val="left"/>
      <w:pPr>
        <w:ind w:left="4293" w:hanging="360"/>
      </w:pPr>
      <w:rPr>
        <w:rFonts w:cs="Times New Roman"/>
      </w:rPr>
    </w:lvl>
    <w:lvl w:ilvl="5" w:tplc="0409001B" w:tentative="1">
      <w:start w:val="1"/>
      <w:numFmt w:val="lowerRoman"/>
      <w:lvlText w:val="%6."/>
      <w:lvlJc w:val="right"/>
      <w:pPr>
        <w:ind w:left="5013" w:hanging="180"/>
      </w:pPr>
      <w:rPr>
        <w:rFonts w:cs="Times New Roman"/>
      </w:rPr>
    </w:lvl>
    <w:lvl w:ilvl="6" w:tplc="0409000F" w:tentative="1">
      <w:start w:val="1"/>
      <w:numFmt w:val="decimal"/>
      <w:lvlText w:val="%7."/>
      <w:lvlJc w:val="left"/>
      <w:pPr>
        <w:ind w:left="5733" w:hanging="360"/>
      </w:pPr>
      <w:rPr>
        <w:rFonts w:cs="Times New Roman"/>
      </w:rPr>
    </w:lvl>
    <w:lvl w:ilvl="7" w:tplc="04090019" w:tentative="1">
      <w:start w:val="1"/>
      <w:numFmt w:val="lowerLetter"/>
      <w:lvlText w:val="%8."/>
      <w:lvlJc w:val="left"/>
      <w:pPr>
        <w:ind w:left="6453" w:hanging="360"/>
      </w:pPr>
      <w:rPr>
        <w:rFonts w:cs="Times New Roman"/>
      </w:rPr>
    </w:lvl>
    <w:lvl w:ilvl="8" w:tplc="0409001B" w:tentative="1">
      <w:start w:val="1"/>
      <w:numFmt w:val="lowerRoman"/>
      <w:lvlText w:val="%9."/>
      <w:lvlJc w:val="right"/>
      <w:pPr>
        <w:ind w:left="7173" w:hanging="180"/>
      </w:pPr>
      <w:rPr>
        <w:rFonts w:cs="Times New Roman"/>
      </w:rPr>
    </w:lvl>
  </w:abstractNum>
  <w:abstractNum w:abstractNumId="29" w15:restartNumberingAfterBreak="0">
    <w:nsid w:val="76AB5283"/>
    <w:multiLevelType w:val="hybridMultilevel"/>
    <w:tmpl w:val="FFFFFFFF"/>
    <w:lvl w:ilvl="0" w:tplc="85BC1E7E">
      <w:start w:val="1"/>
      <w:numFmt w:val="decimal"/>
      <w:lvlText w:val="%1)"/>
      <w:lvlJc w:val="left"/>
      <w:pPr>
        <w:ind w:left="720" w:hanging="360"/>
      </w:pPr>
      <w:rPr>
        <w:rFonts w:cs="Times New Roman"/>
        <w:b/>
        <w:bCs/>
      </w:rPr>
    </w:lvl>
    <w:lvl w:ilvl="1" w:tplc="04210019" w:tentative="1">
      <w:start w:val="1"/>
      <w:numFmt w:val="lowerLetter"/>
      <w:lvlText w:val="%2."/>
      <w:lvlJc w:val="left"/>
      <w:pPr>
        <w:ind w:left="1440" w:hanging="360"/>
      </w:pPr>
      <w:rPr>
        <w:rFonts w:cs="Times New Roman"/>
      </w:rPr>
    </w:lvl>
    <w:lvl w:ilvl="2" w:tplc="0421001B" w:tentative="1">
      <w:start w:val="1"/>
      <w:numFmt w:val="lowerRoman"/>
      <w:lvlText w:val="%3."/>
      <w:lvlJc w:val="right"/>
      <w:pPr>
        <w:ind w:left="2160" w:hanging="180"/>
      </w:pPr>
      <w:rPr>
        <w:rFonts w:cs="Times New Roman"/>
      </w:rPr>
    </w:lvl>
    <w:lvl w:ilvl="3" w:tplc="0421000F" w:tentative="1">
      <w:start w:val="1"/>
      <w:numFmt w:val="decimal"/>
      <w:lvlText w:val="%4."/>
      <w:lvlJc w:val="left"/>
      <w:pPr>
        <w:ind w:left="2880" w:hanging="360"/>
      </w:pPr>
      <w:rPr>
        <w:rFonts w:cs="Times New Roman"/>
      </w:rPr>
    </w:lvl>
    <w:lvl w:ilvl="4" w:tplc="04210019" w:tentative="1">
      <w:start w:val="1"/>
      <w:numFmt w:val="lowerLetter"/>
      <w:lvlText w:val="%5."/>
      <w:lvlJc w:val="left"/>
      <w:pPr>
        <w:ind w:left="3600" w:hanging="360"/>
      </w:pPr>
      <w:rPr>
        <w:rFonts w:cs="Times New Roman"/>
      </w:rPr>
    </w:lvl>
    <w:lvl w:ilvl="5" w:tplc="0421001B" w:tentative="1">
      <w:start w:val="1"/>
      <w:numFmt w:val="lowerRoman"/>
      <w:lvlText w:val="%6."/>
      <w:lvlJc w:val="right"/>
      <w:pPr>
        <w:ind w:left="4320" w:hanging="180"/>
      </w:pPr>
      <w:rPr>
        <w:rFonts w:cs="Times New Roman"/>
      </w:rPr>
    </w:lvl>
    <w:lvl w:ilvl="6" w:tplc="0421000F" w:tentative="1">
      <w:start w:val="1"/>
      <w:numFmt w:val="decimal"/>
      <w:lvlText w:val="%7."/>
      <w:lvlJc w:val="left"/>
      <w:pPr>
        <w:ind w:left="5040" w:hanging="360"/>
      </w:pPr>
      <w:rPr>
        <w:rFonts w:cs="Times New Roman"/>
      </w:rPr>
    </w:lvl>
    <w:lvl w:ilvl="7" w:tplc="04210019" w:tentative="1">
      <w:start w:val="1"/>
      <w:numFmt w:val="lowerLetter"/>
      <w:lvlText w:val="%8."/>
      <w:lvlJc w:val="left"/>
      <w:pPr>
        <w:ind w:left="5760" w:hanging="360"/>
      </w:pPr>
      <w:rPr>
        <w:rFonts w:cs="Times New Roman"/>
      </w:rPr>
    </w:lvl>
    <w:lvl w:ilvl="8" w:tplc="0421001B" w:tentative="1">
      <w:start w:val="1"/>
      <w:numFmt w:val="lowerRoman"/>
      <w:lvlText w:val="%9."/>
      <w:lvlJc w:val="right"/>
      <w:pPr>
        <w:ind w:left="6480" w:hanging="180"/>
      </w:pPr>
      <w:rPr>
        <w:rFonts w:cs="Times New Roman"/>
      </w:rPr>
    </w:lvl>
  </w:abstractNum>
  <w:abstractNum w:abstractNumId="30" w15:restartNumberingAfterBreak="0">
    <w:nsid w:val="7B857A15"/>
    <w:multiLevelType w:val="hybridMultilevel"/>
    <w:tmpl w:val="FFFFFFFF"/>
    <w:lvl w:ilvl="0" w:tplc="04090019">
      <w:start w:val="1"/>
      <w:numFmt w:val="low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1" w15:restartNumberingAfterBreak="0">
    <w:nsid w:val="7C1E659A"/>
    <w:multiLevelType w:val="hybridMultilevel"/>
    <w:tmpl w:val="FFFFFFFF"/>
    <w:lvl w:ilvl="0" w:tplc="917CBEB0">
      <w:start w:val="1"/>
      <w:numFmt w:val="decimal"/>
      <w:lvlText w:val="%1."/>
      <w:lvlJc w:val="left"/>
      <w:pPr>
        <w:ind w:left="1353" w:hanging="360"/>
      </w:pPr>
      <w:rPr>
        <w:rFonts w:cs="Times New Roman" w:hint="default"/>
      </w:rPr>
    </w:lvl>
    <w:lvl w:ilvl="1" w:tplc="04090019" w:tentative="1">
      <w:start w:val="1"/>
      <w:numFmt w:val="lowerLetter"/>
      <w:lvlText w:val="%2."/>
      <w:lvlJc w:val="left"/>
      <w:pPr>
        <w:ind w:left="2073" w:hanging="360"/>
      </w:pPr>
      <w:rPr>
        <w:rFonts w:cs="Times New Roman"/>
      </w:rPr>
    </w:lvl>
    <w:lvl w:ilvl="2" w:tplc="0409001B" w:tentative="1">
      <w:start w:val="1"/>
      <w:numFmt w:val="lowerRoman"/>
      <w:lvlText w:val="%3."/>
      <w:lvlJc w:val="right"/>
      <w:pPr>
        <w:ind w:left="2793" w:hanging="180"/>
      </w:pPr>
      <w:rPr>
        <w:rFonts w:cs="Times New Roman"/>
      </w:rPr>
    </w:lvl>
    <w:lvl w:ilvl="3" w:tplc="0409000F" w:tentative="1">
      <w:start w:val="1"/>
      <w:numFmt w:val="decimal"/>
      <w:lvlText w:val="%4."/>
      <w:lvlJc w:val="left"/>
      <w:pPr>
        <w:ind w:left="3513" w:hanging="360"/>
      </w:pPr>
      <w:rPr>
        <w:rFonts w:cs="Times New Roman"/>
      </w:rPr>
    </w:lvl>
    <w:lvl w:ilvl="4" w:tplc="04090019" w:tentative="1">
      <w:start w:val="1"/>
      <w:numFmt w:val="lowerLetter"/>
      <w:lvlText w:val="%5."/>
      <w:lvlJc w:val="left"/>
      <w:pPr>
        <w:ind w:left="4233" w:hanging="360"/>
      </w:pPr>
      <w:rPr>
        <w:rFonts w:cs="Times New Roman"/>
      </w:rPr>
    </w:lvl>
    <w:lvl w:ilvl="5" w:tplc="0409001B" w:tentative="1">
      <w:start w:val="1"/>
      <w:numFmt w:val="lowerRoman"/>
      <w:lvlText w:val="%6."/>
      <w:lvlJc w:val="right"/>
      <w:pPr>
        <w:ind w:left="4953" w:hanging="180"/>
      </w:pPr>
      <w:rPr>
        <w:rFonts w:cs="Times New Roman"/>
      </w:rPr>
    </w:lvl>
    <w:lvl w:ilvl="6" w:tplc="0409000F" w:tentative="1">
      <w:start w:val="1"/>
      <w:numFmt w:val="decimal"/>
      <w:lvlText w:val="%7."/>
      <w:lvlJc w:val="left"/>
      <w:pPr>
        <w:ind w:left="5673" w:hanging="360"/>
      </w:pPr>
      <w:rPr>
        <w:rFonts w:cs="Times New Roman"/>
      </w:rPr>
    </w:lvl>
    <w:lvl w:ilvl="7" w:tplc="04090019" w:tentative="1">
      <w:start w:val="1"/>
      <w:numFmt w:val="lowerLetter"/>
      <w:lvlText w:val="%8."/>
      <w:lvlJc w:val="left"/>
      <w:pPr>
        <w:ind w:left="6393" w:hanging="360"/>
      </w:pPr>
      <w:rPr>
        <w:rFonts w:cs="Times New Roman"/>
      </w:rPr>
    </w:lvl>
    <w:lvl w:ilvl="8" w:tplc="0409001B" w:tentative="1">
      <w:start w:val="1"/>
      <w:numFmt w:val="lowerRoman"/>
      <w:lvlText w:val="%9."/>
      <w:lvlJc w:val="right"/>
      <w:pPr>
        <w:ind w:left="7113" w:hanging="180"/>
      </w:pPr>
      <w:rPr>
        <w:rFonts w:cs="Times New Roman"/>
      </w:rPr>
    </w:lvl>
  </w:abstractNum>
  <w:abstractNum w:abstractNumId="32" w15:restartNumberingAfterBreak="0">
    <w:nsid w:val="7CC85296"/>
    <w:multiLevelType w:val="hybridMultilevel"/>
    <w:tmpl w:val="FFFFFFFF"/>
    <w:lvl w:ilvl="0" w:tplc="04210013">
      <w:start w:val="1"/>
      <w:numFmt w:val="upperRoman"/>
      <w:lvlText w:val="%1."/>
      <w:lvlJc w:val="right"/>
      <w:pPr>
        <w:ind w:left="360" w:hanging="360"/>
      </w:pPr>
      <w:rPr>
        <w:rFonts w:cs="Times New Roman"/>
      </w:rPr>
    </w:lvl>
    <w:lvl w:ilvl="1" w:tplc="04210019" w:tentative="1">
      <w:start w:val="1"/>
      <w:numFmt w:val="lowerLetter"/>
      <w:lvlText w:val="%2."/>
      <w:lvlJc w:val="left"/>
      <w:pPr>
        <w:ind w:left="2149" w:hanging="360"/>
      </w:pPr>
      <w:rPr>
        <w:rFonts w:cs="Times New Roman"/>
      </w:rPr>
    </w:lvl>
    <w:lvl w:ilvl="2" w:tplc="0421001B" w:tentative="1">
      <w:start w:val="1"/>
      <w:numFmt w:val="lowerRoman"/>
      <w:lvlText w:val="%3."/>
      <w:lvlJc w:val="right"/>
      <w:pPr>
        <w:ind w:left="2869" w:hanging="180"/>
      </w:pPr>
      <w:rPr>
        <w:rFonts w:cs="Times New Roman"/>
      </w:rPr>
    </w:lvl>
    <w:lvl w:ilvl="3" w:tplc="0421000F" w:tentative="1">
      <w:start w:val="1"/>
      <w:numFmt w:val="decimal"/>
      <w:lvlText w:val="%4."/>
      <w:lvlJc w:val="left"/>
      <w:pPr>
        <w:ind w:left="3589" w:hanging="360"/>
      </w:pPr>
      <w:rPr>
        <w:rFonts w:cs="Times New Roman"/>
      </w:rPr>
    </w:lvl>
    <w:lvl w:ilvl="4" w:tplc="04210019" w:tentative="1">
      <w:start w:val="1"/>
      <w:numFmt w:val="lowerLetter"/>
      <w:lvlText w:val="%5."/>
      <w:lvlJc w:val="left"/>
      <w:pPr>
        <w:ind w:left="4309" w:hanging="360"/>
      </w:pPr>
      <w:rPr>
        <w:rFonts w:cs="Times New Roman"/>
      </w:rPr>
    </w:lvl>
    <w:lvl w:ilvl="5" w:tplc="0421001B" w:tentative="1">
      <w:start w:val="1"/>
      <w:numFmt w:val="lowerRoman"/>
      <w:lvlText w:val="%6."/>
      <w:lvlJc w:val="right"/>
      <w:pPr>
        <w:ind w:left="5029" w:hanging="180"/>
      </w:pPr>
      <w:rPr>
        <w:rFonts w:cs="Times New Roman"/>
      </w:rPr>
    </w:lvl>
    <w:lvl w:ilvl="6" w:tplc="0421000F" w:tentative="1">
      <w:start w:val="1"/>
      <w:numFmt w:val="decimal"/>
      <w:lvlText w:val="%7."/>
      <w:lvlJc w:val="left"/>
      <w:pPr>
        <w:ind w:left="5749" w:hanging="360"/>
      </w:pPr>
      <w:rPr>
        <w:rFonts w:cs="Times New Roman"/>
      </w:rPr>
    </w:lvl>
    <w:lvl w:ilvl="7" w:tplc="04210019" w:tentative="1">
      <w:start w:val="1"/>
      <w:numFmt w:val="lowerLetter"/>
      <w:lvlText w:val="%8."/>
      <w:lvlJc w:val="left"/>
      <w:pPr>
        <w:ind w:left="6469" w:hanging="360"/>
      </w:pPr>
      <w:rPr>
        <w:rFonts w:cs="Times New Roman"/>
      </w:rPr>
    </w:lvl>
    <w:lvl w:ilvl="8" w:tplc="0421001B" w:tentative="1">
      <w:start w:val="1"/>
      <w:numFmt w:val="lowerRoman"/>
      <w:lvlText w:val="%9."/>
      <w:lvlJc w:val="right"/>
      <w:pPr>
        <w:ind w:left="7189" w:hanging="180"/>
      </w:pPr>
      <w:rPr>
        <w:rFonts w:cs="Times New Roman"/>
      </w:rPr>
    </w:lvl>
  </w:abstractNum>
  <w:num w:numId="1" w16cid:durableId="2073262972">
    <w:abstractNumId w:val="16"/>
  </w:num>
  <w:num w:numId="2" w16cid:durableId="485970993">
    <w:abstractNumId w:val="9"/>
  </w:num>
  <w:num w:numId="3" w16cid:durableId="410200282">
    <w:abstractNumId w:val="10"/>
  </w:num>
  <w:num w:numId="4" w16cid:durableId="2137285493">
    <w:abstractNumId w:val="26"/>
  </w:num>
  <w:num w:numId="5" w16cid:durableId="1019962932">
    <w:abstractNumId w:val="25"/>
  </w:num>
  <w:num w:numId="6" w16cid:durableId="370957493">
    <w:abstractNumId w:val="24"/>
  </w:num>
  <w:num w:numId="7" w16cid:durableId="1162768867">
    <w:abstractNumId w:val="31"/>
  </w:num>
  <w:num w:numId="8" w16cid:durableId="1438022640">
    <w:abstractNumId w:val="17"/>
  </w:num>
  <w:num w:numId="9" w16cid:durableId="2006592035">
    <w:abstractNumId w:val="27"/>
  </w:num>
  <w:num w:numId="10" w16cid:durableId="1061251243">
    <w:abstractNumId w:val="28"/>
  </w:num>
  <w:num w:numId="11" w16cid:durableId="967396715">
    <w:abstractNumId w:val="13"/>
  </w:num>
  <w:num w:numId="12" w16cid:durableId="1171063890">
    <w:abstractNumId w:val="21"/>
  </w:num>
  <w:num w:numId="13" w16cid:durableId="1903101194">
    <w:abstractNumId w:val="7"/>
  </w:num>
  <w:num w:numId="14" w16cid:durableId="210653759">
    <w:abstractNumId w:val="0"/>
  </w:num>
  <w:num w:numId="15" w16cid:durableId="2072386098">
    <w:abstractNumId w:val="32"/>
  </w:num>
  <w:num w:numId="16" w16cid:durableId="613246020">
    <w:abstractNumId w:val="23"/>
  </w:num>
  <w:num w:numId="17" w16cid:durableId="1116872063">
    <w:abstractNumId w:val="30"/>
  </w:num>
  <w:num w:numId="18" w16cid:durableId="1252080476">
    <w:abstractNumId w:val="29"/>
  </w:num>
  <w:num w:numId="19" w16cid:durableId="2101637754">
    <w:abstractNumId w:val="20"/>
  </w:num>
  <w:num w:numId="20" w16cid:durableId="220168126">
    <w:abstractNumId w:val="5"/>
  </w:num>
  <w:num w:numId="21" w16cid:durableId="1619142303">
    <w:abstractNumId w:val="1"/>
  </w:num>
  <w:num w:numId="22" w16cid:durableId="1619409271">
    <w:abstractNumId w:val="14"/>
  </w:num>
  <w:num w:numId="23" w16cid:durableId="1469056629">
    <w:abstractNumId w:val="2"/>
  </w:num>
  <w:num w:numId="24" w16cid:durableId="1543590173">
    <w:abstractNumId w:val="3"/>
  </w:num>
  <w:num w:numId="25" w16cid:durableId="177155830">
    <w:abstractNumId w:val="4"/>
  </w:num>
  <w:num w:numId="26" w16cid:durableId="1094084349">
    <w:abstractNumId w:val="11"/>
  </w:num>
  <w:num w:numId="27" w16cid:durableId="1235236214">
    <w:abstractNumId w:val="15"/>
  </w:num>
  <w:num w:numId="28" w16cid:durableId="943655462">
    <w:abstractNumId w:val="6"/>
  </w:num>
  <w:num w:numId="29" w16cid:durableId="78598166">
    <w:abstractNumId w:val="19"/>
  </w:num>
  <w:num w:numId="30" w16cid:durableId="680085252">
    <w:abstractNumId w:val="18"/>
  </w:num>
  <w:num w:numId="31" w16cid:durableId="1306934484">
    <w:abstractNumId w:val="22"/>
  </w:num>
  <w:num w:numId="32" w16cid:durableId="1428503509">
    <w:abstractNumId w:val="8"/>
  </w:num>
  <w:num w:numId="33" w16cid:durableId="1036853100">
    <w:abstractNumId w:val="12"/>
  </w:num>
  <w:numIdMacAtCleanup w:val="1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RA">
    <w15:presenceInfo w15:providerId="None" w15:userId="R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embedSystemFonts/>
  <w:proofState w:spelling="clean" w:grammar="clean"/>
  <w:defaultTabStop w:val="720"/>
  <w:doNotHyphenateCaps/>
  <w:evenAndOddHeaders/>
  <w:drawingGridHorizontalSpacing w:val="100"/>
  <w:displayHorizontalDrawingGridEvery w:val="2"/>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2DAC"/>
    <w:rsid w:val="00003189"/>
    <w:rsid w:val="000051D0"/>
    <w:rsid w:val="00005ED9"/>
    <w:rsid w:val="00010DEE"/>
    <w:rsid w:val="00017625"/>
    <w:rsid w:val="00022076"/>
    <w:rsid w:val="000243A3"/>
    <w:rsid w:val="00024881"/>
    <w:rsid w:val="0002569B"/>
    <w:rsid w:val="000417D3"/>
    <w:rsid w:val="00046968"/>
    <w:rsid w:val="000475BE"/>
    <w:rsid w:val="00055DD9"/>
    <w:rsid w:val="00055FC4"/>
    <w:rsid w:val="0006191D"/>
    <w:rsid w:val="00066AC1"/>
    <w:rsid w:val="0007302E"/>
    <w:rsid w:val="0007539D"/>
    <w:rsid w:val="00076F8C"/>
    <w:rsid w:val="0008220C"/>
    <w:rsid w:val="000877EE"/>
    <w:rsid w:val="00087E52"/>
    <w:rsid w:val="000900AD"/>
    <w:rsid w:val="0009204F"/>
    <w:rsid w:val="0009638F"/>
    <w:rsid w:val="000A0B41"/>
    <w:rsid w:val="000A2548"/>
    <w:rsid w:val="000B0038"/>
    <w:rsid w:val="000B0CE5"/>
    <w:rsid w:val="000B59CD"/>
    <w:rsid w:val="000C034F"/>
    <w:rsid w:val="000C3688"/>
    <w:rsid w:val="000E1F30"/>
    <w:rsid w:val="000E31DC"/>
    <w:rsid w:val="000F66AA"/>
    <w:rsid w:val="00103AFF"/>
    <w:rsid w:val="00110D78"/>
    <w:rsid w:val="00116ED8"/>
    <w:rsid w:val="00117792"/>
    <w:rsid w:val="00117FCE"/>
    <w:rsid w:val="00122F5F"/>
    <w:rsid w:val="00123EF2"/>
    <w:rsid w:val="001245CB"/>
    <w:rsid w:val="0013783B"/>
    <w:rsid w:val="001578E9"/>
    <w:rsid w:val="001602A0"/>
    <w:rsid w:val="00162A30"/>
    <w:rsid w:val="00165813"/>
    <w:rsid w:val="00171D19"/>
    <w:rsid w:val="00173196"/>
    <w:rsid w:val="0018288D"/>
    <w:rsid w:val="001834D8"/>
    <w:rsid w:val="00187357"/>
    <w:rsid w:val="0019427B"/>
    <w:rsid w:val="00194BA9"/>
    <w:rsid w:val="001A07A8"/>
    <w:rsid w:val="001A410B"/>
    <w:rsid w:val="001A4C9F"/>
    <w:rsid w:val="001B3613"/>
    <w:rsid w:val="001B7FC2"/>
    <w:rsid w:val="001C1AEE"/>
    <w:rsid w:val="001C2739"/>
    <w:rsid w:val="001C3D6C"/>
    <w:rsid w:val="001C3DA7"/>
    <w:rsid w:val="001C7BDA"/>
    <w:rsid w:val="001D5E03"/>
    <w:rsid w:val="001D7DEE"/>
    <w:rsid w:val="001E02DA"/>
    <w:rsid w:val="001E2AAA"/>
    <w:rsid w:val="001F2D87"/>
    <w:rsid w:val="001F3695"/>
    <w:rsid w:val="001F582A"/>
    <w:rsid w:val="00200009"/>
    <w:rsid w:val="002003B1"/>
    <w:rsid w:val="0020406B"/>
    <w:rsid w:val="0020676E"/>
    <w:rsid w:val="00211FAA"/>
    <w:rsid w:val="002132FC"/>
    <w:rsid w:val="0021416E"/>
    <w:rsid w:val="00214B65"/>
    <w:rsid w:val="00216CB6"/>
    <w:rsid w:val="00217165"/>
    <w:rsid w:val="00217D1E"/>
    <w:rsid w:val="00220E29"/>
    <w:rsid w:val="00223090"/>
    <w:rsid w:val="00224082"/>
    <w:rsid w:val="00232863"/>
    <w:rsid w:val="00232961"/>
    <w:rsid w:val="00241B8D"/>
    <w:rsid w:val="00251164"/>
    <w:rsid w:val="00253D8A"/>
    <w:rsid w:val="002563E9"/>
    <w:rsid w:val="00260D64"/>
    <w:rsid w:val="002632DB"/>
    <w:rsid w:val="002676D3"/>
    <w:rsid w:val="00271DA6"/>
    <w:rsid w:val="0027200A"/>
    <w:rsid w:val="00274990"/>
    <w:rsid w:val="00287EDB"/>
    <w:rsid w:val="00295FB9"/>
    <w:rsid w:val="002961FA"/>
    <w:rsid w:val="002A293E"/>
    <w:rsid w:val="002A4E05"/>
    <w:rsid w:val="002B2B33"/>
    <w:rsid w:val="002B594F"/>
    <w:rsid w:val="002C2FAC"/>
    <w:rsid w:val="002C3797"/>
    <w:rsid w:val="002D0F54"/>
    <w:rsid w:val="002D1D04"/>
    <w:rsid w:val="002D2DAC"/>
    <w:rsid w:val="002D33A7"/>
    <w:rsid w:val="002E0452"/>
    <w:rsid w:val="002E1840"/>
    <w:rsid w:val="002E29FD"/>
    <w:rsid w:val="002E4286"/>
    <w:rsid w:val="002E695D"/>
    <w:rsid w:val="002F4D18"/>
    <w:rsid w:val="00301FEB"/>
    <w:rsid w:val="00303D42"/>
    <w:rsid w:val="0030640D"/>
    <w:rsid w:val="00312D76"/>
    <w:rsid w:val="00334520"/>
    <w:rsid w:val="00334792"/>
    <w:rsid w:val="003363F0"/>
    <w:rsid w:val="00336A9A"/>
    <w:rsid w:val="0034128C"/>
    <w:rsid w:val="00347671"/>
    <w:rsid w:val="003524EC"/>
    <w:rsid w:val="00362CBC"/>
    <w:rsid w:val="00366775"/>
    <w:rsid w:val="0037001C"/>
    <w:rsid w:val="00381B26"/>
    <w:rsid w:val="00382478"/>
    <w:rsid w:val="00386F26"/>
    <w:rsid w:val="00387148"/>
    <w:rsid w:val="00387C94"/>
    <w:rsid w:val="00391ACE"/>
    <w:rsid w:val="003948B0"/>
    <w:rsid w:val="00395535"/>
    <w:rsid w:val="003B28D6"/>
    <w:rsid w:val="003B2BD3"/>
    <w:rsid w:val="003C27F1"/>
    <w:rsid w:val="003C40CE"/>
    <w:rsid w:val="003C482F"/>
    <w:rsid w:val="003C5369"/>
    <w:rsid w:val="003E017E"/>
    <w:rsid w:val="003E1185"/>
    <w:rsid w:val="003E6CBB"/>
    <w:rsid w:val="003E7145"/>
    <w:rsid w:val="003F1684"/>
    <w:rsid w:val="004003CF"/>
    <w:rsid w:val="00400BB8"/>
    <w:rsid w:val="00406663"/>
    <w:rsid w:val="00406D0E"/>
    <w:rsid w:val="00411F5E"/>
    <w:rsid w:val="00413EEB"/>
    <w:rsid w:val="00415562"/>
    <w:rsid w:val="00415A81"/>
    <w:rsid w:val="004174DD"/>
    <w:rsid w:val="0042287C"/>
    <w:rsid w:val="00423FBA"/>
    <w:rsid w:val="00425716"/>
    <w:rsid w:val="00425E5D"/>
    <w:rsid w:val="004308C0"/>
    <w:rsid w:val="0043544C"/>
    <w:rsid w:val="0043726F"/>
    <w:rsid w:val="00442F6C"/>
    <w:rsid w:val="004460D4"/>
    <w:rsid w:val="00451D00"/>
    <w:rsid w:val="00453027"/>
    <w:rsid w:val="004535C9"/>
    <w:rsid w:val="004538A9"/>
    <w:rsid w:val="004573CA"/>
    <w:rsid w:val="00461A20"/>
    <w:rsid w:val="00463904"/>
    <w:rsid w:val="004657C4"/>
    <w:rsid w:val="00465FB0"/>
    <w:rsid w:val="00467DAA"/>
    <w:rsid w:val="00476E9F"/>
    <w:rsid w:val="00481B20"/>
    <w:rsid w:val="00483B07"/>
    <w:rsid w:val="004863B6"/>
    <w:rsid w:val="00486707"/>
    <w:rsid w:val="0048722D"/>
    <w:rsid w:val="004926FD"/>
    <w:rsid w:val="004928B8"/>
    <w:rsid w:val="00497A78"/>
    <w:rsid w:val="004A19B5"/>
    <w:rsid w:val="004A4564"/>
    <w:rsid w:val="004A68CB"/>
    <w:rsid w:val="004B08D8"/>
    <w:rsid w:val="004B0E60"/>
    <w:rsid w:val="004C15A0"/>
    <w:rsid w:val="004D00AE"/>
    <w:rsid w:val="004D0872"/>
    <w:rsid w:val="004D5A18"/>
    <w:rsid w:val="004D67B0"/>
    <w:rsid w:val="004D7EF4"/>
    <w:rsid w:val="004E43C7"/>
    <w:rsid w:val="004F5144"/>
    <w:rsid w:val="004F5368"/>
    <w:rsid w:val="00500754"/>
    <w:rsid w:val="00500AAF"/>
    <w:rsid w:val="005022AA"/>
    <w:rsid w:val="005031E8"/>
    <w:rsid w:val="0050390B"/>
    <w:rsid w:val="00503DD2"/>
    <w:rsid w:val="005062E6"/>
    <w:rsid w:val="005227C8"/>
    <w:rsid w:val="005323E6"/>
    <w:rsid w:val="00534B65"/>
    <w:rsid w:val="00534EF0"/>
    <w:rsid w:val="0053629A"/>
    <w:rsid w:val="005367ED"/>
    <w:rsid w:val="00540F02"/>
    <w:rsid w:val="0054303A"/>
    <w:rsid w:val="00543077"/>
    <w:rsid w:val="005469BE"/>
    <w:rsid w:val="00546E89"/>
    <w:rsid w:val="005478C9"/>
    <w:rsid w:val="00553784"/>
    <w:rsid w:val="005569E1"/>
    <w:rsid w:val="0056036E"/>
    <w:rsid w:val="005611F1"/>
    <w:rsid w:val="005626AA"/>
    <w:rsid w:val="005635B4"/>
    <w:rsid w:val="00564E9B"/>
    <w:rsid w:val="00566D1B"/>
    <w:rsid w:val="0057036A"/>
    <w:rsid w:val="00571CFE"/>
    <w:rsid w:val="005742A6"/>
    <w:rsid w:val="00590269"/>
    <w:rsid w:val="00591DE5"/>
    <w:rsid w:val="0059236C"/>
    <w:rsid w:val="00597AAB"/>
    <w:rsid w:val="005A1BE1"/>
    <w:rsid w:val="005A4F69"/>
    <w:rsid w:val="005A5D6C"/>
    <w:rsid w:val="005A6A0E"/>
    <w:rsid w:val="005C14AA"/>
    <w:rsid w:val="005C56C8"/>
    <w:rsid w:val="005C6309"/>
    <w:rsid w:val="005C643D"/>
    <w:rsid w:val="005D4A0D"/>
    <w:rsid w:val="005D59B6"/>
    <w:rsid w:val="005E7673"/>
    <w:rsid w:val="005F6F53"/>
    <w:rsid w:val="00602879"/>
    <w:rsid w:val="006035FA"/>
    <w:rsid w:val="006052AE"/>
    <w:rsid w:val="006070C7"/>
    <w:rsid w:val="00615265"/>
    <w:rsid w:val="0061613E"/>
    <w:rsid w:val="0062129F"/>
    <w:rsid w:val="00622926"/>
    <w:rsid w:val="0062388D"/>
    <w:rsid w:val="006254AD"/>
    <w:rsid w:val="006352D0"/>
    <w:rsid w:val="00637098"/>
    <w:rsid w:val="00637BE1"/>
    <w:rsid w:val="006419D1"/>
    <w:rsid w:val="00643F44"/>
    <w:rsid w:val="00650832"/>
    <w:rsid w:val="00650CEB"/>
    <w:rsid w:val="006514A8"/>
    <w:rsid w:val="006527D4"/>
    <w:rsid w:val="006538D6"/>
    <w:rsid w:val="00654B07"/>
    <w:rsid w:val="00672ECC"/>
    <w:rsid w:val="00674C01"/>
    <w:rsid w:val="00674CB5"/>
    <w:rsid w:val="00680536"/>
    <w:rsid w:val="006902BB"/>
    <w:rsid w:val="006A4FA3"/>
    <w:rsid w:val="006A7DFF"/>
    <w:rsid w:val="006B04B2"/>
    <w:rsid w:val="006B0510"/>
    <w:rsid w:val="006B2D02"/>
    <w:rsid w:val="006B4974"/>
    <w:rsid w:val="006B6E0F"/>
    <w:rsid w:val="006C0BEA"/>
    <w:rsid w:val="006C65C4"/>
    <w:rsid w:val="006C6EBD"/>
    <w:rsid w:val="006C7730"/>
    <w:rsid w:val="006D0A4B"/>
    <w:rsid w:val="006D6149"/>
    <w:rsid w:val="006D782E"/>
    <w:rsid w:val="006E2742"/>
    <w:rsid w:val="006E2F83"/>
    <w:rsid w:val="006E466B"/>
    <w:rsid w:val="006E7FC3"/>
    <w:rsid w:val="006F411A"/>
    <w:rsid w:val="00704378"/>
    <w:rsid w:val="00706053"/>
    <w:rsid w:val="007066E4"/>
    <w:rsid w:val="00707398"/>
    <w:rsid w:val="007169EC"/>
    <w:rsid w:val="007277EC"/>
    <w:rsid w:val="00727B9E"/>
    <w:rsid w:val="00741058"/>
    <w:rsid w:val="00750DAC"/>
    <w:rsid w:val="00755AB4"/>
    <w:rsid w:val="00761E7C"/>
    <w:rsid w:val="00762C77"/>
    <w:rsid w:val="007636FC"/>
    <w:rsid w:val="00771574"/>
    <w:rsid w:val="00774469"/>
    <w:rsid w:val="00775180"/>
    <w:rsid w:val="007774E4"/>
    <w:rsid w:val="007816FC"/>
    <w:rsid w:val="00781D8B"/>
    <w:rsid w:val="00791E50"/>
    <w:rsid w:val="007923B1"/>
    <w:rsid w:val="007925B5"/>
    <w:rsid w:val="0079311F"/>
    <w:rsid w:val="007933FE"/>
    <w:rsid w:val="00796577"/>
    <w:rsid w:val="00796A75"/>
    <w:rsid w:val="007A2AA8"/>
    <w:rsid w:val="007A5A78"/>
    <w:rsid w:val="007A62B7"/>
    <w:rsid w:val="007A65BF"/>
    <w:rsid w:val="007B135B"/>
    <w:rsid w:val="007B5A8D"/>
    <w:rsid w:val="007B6823"/>
    <w:rsid w:val="007D5BA1"/>
    <w:rsid w:val="007E4168"/>
    <w:rsid w:val="007E508F"/>
    <w:rsid w:val="007F02FB"/>
    <w:rsid w:val="007F2213"/>
    <w:rsid w:val="007F37D6"/>
    <w:rsid w:val="007F422E"/>
    <w:rsid w:val="007F5B9D"/>
    <w:rsid w:val="008003D6"/>
    <w:rsid w:val="00802718"/>
    <w:rsid w:val="00802990"/>
    <w:rsid w:val="00802A5B"/>
    <w:rsid w:val="00802A96"/>
    <w:rsid w:val="008049B4"/>
    <w:rsid w:val="00804B31"/>
    <w:rsid w:val="00810811"/>
    <w:rsid w:val="00815661"/>
    <w:rsid w:val="008157AA"/>
    <w:rsid w:val="00815993"/>
    <w:rsid w:val="00817086"/>
    <w:rsid w:val="0082272E"/>
    <w:rsid w:val="00835E51"/>
    <w:rsid w:val="00846249"/>
    <w:rsid w:val="00852EC7"/>
    <w:rsid w:val="0085484D"/>
    <w:rsid w:val="00862178"/>
    <w:rsid w:val="00862DDA"/>
    <w:rsid w:val="00863A78"/>
    <w:rsid w:val="00867428"/>
    <w:rsid w:val="008678F7"/>
    <w:rsid w:val="00873865"/>
    <w:rsid w:val="00874EB7"/>
    <w:rsid w:val="008752FD"/>
    <w:rsid w:val="008765A5"/>
    <w:rsid w:val="00882CAF"/>
    <w:rsid w:val="008847ED"/>
    <w:rsid w:val="00886BAD"/>
    <w:rsid w:val="0088746C"/>
    <w:rsid w:val="008940D8"/>
    <w:rsid w:val="00896794"/>
    <w:rsid w:val="008A257B"/>
    <w:rsid w:val="008A7B81"/>
    <w:rsid w:val="008B23F8"/>
    <w:rsid w:val="008B4BA9"/>
    <w:rsid w:val="008B7A0F"/>
    <w:rsid w:val="008C2547"/>
    <w:rsid w:val="008C302B"/>
    <w:rsid w:val="008C3C9B"/>
    <w:rsid w:val="008C3DC2"/>
    <w:rsid w:val="008C45DE"/>
    <w:rsid w:val="008C62AD"/>
    <w:rsid w:val="008D0F02"/>
    <w:rsid w:val="008D5536"/>
    <w:rsid w:val="008D75B2"/>
    <w:rsid w:val="008E554D"/>
    <w:rsid w:val="008F0CE5"/>
    <w:rsid w:val="008F1989"/>
    <w:rsid w:val="008F3342"/>
    <w:rsid w:val="00901F00"/>
    <w:rsid w:val="00902F9C"/>
    <w:rsid w:val="00906AC7"/>
    <w:rsid w:val="00907E40"/>
    <w:rsid w:val="00911A24"/>
    <w:rsid w:val="009206DD"/>
    <w:rsid w:val="009231B3"/>
    <w:rsid w:val="00923573"/>
    <w:rsid w:val="009276FB"/>
    <w:rsid w:val="00936811"/>
    <w:rsid w:val="00940F83"/>
    <w:rsid w:val="0094187E"/>
    <w:rsid w:val="00944018"/>
    <w:rsid w:val="00945575"/>
    <w:rsid w:val="0094630C"/>
    <w:rsid w:val="0095288D"/>
    <w:rsid w:val="0095456E"/>
    <w:rsid w:val="00954B9B"/>
    <w:rsid w:val="00954BA8"/>
    <w:rsid w:val="00965E3F"/>
    <w:rsid w:val="00965F50"/>
    <w:rsid w:val="0098193E"/>
    <w:rsid w:val="00987772"/>
    <w:rsid w:val="009917BE"/>
    <w:rsid w:val="0099291C"/>
    <w:rsid w:val="009929B4"/>
    <w:rsid w:val="00994209"/>
    <w:rsid w:val="009A1281"/>
    <w:rsid w:val="009A1E24"/>
    <w:rsid w:val="009B2397"/>
    <w:rsid w:val="009B4065"/>
    <w:rsid w:val="009B6344"/>
    <w:rsid w:val="009B764B"/>
    <w:rsid w:val="009C7D8B"/>
    <w:rsid w:val="009D7AA9"/>
    <w:rsid w:val="009E2468"/>
    <w:rsid w:val="009E336E"/>
    <w:rsid w:val="009E3624"/>
    <w:rsid w:val="009E4EBA"/>
    <w:rsid w:val="009F091C"/>
    <w:rsid w:val="009F2D64"/>
    <w:rsid w:val="009F409C"/>
    <w:rsid w:val="009F6F7B"/>
    <w:rsid w:val="00A03126"/>
    <w:rsid w:val="00A03679"/>
    <w:rsid w:val="00A13315"/>
    <w:rsid w:val="00A14CEF"/>
    <w:rsid w:val="00A175E3"/>
    <w:rsid w:val="00A272D2"/>
    <w:rsid w:val="00A27B34"/>
    <w:rsid w:val="00A30493"/>
    <w:rsid w:val="00A32E17"/>
    <w:rsid w:val="00A33DAA"/>
    <w:rsid w:val="00A37C4B"/>
    <w:rsid w:val="00A427DC"/>
    <w:rsid w:val="00A430B8"/>
    <w:rsid w:val="00A43298"/>
    <w:rsid w:val="00A43778"/>
    <w:rsid w:val="00A4558F"/>
    <w:rsid w:val="00A50B27"/>
    <w:rsid w:val="00A526EF"/>
    <w:rsid w:val="00A549F9"/>
    <w:rsid w:val="00A54DE6"/>
    <w:rsid w:val="00A562A0"/>
    <w:rsid w:val="00A5653C"/>
    <w:rsid w:val="00A574C4"/>
    <w:rsid w:val="00A60243"/>
    <w:rsid w:val="00A602DE"/>
    <w:rsid w:val="00A64896"/>
    <w:rsid w:val="00A64A27"/>
    <w:rsid w:val="00A67525"/>
    <w:rsid w:val="00A71464"/>
    <w:rsid w:val="00A72FCF"/>
    <w:rsid w:val="00A758BF"/>
    <w:rsid w:val="00A762E8"/>
    <w:rsid w:val="00A762F0"/>
    <w:rsid w:val="00A8066D"/>
    <w:rsid w:val="00A80B2E"/>
    <w:rsid w:val="00A80C31"/>
    <w:rsid w:val="00A819B4"/>
    <w:rsid w:val="00A82EEE"/>
    <w:rsid w:val="00A83D78"/>
    <w:rsid w:val="00A83E44"/>
    <w:rsid w:val="00A877F4"/>
    <w:rsid w:val="00A91CAD"/>
    <w:rsid w:val="00A92D0F"/>
    <w:rsid w:val="00A95B23"/>
    <w:rsid w:val="00AA4AE4"/>
    <w:rsid w:val="00AA4E7D"/>
    <w:rsid w:val="00AA4FC8"/>
    <w:rsid w:val="00AA6636"/>
    <w:rsid w:val="00AC388E"/>
    <w:rsid w:val="00AC6628"/>
    <w:rsid w:val="00AD05B1"/>
    <w:rsid w:val="00AD169A"/>
    <w:rsid w:val="00AD2E20"/>
    <w:rsid w:val="00AD3EFD"/>
    <w:rsid w:val="00AD559D"/>
    <w:rsid w:val="00AD5DCB"/>
    <w:rsid w:val="00AE283C"/>
    <w:rsid w:val="00AF35CC"/>
    <w:rsid w:val="00AF4940"/>
    <w:rsid w:val="00AF73DF"/>
    <w:rsid w:val="00B029D3"/>
    <w:rsid w:val="00B02CE0"/>
    <w:rsid w:val="00B06D1D"/>
    <w:rsid w:val="00B17324"/>
    <w:rsid w:val="00B23F90"/>
    <w:rsid w:val="00B25EDF"/>
    <w:rsid w:val="00B35DC8"/>
    <w:rsid w:val="00B4389C"/>
    <w:rsid w:val="00B47B2C"/>
    <w:rsid w:val="00B56B54"/>
    <w:rsid w:val="00B60784"/>
    <w:rsid w:val="00B7002E"/>
    <w:rsid w:val="00B70E6B"/>
    <w:rsid w:val="00B75A4B"/>
    <w:rsid w:val="00B768CC"/>
    <w:rsid w:val="00B80A1A"/>
    <w:rsid w:val="00B8520B"/>
    <w:rsid w:val="00B86AE8"/>
    <w:rsid w:val="00B86BF7"/>
    <w:rsid w:val="00B905EC"/>
    <w:rsid w:val="00B91F74"/>
    <w:rsid w:val="00B9472D"/>
    <w:rsid w:val="00BA6FF3"/>
    <w:rsid w:val="00BB08FA"/>
    <w:rsid w:val="00BB2B6F"/>
    <w:rsid w:val="00BB50DF"/>
    <w:rsid w:val="00BB6938"/>
    <w:rsid w:val="00BC51D8"/>
    <w:rsid w:val="00BD3E7E"/>
    <w:rsid w:val="00BD5835"/>
    <w:rsid w:val="00BD5D62"/>
    <w:rsid w:val="00BD79A0"/>
    <w:rsid w:val="00BE144D"/>
    <w:rsid w:val="00BE17FD"/>
    <w:rsid w:val="00BE30EB"/>
    <w:rsid w:val="00BF2AAA"/>
    <w:rsid w:val="00BF5A85"/>
    <w:rsid w:val="00BF672B"/>
    <w:rsid w:val="00C0213A"/>
    <w:rsid w:val="00C02E08"/>
    <w:rsid w:val="00C03879"/>
    <w:rsid w:val="00C0389E"/>
    <w:rsid w:val="00C10C09"/>
    <w:rsid w:val="00C11C42"/>
    <w:rsid w:val="00C152F9"/>
    <w:rsid w:val="00C1756D"/>
    <w:rsid w:val="00C21420"/>
    <w:rsid w:val="00C26170"/>
    <w:rsid w:val="00C377E7"/>
    <w:rsid w:val="00C420B8"/>
    <w:rsid w:val="00C44781"/>
    <w:rsid w:val="00C50A65"/>
    <w:rsid w:val="00C549E7"/>
    <w:rsid w:val="00C56155"/>
    <w:rsid w:val="00C6051D"/>
    <w:rsid w:val="00C6181C"/>
    <w:rsid w:val="00C67610"/>
    <w:rsid w:val="00C71E29"/>
    <w:rsid w:val="00C72516"/>
    <w:rsid w:val="00C7503D"/>
    <w:rsid w:val="00C90327"/>
    <w:rsid w:val="00C93C98"/>
    <w:rsid w:val="00CA4275"/>
    <w:rsid w:val="00CA7439"/>
    <w:rsid w:val="00CB41DC"/>
    <w:rsid w:val="00CB5866"/>
    <w:rsid w:val="00CB660C"/>
    <w:rsid w:val="00CC56D8"/>
    <w:rsid w:val="00CE2A67"/>
    <w:rsid w:val="00CE741E"/>
    <w:rsid w:val="00CF03A1"/>
    <w:rsid w:val="00CF57D6"/>
    <w:rsid w:val="00D26ADD"/>
    <w:rsid w:val="00D26D30"/>
    <w:rsid w:val="00D44083"/>
    <w:rsid w:val="00D46384"/>
    <w:rsid w:val="00D57022"/>
    <w:rsid w:val="00D57A56"/>
    <w:rsid w:val="00D63088"/>
    <w:rsid w:val="00D67104"/>
    <w:rsid w:val="00D67519"/>
    <w:rsid w:val="00D71087"/>
    <w:rsid w:val="00D73826"/>
    <w:rsid w:val="00D775DE"/>
    <w:rsid w:val="00D813BC"/>
    <w:rsid w:val="00D90FE5"/>
    <w:rsid w:val="00D94113"/>
    <w:rsid w:val="00D96860"/>
    <w:rsid w:val="00DA1969"/>
    <w:rsid w:val="00DC3AF3"/>
    <w:rsid w:val="00DC5DB0"/>
    <w:rsid w:val="00DC66E5"/>
    <w:rsid w:val="00DC78F5"/>
    <w:rsid w:val="00DC7B34"/>
    <w:rsid w:val="00DD601D"/>
    <w:rsid w:val="00DD6F37"/>
    <w:rsid w:val="00DE1E48"/>
    <w:rsid w:val="00DE4617"/>
    <w:rsid w:val="00DF0C41"/>
    <w:rsid w:val="00DF0EC0"/>
    <w:rsid w:val="00DF1636"/>
    <w:rsid w:val="00DF2729"/>
    <w:rsid w:val="00DF48E5"/>
    <w:rsid w:val="00DF5622"/>
    <w:rsid w:val="00DF6442"/>
    <w:rsid w:val="00E005F9"/>
    <w:rsid w:val="00E02E72"/>
    <w:rsid w:val="00E0470A"/>
    <w:rsid w:val="00E17217"/>
    <w:rsid w:val="00E30D6B"/>
    <w:rsid w:val="00E30E14"/>
    <w:rsid w:val="00E363A9"/>
    <w:rsid w:val="00E36AA2"/>
    <w:rsid w:val="00E434D8"/>
    <w:rsid w:val="00E439CB"/>
    <w:rsid w:val="00E46E84"/>
    <w:rsid w:val="00E51701"/>
    <w:rsid w:val="00E5640B"/>
    <w:rsid w:val="00E566B0"/>
    <w:rsid w:val="00E649E6"/>
    <w:rsid w:val="00E65AF8"/>
    <w:rsid w:val="00E73641"/>
    <w:rsid w:val="00E758FF"/>
    <w:rsid w:val="00E75F6E"/>
    <w:rsid w:val="00E77C4D"/>
    <w:rsid w:val="00E810D4"/>
    <w:rsid w:val="00E90314"/>
    <w:rsid w:val="00E90C62"/>
    <w:rsid w:val="00E922F2"/>
    <w:rsid w:val="00E93AC4"/>
    <w:rsid w:val="00EA2EA0"/>
    <w:rsid w:val="00EA4465"/>
    <w:rsid w:val="00EA4EF4"/>
    <w:rsid w:val="00EA5258"/>
    <w:rsid w:val="00EB2CFF"/>
    <w:rsid w:val="00EB323F"/>
    <w:rsid w:val="00EB5A85"/>
    <w:rsid w:val="00EB743A"/>
    <w:rsid w:val="00EC4D8B"/>
    <w:rsid w:val="00ED1805"/>
    <w:rsid w:val="00ED2F7D"/>
    <w:rsid w:val="00ED5DCF"/>
    <w:rsid w:val="00EE6C25"/>
    <w:rsid w:val="00F00D99"/>
    <w:rsid w:val="00F01DBC"/>
    <w:rsid w:val="00F05A83"/>
    <w:rsid w:val="00F06CD1"/>
    <w:rsid w:val="00F06FB4"/>
    <w:rsid w:val="00F1027C"/>
    <w:rsid w:val="00F1612A"/>
    <w:rsid w:val="00F20576"/>
    <w:rsid w:val="00F23791"/>
    <w:rsid w:val="00F31ECF"/>
    <w:rsid w:val="00F331B5"/>
    <w:rsid w:val="00F3381A"/>
    <w:rsid w:val="00F369EC"/>
    <w:rsid w:val="00F4322E"/>
    <w:rsid w:val="00F51BE9"/>
    <w:rsid w:val="00F52044"/>
    <w:rsid w:val="00F52B04"/>
    <w:rsid w:val="00F52E83"/>
    <w:rsid w:val="00F660DB"/>
    <w:rsid w:val="00F727DB"/>
    <w:rsid w:val="00F7294C"/>
    <w:rsid w:val="00F814D0"/>
    <w:rsid w:val="00F9056B"/>
    <w:rsid w:val="00F91387"/>
    <w:rsid w:val="00F956D7"/>
    <w:rsid w:val="00F97E21"/>
    <w:rsid w:val="00FA3FD1"/>
    <w:rsid w:val="00FA4B17"/>
    <w:rsid w:val="00FB2A93"/>
    <w:rsid w:val="00FB4ACA"/>
    <w:rsid w:val="00FB5880"/>
    <w:rsid w:val="00FC13D6"/>
    <w:rsid w:val="00FC2DC7"/>
    <w:rsid w:val="00FC3C69"/>
    <w:rsid w:val="00FC3FCF"/>
    <w:rsid w:val="00FC4C88"/>
    <w:rsid w:val="00FC679E"/>
    <w:rsid w:val="00FD08EE"/>
    <w:rsid w:val="00FE0722"/>
    <w:rsid w:val="00FE59A0"/>
    <w:rsid w:val="00FE703C"/>
    <w:rsid w:val="00FF1D30"/>
    <w:rsid w:val="00FF4D86"/>
    <w:rsid w:val="00FF5F3B"/>
    <w:rsid w:val="00FF67B3"/>
    <w:rsid w:val="00FF795F"/>
  </w:rsids>
  <m:mathPr>
    <m:mathFont m:val="Cambria Math"/>
    <m:brkBin m:val="before"/>
    <m:brkBinSub m:val="--"/>
    <m:smallFrac m:val="0"/>
    <m:dispDef/>
    <m:lMargin m:val="0"/>
    <m:rMargin m:val="0"/>
    <m:defJc m:val="centerGroup"/>
    <m:wrapIndent m:val="1440"/>
    <m:intLim m:val="subSup"/>
    <m:naryLim m:val="undOvr"/>
  </m:mathPr>
  <w:themeFontLang w:val="id-ID"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7A43CC6"/>
  <w14:defaultImageDpi w14:val="96"/>
  <w15:docId w15:val="{625792D6-6E3F-4381-A627-284507FD8B9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ID" w:eastAsia="en-ID"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uiPriority="9" w:qFormat="1"/>
    <w:lsdException w:name="heading 5" w:semiHidden="1" w:uiPriority="9" w:unhideWhenUsed="1" w:qFormat="1"/>
    <w:lsdException w:name="heading 6" w:semiHidden="1" w:uiPriority="9" w:unhideWhenUsed="1" w:qFormat="1"/>
    <w:lsdException w:name="heading 7" w:uiPriority="9" w:qFormat="1"/>
    <w:lsdException w:name="heading 8" w:semiHidden="1" w:uiPriority="9" w:unhideWhenUsed="1" w:qFormat="1"/>
    <w:lsdException w:name="heading 9" w:semiHidden="1" w:uiPriority="9" w:unhideWhenUsed="1" w:qFormat="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caption" w:semiHidden="1" w:uiPriority="35" w:unhideWhenUsed="1" w:qFormat="1"/>
    <w:lsdException w:name="page number" w:semiHidden="1" w:uiPriority="0" w:unhideWhenUsed="1"/>
    <w:lsdException w:name="endnote text" w:semiHidden="1" w:unhideWhenUsed="1"/>
    <w:lsdException w:name="toa heading" w:semiHidden="1" w:unhideWhenUsed="1"/>
    <w:lsdException w:name="List" w:semiHidden="1" w:unhideWhenUsed="1"/>
    <w:lsdException w:name="Title" w:uiPriority="0" w:qFormat="1"/>
    <w:lsdException w:name="Default Paragraph Font" w:semiHidden="1" w:uiPriority="1" w:unhideWhenUsed="1"/>
    <w:lsdException w:name="Body Text" w:semiHidden="1" w:uiPriority="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Subtitle" w:uiPriority="11" w:qFormat="1"/>
    <w:lsdException w:name="Body Text 3" w:semiHidden="1" w:uiPriority="0" w:unhideWhenUsed="1"/>
    <w:lsdException w:name="Strong" w:uiPriority="22" w:qFormat="1"/>
    <w:lsdException w:name="Emphasis" w:uiPriority="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8220C"/>
    <w:pPr>
      <w:autoSpaceDE w:val="0"/>
      <w:autoSpaceDN w:val="0"/>
    </w:pPr>
    <w:rPr>
      <w:lang w:val="en-US" w:eastAsia="en-GB"/>
    </w:rPr>
  </w:style>
  <w:style w:type="paragraph" w:styleId="Heading1">
    <w:name w:val="heading 1"/>
    <w:basedOn w:val="Normal"/>
    <w:next w:val="Normal"/>
    <w:link w:val="Heading1Char"/>
    <w:uiPriority w:val="9"/>
    <w:qFormat/>
    <w:rsid w:val="008765A5"/>
    <w:pPr>
      <w:keepNext/>
      <w:spacing w:before="240" w:after="60"/>
      <w:outlineLvl w:val="0"/>
    </w:pPr>
    <w:rPr>
      <w:rFonts w:ascii="Cambria" w:hAnsi="Cambria"/>
      <w:b/>
      <w:bCs/>
      <w:kern w:val="32"/>
      <w:sz w:val="32"/>
      <w:szCs w:val="32"/>
    </w:rPr>
  </w:style>
  <w:style w:type="paragraph" w:styleId="Heading2">
    <w:name w:val="heading 2"/>
    <w:basedOn w:val="Normal"/>
    <w:next w:val="Normal"/>
    <w:link w:val="Heading2Char"/>
    <w:uiPriority w:val="9"/>
    <w:unhideWhenUsed/>
    <w:qFormat/>
    <w:rsid w:val="008C45DE"/>
    <w:pPr>
      <w:keepNext/>
      <w:spacing w:before="240" w:after="60"/>
      <w:outlineLvl w:val="1"/>
    </w:pPr>
    <w:rPr>
      <w:rFonts w:ascii="Cambria" w:hAnsi="Cambria"/>
      <w:b/>
      <w:bCs/>
      <w:i/>
      <w:iCs/>
      <w:sz w:val="28"/>
      <w:szCs w:val="28"/>
    </w:rPr>
  </w:style>
  <w:style w:type="paragraph" w:styleId="Heading3">
    <w:name w:val="heading 3"/>
    <w:basedOn w:val="Normal"/>
    <w:next w:val="Normal"/>
    <w:link w:val="Heading3Char"/>
    <w:uiPriority w:val="9"/>
    <w:semiHidden/>
    <w:unhideWhenUsed/>
    <w:qFormat/>
    <w:rsid w:val="00DE1E48"/>
    <w:pPr>
      <w:keepNext/>
      <w:spacing w:before="240" w:after="60"/>
      <w:outlineLvl w:val="2"/>
    </w:pPr>
    <w:rPr>
      <w:rFonts w:ascii="Cambria" w:hAnsi="Cambria"/>
      <w:b/>
      <w:bCs/>
      <w:sz w:val="26"/>
      <w:szCs w:val="26"/>
    </w:rPr>
  </w:style>
  <w:style w:type="paragraph" w:styleId="Heading4">
    <w:name w:val="heading 4"/>
    <w:basedOn w:val="Normal"/>
    <w:next w:val="Normal"/>
    <w:link w:val="Heading4Char"/>
    <w:uiPriority w:val="99"/>
    <w:qFormat/>
    <w:rsid w:val="002D2DAC"/>
    <w:pPr>
      <w:keepNext/>
      <w:spacing w:line="360" w:lineRule="auto"/>
      <w:jc w:val="center"/>
      <w:outlineLvl w:val="3"/>
    </w:pPr>
    <w:rPr>
      <w:b/>
      <w:bCs/>
      <w:sz w:val="24"/>
      <w:szCs w:val="24"/>
    </w:rPr>
  </w:style>
  <w:style w:type="paragraph" w:styleId="Heading7">
    <w:name w:val="heading 7"/>
    <w:basedOn w:val="Normal"/>
    <w:next w:val="Normal"/>
    <w:link w:val="Heading7Char"/>
    <w:uiPriority w:val="99"/>
    <w:qFormat/>
    <w:rsid w:val="002D2DAC"/>
    <w:pPr>
      <w:keepNext/>
      <w:spacing w:line="360" w:lineRule="auto"/>
      <w:jc w:val="both"/>
      <w:outlineLvl w:val="6"/>
    </w:pPr>
    <w:rPr>
      <w:rFonts w:ascii="Garamond" w:hAnsi="Garamond" w:cs="Garamond"/>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8765A5"/>
    <w:rPr>
      <w:rFonts w:ascii="Cambria" w:hAnsi="Cambria" w:cs="Times New Roman"/>
      <w:b/>
      <w:kern w:val="32"/>
      <w:sz w:val="32"/>
      <w:lang w:val="x-none" w:eastAsia="en-GB"/>
    </w:rPr>
  </w:style>
  <w:style w:type="character" w:customStyle="1" w:styleId="Heading2Char">
    <w:name w:val="Heading 2 Char"/>
    <w:basedOn w:val="DefaultParagraphFont"/>
    <w:link w:val="Heading2"/>
    <w:uiPriority w:val="9"/>
    <w:locked/>
    <w:rsid w:val="008C45DE"/>
    <w:rPr>
      <w:rFonts w:ascii="Cambria" w:hAnsi="Cambria" w:cs="Times New Roman"/>
      <w:b/>
      <w:i/>
      <w:sz w:val="28"/>
      <w:lang w:val="en-US" w:eastAsia="en-GB"/>
    </w:rPr>
  </w:style>
  <w:style w:type="character" w:customStyle="1" w:styleId="Heading3Char">
    <w:name w:val="Heading 3 Char"/>
    <w:basedOn w:val="DefaultParagraphFont"/>
    <w:link w:val="Heading3"/>
    <w:uiPriority w:val="9"/>
    <w:semiHidden/>
    <w:locked/>
    <w:rsid w:val="00DE1E48"/>
    <w:rPr>
      <w:rFonts w:ascii="Cambria" w:hAnsi="Cambria" w:cs="Times New Roman"/>
      <w:b/>
      <w:sz w:val="26"/>
      <w:lang w:val="x-none" w:eastAsia="en-GB"/>
    </w:rPr>
  </w:style>
  <w:style w:type="character" w:customStyle="1" w:styleId="Heading4Char">
    <w:name w:val="Heading 4 Char"/>
    <w:basedOn w:val="DefaultParagraphFont"/>
    <w:link w:val="Heading4"/>
    <w:uiPriority w:val="9"/>
    <w:semiHidden/>
    <w:locked/>
    <w:rPr>
      <w:rFonts w:ascii="Calibri" w:hAnsi="Calibri" w:cs="Times New Roman"/>
      <w:b/>
      <w:sz w:val="28"/>
      <w:lang w:val="x-none" w:eastAsia="en-GB"/>
    </w:rPr>
  </w:style>
  <w:style w:type="character" w:customStyle="1" w:styleId="Heading7Char">
    <w:name w:val="Heading 7 Char"/>
    <w:basedOn w:val="DefaultParagraphFont"/>
    <w:link w:val="Heading7"/>
    <w:uiPriority w:val="9"/>
    <w:semiHidden/>
    <w:locked/>
    <w:rPr>
      <w:rFonts w:ascii="Calibri" w:hAnsi="Calibri" w:cs="Times New Roman"/>
      <w:sz w:val="24"/>
      <w:lang w:val="x-none" w:eastAsia="en-GB"/>
    </w:rPr>
  </w:style>
  <w:style w:type="paragraph" w:styleId="BalloonText">
    <w:name w:val="Balloon Text"/>
    <w:basedOn w:val="Normal"/>
    <w:link w:val="BalloonTextChar"/>
    <w:uiPriority w:val="99"/>
    <w:semiHidden/>
    <w:pPr>
      <w:autoSpaceDE/>
      <w:autoSpaceDN/>
    </w:pPr>
    <w:rPr>
      <w:rFonts w:ascii="Tahoma" w:hAnsi="Tahoma" w:cs="Tahoma"/>
      <w:sz w:val="16"/>
      <w:szCs w:val="16"/>
      <w:lang w:eastAsia="en-US"/>
    </w:rPr>
  </w:style>
  <w:style w:type="character" w:customStyle="1" w:styleId="BalloonTextChar">
    <w:name w:val="Balloon Text Char"/>
    <w:basedOn w:val="DefaultParagraphFont"/>
    <w:link w:val="BalloonText"/>
    <w:uiPriority w:val="99"/>
    <w:semiHidden/>
    <w:locked/>
    <w:rPr>
      <w:rFonts w:ascii="Tahoma" w:hAnsi="Tahoma" w:cs="Times New Roman"/>
      <w:sz w:val="16"/>
      <w:lang w:val="x-none" w:eastAsia="en-GB"/>
    </w:rPr>
  </w:style>
  <w:style w:type="paragraph" w:styleId="Title">
    <w:name w:val="Title"/>
    <w:basedOn w:val="Normal"/>
    <w:link w:val="TitleChar"/>
    <w:uiPriority w:val="10"/>
    <w:qFormat/>
    <w:rsid w:val="002D2DAC"/>
    <w:pPr>
      <w:jc w:val="center"/>
    </w:pPr>
    <w:rPr>
      <w:b/>
      <w:bCs/>
      <w:sz w:val="24"/>
      <w:szCs w:val="24"/>
    </w:rPr>
  </w:style>
  <w:style w:type="character" w:customStyle="1" w:styleId="TitleChar">
    <w:name w:val="Title Char"/>
    <w:basedOn w:val="DefaultParagraphFont"/>
    <w:link w:val="Title"/>
    <w:uiPriority w:val="10"/>
    <w:locked/>
    <w:rPr>
      <w:rFonts w:ascii="Cambria" w:hAnsi="Cambria" w:cs="Times New Roman"/>
      <w:b/>
      <w:kern w:val="28"/>
      <w:sz w:val="32"/>
      <w:lang w:val="x-none" w:eastAsia="en-GB"/>
    </w:rPr>
  </w:style>
  <w:style w:type="paragraph" w:styleId="FootnoteText">
    <w:name w:val="footnote text"/>
    <w:aliases w:val="Char,Catatan Kaki Char Char Char Char Char,Footnote Char Char Char Char Char,Footnote Char Char Char Char,Footnote Char Char,Footnote Text Char Char Char,Footnote Text Char Char"/>
    <w:basedOn w:val="Normal"/>
    <w:link w:val="FootnoteTextChar"/>
    <w:uiPriority w:val="99"/>
    <w:rsid w:val="002D2DAC"/>
  </w:style>
  <w:style w:type="character" w:customStyle="1" w:styleId="FootnoteTextChar">
    <w:name w:val="Footnote Text Char"/>
    <w:aliases w:val="Char Char,Catatan Kaki Char Char Char Char Char Char,Footnote Char Char Char Char Char Char,Footnote Char Char Char Char Char1,Footnote Char Char Char,Footnote Text Char Char Char Char,Footnote Text Char Char Char1"/>
    <w:basedOn w:val="DefaultParagraphFont"/>
    <w:link w:val="FootnoteText"/>
    <w:uiPriority w:val="99"/>
    <w:locked/>
    <w:rsid w:val="00802718"/>
    <w:rPr>
      <w:rFonts w:cs="Times New Roman"/>
      <w:lang w:val="en-US" w:eastAsia="en-GB"/>
    </w:rPr>
  </w:style>
  <w:style w:type="character" w:styleId="FootnoteReference">
    <w:name w:val="footnote reference"/>
    <w:basedOn w:val="DefaultParagraphFont"/>
    <w:uiPriority w:val="99"/>
    <w:rsid w:val="002D2DAC"/>
    <w:rPr>
      <w:rFonts w:cs="Times New Roman"/>
      <w:vertAlign w:val="superscript"/>
    </w:rPr>
  </w:style>
  <w:style w:type="paragraph" w:styleId="BodyText2">
    <w:name w:val="Body Text 2"/>
    <w:basedOn w:val="Normal"/>
    <w:link w:val="BodyText2Char"/>
    <w:uiPriority w:val="99"/>
    <w:rsid w:val="002D2DAC"/>
    <w:pPr>
      <w:spacing w:after="120"/>
      <w:ind w:left="283"/>
    </w:pPr>
    <w:rPr>
      <w:sz w:val="24"/>
      <w:szCs w:val="24"/>
    </w:rPr>
  </w:style>
  <w:style w:type="character" w:customStyle="1" w:styleId="BodyText2Char">
    <w:name w:val="Body Text 2 Char"/>
    <w:basedOn w:val="DefaultParagraphFont"/>
    <w:link w:val="BodyText2"/>
    <w:uiPriority w:val="99"/>
    <w:semiHidden/>
    <w:locked/>
    <w:rPr>
      <w:rFonts w:cs="Times New Roman"/>
      <w:sz w:val="20"/>
      <w:lang w:val="x-none" w:eastAsia="en-GB"/>
    </w:rPr>
  </w:style>
  <w:style w:type="paragraph" w:styleId="Footer">
    <w:name w:val="footer"/>
    <w:basedOn w:val="Normal"/>
    <w:link w:val="FooterChar"/>
    <w:uiPriority w:val="99"/>
    <w:rsid w:val="002D2DAC"/>
    <w:pPr>
      <w:tabs>
        <w:tab w:val="center" w:pos="4320"/>
        <w:tab w:val="right" w:pos="8640"/>
      </w:tabs>
    </w:pPr>
  </w:style>
  <w:style w:type="character" w:customStyle="1" w:styleId="FooterChar">
    <w:name w:val="Footer Char"/>
    <w:basedOn w:val="DefaultParagraphFont"/>
    <w:link w:val="Footer"/>
    <w:uiPriority w:val="99"/>
    <w:locked/>
    <w:rPr>
      <w:rFonts w:cs="Times New Roman"/>
      <w:sz w:val="20"/>
      <w:lang w:val="x-none" w:eastAsia="en-GB"/>
    </w:rPr>
  </w:style>
  <w:style w:type="character" w:styleId="PageNumber">
    <w:name w:val="page number"/>
    <w:basedOn w:val="DefaultParagraphFont"/>
    <w:uiPriority w:val="99"/>
    <w:rsid w:val="002D2DAC"/>
    <w:rPr>
      <w:rFonts w:cs="Times New Roman"/>
    </w:rPr>
  </w:style>
  <w:style w:type="paragraph" w:styleId="BodyText">
    <w:name w:val="Body Text"/>
    <w:basedOn w:val="Normal"/>
    <w:link w:val="BodyTextChar"/>
    <w:uiPriority w:val="1"/>
    <w:qFormat/>
    <w:rsid w:val="00C26170"/>
    <w:pPr>
      <w:spacing w:after="120"/>
    </w:pPr>
  </w:style>
  <w:style w:type="character" w:customStyle="1" w:styleId="BodyTextChar">
    <w:name w:val="Body Text Char"/>
    <w:basedOn w:val="DefaultParagraphFont"/>
    <w:link w:val="BodyText"/>
    <w:uiPriority w:val="1"/>
    <w:locked/>
    <w:rPr>
      <w:rFonts w:cs="Times New Roman"/>
      <w:sz w:val="20"/>
      <w:lang w:val="x-none" w:eastAsia="en-GB"/>
    </w:rPr>
  </w:style>
  <w:style w:type="paragraph" w:styleId="BodyText3">
    <w:name w:val="Body Text 3"/>
    <w:basedOn w:val="Normal"/>
    <w:link w:val="BodyText3Char"/>
    <w:uiPriority w:val="99"/>
    <w:unhideWhenUsed/>
    <w:rsid w:val="008765A5"/>
    <w:pPr>
      <w:autoSpaceDE/>
      <w:autoSpaceDN/>
      <w:spacing w:after="120"/>
    </w:pPr>
    <w:rPr>
      <w:sz w:val="16"/>
      <w:szCs w:val="16"/>
      <w:lang w:eastAsia="en-US"/>
    </w:rPr>
  </w:style>
  <w:style w:type="character" w:customStyle="1" w:styleId="BodyText3Char">
    <w:name w:val="Body Text 3 Char"/>
    <w:basedOn w:val="DefaultParagraphFont"/>
    <w:link w:val="BodyText3"/>
    <w:uiPriority w:val="99"/>
    <w:locked/>
    <w:rsid w:val="008765A5"/>
    <w:rPr>
      <w:rFonts w:cs="Times New Roman"/>
      <w:sz w:val="16"/>
    </w:rPr>
  </w:style>
  <w:style w:type="character" w:customStyle="1" w:styleId="go">
    <w:name w:val="go"/>
    <w:rsid w:val="008765A5"/>
  </w:style>
  <w:style w:type="paragraph" w:styleId="Header">
    <w:name w:val="header"/>
    <w:basedOn w:val="Normal"/>
    <w:link w:val="HeaderChar"/>
    <w:uiPriority w:val="99"/>
    <w:unhideWhenUsed/>
    <w:rsid w:val="007D5BA1"/>
    <w:pPr>
      <w:tabs>
        <w:tab w:val="center" w:pos="4680"/>
        <w:tab w:val="right" w:pos="9360"/>
      </w:tabs>
    </w:pPr>
  </w:style>
  <w:style w:type="character" w:customStyle="1" w:styleId="HeaderChar">
    <w:name w:val="Header Char"/>
    <w:basedOn w:val="DefaultParagraphFont"/>
    <w:link w:val="Header"/>
    <w:uiPriority w:val="99"/>
    <w:locked/>
    <w:rsid w:val="007D5BA1"/>
    <w:rPr>
      <w:rFonts w:cs="Times New Roman"/>
      <w:sz w:val="20"/>
      <w:lang w:val="x-none" w:eastAsia="en-GB"/>
    </w:rPr>
  </w:style>
  <w:style w:type="paragraph" w:styleId="BodyTextIndent2">
    <w:name w:val="Body Text Indent 2"/>
    <w:basedOn w:val="Normal"/>
    <w:link w:val="BodyTextIndent2Char"/>
    <w:uiPriority w:val="99"/>
    <w:semiHidden/>
    <w:unhideWhenUsed/>
    <w:rsid w:val="00D775DE"/>
    <w:pPr>
      <w:spacing w:after="120" w:line="480" w:lineRule="auto"/>
      <w:ind w:left="360"/>
    </w:pPr>
  </w:style>
  <w:style w:type="character" w:customStyle="1" w:styleId="BodyTextIndent2Char">
    <w:name w:val="Body Text Indent 2 Char"/>
    <w:basedOn w:val="DefaultParagraphFont"/>
    <w:link w:val="BodyTextIndent2"/>
    <w:uiPriority w:val="99"/>
    <w:semiHidden/>
    <w:locked/>
    <w:rsid w:val="00D775DE"/>
    <w:rPr>
      <w:rFonts w:cs="Times New Roman"/>
      <w:lang w:val="x-none" w:eastAsia="en-GB"/>
    </w:rPr>
  </w:style>
  <w:style w:type="paragraph" w:styleId="BodyTextIndent">
    <w:name w:val="Body Text Indent"/>
    <w:basedOn w:val="Normal"/>
    <w:link w:val="BodyTextIndentChar"/>
    <w:uiPriority w:val="99"/>
    <w:rsid w:val="00D775DE"/>
    <w:pPr>
      <w:autoSpaceDE/>
      <w:autoSpaceDN/>
      <w:spacing w:after="120"/>
      <w:ind w:left="360"/>
    </w:pPr>
    <w:rPr>
      <w:sz w:val="24"/>
      <w:szCs w:val="24"/>
      <w:lang w:eastAsia="en-US"/>
    </w:rPr>
  </w:style>
  <w:style w:type="character" w:customStyle="1" w:styleId="BodyTextIndentChar">
    <w:name w:val="Body Text Indent Char"/>
    <w:basedOn w:val="DefaultParagraphFont"/>
    <w:link w:val="BodyTextIndent"/>
    <w:uiPriority w:val="99"/>
    <w:locked/>
    <w:rsid w:val="00D775DE"/>
    <w:rPr>
      <w:rFonts w:cs="Times New Roman"/>
      <w:sz w:val="24"/>
    </w:rPr>
  </w:style>
  <w:style w:type="character" w:styleId="Hyperlink">
    <w:name w:val="Hyperlink"/>
    <w:basedOn w:val="DefaultParagraphFont"/>
    <w:uiPriority w:val="99"/>
    <w:rsid w:val="00D775DE"/>
    <w:rPr>
      <w:rFonts w:cs="Times New Roman"/>
      <w:color w:val="0000FF"/>
      <w:u w:val="single"/>
    </w:rPr>
  </w:style>
  <w:style w:type="character" w:customStyle="1" w:styleId="hps">
    <w:name w:val="hps"/>
    <w:rsid w:val="00796A75"/>
  </w:style>
  <w:style w:type="character" w:customStyle="1" w:styleId="atn">
    <w:name w:val="atn"/>
    <w:rsid w:val="00796A75"/>
  </w:style>
  <w:style w:type="table" w:styleId="TableGrid">
    <w:name w:val="Table Grid"/>
    <w:basedOn w:val="TableNormal"/>
    <w:uiPriority w:val="99"/>
    <w:rsid w:val="00862178"/>
    <w:rPr>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aliases w:val="Body of text"/>
    <w:basedOn w:val="Normal"/>
    <w:link w:val="ListParagraphChar"/>
    <w:uiPriority w:val="34"/>
    <w:qFormat/>
    <w:rsid w:val="000B0038"/>
    <w:pPr>
      <w:autoSpaceDE/>
      <w:autoSpaceDN/>
      <w:spacing w:after="200" w:line="276" w:lineRule="auto"/>
      <w:ind w:left="720"/>
      <w:contextualSpacing/>
    </w:pPr>
    <w:rPr>
      <w:rFonts w:ascii="Calibri" w:hAnsi="Calibri"/>
      <w:noProof/>
      <w:sz w:val="22"/>
      <w:lang w:val="id-ID" w:eastAsia="id-ID"/>
    </w:rPr>
  </w:style>
  <w:style w:type="character" w:customStyle="1" w:styleId="ListParagraphChar">
    <w:name w:val="List Paragraph Char"/>
    <w:aliases w:val="Body of text Char"/>
    <w:link w:val="ListParagraph"/>
    <w:uiPriority w:val="34"/>
    <w:locked/>
    <w:rsid w:val="000B0038"/>
    <w:rPr>
      <w:rFonts w:ascii="Calibri" w:hAnsi="Calibri"/>
      <w:noProof/>
      <w:sz w:val="22"/>
      <w:lang w:val="id-ID"/>
    </w:rPr>
  </w:style>
  <w:style w:type="paragraph" w:styleId="BodyTextIndent3">
    <w:name w:val="Body Text Indent 3"/>
    <w:basedOn w:val="Normal"/>
    <w:link w:val="BodyTextIndent3Char"/>
    <w:uiPriority w:val="99"/>
    <w:unhideWhenUsed/>
    <w:rsid w:val="00D67104"/>
    <w:pPr>
      <w:autoSpaceDE/>
      <w:autoSpaceDN/>
      <w:spacing w:after="120"/>
      <w:ind w:left="283"/>
    </w:pPr>
    <w:rPr>
      <w:sz w:val="16"/>
      <w:szCs w:val="16"/>
      <w:lang w:eastAsia="en-US"/>
    </w:rPr>
  </w:style>
  <w:style w:type="character" w:customStyle="1" w:styleId="BodyTextIndent3Char">
    <w:name w:val="Body Text Indent 3 Char"/>
    <w:basedOn w:val="DefaultParagraphFont"/>
    <w:link w:val="BodyTextIndent3"/>
    <w:uiPriority w:val="99"/>
    <w:locked/>
    <w:rsid w:val="00D67104"/>
    <w:rPr>
      <w:rFonts w:cs="Times New Roman"/>
      <w:sz w:val="16"/>
    </w:rPr>
  </w:style>
  <w:style w:type="paragraph" w:styleId="HTMLPreformatted">
    <w:name w:val="HTML Preformatted"/>
    <w:basedOn w:val="Normal"/>
    <w:link w:val="HTMLPreformattedChar"/>
    <w:uiPriority w:val="99"/>
    <w:unhideWhenUsed/>
    <w:rsid w:val="00D6710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hAnsi="Courier New" w:cs="Courier New"/>
      <w:lang w:eastAsia="en-US"/>
    </w:rPr>
  </w:style>
  <w:style w:type="character" w:customStyle="1" w:styleId="HTMLPreformattedChar">
    <w:name w:val="HTML Preformatted Char"/>
    <w:basedOn w:val="DefaultParagraphFont"/>
    <w:link w:val="HTMLPreformatted"/>
    <w:uiPriority w:val="99"/>
    <w:locked/>
    <w:rsid w:val="00D67104"/>
    <w:rPr>
      <w:rFonts w:ascii="Courier New" w:hAnsi="Courier New" w:cs="Times New Roman"/>
    </w:rPr>
  </w:style>
  <w:style w:type="paragraph" w:customStyle="1" w:styleId="para">
    <w:name w:val="para"/>
    <w:basedOn w:val="Normal"/>
    <w:uiPriority w:val="99"/>
    <w:rsid w:val="00DE1E48"/>
    <w:pPr>
      <w:autoSpaceDE/>
      <w:autoSpaceDN/>
      <w:spacing w:before="100" w:beforeAutospacing="1" w:after="100" w:afterAutospacing="1"/>
    </w:pPr>
    <w:rPr>
      <w:sz w:val="24"/>
      <w:szCs w:val="24"/>
      <w:lang w:eastAsia="en-US"/>
    </w:rPr>
  </w:style>
  <w:style w:type="character" w:customStyle="1" w:styleId="fontstyle23">
    <w:name w:val="fontstyle23"/>
    <w:rsid w:val="00DE1E48"/>
  </w:style>
  <w:style w:type="character" w:customStyle="1" w:styleId="fontstyle22">
    <w:name w:val="fontstyle22"/>
    <w:rsid w:val="00DE1E48"/>
  </w:style>
  <w:style w:type="character" w:customStyle="1" w:styleId="fontstyle33">
    <w:name w:val="fontstyle33"/>
    <w:rsid w:val="00DE1E48"/>
  </w:style>
  <w:style w:type="character" w:customStyle="1" w:styleId="fontstyle32">
    <w:name w:val="fontstyle32"/>
    <w:rsid w:val="00DE1E48"/>
  </w:style>
  <w:style w:type="paragraph" w:customStyle="1" w:styleId="rtejustify">
    <w:name w:val="rtejustify"/>
    <w:basedOn w:val="Normal"/>
    <w:rsid w:val="00DE1E48"/>
    <w:pPr>
      <w:autoSpaceDE/>
      <w:autoSpaceDN/>
      <w:spacing w:before="100" w:beforeAutospacing="1" w:after="100" w:afterAutospacing="1"/>
    </w:pPr>
    <w:rPr>
      <w:sz w:val="24"/>
      <w:szCs w:val="24"/>
      <w:lang w:eastAsia="en-US"/>
    </w:rPr>
  </w:style>
  <w:style w:type="character" w:customStyle="1" w:styleId="mw-headline">
    <w:name w:val="mw-headline"/>
    <w:rsid w:val="00DE1E48"/>
  </w:style>
  <w:style w:type="character" w:customStyle="1" w:styleId="citation">
    <w:name w:val="citation"/>
    <w:rsid w:val="00DE1E48"/>
  </w:style>
  <w:style w:type="character" w:customStyle="1" w:styleId="gensmall">
    <w:name w:val="gensmall"/>
    <w:uiPriority w:val="99"/>
    <w:rsid w:val="00DE1E48"/>
  </w:style>
  <w:style w:type="paragraph" w:customStyle="1" w:styleId="Default">
    <w:name w:val="Default"/>
    <w:rsid w:val="002632DB"/>
    <w:pPr>
      <w:autoSpaceDE w:val="0"/>
      <w:autoSpaceDN w:val="0"/>
      <w:adjustRightInd w:val="0"/>
    </w:pPr>
    <w:rPr>
      <w:color w:val="000000"/>
      <w:sz w:val="24"/>
      <w:szCs w:val="24"/>
      <w:lang w:val="id-ID" w:eastAsia="en-US"/>
    </w:rPr>
  </w:style>
  <w:style w:type="character" w:customStyle="1" w:styleId="fullpost">
    <w:name w:val="fullpost"/>
    <w:rsid w:val="001D7DEE"/>
  </w:style>
  <w:style w:type="character" w:styleId="Emphasis">
    <w:name w:val="Emphasis"/>
    <w:basedOn w:val="DefaultParagraphFont"/>
    <w:uiPriority w:val="20"/>
    <w:qFormat/>
    <w:rsid w:val="001D7DEE"/>
    <w:rPr>
      <w:rFonts w:cs="Times New Roman"/>
      <w:i/>
    </w:rPr>
  </w:style>
  <w:style w:type="character" w:customStyle="1" w:styleId="shorttext">
    <w:name w:val="short_text"/>
    <w:rsid w:val="001D7DEE"/>
  </w:style>
  <w:style w:type="character" w:customStyle="1" w:styleId="tlid-translation">
    <w:name w:val="tlid-translation"/>
    <w:rsid w:val="009E4EBA"/>
  </w:style>
  <w:style w:type="character" w:customStyle="1" w:styleId="label">
    <w:name w:val="label"/>
    <w:rsid w:val="00965E3F"/>
  </w:style>
  <w:style w:type="character" w:customStyle="1" w:styleId="value">
    <w:name w:val="value"/>
    <w:rsid w:val="00965E3F"/>
  </w:style>
  <w:style w:type="paragraph" w:customStyle="1" w:styleId="Pa0">
    <w:name w:val="Pa0"/>
    <w:basedOn w:val="Normal"/>
    <w:next w:val="Normal"/>
    <w:uiPriority w:val="99"/>
    <w:rsid w:val="00B25EDF"/>
    <w:pPr>
      <w:adjustRightInd w:val="0"/>
      <w:spacing w:line="241" w:lineRule="atLeast"/>
    </w:pPr>
    <w:rPr>
      <w:sz w:val="24"/>
      <w:szCs w:val="24"/>
      <w:lang w:val="id-ID" w:eastAsia="en-US"/>
    </w:rPr>
  </w:style>
  <w:style w:type="character" w:styleId="UnresolvedMention">
    <w:name w:val="Unresolved Mention"/>
    <w:basedOn w:val="DefaultParagraphFont"/>
    <w:uiPriority w:val="99"/>
    <w:semiHidden/>
    <w:unhideWhenUsed/>
    <w:rsid w:val="00FF1D30"/>
    <w:rPr>
      <w:rFonts w:cs="Times New Roman"/>
      <w:color w:val="605E5C"/>
      <w:shd w:val="clear" w:color="auto" w:fill="E1DFDD"/>
    </w:rPr>
  </w:style>
  <w:style w:type="paragraph" w:styleId="NormalWeb">
    <w:name w:val="Normal (Web)"/>
    <w:basedOn w:val="Normal"/>
    <w:uiPriority w:val="99"/>
    <w:rsid w:val="00672ECC"/>
    <w:rPr>
      <w:sz w:val="24"/>
      <w:szCs w:val="24"/>
    </w:rPr>
  </w:style>
  <w:style w:type="table" w:styleId="PlainTable2">
    <w:name w:val="Plain Table 2"/>
    <w:basedOn w:val="TableNormal"/>
    <w:uiPriority w:val="42"/>
    <w:rsid w:val="0007539D"/>
    <w:tblPr>
      <w:tblStyleRowBandSize w:val="1"/>
      <w:tblStyleColBandSize w:val="1"/>
      <w:tblBorders>
        <w:top w:val="single" w:sz="4" w:space="0" w:color="7F7F7F"/>
        <w:bottom w:val="single" w:sz="4" w:space="0" w:color="7F7F7F"/>
      </w:tblBorders>
    </w:tblPr>
    <w:tblStylePr w:type="firstRow">
      <w:rPr>
        <w:rFonts w:cs="Times New Roman"/>
        <w:b/>
        <w:bCs/>
      </w:rPr>
      <w:tblPr/>
      <w:tcPr>
        <w:tcBorders>
          <w:bottom w:val="single" w:sz="4" w:space="0" w:color="7F7F7F"/>
        </w:tcBorders>
      </w:tcPr>
    </w:tblStylePr>
    <w:tblStylePr w:type="lastRow">
      <w:rPr>
        <w:rFonts w:cs="Times New Roman"/>
        <w:b/>
        <w:bCs/>
      </w:rPr>
      <w:tblPr/>
      <w:tcPr>
        <w:tcBorders>
          <w:top w:val="single" w:sz="4" w:space="0" w:color="7F7F7F"/>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left w:val="single" w:sz="4" w:space="0" w:color="7F7F7F"/>
          <w:right w:val="single" w:sz="4" w:space="0" w:color="7F7F7F"/>
        </w:tcBorders>
      </w:tcPr>
    </w:tblStylePr>
    <w:tblStylePr w:type="band2Vert">
      <w:rPr>
        <w:rFonts w:cs="Times New Roman"/>
      </w:rPr>
      <w:tblPr/>
      <w:tcPr>
        <w:tcBorders>
          <w:left w:val="single" w:sz="4" w:space="0" w:color="7F7F7F"/>
          <w:right w:val="single" w:sz="4" w:space="0" w:color="7F7F7F"/>
        </w:tcBorders>
      </w:tcPr>
    </w:tblStylePr>
    <w:tblStylePr w:type="band1Horz">
      <w:rPr>
        <w:rFonts w:cs="Times New Roman"/>
      </w:rPr>
      <w:tblPr/>
      <w:tcPr>
        <w:tcBorders>
          <w:top w:val="single" w:sz="4" w:space="0" w:color="7F7F7F"/>
          <w:bottom w:val="single" w:sz="4" w:space="0" w:color="7F7F7F"/>
        </w:tcBorders>
      </w:tcPr>
    </w:tblStylePr>
  </w:style>
  <w:style w:type="table" w:customStyle="1" w:styleId="TableGrid1">
    <w:name w:val="Table Grid1"/>
    <w:basedOn w:val="TableNormal"/>
    <w:next w:val="TableGrid"/>
    <w:uiPriority w:val="39"/>
    <w:rsid w:val="004573CA"/>
    <w:rPr>
      <w:rFonts w:cs="Traditional Arabic"/>
      <w:sz w:val="24"/>
      <w:szCs w:val="24"/>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ypography-modulelvnit">
    <w:name w:val="typography-module__lvnit"/>
    <w:basedOn w:val="DefaultParagraphFont"/>
    <w:rsid w:val="0037001C"/>
    <w:rPr>
      <w:rFonts w:cs="Times New Roman"/>
    </w:rPr>
  </w:style>
  <w:style w:type="table" w:styleId="PlainTable4">
    <w:name w:val="Plain Table 4"/>
    <w:basedOn w:val="TableNormal"/>
    <w:uiPriority w:val="44"/>
    <w:rsid w:val="00A64A27"/>
    <w:tblPr>
      <w:tblStyleRowBandSize w:val="1"/>
      <w:tblStyleColBandSize w:val="1"/>
    </w:tblPr>
    <w:tblStylePr w:type="firstRow">
      <w:rPr>
        <w:rFonts w:cs="Times New Roman"/>
        <w:b/>
        <w:bCs/>
      </w:rPr>
    </w:tblStylePr>
    <w:tblStylePr w:type="lastRow">
      <w:rPr>
        <w:rFonts w:cs="Times New Roman"/>
        <w:b/>
        <w:bCs/>
      </w:rPr>
    </w:tblStylePr>
    <w:tblStylePr w:type="firstCol">
      <w:rPr>
        <w:rFonts w:cs="Times New Roman"/>
        <w:b/>
        <w:bCs/>
      </w:rPr>
    </w:tblStylePr>
    <w:tblStylePr w:type="lastCol">
      <w:rPr>
        <w:rFonts w:cs="Times New Roman"/>
        <w:b/>
        <w:bCs/>
      </w:r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style>
  <w:style w:type="table" w:styleId="TableSimple1">
    <w:name w:val="Table Simple 1"/>
    <w:basedOn w:val="TableNormal"/>
    <w:uiPriority w:val="99"/>
    <w:rsid w:val="00A64A27"/>
    <w:pPr>
      <w:autoSpaceDE w:val="0"/>
      <w:autoSpaceDN w:val="0"/>
    </w:pPr>
    <w:tblPr>
      <w:tblBorders>
        <w:top w:val="single" w:sz="12" w:space="0" w:color="008000"/>
        <w:bottom w:val="single" w:sz="12" w:space="0" w:color="008000"/>
      </w:tblBorders>
    </w:tblPr>
    <w:tblStylePr w:type="firstRow">
      <w:rPr>
        <w:rFonts w:cs="Times New Roman"/>
      </w:rPr>
      <w:tblPr/>
      <w:tcPr>
        <w:tcBorders>
          <w:bottom w:val="single" w:sz="6" w:space="0" w:color="008000"/>
          <w:tl2br w:val="none" w:sz="6" w:space="0" w:color="auto"/>
          <w:tr2bl w:val="none" w:sz="6" w:space="0" w:color="auto"/>
        </w:tcBorders>
      </w:tcPr>
    </w:tblStylePr>
    <w:tblStylePr w:type="lastRow">
      <w:rPr>
        <w:rFonts w:cs="Times New Roman"/>
      </w:rPr>
      <w:tblPr/>
      <w:tcPr>
        <w:tcBorders>
          <w:top w:val="single" w:sz="6" w:space="0" w:color="008000"/>
          <w:tl2br w:val="none" w:sz="6" w:space="0" w:color="auto"/>
          <w:tr2bl w:val="none" w:sz="6" w:space="0" w:color="auto"/>
        </w:tcBorders>
      </w:tcPr>
    </w:tblStylePr>
  </w:style>
  <w:style w:type="table" w:styleId="TableContemporary">
    <w:name w:val="Table Contemporary"/>
    <w:basedOn w:val="TableNormal"/>
    <w:uiPriority w:val="99"/>
    <w:rsid w:val="00A64A27"/>
    <w:pPr>
      <w:autoSpaceDE w:val="0"/>
      <w:autoSpaceDN w:val="0"/>
    </w:pPr>
    <w:tblPr>
      <w:tblStyleRowBandSize w:val="1"/>
      <w:tblBorders>
        <w:insideH w:val="single" w:sz="18" w:space="0" w:color="FFFFFF"/>
        <w:insideV w:val="single" w:sz="18" w:space="0" w:color="FFFFFF"/>
      </w:tblBorders>
    </w:tblPr>
    <w:tblStylePr w:type="firstRow">
      <w:rPr>
        <w:rFonts w:cs="Times New Roman"/>
        <w:b/>
        <w:bCs/>
        <w:color w:val="auto"/>
      </w:rPr>
      <w:tblPr/>
      <w:tcPr>
        <w:tcBorders>
          <w:tl2br w:val="none" w:sz="6" w:space="0" w:color="auto"/>
          <w:tr2bl w:val="none" w:sz="6" w:space="0" w:color="auto"/>
        </w:tcBorders>
        <w:shd w:val="pct20" w:color="000000" w:fill="FFFFFF"/>
      </w:tcPr>
    </w:tblStylePr>
    <w:tblStylePr w:type="band1Horz">
      <w:rPr>
        <w:rFonts w:cs="Times New Roman"/>
        <w:color w:val="auto"/>
      </w:rPr>
      <w:tblPr/>
      <w:tcPr>
        <w:tcBorders>
          <w:tl2br w:val="none" w:sz="6" w:space="0" w:color="auto"/>
          <w:tr2bl w:val="none" w:sz="6" w:space="0" w:color="auto"/>
        </w:tcBorders>
        <w:shd w:val="pct5" w:color="000000" w:fill="FFFFFF"/>
      </w:tcPr>
    </w:tblStylePr>
    <w:tblStylePr w:type="band2Horz">
      <w:rPr>
        <w:rFonts w:cs="Times New Roman"/>
        <w:color w:val="auto"/>
      </w:rPr>
      <w:tblPr/>
      <w:tcPr>
        <w:tcBorders>
          <w:tl2br w:val="none" w:sz="6" w:space="0" w:color="auto"/>
          <w:tr2bl w:val="none" w:sz="6" w:space="0" w:color="auto"/>
        </w:tcBorders>
        <w:shd w:val="pct20" w:color="000000" w:fill="FFFFFF"/>
      </w:tcPr>
    </w:tblStylePr>
  </w:style>
  <w:style w:type="table" w:styleId="PlainTable3">
    <w:name w:val="Plain Table 3"/>
    <w:basedOn w:val="TableNormal"/>
    <w:uiPriority w:val="43"/>
    <w:rsid w:val="006A4FA3"/>
    <w:tblPr>
      <w:tblStyleRowBandSize w:val="1"/>
      <w:tblStyleColBandSize w:val="1"/>
    </w:tblPr>
    <w:tblStylePr w:type="firstRow">
      <w:rPr>
        <w:rFonts w:cs="Times New Roman"/>
        <w:b/>
        <w:bCs/>
        <w:caps/>
      </w:rPr>
      <w:tblPr/>
      <w:tcPr>
        <w:tcBorders>
          <w:bottom w:val="single" w:sz="4" w:space="0" w:color="7F7F7F" w:themeColor="text1" w:themeTint="80"/>
        </w:tcBorders>
      </w:tcPr>
    </w:tblStylePr>
    <w:tblStylePr w:type="lastRow">
      <w:rPr>
        <w:rFonts w:cs="Times New Roman"/>
        <w:b/>
        <w:bCs/>
        <w:caps/>
      </w:rPr>
      <w:tblPr/>
      <w:tcPr>
        <w:tcBorders>
          <w:top w:val="nil"/>
        </w:tcBorders>
      </w:tcPr>
    </w:tblStylePr>
    <w:tblStylePr w:type="firstCol">
      <w:rPr>
        <w:rFonts w:cs="Times New Roman"/>
        <w:b/>
        <w:bCs/>
        <w:caps/>
      </w:rPr>
      <w:tblPr/>
      <w:tcPr>
        <w:tcBorders>
          <w:right w:val="single" w:sz="4" w:space="0" w:color="7F7F7F" w:themeColor="text1" w:themeTint="80"/>
        </w:tcBorders>
      </w:tcPr>
    </w:tblStylePr>
    <w:tblStylePr w:type="lastCol">
      <w:rPr>
        <w:rFonts w:cs="Times New Roman"/>
        <w:b/>
        <w:bCs/>
        <w:caps/>
      </w:rPr>
      <w:tblPr/>
      <w:tcPr>
        <w:tcBorders>
          <w:left w:val="nil"/>
        </w:tcBorders>
      </w:tcPr>
    </w:tblStylePr>
    <w:tblStylePr w:type="band1Vert">
      <w:rPr>
        <w:rFonts w:cs="Times New Roman"/>
      </w:rPr>
      <w:tblPr/>
      <w:tcPr>
        <w:shd w:val="clear" w:color="auto" w:fill="F2F2F2" w:themeFill="background1" w:themeFillShade="F2"/>
      </w:tcPr>
    </w:tblStylePr>
    <w:tblStylePr w:type="band1Horz">
      <w:rPr>
        <w:rFonts w:cs="Times New Roman"/>
      </w:rPr>
      <w:tblPr/>
      <w:tcPr>
        <w:shd w:val="clear" w:color="auto" w:fill="F2F2F2" w:themeFill="background1" w:themeFillShade="F2"/>
      </w:tcPr>
    </w:tblStylePr>
    <w:tblStylePr w:type="neCell">
      <w:rPr>
        <w:rFonts w:cs="Times New Roman"/>
      </w:rPr>
      <w:tblPr/>
      <w:tcPr>
        <w:tcBorders>
          <w:left w:val="nil"/>
        </w:tcBorders>
      </w:tcPr>
    </w:tblStylePr>
    <w:tblStylePr w:type="nwCell">
      <w:rPr>
        <w:rFonts w:cs="Times New Roman"/>
      </w:rPr>
      <w:tblPr/>
      <w:tcPr>
        <w:tcBorders>
          <w:right w:val="nil"/>
        </w:tcBorders>
      </w:tcPr>
    </w:tblStylePr>
  </w:style>
  <w:style w:type="table" w:styleId="TableClassic1">
    <w:name w:val="Table Classic 1"/>
    <w:basedOn w:val="TableNormal"/>
    <w:uiPriority w:val="99"/>
    <w:rsid w:val="006A4FA3"/>
    <w:pPr>
      <w:autoSpaceDE w:val="0"/>
      <w:autoSpaceDN w:val="0"/>
    </w:pPr>
    <w:tblPr>
      <w:tblBorders>
        <w:top w:val="single" w:sz="12" w:space="0" w:color="000000"/>
        <w:bottom w:val="single" w:sz="12" w:space="0" w:color="000000"/>
      </w:tblBorders>
    </w:tblPr>
    <w:tblStylePr w:type="firstRow">
      <w:rPr>
        <w:rFonts w:cs="Times New Roman"/>
        <w:i/>
        <w:iCs/>
      </w:rPr>
      <w:tblPr/>
      <w:tcPr>
        <w:tcBorders>
          <w:bottom w:val="single" w:sz="6" w:space="0" w:color="000000"/>
          <w:tl2br w:val="none" w:sz="6" w:space="0" w:color="auto"/>
          <w:tr2bl w:val="none" w:sz="6" w:space="0" w:color="auto"/>
        </w:tcBorders>
      </w:tcPr>
    </w:tblStylePr>
    <w:tblStylePr w:type="lastRow">
      <w:rPr>
        <w:rFonts w:cs="Times New Roman"/>
        <w:color w:val="auto"/>
      </w:rPr>
      <w:tblPr/>
      <w:tcPr>
        <w:tcBorders>
          <w:top w:val="single" w:sz="6" w:space="0" w:color="000000"/>
          <w:tl2br w:val="none" w:sz="6" w:space="0" w:color="auto"/>
          <w:tr2bl w:val="none" w:sz="6" w:space="0" w:color="auto"/>
        </w:tcBorders>
      </w:tcPr>
    </w:tblStylePr>
    <w:tblStylePr w:type="firstCol">
      <w:rPr>
        <w:rFonts w:cs="Times New Roman"/>
      </w:rPr>
      <w:tblPr/>
      <w:tcPr>
        <w:tcBorders>
          <w:right w:val="single" w:sz="6" w:space="0" w:color="000000"/>
          <w:tl2br w:val="none" w:sz="6" w:space="0" w:color="auto"/>
          <w:tr2bl w:val="none" w:sz="6" w:space="0" w:color="auto"/>
        </w:tcBorders>
      </w:tcPr>
    </w:tblStylePr>
    <w:tblStylePr w:type="neCell">
      <w:rPr>
        <w:rFonts w:cs="Times New Roman"/>
        <w:b/>
        <w:bCs/>
        <w:i w:val="0"/>
        <w:iCs w:val="0"/>
      </w:rPr>
      <w:tblPr/>
      <w:tcPr>
        <w:tcBorders>
          <w:tl2br w:val="none" w:sz="6" w:space="0" w:color="auto"/>
          <w:tr2bl w:val="none" w:sz="6" w:space="0" w:color="auto"/>
        </w:tcBorders>
      </w:tcPr>
    </w:tblStylePr>
    <w:tblStylePr w:type="swCell">
      <w:rPr>
        <w:rFonts w:cs="Times New Roman"/>
        <w:b/>
        <w:bCs/>
      </w:rPr>
      <w:tblPr/>
      <w:tcPr>
        <w:tcBorders>
          <w:tl2br w:val="none" w:sz="6" w:space="0" w:color="auto"/>
          <w:tr2bl w:val="none" w:sz="6" w:space="0" w:color="auto"/>
        </w:tcBorders>
      </w:tcPr>
    </w:tblStylePr>
  </w:style>
  <w:style w:type="table" w:customStyle="1" w:styleId="PlainTable21">
    <w:name w:val="Plain Table 21"/>
    <w:basedOn w:val="TableNormal"/>
    <w:next w:val="PlainTable2"/>
    <w:uiPriority w:val="42"/>
    <w:rsid w:val="00CB5866"/>
    <w:rPr>
      <w:rFonts w:eastAsia="Calibri" w:cs="Traditional Arabic"/>
      <w:sz w:val="24"/>
      <w:szCs w:val="24"/>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PlainTable22">
    <w:name w:val="Plain Table 22"/>
    <w:basedOn w:val="TableNormal"/>
    <w:next w:val="PlainTable2"/>
    <w:uiPriority w:val="42"/>
    <w:rsid w:val="00D26D30"/>
    <w:rPr>
      <w:rFonts w:eastAsia="Calibri" w:cs="Traditional Arabic"/>
      <w:sz w:val="24"/>
      <w:szCs w:val="24"/>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table" w:customStyle="1" w:styleId="PlainTable23">
    <w:name w:val="Plain Table 23"/>
    <w:basedOn w:val="TableNormal"/>
    <w:next w:val="PlainTable2"/>
    <w:uiPriority w:val="42"/>
    <w:rsid w:val="00415A81"/>
    <w:rPr>
      <w:rFonts w:eastAsia="Calibri" w:cs="Traditional Arabic"/>
      <w:sz w:val="24"/>
      <w:szCs w:val="24"/>
      <w:lang w:eastAsia="en-US"/>
    </w:rPr>
    <w:tblPr>
      <w:tblStyleRowBandSize w:val="1"/>
      <w:tblStyleColBandSize w:val="1"/>
      <w:tblBorders>
        <w:top w:val="single" w:sz="4" w:space="0" w:color="7F7F7F"/>
        <w:bottom w:val="single" w:sz="4" w:space="0" w:color="7F7F7F"/>
      </w:tblBorders>
    </w:tblPr>
    <w:tblStylePr w:type="firstRow">
      <w:rPr>
        <w:b/>
        <w:bCs/>
      </w:rPr>
      <w:tblPr/>
      <w:tcPr>
        <w:tcBorders>
          <w:bottom w:val="single" w:sz="4" w:space="0" w:color="7F7F7F"/>
        </w:tcBorders>
      </w:tcPr>
    </w:tblStylePr>
    <w:tblStylePr w:type="lastRow">
      <w:rPr>
        <w:b/>
        <w:bCs/>
      </w:rPr>
      <w:tblPr/>
      <w:tcPr>
        <w:tcBorders>
          <w:top w:val="single" w:sz="4" w:space="0" w:color="7F7F7F"/>
        </w:tcBorders>
      </w:tcPr>
    </w:tblStylePr>
    <w:tblStylePr w:type="firstCol">
      <w:rPr>
        <w:b/>
        <w:bCs/>
      </w:rPr>
    </w:tblStylePr>
    <w:tblStylePr w:type="lastCol">
      <w:rPr>
        <w:b/>
        <w:bCs/>
      </w:rPr>
    </w:tblStylePr>
    <w:tblStylePr w:type="band1Vert">
      <w:tblPr/>
      <w:tcPr>
        <w:tcBorders>
          <w:left w:val="single" w:sz="4" w:space="0" w:color="7F7F7F"/>
          <w:right w:val="single" w:sz="4" w:space="0" w:color="7F7F7F"/>
        </w:tcBorders>
      </w:tcPr>
    </w:tblStylePr>
    <w:tblStylePr w:type="band2Vert">
      <w:tblPr/>
      <w:tcPr>
        <w:tcBorders>
          <w:left w:val="single" w:sz="4" w:space="0" w:color="7F7F7F"/>
          <w:right w:val="single" w:sz="4" w:space="0" w:color="7F7F7F"/>
        </w:tcBorders>
      </w:tcPr>
    </w:tblStylePr>
    <w:tblStylePr w:type="band1Horz">
      <w:tblPr/>
      <w:tcPr>
        <w:tcBorders>
          <w:top w:val="single" w:sz="4" w:space="0" w:color="7F7F7F"/>
          <w:bottom w:val="single" w:sz="4" w:space="0" w:color="7F7F7F"/>
        </w:tcBorders>
      </w:tcPr>
    </w:tblStylePr>
  </w:style>
  <w:style w:type="character" w:styleId="CommentReference">
    <w:name w:val="annotation reference"/>
    <w:basedOn w:val="DefaultParagraphFont"/>
    <w:uiPriority w:val="99"/>
    <w:rsid w:val="00954B9B"/>
    <w:rPr>
      <w:sz w:val="16"/>
      <w:szCs w:val="16"/>
    </w:rPr>
  </w:style>
  <w:style w:type="paragraph" w:styleId="CommentText">
    <w:name w:val="annotation text"/>
    <w:basedOn w:val="Normal"/>
    <w:link w:val="CommentTextChar"/>
    <w:uiPriority w:val="99"/>
    <w:rsid w:val="00954B9B"/>
  </w:style>
  <w:style w:type="character" w:customStyle="1" w:styleId="CommentTextChar">
    <w:name w:val="Comment Text Char"/>
    <w:basedOn w:val="DefaultParagraphFont"/>
    <w:link w:val="CommentText"/>
    <w:uiPriority w:val="99"/>
    <w:rsid w:val="00954B9B"/>
    <w:rPr>
      <w:lang w:val="en-US" w:eastAsia="en-GB"/>
    </w:rPr>
  </w:style>
  <w:style w:type="paragraph" w:styleId="CommentSubject">
    <w:name w:val="annotation subject"/>
    <w:basedOn w:val="CommentText"/>
    <w:next w:val="CommentText"/>
    <w:link w:val="CommentSubjectChar"/>
    <w:uiPriority w:val="99"/>
    <w:rsid w:val="00954B9B"/>
    <w:rPr>
      <w:b/>
      <w:bCs/>
    </w:rPr>
  </w:style>
  <w:style w:type="character" w:customStyle="1" w:styleId="CommentSubjectChar">
    <w:name w:val="Comment Subject Char"/>
    <w:basedOn w:val="CommentTextChar"/>
    <w:link w:val="CommentSubject"/>
    <w:uiPriority w:val="99"/>
    <w:rsid w:val="00954B9B"/>
    <w:rPr>
      <w:b/>
      <w:bCs/>
      <w:lang w:val="en-US" w:eastAsia="en-GB"/>
    </w:rPr>
  </w:style>
  <w:style w:type="character" w:customStyle="1" w:styleId="rynqvb">
    <w:name w:val="rynqvb"/>
    <w:basedOn w:val="DefaultParagraphFont"/>
    <w:rsid w:val="00817086"/>
  </w:style>
  <w:style w:type="character" w:customStyle="1" w:styleId="hwtze">
    <w:name w:val="hwtze"/>
    <w:basedOn w:val="DefaultParagraphFont"/>
    <w:rsid w:val="00564E9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35148501">
      <w:bodyDiv w:val="1"/>
      <w:marLeft w:val="0"/>
      <w:marRight w:val="0"/>
      <w:marTop w:val="0"/>
      <w:marBottom w:val="0"/>
      <w:divBdr>
        <w:top w:val="none" w:sz="0" w:space="0" w:color="auto"/>
        <w:left w:val="none" w:sz="0" w:space="0" w:color="auto"/>
        <w:bottom w:val="none" w:sz="0" w:space="0" w:color="auto"/>
        <w:right w:val="none" w:sz="0" w:space="0" w:color="auto"/>
      </w:divBdr>
    </w:div>
    <w:div w:id="334303255">
      <w:bodyDiv w:val="1"/>
      <w:marLeft w:val="0"/>
      <w:marRight w:val="0"/>
      <w:marTop w:val="0"/>
      <w:marBottom w:val="0"/>
      <w:divBdr>
        <w:top w:val="none" w:sz="0" w:space="0" w:color="auto"/>
        <w:left w:val="none" w:sz="0" w:space="0" w:color="auto"/>
        <w:bottom w:val="none" w:sz="0" w:space="0" w:color="auto"/>
        <w:right w:val="none" w:sz="0" w:space="0" w:color="auto"/>
      </w:divBdr>
    </w:div>
    <w:div w:id="371273661">
      <w:bodyDiv w:val="1"/>
      <w:marLeft w:val="0"/>
      <w:marRight w:val="0"/>
      <w:marTop w:val="0"/>
      <w:marBottom w:val="0"/>
      <w:divBdr>
        <w:top w:val="none" w:sz="0" w:space="0" w:color="auto"/>
        <w:left w:val="none" w:sz="0" w:space="0" w:color="auto"/>
        <w:bottom w:val="none" w:sz="0" w:space="0" w:color="auto"/>
        <w:right w:val="none" w:sz="0" w:space="0" w:color="auto"/>
      </w:divBdr>
    </w:div>
    <w:div w:id="381758855">
      <w:bodyDiv w:val="1"/>
      <w:marLeft w:val="0"/>
      <w:marRight w:val="0"/>
      <w:marTop w:val="0"/>
      <w:marBottom w:val="0"/>
      <w:divBdr>
        <w:top w:val="none" w:sz="0" w:space="0" w:color="auto"/>
        <w:left w:val="none" w:sz="0" w:space="0" w:color="auto"/>
        <w:bottom w:val="none" w:sz="0" w:space="0" w:color="auto"/>
        <w:right w:val="none" w:sz="0" w:space="0" w:color="auto"/>
      </w:divBdr>
    </w:div>
    <w:div w:id="383338311">
      <w:marLeft w:val="0"/>
      <w:marRight w:val="0"/>
      <w:marTop w:val="0"/>
      <w:marBottom w:val="0"/>
      <w:divBdr>
        <w:top w:val="none" w:sz="0" w:space="0" w:color="auto"/>
        <w:left w:val="none" w:sz="0" w:space="0" w:color="auto"/>
        <w:bottom w:val="none" w:sz="0" w:space="0" w:color="auto"/>
        <w:right w:val="none" w:sz="0" w:space="0" w:color="auto"/>
      </w:divBdr>
      <w:divsChild>
        <w:div w:id="383338315">
          <w:marLeft w:val="0"/>
          <w:marRight w:val="0"/>
          <w:marTop w:val="0"/>
          <w:marBottom w:val="0"/>
          <w:divBdr>
            <w:top w:val="none" w:sz="0" w:space="0" w:color="auto"/>
            <w:left w:val="none" w:sz="0" w:space="0" w:color="auto"/>
            <w:bottom w:val="none" w:sz="0" w:space="0" w:color="auto"/>
            <w:right w:val="none" w:sz="0" w:space="0" w:color="auto"/>
          </w:divBdr>
          <w:divsChild>
            <w:div w:id="383338327">
              <w:marLeft w:val="0"/>
              <w:marRight w:val="0"/>
              <w:marTop w:val="0"/>
              <w:marBottom w:val="0"/>
              <w:divBdr>
                <w:top w:val="none" w:sz="0" w:space="0" w:color="auto"/>
                <w:left w:val="none" w:sz="0" w:space="0" w:color="auto"/>
                <w:bottom w:val="none" w:sz="0" w:space="0" w:color="auto"/>
                <w:right w:val="none" w:sz="0" w:space="0" w:color="auto"/>
              </w:divBdr>
              <w:divsChild>
                <w:div w:id="383338324">
                  <w:marLeft w:val="0"/>
                  <w:marRight w:val="0"/>
                  <w:marTop w:val="0"/>
                  <w:marBottom w:val="0"/>
                  <w:divBdr>
                    <w:top w:val="none" w:sz="0" w:space="0" w:color="auto"/>
                    <w:left w:val="none" w:sz="0" w:space="0" w:color="auto"/>
                    <w:bottom w:val="none" w:sz="0" w:space="0" w:color="auto"/>
                    <w:right w:val="none" w:sz="0" w:space="0" w:color="auto"/>
                  </w:divBdr>
                  <w:divsChild>
                    <w:div w:id="3833383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3338326">
          <w:marLeft w:val="0"/>
          <w:marRight w:val="0"/>
          <w:marTop w:val="0"/>
          <w:marBottom w:val="0"/>
          <w:divBdr>
            <w:top w:val="none" w:sz="0" w:space="0" w:color="auto"/>
            <w:left w:val="none" w:sz="0" w:space="0" w:color="auto"/>
            <w:bottom w:val="none" w:sz="0" w:space="0" w:color="auto"/>
            <w:right w:val="none" w:sz="0" w:space="0" w:color="auto"/>
          </w:divBdr>
          <w:divsChild>
            <w:div w:id="383338322">
              <w:marLeft w:val="0"/>
              <w:marRight w:val="0"/>
              <w:marTop w:val="0"/>
              <w:marBottom w:val="0"/>
              <w:divBdr>
                <w:top w:val="none" w:sz="0" w:space="0" w:color="auto"/>
                <w:left w:val="none" w:sz="0" w:space="0" w:color="auto"/>
                <w:bottom w:val="none" w:sz="0" w:space="0" w:color="auto"/>
                <w:right w:val="none" w:sz="0" w:space="0" w:color="auto"/>
              </w:divBdr>
              <w:divsChild>
                <w:div w:id="383338313">
                  <w:marLeft w:val="0"/>
                  <w:marRight w:val="0"/>
                  <w:marTop w:val="0"/>
                  <w:marBottom w:val="0"/>
                  <w:divBdr>
                    <w:top w:val="none" w:sz="0" w:space="0" w:color="auto"/>
                    <w:left w:val="none" w:sz="0" w:space="0" w:color="auto"/>
                    <w:bottom w:val="none" w:sz="0" w:space="0" w:color="auto"/>
                    <w:right w:val="none" w:sz="0" w:space="0" w:color="auto"/>
                  </w:divBdr>
                  <w:divsChild>
                    <w:div w:id="383338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3338314">
      <w:marLeft w:val="0"/>
      <w:marRight w:val="0"/>
      <w:marTop w:val="0"/>
      <w:marBottom w:val="0"/>
      <w:divBdr>
        <w:top w:val="none" w:sz="0" w:space="0" w:color="auto"/>
        <w:left w:val="none" w:sz="0" w:space="0" w:color="auto"/>
        <w:bottom w:val="none" w:sz="0" w:space="0" w:color="auto"/>
        <w:right w:val="none" w:sz="0" w:space="0" w:color="auto"/>
      </w:divBdr>
    </w:div>
    <w:div w:id="383338316">
      <w:marLeft w:val="0"/>
      <w:marRight w:val="0"/>
      <w:marTop w:val="0"/>
      <w:marBottom w:val="0"/>
      <w:divBdr>
        <w:top w:val="none" w:sz="0" w:space="0" w:color="auto"/>
        <w:left w:val="none" w:sz="0" w:space="0" w:color="auto"/>
        <w:bottom w:val="none" w:sz="0" w:space="0" w:color="auto"/>
        <w:right w:val="none" w:sz="0" w:space="0" w:color="auto"/>
      </w:divBdr>
    </w:div>
    <w:div w:id="383338318">
      <w:marLeft w:val="0"/>
      <w:marRight w:val="0"/>
      <w:marTop w:val="0"/>
      <w:marBottom w:val="0"/>
      <w:divBdr>
        <w:top w:val="none" w:sz="0" w:space="0" w:color="auto"/>
        <w:left w:val="none" w:sz="0" w:space="0" w:color="auto"/>
        <w:bottom w:val="none" w:sz="0" w:space="0" w:color="auto"/>
        <w:right w:val="none" w:sz="0" w:space="0" w:color="auto"/>
      </w:divBdr>
      <w:divsChild>
        <w:div w:id="383338319">
          <w:marLeft w:val="0"/>
          <w:marRight w:val="0"/>
          <w:marTop w:val="0"/>
          <w:marBottom w:val="0"/>
          <w:divBdr>
            <w:top w:val="none" w:sz="0" w:space="0" w:color="auto"/>
            <w:left w:val="none" w:sz="0" w:space="0" w:color="auto"/>
            <w:bottom w:val="none" w:sz="0" w:space="0" w:color="auto"/>
            <w:right w:val="none" w:sz="0" w:space="0" w:color="auto"/>
          </w:divBdr>
          <w:divsChild>
            <w:div w:id="3833383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3338320">
      <w:marLeft w:val="0"/>
      <w:marRight w:val="0"/>
      <w:marTop w:val="0"/>
      <w:marBottom w:val="0"/>
      <w:divBdr>
        <w:top w:val="none" w:sz="0" w:space="0" w:color="auto"/>
        <w:left w:val="none" w:sz="0" w:space="0" w:color="auto"/>
        <w:bottom w:val="none" w:sz="0" w:space="0" w:color="auto"/>
        <w:right w:val="none" w:sz="0" w:space="0" w:color="auto"/>
      </w:divBdr>
    </w:div>
    <w:div w:id="383338323">
      <w:marLeft w:val="0"/>
      <w:marRight w:val="0"/>
      <w:marTop w:val="0"/>
      <w:marBottom w:val="0"/>
      <w:divBdr>
        <w:top w:val="none" w:sz="0" w:space="0" w:color="auto"/>
        <w:left w:val="none" w:sz="0" w:space="0" w:color="auto"/>
        <w:bottom w:val="none" w:sz="0" w:space="0" w:color="auto"/>
        <w:right w:val="none" w:sz="0" w:space="0" w:color="auto"/>
      </w:divBdr>
    </w:div>
    <w:div w:id="383338325">
      <w:marLeft w:val="0"/>
      <w:marRight w:val="0"/>
      <w:marTop w:val="0"/>
      <w:marBottom w:val="0"/>
      <w:divBdr>
        <w:top w:val="none" w:sz="0" w:space="0" w:color="auto"/>
        <w:left w:val="none" w:sz="0" w:space="0" w:color="auto"/>
        <w:bottom w:val="none" w:sz="0" w:space="0" w:color="auto"/>
        <w:right w:val="none" w:sz="0" w:space="0" w:color="auto"/>
      </w:divBdr>
    </w:div>
    <w:div w:id="383338328">
      <w:marLeft w:val="0"/>
      <w:marRight w:val="0"/>
      <w:marTop w:val="0"/>
      <w:marBottom w:val="0"/>
      <w:divBdr>
        <w:top w:val="none" w:sz="0" w:space="0" w:color="auto"/>
        <w:left w:val="none" w:sz="0" w:space="0" w:color="auto"/>
        <w:bottom w:val="none" w:sz="0" w:space="0" w:color="auto"/>
        <w:right w:val="none" w:sz="0" w:space="0" w:color="auto"/>
      </w:divBdr>
      <w:divsChild>
        <w:div w:id="383338307">
          <w:marLeft w:val="0"/>
          <w:marRight w:val="0"/>
          <w:marTop w:val="0"/>
          <w:marBottom w:val="0"/>
          <w:divBdr>
            <w:top w:val="none" w:sz="0" w:space="0" w:color="auto"/>
            <w:left w:val="none" w:sz="0" w:space="0" w:color="auto"/>
            <w:bottom w:val="none" w:sz="0" w:space="0" w:color="auto"/>
            <w:right w:val="none" w:sz="0" w:space="0" w:color="auto"/>
          </w:divBdr>
          <w:divsChild>
            <w:div w:id="383338309">
              <w:marLeft w:val="0"/>
              <w:marRight w:val="0"/>
              <w:marTop w:val="0"/>
              <w:marBottom w:val="0"/>
              <w:divBdr>
                <w:top w:val="none" w:sz="0" w:space="0" w:color="auto"/>
                <w:left w:val="none" w:sz="0" w:space="0" w:color="auto"/>
                <w:bottom w:val="none" w:sz="0" w:space="0" w:color="auto"/>
                <w:right w:val="none" w:sz="0" w:space="0" w:color="auto"/>
              </w:divBdr>
              <w:divsChild>
                <w:div w:id="383338330">
                  <w:marLeft w:val="0"/>
                  <w:marRight w:val="0"/>
                  <w:marTop w:val="0"/>
                  <w:marBottom w:val="0"/>
                  <w:divBdr>
                    <w:top w:val="none" w:sz="0" w:space="0" w:color="auto"/>
                    <w:left w:val="none" w:sz="0" w:space="0" w:color="auto"/>
                    <w:bottom w:val="none" w:sz="0" w:space="0" w:color="auto"/>
                    <w:right w:val="none" w:sz="0" w:space="0" w:color="auto"/>
                  </w:divBdr>
                  <w:divsChild>
                    <w:div w:id="3833383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83338310">
          <w:marLeft w:val="0"/>
          <w:marRight w:val="0"/>
          <w:marTop w:val="0"/>
          <w:marBottom w:val="0"/>
          <w:divBdr>
            <w:top w:val="none" w:sz="0" w:space="0" w:color="auto"/>
            <w:left w:val="none" w:sz="0" w:space="0" w:color="auto"/>
            <w:bottom w:val="none" w:sz="0" w:space="0" w:color="auto"/>
            <w:right w:val="none" w:sz="0" w:space="0" w:color="auto"/>
          </w:divBdr>
          <w:divsChild>
            <w:div w:id="383338306">
              <w:marLeft w:val="0"/>
              <w:marRight w:val="0"/>
              <w:marTop w:val="0"/>
              <w:marBottom w:val="0"/>
              <w:divBdr>
                <w:top w:val="none" w:sz="0" w:space="0" w:color="auto"/>
                <w:left w:val="none" w:sz="0" w:space="0" w:color="auto"/>
                <w:bottom w:val="none" w:sz="0" w:space="0" w:color="auto"/>
                <w:right w:val="none" w:sz="0" w:space="0" w:color="auto"/>
              </w:divBdr>
              <w:divsChild>
                <w:div w:id="383338305">
                  <w:marLeft w:val="0"/>
                  <w:marRight w:val="0"/>
                  <w:marTop w:val="0"/>
                  <w:marBottom w:val="0"/>
                  <w:divBdr>
                    <w:top w:val="none" w:sz="0" w:space="0" w:color="auto"/>
                    <w:left w:val="none" w:sz="0" w:space="0" w:color="auto"/>
                    <w:bottom w:val="none" w:sz="0" w:space="0" w:color="auto"/>
                    <w:right w:val="none" w:sz="0" w:space="0" w:color="auto"/>
                  </w:divBdr>
                  <w:divsChild>
                    <w:div w:id="3833383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83338329">
      <w:marLeft w:val="0"/>
      <w:marRight w:val="0"/>
      <w:marTop w:val="0"/>
      <w:marBottom w:val="0"/>
      <w:divBdr>
        <w:top w:val="none" w:sz="0" w:space="0" w:color="auto"/>
        <w:left w:val="none" w:sz="0" w:space="0" w:color="auto"/>
        <w:bottom w:val="none" w:sz="0" w:space="0" w:color="auto"/>
        <w:right w:val="none" w:sz="0" w:space="0" w:color="auto"/>
      </w:divBdr>
    </w:div>
    <w:div w:id="441417465">
      <w:bodyDiv w:val="1"/>
      <w:marLeft w:val="0"/>
      <w:marRight w:val="0"/>
      <w:marTop w:val="0"/>
      <w:marBottom w:val="0"/>
      <w:divBdr>
        <w:top w:val="none" w:sz="0" w:space="0" w:color="auto"/>
        <w:left w:val="none" w:sz="0" w:space="0" w:color="auto"/>
        <w:bottom w:val="none" w:sz="0" w:space="0" w:color="auto"/>
        <w:right w:val="none" w:sz="0" w:space="0" w:color="auto"/>
      </w:divBdr>
    </w:div>
    <w:div w:id="558635445">
      <w:bodyDiv w:val="1"/>
      <w:marLeft w:val="0"/>
      <w:marRight w:val="0"/>
      <w:marTop w:val="0"/>
      <w:marBottom w:val="0"/>
      <w:divBdr>
        <w:top w:val="none" w:sz="0" w:space="0" w:color="auto"/>
        <w:left w:val="none" w:sz="0" w:space="0" w:color="auto"/>
        <w:bottom w:val="none" w:sz="0" w:space="0" w:color="auto"/>
        <w:right w:val="none" w:sz="0" w:space="0" w:color="auto"/>
      </w:divBdr>
    </w:div>
    <w:div w:id="1439519754">
      <w:bodyDiv w:val="1"/>
      <w:marLeft w:val="0"/>
      <w:marRight w:val="0"/>
      <w:marTop w:val="0"/>
      <w:marBottom w:val="0"/>
      <w:divBdr>
        <w:top w:val="none" w:sz="0" w:space="0" w:color="auto"/>
        <w:left w:val="none" w:sz="0" w:space="0" w:color="auto"/>
        <w:bottom w:val="none" w:sz="0" w:space="0" w:color="auto"/>
        <w:right w:val="none" w:sz="0" w:space="0" w:color="auto"/>
      </w:divBdr>
    </w:div>
    <w:div w:id="1910921418">
      <w:bodyDiv w:val="1"/>
      <w:marLeft w:val="0"/>
      <w:marRight w:val="0"/>
      <w:marTop w:val="0"/>
      <w:marBottom w:val="0"/>
      <w:divBdr>
        <w:top w:val="none" w:sz="0" w:space="0" w:color="auto"/>
        <w:left w:val="none" w:sz="0" w:space="0" w:color="auto"/>
        <w:bottom w:val="none" w:sz="0" w:space="0" w:color="auto"/>
        <w:right w:val="none" w:sz="0" w:space="0" w:color="auto"/>
      </w:divBdr>
    </w:div>
    <w:div w:id="2019770919">
      <w:bodyDiv w:val="1"/>
      <w:marLeft w:val="0"/>
      <w:marRight w:val="0"/>
      <w:marTop w:val="0"/>
      <w:marBottom w:val="0"/>
      <w:divBdr>
        <w:top w:val="none" w:sz="0" w:space="0" w:color="auto"/>
        <w:left w:val="none" w:sz="0" w:space="0" w:color="auto"/>
        <w:bottom w:val="none" w:sz="0" w:space="0" w:color="auto"/>
        <w:right w:val="none" w:sz="0" w:space="0" w:color="auto"/>
      </w:divBdr>
    </w:div>
    <w:div w:id="2105954149">
      <w:bodyDiv w:val="1"/>
      <w:marLeft w:val="0"/>
      <w:marRight w:val="0"/>
      <w:marTop w:val="0"/>
      <w:marBottom w:val="0"/>
      <w:divBdr>
        <w:top w:val="none" w:sz="0" w:space="0" w:color="auto"/>
        <w:left w:val="none" w:sz="0" w:space="0" w:color="auto"/>
        <w:bottom w:val="none" w:sz="0" w:space="0" w:color="auto"/>
        <w:right w:val="none" w:sz="0" w:space="0" w:color="auto"/>
      </w:divBdr>
    </w:div>
    <w:div w:id="21229911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png"/><Relationship Id="rId18" Type="http://schemas.microsoft.com/office/2007/relationships/hdphoto" Target="media/hdphoto3.wdp"/><Relationship Id="rId26" Type="http://schemas.openxmlformats.org/officeDocument/2006/relationships/header" Target="header1.xml"/><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4.png"/><Relationship Id="rId25" Type="http://schemas.openxmlformats.org/officeDocument/2006/relationships/image" Target="media/image11.png"/><Relationship Id="rId33" Type="http://schemas.microsoft.com/office/2011/relationships/people" Target="people.xml"/><Relationship Id="rId2" Type="http://schemas.openxmlformats.org/officeDocument/2006/relationships/numbering" Target="numbering.xml"/><Relationship Id="rId16" Type="http://schemas.microsoft.com/office/2007/relationships/hdphoto" Target="media/hdphoto2.wdp"/><Relationship Id="rId20" Type="http://schemas.openxmlformats.org/officeDocument/2006/relationships/image" Target="media/image6.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8/08/relationships/commentsExtensible" Target="commentsExtensible.xml"/><Relationship Id="rId24" Type="http://schemas.openxmlformats.org/officeDocument/2006/relationships/image" Target="media/image10.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9.png"/><Relationship Id="rId28" Type="http://schemas.openxmlformats.org/officeDocument/2006/relationships/footer" Target="footer1.xml"/><Relationship Id="rId10" Type="http://schemas.microsoft.com/office/2016/09/relationships/commentsIds" Target="commentsIds.xml"/><Relationship Id="rId19" Type="http://schemas.openxmlformats.org/officeDocument/2006/relationships/image" Target="media/image5.png"/><Relationship Id="rId31" Type="http://schemas.openxmlformats.org/officeDocument/2006/relationships/footer" Target="footer3.xml"/><Relationship Id="rId4" Type="http://schemas.openxmlformats.org/officeDocument/2006/relationships/settings" Target="settings.xml"/><Relationship Id="rId9" Type="http://schemas.microsoft.com/office/2011/relationships/commentsExtended" Target="commentsExtended.xml"/><Relationship Id="rId14" Type="http://schemas.microsoft.com/office/2007/relationships/hdphoto" Target="media/hdphoto1.wdp"/><Relationship Id="rId22" Type="http://schemas.openxmlformats.org/officeDocument/2006/relationships/image" Target="media/image8.png"/><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comments" Target="comments.xml"/></Relationships>
</file>

<file path=word/_rels/footer1.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footer3.xml.rels><?xml version="1.0" encoding="UTF-8" standalone="yes"?>
<Relationships xmlns="http://schemas.openxmlformats.org/package/2006/relationships"><Relationship Id="rId1" Type="http://schemas.openxmlformats.org/officeDocument/2006/relationships/hyperlink" Target="https://najahaofficial.id/najahajournal/index.php/IJL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header2.xml.rels><?xml version="1.0" encoding="UTF-8" standalone="yes"?>
<Relationships xmlns="http://schemas.openxmlformats.org/package/2006/relationships"><Relationship Id="rId1" Type="http://schemas.openxmlformats.org/officeDocument/2006/relationships/image" Target="media/image12.jpeg"/></Relationships>
</file>

<file path=word/_rels/header3.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A93AD3C-0A42-4AD3-917C-17024F54189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810</TotalTime>
  <Pages>36</Pages>
  <Words>35278</Words>
  <Characters>201091</Characters>
  <Application>Microsoft Office Word</Application>
  <DocSecurity>0</DocSecurity>
  <Lines>1675</Lines>
  <Paragraphs>471</Paragraphs>
  <ScaleCrop>false</ScaleCrop>
  <HeadingPairs>
    <vt:vector size="2" baseType="variant">
      <vt:variant>
        <vt:lpstr>Title</vt:lpstr>
      </vt:variant>
      <vt:variant>
        <vt:i4>1</vt:i4>
      </vt:variant>
    </vt:vector>
  </HeadingPairs>
  <TitlesOfParts>
    <vt:vector size="1" baseType="lpstr">
      <vt:lpstr>Transformasi Kultur Pendidikan Islam di Indonesia</vt:lpstr>
    </vt:vector>
  </TitlesOfParts>
  <Company>UIN Malang</Company>
  <LinksUpToDate>false</LinksUpToDate>
  <CharactersWithSpaces>235898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Transformasi Kultur Pendidikan Islam di Indonesia</dc:title>
  <dc:subject/>
  <dc:creator>comp</dc:creator>
  <cp:keywords/>
  <dc:description/>
  <cp:lastModifiedBy>RA</cp:lastModifiedBy>
  <cp:revision>32</cp:revision>
  <cp:lastPrinted>2008-11-01T04:52:00Z</cp:lastPrinted>
  <dcterms:created xsi:type="dcterms:W3CDTF">2025-04-26T02:59:00Z</dcterms:created>
  <dcterms:modified xsi:type="dcterms:W3CDTF">2025-06-05T22:01:00Z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 11th edition</vt:lpwstr>
  </property>
  <property fmtid="{D5CDD505-2E9C-101B-9397-08002B2CF9AE}" pid="4" name="Mendeley Recent Style Id 1_1">
    <vt:lpwstr>http://www.zotero.org/styles/apa</vt:lpwstr>
  </property>
  <property fmtid="{D5CDD505-2E9C-101B-9397-08002B2CF9AE}" pid="5" name="Mendeley Recent Style Name 1_1">
    <vt:lpwstr>American Psychological Association 7th edition</vt:lpwstr>
  </property>
  <property fmtid="{D5CDD505-2E9C-101B-9397-08002B2CF9AE}" pid="6" name="Mendeley Recent Style Id 2_1">
    <vt:lpwstr>http://www.zotero.org/styles/american-sociological-association</vt:lpwstr>
  </property>
  <property fmtid="{D5CDD505-2E9C-101B-9397-08002B2CF9AE}" pid="7" name="Mendeley Recent Style Name 2_1">
    <vt:lpwstr>American Sociological Association 6th/7th edition</vt:lpwstr>
  </property>
  <property fmtid="{D5CDD505-2E9C-101B-9397-08002B2CF9AE}" pid="8" name="Mendeley Recent Style Id 3_1">
    <vt:lpwstr>http://www.zotero.org/styles/chicago-author-date</vt:lpwstr>
  </property>
  <property fmtid="{D5CDD505-2E9C-101B-9397-08002B2CF9AE}" pid="9" name="Mendeley Recent Style Name 3_1">
    <vt:lpwstr>Chicago Manual of Style 17th edition (author-date)</vt:lpwstr>
  </property>
  <property fmtid="{D5CDD505-2E9C-101B-9397-08002B2CF9AE}" pid="10" name="Mendeley Recent Style Id 4_1">
    <vt:lpwstr>http://www.zotero.org/styles/chicago-fullnote-bibliography</vt:lpwstr>
  </property>
  <property fmtid="{D5CDD505-2E9C-101B-9397-08002B2CF9AE}" pid="11" name="Mendeley Recent Style Name 4_1">
    <vt:lpwstr>Chicago Manual of Style 17th edition (full note)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12th edition - Harvard</vt:lpwstr>
  </property>
  <property fmtid="{D5CDD505-2E9C-101B-9397-08002B2CF9AE}" pid="14" name="Mendeley Recent Style Id 6_1">
    <vt:lpwstr>http://www.zotero.org/styles/ieee</vt:lpwstr>
  </property>
  <property fmtid="{D5CDD505-2E9C-101B-9397-08002B2CF9AE}" pid="15" name="Mendeley Recent Style Name 6_1">
    <vt:lpwstr>IEEE</vt:lpwstr>
  </property>
  <property fmtid="{D5CDD505-2E9C-101B-9397-08002B2CF9AE}" pid="16" name="Mendeley Recent Style Id 7_1">
    <vt:lpwstr>http://www.zotero.org/styles/modern-humanities-research-association</vt:lpwstr>
  </property>
  <property fmtid="{D5CDD505-2E9C-101B-9397-08002B2CF9AE}" pid="17" name="Mendeley Recent Style Name 7_1">
    <vt:lpwstr>Modern Humanities Research Association 4th edition (note with bibliography)</vt:lpwstr>
  </property>
  <property fmtid="{D5CDD505-2E9C-101B-9397-08002B2CF9AE}" pid="18" name="Mendeley Recent Style Id 8_1">
    <vt:lpwstr>http://www.zotero.org/styles/modern-language-association</vt:lpwstr>
  </property>
  <property fmtid="{D5CDD505-2E9C-101B-9397-08002B2CF9AE}" pid="19" name="Mendeley Recent Style Name 8_1">
    <vt:lpwstr>Modern Language Association 9th edition</vt:lpwstr>
  </property>
  <property fmtid="{D5CDD505-2E9C-101B-9397-08002B2CF9AE}" pid="20" name="Mendeley Recent Style Id 9_1">
    <vt:lpwstr>http://www.zotero.org/styles/nature</vt:lpwstr>
  </property>
  <property fmtid="{D5CDD505-2E9C-101B-9397-08002B2CF9AE}" pid="21" name="Mendeley Recent Style Name 9_1">
    <vt:lpwstr>Nature</vt:lpwstr>
  </property>
  <property fmtid="{D5CDD505-2E9C-101B-9397-08002B2CF9AE}" pid="22" name="Mendeley Citation Style_1">
    <vt:lpwstr>http://www.zotero.org/styles/apa</vt:lpwstr>
  </property>
  <property fmtid="{D5CDD505-2E9C-101B-9397-08002B2CF9AE}" pid="23" name="Mendeley Document_1">
    <vt:lpwstr>True</vt:lpwstr>
  </property>
  <property fmtid="{D5CDD505-2E9C-101B-9397-08002B2CF9AE}" pid="24" name="Mendeley Unique User Id_1">
    <vt:lpwstr>0ecf22fc-d155-3095-b975-1e9648574976</vt:lpwstr>
  </property>
</Properties>
</file>